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2FF97" w14:textId="4DA66BAD" w:rsidR="006B4BE1" w:rsidRDefault="006B4BE1" w:rsidP="006B4BE1">
      <w:bookmarkStart w:id="0" w:name="_Hlk155256804"/>
    </w:p>
    <w:bookmarkEnd w:id="0"/>
    <w:p w14:paraId="7CD4111A" w14:textId="77777777" w:rsidR="006B4BE1" w:rsidRDefault="006B4BE1" w:rsidP="006B4BE1"/>
    <w:p w14:paraId="6EA11D0F" w14:textId="77777777" w:rsidR="006B4BE1" w:rsidRDefault="006B4BE1" w:rsidP="006B4BE1"/>
    <w:p w14:paraId="35E4CA27" w14:textId="77777777" w:rsidR="00854EFD" w:rsidRDefault="00854EFD" w:rsidP="006B4BE1"/>
    <w:p w14:paraId="252BFDD5" w14:textId="77777777" w:rsidR="00854EFD" w:rsidRDefault="00854EFD" w:rsidP="006B4BE1"/>
    <w:p w14:paraId="23B588AE" w14:textId="77777777" w:rsidR="00854EFD" w:rsidRDefault="00854EFD" w:rsidP="006B4BE1"/>
    <w:p w14:paraId="06494CD0" w14:textId="77777777" w:rsidR="006B4BE1" w:rsidRDefault="006B4BE1" w:rsidP="006B4BE1"/>
    <w:p w14:paraId="4514739F" w14:textId="77777777" w:rsidR="006B4BE1" w:rsidRPr="00AE59DD" w:rsidRDefault="006B4BE1" w:rsidP="006B4BE1">
      <w:pPr>
        <w:jc w:val="center"/>
      </w:pPr>
      <w:r w:rsidRPr="00AE59DD">
        <w:rPr>
          <w:noProof/>
          <w:lang w:eastAsia="en-GB"/>
        </w:rPr>
        <w:drawing>
          <wp:inline distT="0" distB="0" distL="0" distR="0" wp14:anchorId="43D262DD" wp14:editId="792790D9">
            <wp:extent cx="2647315" cy="1743710"/>
            <wp:effectExtent l="0" t="0" r="635" b="8890"/>
            <wp:docPr id="2" name="Picture 2" descr="LFRS -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RS - NEW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315" cy="1743710"/>
                    </a:xfrm>
                    <a:prstGeom prst="rect">
                      <a:avLst/>
                    </a:prstGeom>
                    <a:noFill/>
                    <a:ln>
                      <a:noFill/>
                    </a:ln>
                  </pic:spPr>
                </pic:pic>
              </a:graphicData>
            </a:graphic>
          </wp:inline>
        </w:drawing>
      </w:r>
    </w:p>
    <w:p w14:paraId="3CA46D1C" w14:textId="77777777" w:rsidR="006B4BE1" w:rsidRPr="00AE59DD" w:rsidRDefault="006B4BE1" w:rsidP="006B4BE1">
      <w:pPr>
        <w:jc w:val="center"/>
      </w:pPr>
    </w:p>
    <w:p w14:paraId="0AFA968E" w14:textId="77777777" w:rsidR="006B4BE1" w:rsidRPr="00AE59DD" w:rsidRDefault="006B4BE1" w:rsidP="006B4BE1">
      <w:pPr>
        <w:jc w:val="center"/>
        <w:rPr>
          <w:sz w:val="36"/>
          <w:szCs w:val="36"/>
        </w:rPr>
      </w:pPr>
    </w:p>
    <w:p w14:paraId="4A6E6EB9" w14:textId="77777777" w:rsidR="006B4BE1" w:rsidRPr="00AE59DD" w:rsidRDefault="006B4BE1" w:rsidP="006B4BE1">
      <w:pPr>
        <w:jc w:val="center"/>
        <w:rPr>
          <w:sz w:val="36"/>
          <w:szCs w:val="36"/>
        </w:rPr>
      </w:pPr>
    </w:p>
    <w:p w14:paraId="099A7E56" w14:textId="005E30A7" w:rsidR="006B4BE1" w:rsidRPr="00AE59DD" w:rsidRDefault="00880AD5" w:rsidP="003668C6">
      <w:pPr>
        <w:jc w:val="center"/>
        <w:rPr>
          <w:sz w:val="36"/>
          <w:szCs w:val="36"/>
        </w:rPr>
      </w:pPr>
      <w:r>
        <w:rPr>
          <w:sz w:val="36"/>
          <w:szCs w:val="36"/>
        </w:rPr>
        <w:t>Statement</w:t>
      </w:r>
      <w:r w:rsidR="006B4BE1" w:rsidRPr="00AE59DD">
        <w:rPr>
          <w:sz w:val="36"/>
          <w:szCs w:val="36"/>
        </w:rPr>
        <w:t xml:space="preserve"> </w:t>
      </w:r>
      <w:r>
        <w:rPr>
          <w:sz w:val="36"/>
          <w:szCs w:val="36"/>
        </w:rPr>
        <w:t>of</w:t>
      </w:r>
      <w:r w:rsidR="006B4BE1" w:rsidRPr="00AE59DD">
        <w:rPr>
          <w:sz w:val="36"/>
          <w:szCs w:val="36"/>
        </w:rPr>
        <w:t xml:space="preserve"> </w:t>
      </w:r>
      <w:r>
        <w:rPr>
          <w:sz w:val="36"/>
          <w:szCs w:val="36"/>
        </w:rPr>
        <w:t>Accounts</w:t>
      </w:r>
    </w:p>
    <w:p w14:paraId="06ED5587" w14:textId="77777777" w:rsidR="006B4BE1" w:rsidRPr="00AE59DD" w:rsidRDefault="006B4BE1" w:rsidP="003668C6">
      <w:pPr>
        <w:jc w:val="center"/>
        <w:rPr>
          <w:sz w:val="36"/>
          <w:szCs w:val="36"/>
        </w:rPr>
      </w:pPr>
    </w:p>
    <w:p w14:paraId="59F6DCEE" w14:textId="6AE33363" w:rsidR="006B4BE1" w:rsidRPr="00AE59DD" w:rsidRDefault="00C34E88" w:rsidP="003668C6">
      <w:pPr>
        <w:jc w:val="center"/>
        <w:rPr>
          <w:sz w:val="36"/>
          <w:szCs w:val="36"/>
        </w:rPr>
      </w:pPr>
      <w:r w:rsidRPr="006E6CFF">
        <w:rPr>
          <w:sz w:val="36"/>
          <w:szCs w:val="36"/>
        </w:rPr>
        <w:t>20</w:t>
      </w:r>
      <w:r w:rsidR="00473C58" w:rsidRPr="006E6CFF">
        <w:rPr>
          <w:sz w:val="36"/>
          <w:szCs w:val="36"/>
        </w:rPr>
        <w:t>2</w:t>
      </w:r>
      <w:r w:rsidR="007811DA" w:rsidRPr="006E6CFF">
        <w:rPr>
          <w:sz w:val="36"/>
          <w:szCs w:val="36"/>
        </w:rPr>
        <w:t>2</w:t>
      </w:r>
      <w:r w:rsidR="002A48DC" w:rsidRPr="006E6CFF">
        <w:rPr>
          <w:sz w:val="36"/>
          <w:szCs w:val="36"/>
        </w:rPr>
        <w:t>/2</w:t>
      </w:r>
      <w:r w:rsidR="007811DA" w:rsidRPr="006E6CFF">
        <w:rPr>
          <w:sz w:val="36"/>
          <w:szCs w:val="36"/>
        </w:rPr>
        <w:t>3</w:t>
      </w:r>
    </w:p>
    <w:p w14:paraId="2DE8D455" w14:textId="77777777" w:rsidR="00854EFD" w:rsidRPr="00AE59DD" w:rsidRDefault="00854EFD">
      <w:r w:rsidRPr="00AE59DD">
        <w:br w:type="page"/>
      </w:r>
    </w:p>
    <w:p w14:paraId="3D51F372" w14:textId="1D0E45BD" w:rsidR="002B6814" w:rsidRPr="00AE59DD" w:rsidRDefault="002B6814" w:rsidP="003668C6">
      <w:pPr>
        <w:pStyle w:val="Title"/>
        <w:jc w:val="left"/>
      </w:pPr>
      <w:r w:rsidRPr="00AE59DD">
        <w:lastRenderedPageBreak/>
        <w:t>L</w:t>
      </w:r>
      <w:r w:rsidR="00E7631F">
        <w:t>ancashire</w:t>
      </w:r>
      <w:r w:rsidRPr="00AE59DD">
        <w:t xml:space="preserve"> C</w:t>
      </w:r>
      <w:r w:rsidR="00E7631F">
        <w:t>ombined</w:t>
      </w:r>
      <w:r w:rsidRPr="00AE59DD">
        <w:t xml:space="preserve"> F</w:t>
      </w:r>
      <w:r w:rsidR="00E7631F">
        <w:t>ire</w:t>
      </w:r>
      <w:r w:rsidRPr="00AE59DD">
        <w:t xml:space="preserve"> A</w:t>
      </w:r>
      <w:r w:rsidR="00E7631F">
        <w:t>uthority</w:t>
      </w:r>
    </w:p>
    <w:p w14:paraId="0BF51ECE" w14:textId="77777777" w:rsidR="002B6814" w:rsidRPr="00AE59DD" w:rsidRDefault="002B6814" w:rsidP="003668C6">
      <w:pPr>
        <w:rPr>
          <w:b/>
          <w:sz w:val="28"/>
        </w:rPr>
      </w:pPr>
    </w:p>
    <w:p w14:paraId="55AB75C3" w14:textId="447D6080" w:rsidR="002B6814" w:rsidRPr="00AE59DD" w:rsidRDefault="00E7631F" w:rsidP="003668C6">
      <w:pPr>
        <w:rPr>
          <w:b/>
          <w:sz w:val="28"/>
        </w:rPr>
      </w:pPr>
      <w:r>
        <w:rPr>
          <w:b/>
          <w:sz w:val="28"/>
        </w:rPr>
        <w:t>Statement</w:t>
      </w:r>
      <w:r w:rsidR="002B6814" w:rsidRPr="006E6CFF">
        <w:rPr>
          <w:b/>
          <w:sz w:val="28"/>
        </w:rPr>
        <w:t xml:space="preserve"> </w:t>
      </w:r>
      <w:r>
        <w:rPr>
          <w:b/>
          <w:sz w:val="28"/>
        </w:rPr>
        <w:t xml:space="preserve">of </w:t>
      </w:r>
      <w:r w:rsidR="002B6814" w:rsidRPr="006E6CFF">
        <w:rPr>
          <w:b/>
          <w:sz w:val="28"/>
        </w:rPr>
        <w:t>A</w:t>
      </w:r>
      <w:r>
        <w:rPr>
          <w:b/>
          <w:sz w:val="28"/>
        </w:rPr>
        <w:t>ccounts</w:t>
      </w:r>
      <w:r w:rsidR="002B6814" w:rsidRPr="006E6CFF">
        <w:rPr>
          <w:b/>
          <w:sz w:val="28"/>
        </w:rPr>
        <w:t xml:space="preserve"> </w:t>
      </w:r>
      <w:r w:rsidR="002B6814" w:rsidRPr="006E6CFF">
        <w:rPr>
          <w:b/>
          <w:caps/>
          <w:sz w:val="28"/>
        </w:rPr>
        <w:t>2022/23</w:t>
      </w:r>
    </w:p>
    <w:p w14:paraId="2DD1AB22" w14:textId="77777777" w:rsidR="002B6814" w:rsidRPr="00AE59DD" w:rsidRDefault="002B6814" w:rsidP="003668C6">
      <w:pPr>
        <w:rPr>
          <w:b/>
          <w:sz w:val="28"/>
        </w:rPr>
      </w:pPr>
    </w:p>
    <w:p w14:paraId="5F5D1D76" w14:textId="14078B1A" w:rsidR="006B4BE1" w:rsidRPr="00582882" w:rsidRDefault="002B6814" w:rsidP="006B4BE1">
      <w:r w:rsidRPr="00AE59DD">
        <w:rPr>
          <w:b/>
          <w:sz w:val="28"/>
        </w:rPr>
        <w:t>C</w:t>
      </w:r>
      <w:r w:rsidR="00E7631F">
        <w:rPr>
          <w:b/>
          <w:sz w:val="28"/>
        </w:rPr>
        <w:t>ontents</w:t>
      </w:r>
    </w:p>
    <w:sdt>
      <w:sdtPr>
        <w:rPr>
          <w:rFonts w:ascii="Arial" w:eastAsia="Times New Roman" w:hAnsi="Arial" w:cs="Times New Roman"/>
          <w:color w:val="auto"/>
          <w:sz w:val="24"/>
          <w:szCs w:val="24"/>
          <w:lang w:val="en-GB"/>
        </w:rPr>
        <w:id w:val="2062289287"/>
        <w:docPartObj>
          <w:docPartGallery w:val="Table of Contents"/>
          <w:docPartUnique/>
        </w:docPartObj>
      </w:sdtPr>
      <w:sdtEndPr>
        <w:rPr>
          <w:b/>
          <w:bCs/>
          <w:noProof/>
          <w:szCs w:val="20"/>
        </w:rPr>
      </w:sdtEndPr>
      <w:sdtContent>
        <w:p w14:paraId="269485E8" w14:textId="63CDB818" w:rsidR="005A3C76" w:rsidRPr="004F0E19" w:rsidRDefault="005A3C76">
          <w:pPr>
            <w:pStyle w:val="TOCHeading"/>
            <w:rPr>
              <w:sz w:val="24"/>
              <w:szCs w:val="24"/>
            </w:rPr>
          </w:pPr>
        </w:p>
        <w:p w14:paraId="7B41047F" w14:textId="003EF2F4" w:rsidR="00F26246" w:rsidRDefault="005A3C76">
          <w:pPr>
            <w:pStyle w:val="TOC1"/>
            <w:tabs>
              <w:tab w:val="right" w:leader="dot" w:pos="9017"/>
            </w:tabs>
            <w:rPr>
              <w:rFonts w:asciiTheme="minorHAnsi" w:eastAsiaTheme="minorEastAsia" w:hAnsiTheme="minorHAnsi" w:cstheme="minorBidi"/>
              <w:noProof/>
              <w:kern w:val="2"/>
              <w:sz w:val="22"/>
              <w:szCs w:val="22"/>
              <w:lang w:eastAsia="en-GB"/>
              <w14:ligatures w14:val="standardContextual"/>
            </w:rPr>
          </w:pPr>
          <w:r w:rsidRPr="004F0E19">
            <w:rPr>
              <w:szCs w:val="24"/>
            </w:rPr>
            <w:fldChar w:fldCharType="begin"/>
          </w:r>
          <w:r w:rsidRPr="004F0E19">
            <w:rPr>
              <w:szCs w:val="24"/>
            </w:rPr>
            <w:instrText xml:space="preserve"> TOC \o "1-3" \h \z \u </w:instrText>
          </w:r>
          <w:r w:rsidRPr="004F0E19">
            <w:rPr>
              <w:szCs w:val="24"/>
            </w:rPr>
            <w:fldChar w:fldCharType="separate"/>
          </w:r>
          <w:hyperlink w:anchor="_Toc166761523" w:history="1">
            <w:r w:rsidR="00F26246" w:rsidRPr="00211DCF">
              <w:rPr>
                <w:rStyle w:val="Hyperlink"/>
                <w:noProof/>
              </w:rPr>
              <w:t>Narrative Report</w:t>
            </w:r>
            <w:r w:rsidR="00F26246">
              <w:rPr>
                <w:noProof/>
                <w:webHidden/>
              </w:rPr>
              <w:tab/>
            </w:r>
            <w:r w:rsidR="00F26246">
              <w:rPr>
                <w:noProof/>
                <w:webHidden/>
              </w:rPr>
              <w:fldChar w:fldCharType="begin"/>
            </w:r>
            <w:r w:rsidR="00F26246">
              <w:rPr>
                <w:noProof/>
                <w:webHidden/>
              </w:rPr>
              <w:instrText xml:space="preserve"> PAGEREF _Toc166761523 \h </w:instrText>
            </w:r>
            <w:r w:rsidR="00F26246">
              <w:rPr>
                <w:noProof/>
                <w:webHidden/>
              </w:rPr>
            </w:r>
            <w:r w:rsidR="00F26246">
              <w:rPr>
                <w:noProof/>
                <w:webHidden/>
              </w:rPr>
              <w:fldChar w:fldCharType="separate"/>
            </w:r>
            <w:r w:rsidR="00CE1478">
              <w:rPr>
                <w:noProof/>
                <w:webHidden/>
              </w:rPr>
              <w:t>1</w:t>
            </w:r>
            <w:r w:rsidR="00F26246">
              <w:rPr>
                <w:noProof/>
                <w:webHidden/>
              </w:rPr>
              <w:fldChar w:fldCharType="end"/>
            </w:r>
          </w:hyperlink>
        </w:p>
        <w:p w14:paraId="08566BDC" w14:textId="551A56F0" w:rsidR="00F26246" w:rsidRDefault="00BD79B2">
          <w:pPr>
            <w:pStyle w:val="TOC1"/>
            <w:tabs>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24" w:history="1">
            <w:r w:rsidR="00F26246" w:rsidRPr="00211DCF">
              <w:rPr>
                <w:rStyle w:val="Hyperlink"/>
                <w:noProof/>
              </w:rPr>
              <w:t>Statement on Annual Governance Arrangements</w:t>
            </w:r>
            <w:r w:rsidR="00F26246">
              <w:rPr>
                <w:noProof/>
                <w:webHidden/>
              </w:rPr>
              <w:tab/>
            </w:r>
            <w:r w:rsidR="00F26246">
              <w:rPr>
                <w:noProof/>
                <w:webHidden/>
              </w:rPr>
              <w:fldChar w:fldCharType="begin"/>
            </w:r>
            <w:r w:rsidR="00F26246">
              <w:rPr>
                <w:noProof/>
                <w:webHidden/>
              </w:rPr>
              <w:instrText xml:space="preserve"> PAGEREF _Toc166761524 \h </w:instrText>
            </w:r>
            <w:r w:rsidR="00F26246">
              <w:rPr>
                <w:noProof/>
                <w:webHidden/>
              </w:rPr>
            </w:r>
            <w:r w:rsidR="00F26246">
              <w:rPr>
                <w:noProof/>
                <w:webHidden/>
              </w:rPr>
              <w:fldChar w:fldCharType="separate"/>
            </w:r>
            <w:r w:rsidR="00CE1478">
              <w:rPr>
                <w:noProof/>
                <w:webHidden/>
              </w:rPr>
              <w:t>8</w:t>
            </w:r>
            <w:r w:rsidR="00F26246">
              <w:rPr>
                <w:noProof/>
                <w:webHidden/>
              </w:rPr>
              <w:fldChar w:fldCharType="end"/>
            </w:r>
          </w:hyperlink>
        </w:p>
        <w:p w14:paraId="767483CD" w14:textId="1B68608C" w:rsidR="00F26246" w:rsidRDefault="00BD79B2">
          <w:pPr>
            <w:pStyle w:val="TOC1"/>
            <w:tabs>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25" w:history="1">
            <w:r w:rsidR="00F26246" w:rsidRPr="00211DCF">
              <w:rPr>
                <w:rStyle w:val="Hyperlink"/>
                <w:noProof/>
              </w:rPr>
              <w:t>Independent Auditor’s Report</w:t>
            </w:r>
            <w:r w:rsidR="00F26246">
              <w:rPr>
                <w:noProof/>
                <w:webHidden/>
              </w:rPr>
              <w:tab/>
            </w:r>
            <w:r w:rsidR="00F26246">
              <w:rPr>
                <w:noProof/>
                <w:webHidden/>
              </w:rPr>
              <w:fldChar w:fldCharType="begin"/>
            </w:r>
            <w:r w:rsidR="00F26246">
              <w:rPr>
                <w:noProof/>
                <w:webHidden/>
              </w:rPr>
              <w:instrText xml:space="preserve"> PAGEREF _Toc166761525 \h </w:instrText>
            </w:r>
            <w:r w:rsidR="00F26246">
              <w:rPr>
                <w:noProof/>
                <w:webHidden/>
              </w:rPr>
            </w:r>
            <w:r w:rsidR="00F26246">
              <w:rPr>
                <w:noProof/>
                <w:webHidden/>
              </w:rPr>
              <w:fldChar w:fldCharType="separate"/>
            </w:r>
            <w:r w:rsidR="00CE1478">
              <w:rPr>
                <w:noProof/>
                <w:webHidden/>
              </w:rPr>
              <w:t>15</w:t>
            </w:r>
            <w:r w:rsidR="00F26246">
              <w:rPr>
                <w:noProof/>
                <w:webHidden/>
              </w:rPr>
              <w:fldChar w:fldCharType="end"/>
            </w:r>
          </w:hyperlink>
        </w:p>
        <w:p w14:paraId="6EF1481B" w14:textId="3F2892E0" w:rsidR="00F26246" w:rsidRDefault="00BD79B2">
          <w:pPr>
            <w:pStyle w:val="TOC1"/>
            <w:tabs>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26" w:history="1">
            <w:r w:rsidR="00F26246" w:rsidRPr="00211DCF">
              <w:rPr>
                <w:rStyle w:val="Hyperlink"/>
                <w:noProof/>
              </w:rPr>
              <w:t>Statement of Responsibilities</w:t>
            </w:r>
            <w:r w:rsidR="00F26246">
              <w:rPr>
                <w:noProof/>
                <w:webHidden/>
              </w:rPr>
              <w:tab/>
            </w:r>
            <w:r w:rsidR="00F26246">
              <w:rPr>
                <w:noProof/>
                <w:webHidden/>
              </w:rPr>
              <w:fldChar w:fldCharType="begin"/>
            </w:r>
            <w:r w:rsidR="00F26246">
              <w:rPr>
                <w:noProof/>
                <w:webHidden/>
              </w:rPr>
              <w:instrText xml:space="preserve"> PAGEREF _Toc166761526 \h </w:instrText>
            </w:r>
            <w:r w:rsidR="00F26246">
              <w:rPr>
                <w:noProof/>
                <w:webHidden/>
              </w:rPr>
            </w:r>
            <w:r w:rsidR="00F26246">
              <w:rPr>
                <w:noProof/>
                <w:webHidden/>
              </w:rPr>
              <w:fldChar w:fldCharType="separate"/>
            </w:r>
            <w:r w:rsidR="00CE1478">
              <w:rPr>
                <w:noProof/>
                <w:webHidden/>
              </w:rPr>
              <w:t>22</w:t>
            </w:r>
            <w:r w:rsidR="00F26246">
              <w:rPr>
                <w:noProof/>
                <w:webHidden/>
              </w:rPr>
              <w:fldChar w:fldCharType="end"/>
            </w:r>
          </w:hyperlink>
        </w:p>
        <w:p w14:paraId="39681EBB" w14:textId="01050A9E" w:rsidR="00F26246" w:rsidRDefault="00BD79B2">
          <w:pPr>
            <w:pStyle w:val="TOC1"/>
            <w:tabs>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27" w:history="1">
            <w:r w:rsidR="00F26246" w:rsidRPr="00211DCF">
              <w:rPr>
                <w:rStyle w:val="Hyperlink"/>
                <w:noProof/>
              </w:rPr>
              <w:t>Explanation of Financial Statements</w:t>
            </w:r>
            <w:r w:rsidR="00F26246">
              <w:rPr>
                <w:noProof/>
                <w:webHidden/>
              </w:rPr>
              <w:tab/>
            </w:r>
            <w:r w:rsidR="00F26246">
              <w:rPr>
                <w:noProof/>
                <w:webHidden/>
              </w:rPr>
              <w:fldChar w:fldCharType="begin"/>
            </w:r>
            <w:r w:rsidR="00F26246">
              <w:rPr>
                <w:noProof/>
                <w:webHidden/>
              </w:rPr>
              <w:instrText xml:space="preserve"> PAGEREF _Toc166761527 \h </w:instrText>
            </w:r>
            <w:r w:rsidR="00F26246">
              <w:rPr>
                <w:noProof/>
                <w:webHidden/>
              </w:rPr>
            </w:r>
            <w:r w:rsidR="00F26246">
              <w:rPr>
                <w:noProof/>
                <w:webHidden/>
              </w:rPr>
              <w:fldChar w:fldCharType="separate"/>
            </w:r>
            <w:r w:rsidR="00CE1478">
              <w:rPr>
                <w:noProof/>
                <w:webHidden/>
              </w:rPr>
              <w:t>23</w:t>
            </w:r>
            <w:r w:rsidR="00F26246">
              <w:rPr>
                <w:noProof/>
                <w:webHidden/>
              </w:rPr>
              <w:fldChar w:fldCharType="end"/>
            </w:r>
          </w:hyperlink>
        </w:p>
        <w:p w14:paraId="6A6FCD90" w14:textId="79FF115B" w:rsidR="00F26246" w:rsidRDefault="00BD79B2">
          <w:pPr>
            <w:pStyle w:val="TOC1"/>
            <w:tabs>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28" w:history="1">
            <w:r w:rsidR="00F26246" w:rsidRPr="00211DCF">
              <w:rPr>
                <w:rStyle w:val="Hyperlink"/>
                <w:noProof/>
              </w:rPr>
              <w:t>Comprehensive Income and Expenditure Statement</w:t>
            </w:r>
            <w:r w:rsidR="00F26246">
              <w:rPr>
                <w:noProof/>
                <w:webHidden/>
              </w:rPr>
              <w:tab/>
            </w:r>
            <w:r w:rsidR="00F26246">
              <w:rPr>
                <w:noProof/>
                <w:webHidden/>
              </w:rPr>
              <w:fldChar w:fldCharType="begin"/>
            </w:r>
            <w:r w:rsidR="00F26246">
              <w:rPr>
                <w:noProof/>
                <w:webHidden/>
              </w:rPr>
              <w:instrText xml:space="preserve"> PAGEREF _Toc166761528 \h </w:instrText>
            </w:r>
            <w:r w:rsidR="00F26246">
              <w:rPr>
                <w:noProof/>
                <w:webHidden/>
              </w:rPr>
            </w:r>
            <w:r w:rsidR="00F26246">
              <w:rPr>
                <w:noProof/>
                <w:webHidden/>
              </w:rPr>
              <w:fldChar w:fldCharType="separate"/>
            </w:r>
            <w:r w:rsidR="00CE1478">
              <w:rPr>
                <w:noProof/>
                <w:webHidden/>
              </w:rPr>
              <w:t>24</w:t>
            </w:r>
            <w:r w:rsidR="00F26246">
              <w:rPr>
                <w:noProof/>
                <w:webHidden/>
              </w:rPr>
              <w:fldChar w:fldCharType="end"/>
            </w:r>
          </w:hyperlink>
        </w:p>
        <w:p w14:paraId="5E2E0126" w14:textId="684BDDF1" w:rsidR="00F26246" w:rsidRDefault="00BD79B2">
          <w:pPr>
            <w:pStyle w:val="TOC1"/>
            <w:tabs>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29" w:history="1">
            <w:r w:rsidR="00F26246" w:rsidRPr="00211DCF">
              <w:rPr>
                <w:rStyle w:val="Hyperlink"/>
                <w:noProof/>
              </w:rPr>
              <w:t>Movement in Reserves Statement</w:t>
            </w:r>
            <w:r w:rsidR="00F26246">
              <w:rPr>
                <w:noProof/>
                <w:webHidden/>
              </w:rPr>
              <w:tab/>
            </w:r>
            <w:r w:rsidR="00F26246">
              <w:rPr>
                <w:noProof/>
                <w:webHidden/>
              </w:rPr>
              <w:fldChar w:fldCharType="begin"/>
            </w:r>
            <w:r w:rsidR="00F26246">
              <w:rPr>
                <w:noProof/>
                <w:webHidden/>
              </w:rPr>
              <w:instrText xml:space="preserve"> PAGEREF _Toc166761529 \h </w:instrText>
            </w:r>
            <w:r w:rsidR="00F26246">
              <w:rPr>
                <w:noProof/>
                <w:webHidden/>
              </w:rPr>
            </w:r>
            <w:r w:rsidR="00F26246">
              <w:rPr>
                <w:noProof/>
                <w:webHidden/>
              </w:rPr>
              <w:fldChar w:fldCharType="separate"/>
            </w:r>
            <w:r w:rsidR="00CE1478">
              <w:rPr>
                <w:noProof/>
                <w:webHidden/>
              </w:rPr>
              <w:t>26</w:t>
            </w:r>
            <w:r w:rsidR="00F26246">
              <w:rPr>
                <w:noProof/>
                <w:webHidden/>
              </w:rPr>
              <w:fldChar w:fldCharType="end"/>
            </w:r>
          </w:hyperlink>
        </w:p>
        <w:p w14:paraId="25EF07F7" w14:textId="6CADA349" w:rsidR="00F26246" w:rsidRDefault="00BD79B2">
          <w:pPr>
            <w:pStyle w:val="TOC1"/>
            <w:tabs>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30" w:history="1">
            <w:r w:rsidR="00F26246" w:rsidRPr="00211DCF">
              <w:rPr>
                <w:rStyle w:val="Hyperlink"/>
                <w:noProof/>
              </w:rPr>
              <w:t>Balance Sheet</w:t>
            </w:r>
            <w:r w:rsidR="00F26246">
              <w:rPr>
                <w:noProof/>
                <w:webHidden/>
              </w:rPr>
              <w:tab/>
            </w:r>
            <w:r w:rsidR="00F26246">
              <w:rPr>
                <w:noProof/>
                <w:webHidden/>
              </w:rPr>
              <w:fldChar w:fldCharType="begin"/>
            </w:r>
            <w:r w:rsidR="00F26246">
              <w:rPr>
                <w:noProof/>
                <w:webHidden/>
              </w:rPr>
              <w:instrText xml:space="preserve"> PAGEREF _Toc166761530 \h </w:instrText>
            </w:r>
            <w:r w:rsidR="00F26246">
              <w:rPr>
                <w:noProof/>
                <w:webHidden/>
              </w:rPr>
            </w:r>
            <w:r w:rsidR="00F26246">
              <w:rPr>
                <w:noProof/>
                <w:webHidden/>
              </w:rPr>
              <w:fldChar w:fldCharType="separate"/>
            </w:r>
            <w:r w:rsidR="00CE1478">
              <w:rPr>
                <w:noProof/>
                <w:webHidden/>
              </w:rPr>
              <w:t>30</w:t>
            </w:r>
            <w:r w:rsidR="00F26246">
              <w:rPr>
                <w:noProof/>
                <w:webHidden/>
              </w:rPr>
              <w:fldChar w:fldCharType="end"/>
            </w:r>
          </w:hyperlink>
        </w:p>
        <w:p w14:paraId="5E115D8E" w14:textId="7B470C52" w:rsidR="00F26246" w:rsidRDefault="00BD79B2">
          <w:pPr>
            <w:pStyle w:val="TOC1"/>
            <w:tabs>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31" w:history="1">
            <w:r w:rsidR="00F26246" w:rsidRPr="00211DCF">
              <w:rPr>
                <w:rStyle w:val="Hyperlink"/>
                <w:noProof/>
              </w:rPr>
              <w:t>Cash Flow Statement</w:t>
            </w:r>
            <w:r w:rsidR="00F26246">
              <w:rPr>
                <w:noProof/>
                <w:webHidden/>
              </w:rPr>
              <w:tab/>
            </w:r>
            <w:r w:rsidR="00F26246">
              <w:rPr>
                <w:noProof/>
                <w:webHidden/>
              </w:rPr>
              <w:fldChar w:fldCharType="begin"/>
            </w:r>
            <w:r w:rsidR="00F26246">
              <w:rPr>
                <w:noProof/>
                <w:webHidden/>
              </w:rPr>
              <w:instrText xml:space="preserve"> PAGEREF _Toc166761531 \h </w:instrText>
            </w:r>
            <w:r w:rsidR="00F26246">
              <w:rPr>
                <w:noProof/>
                <w:webHidden/>
              </w:rPr>
            </w:r>
            <w:r w:rsidR="00F26246">
              <w:rPr>
                <w:noProof/>
                <w:webHidden/>
              </w:rPr>
              <w:fldChar w:fldCharType="separate"/>
            </w:r>
            <w:r w:rsidR="00CE1478">
              <w:rPr>
                <w:noProof/>
                <w:webHidden/>
              </w:rPr>
              <w:t>32</w:t>
            </w:r>
            <w:r w:rsidR="00F26246">
              <w:rPr>
                <w:noProof/>
                <w:webHidden/>
              </w:rPr>
              <w:fldChar w:fldCharType="end"/>
            </w:r>
          </w:hyperlink>
        </w:p>
        <w:p w14:paraId="5B3EEDB8" w14:textId="0562DB9D" w:rsidR="00F26246" w:rsidRDefault="00BD79B2">
          <w:pPr>
            <w:pStyle w:val="TOC1"/>
            <w:tabs>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32" w:history="1">
            <w:r w:rsidR="00F26246" w:rsidRPr="00211DCF">
              <w:rPr>
                <w:rStyle w:val="Hyperlink"/>
                <w:noProof/>
              </w:rPr>
              <w:t>Notes to the Core Financial Statements</w:t>
            </w:r>
            <w:r w:rsidR="00F26246">
              <w:rPr>
                <w:noProof/>
                <w:webHidden/>
              </w:rPr>
              <w:tab/>
            </w:r>
            <w:r w:rsidR="00F26246">
              <w:rPr>
                <w:noProof/>
                <w:webHidden/>
              </w:rPr>
              <w:fldChar w:fldCharType="begin"/>
            </w:r>
            <w:r w:rsidR="00F26246">
              <w:rPr>
                <w:noProof/>
                <w:webHidden/>
              </w:rPr>
              <w:instrText xml:space="preserve"> PAGEREF _Toc166761532 \h </w:instrText>
            </w:r>
            <w:r w:rsidR="00F26246">
              <w:rPr>
                <w:noProof/>
                <w:webHidden/>
              </w:rPr>
            </w:r>
            <w:r w:rsidR="00F26246">
              <w:rPr>
                <w:noProof/>
                <w:webHidden/>
              </w:rPr>
              <w:fldChar w:fldCharType="separate"/>
            </w:r>
            <w:r w:rsidR="00CE1478">
              <w:rPr>
                <w:noProof/>
                <w:webHidden/>
              </w:rPr>
              <w:t>33</w:t>
            </w:r>
            <w:r w:rsidR="00F26246">
              <w:rPr>
                <w:noProof/>
                <w:webHidden/>
              </w:rPr>
              <w:fldChar w:fldCharType="end"/>
            </w:r>
          </w:hyperlink>
        </w:p>
        <w:p w14:paraId="1832A395" w14:textId="438FE613" w:rsidR="00F26246" w:rsidRDefault="00BD79B2">
          <w:pPr>
            <w:pStyle w:val="TOC2"/>
            <w:tabs>
              <w:tab w:val="left" w:pos="660"/>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33" w:history="1">
            <w:r w:rsidR="00F26246" w:rsidRPr="00211DCF">
              <w:rPr>
                <w:rStyle w:val="Hyperlink"/>
                <w:noProof/>
              </w:rPr>
              <w:t>1</w:t>
            </w:r>
            <w:r w:rsidR="00F26246">
              <w:rPr>
                <w:rFonts w:asciiTheme="minorHAnsi" w:eastAsiaTheme="minorEastAsia" w:hAnsiTheme="minorHAnsi" w:cstheme="minorBidi"/>
                <w:noProof/>
                <w:kern w:val="2"/>
                <w:sz w:val="22"/>
                <w:szCs w:val="22"/>
                <w:lang w:eastAsia="en-GB"/>
                <w14:ligatures w14:val="standardContextual"/>
              </w:rPr>
              <w:tab/>
            </w:r>
            <w:r w:rsidR="00F26246" w:rsidRPr="00211DCF">
              <w:rPr>
                <w:rStyle w:val="Hyperlink"/>
                <w:noProof/>
              </w:rPr>
              <w:t>Expenditure and Funding Analysis</w:t>
            </w:r>
            <w:r w:rsidR="00F26246">
              <w:rPr>
                <w:noProof/>
                <w:webHidden/>
              </w:rPr>
              <w:tab/>
            </w:r>
            <w:r w:rsidR="00F26246">
              <w:rPr>
                <w:noProof/>
                <w:webHidden/>
              </w:rPr>
              <w:fldChar w:fldCharType="begin"/>
            </w:r>
            <w:r w:rsidR="00F26246">
              <w:rPr>
                <w:noProof/>
                <w:webHidden/>
              </w:rPr>
              <w:instrText xml:space="preserve"> PAGEREF _Toc166761533 \h </w:instrText>
            </w:r>
            <w:r w:rsidR="00F26246">
              <w:rPr>
                <w:noProof/>
                <w:webHidden/>
              </w:rPr>
            </w:r>
            <w:r w:rsidR="00F26246">
              <w:rPr>
                <w:noProof/>
                <w:webHidden/>
              </w:rPr>
              <w:fldChar w:fldCharType="separate"/>
            </w:r>
            <w:r w:rsidR="00CE1478">
              <w:rPr>
                <w:noProof/>
                <w:webHidden/>
              </w:rPr>
              <w:t>33</w:t>
            </w:r>
            <w:r w:rsidR="00F26246">
              <w:rPr>
                <w:noProof/>
                <w:webHidden/>
              </w:rPr>
              <w:fldChar w:fldCharType="end"/>
            </w:r>
          </w:hyperlink>
        </w:p>
        <w:p w14:paraId="69BA48A5" w14:textId="1233D5A7" w:rsidR="00F26246" w:rsidRDefault="00BD79B2">
          <w:pPr>
            <w:pStyle w:val="TOC2"/>
            <w:tabs>
              <w:tab w:val="left" w:pos="880"/>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34" w:history="1">
            <w:r w:rsidR="00F26246" w:rsidRPr="00211DCF">
              <w:rPr>
                <w:rStyle w:val="Hyperlink"/>
                <w:noProof/>
              </w:rPr>
              <w:t>1a</w:t>
            </w:r>
            <w:r w:rsidR="00F26246">
              <w:rPr>
                <w:rFonts w:asciiTheme="minorHAnsi" w:eastAsiaTheme="minorEastAsia" w:hAnsiTheme="minorHAnsi" w:cstheme="minorBidi"/>
                <w:noProof/>
                <w:kern w:val="2"/>
                <w:sz w:val="22"/>
                <w:szCs w:val="22"/>
                <w:lang w:eastAsia="en-GB"/>
                <w14:ligatures w14:val="standardContextual"/>
              </w:rPr>
              <w:tab/>
            </w:r>
            <w:r w:rsidR="00F26246" w:rsidRPr="00211DCF">
              <w:rPr>
                <w:rStyle w:val="Hyperlink"/>
                <w:noProof/>
              </w:rPr>
              <w:t>Note to the Expenditure and Funding Analysis</w:t>
            </w:r>
            <w:r w:rsidR="00F26246">
              <w:rPr>
                <w:noProof/>
                <w:webHidden/>
              </w:rPr>
              <w:tab/>
            </w:r>
            <w:r w:rsidR="00F26246">
              <w:rPr>
                <w:noProof/>
                <w:webHidden/>
              </w:rPr>
              <w:fldChar w:fldCharType="begin"/>
            </w:r>
            <w:r w:rsidR="00F26246">
              <w:rPr>
                <w:noProof/>
                <w:webHidden/>
              </w:rPr>
              <w:instrText xml:space="preserve"> PAGEREF _Toc166761534 \h </w:instrText>
            </w:r>
            <w:r w:rsidR="00F26246">
              <w:rPr>
                <w:noProof/>
                <w:webHidden/>
              </w:rPr>
            </w:r>
            <w:r w:rsidR="00F26246">
              <w:rPr>
                <w:noProof/>
                <w:webHidden/>
              </w:rPr>
              <w:fldChar w:fldCharType="separate"/>
            </w:r>
            <w:r w:rsidR="00CE1478">
              <w:rPr>
                <w:noProof/>
                <w:webHidden/>
              </w:rPr>
              <w:t>35</w:t>
            </w:r>
            <w:r w:rsidR="00F26246">
              <w:rPr>
                <w:noProof/>
                <w:webHidden/>
              </w:rPr>
              <w:fldChar w:fldCharType="end"/>
            </w:r>
          </w:hyperlink>
        </w:p>
        <w:p w14:paraId="2A81C0A7" w14:textId="292247BB" w:rsidR="00F26246" w:rsidRDefault="00BD79B2">
          <w:pPr>
            <w:pStyle w:val="TOC2"/>
            <w:tabs>
              <w:tab w:val="left" w:pos="660"/>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35" w:history="1">
            <w:r w:rsidR="00F26246" w:rsidRPr="00211DCF">
              <w:rPr>
                <w:rStyle w:val="Hyperlink"/>
                <w:noProof/>
              </w:rPr>
              <w:t>2</w:t>
            </w:r>
            <w:r w:rsidR="00F26246">
              <w:rPr>
                <w:rFonts w:asciiTheme="minorHAnsi" w:eastAsiaTheme="minorEastAsia" w:hAnsiTheme="minorHAnsi" w:cstheme="minorBidi"/>
                <w:noProof/>
                <w:kern w:val="2"/>
                <w:sz w:val="22"/>
                <w:szCs w:val="22"/>
                <w:lang w:eastAsia="en-GB"/>
                <w14:ligatures w14:val="standardContextual"/>
              </w:rPr>
              <w:tab/>
            </w:r>
            <w:r w:rsidR="00F26246" w:rsidRPr="00211DCF">
              <w:rPr>
                <w:rStyle w:val="Hyperlink"/>
                <w:noProof/>
              </w:rPr>
              <w:t>Fire Authority Costs</w:t>
            </w:r>
            <w:r w:rsidR="00F26246">
              <w:rPr>
                <w:noProof/>
                <w:webHidden/>
              </w:rPr>
              <w:tab/>
            </w:r>
            <w:r w:rsidR="00F26246">
              <w:rPr>
                <w:noProof/>
                <w:webHidden/>
              </w:rPr>
              <w:fldChar w:fldCharType="begin"/>
            </w:r>
            <w:r w:rsidR="00F26246">
              <w:rPr>
                <w:noProof/>
                <w:webHidden/>
              </w:rPr>
              <w:instrText xml:space="preserve"> PAGEREF _Toc166761535 \h </w:instrText>
            </w:r>
            <w:r w:rsidR="00F26246">
              <w:rPr>
                <w:noProof/>
                <w:webHidden/>
              </w:rPr>
            </w:r>
            <w:r w:rsidR="00F26246">
              <w:rPr>
                <w:noProof/>
                <w:webHidden/>
              </w:rPr>
              <w:fldChar w:fldCharType="separate"/>
            </w:r>
            <w:r w:rsidR="00CE1478">
              <w:rPr>
                <w:noProof/>
                <w:webHidden/>
              </w:rPr>
              <w:t>37</w:t>
            </w:r>
            <w:r w:rsidR="00F26246">
              <w:rPr>
                <w:noProof/>
                <w:webHidden/>
              </w:rPr>
              <w:fldChar w:fldCharType="end"/>
            </w:r>
          </w:hyperlink>
        </w:p>
        <w:p w14:paraId="4EC890EC" w14:textId="29B3C09A" w:rsidR="00F26246" w:rsidRDefault="00BD79B2">
          <w:pPr>
            <w:pStyle w:val="TOC2"/>
            <w:tabs>
              <w:tab w:val="left" w:pos="660"/>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36" w:history="1">
            <w:r w:rsidR="00F26246" w:rsidRPr="00211DCF">
              <w:rPr>
                <w:rStyle w:val="Hyperlink"/>
                <w:noProof/>
              </w:rPr>
              <w:t>3</w:t>
            </w:r>
            <w:r w:rsidR="00F26246">
              <w:rPr>
                <w:rFonts w:asciiTheme="minorHAnsi" w:eastAsiaTheme="minorEastAsia" w:hAnsiTheme="minorHAnsi" w:cstheme="minorBidi"/>
                <w:noProof/>
                <w:kern w:val="2"/>
                <w:sz w:val="22"/>
                <w:szCs w:val="22"/>
                <w:lang w:eastAsia="en-GB"/>
                <w14:ligatures w14:val="standardContextual"/>
              </w:rPr>
              <w:tab/>
            </w:r>
            <w:r w:rsidR="00F26246" w:rsidRPr="00211DCF">
              <w:rPr>
                <w:rStyle w:val="Hyperlink"/>
                <w:noProof/>
              </w:rPr>
              <w:t>Employees Emoluments</w:t>
            </w:r>
            <w:r w:rsidR="00F26246">
              <w:rPr>
                <w:noProof/>
                <w:webHidden/>
              </w:rPr>
              <w:tab/>
            </w:r>
            <w:r w:rsidR="00F26246">
              <w:rPr>
                <w:noProof/>
                <w:webHidden/>
              </w:rPr>
              <w:fldChar w:fldCharType="begin"/>
            </w:r>
            <w:r w:rsidR="00F26246">
              <w:rPr>
                <w:noProof/>
                <w:webHidden/>
              </w:rPr>
              <w:instrText xml:space="preserve"> PAGEREF _Toc166761536 \h </w:instrText>
            </w:r>
            <w:r w:rsidR="00F26246">
              <w:rPr>
                <w:noProof/>
                <w:webHidden/>
              </w:rPr>
            </w:r>
            <w:r w:rsidR="00F26246">
              <w:rPr>
                <w:noProof/>
                <w:webHidden/>
              </w:rPr>
              <w:fldChar w:fldCharType="separate"/>
            </w:r>
            <w:r w:rsidR="00CE1478">
              <w:rPr>
                <w:noProof/>
                <w:webHidden/>
              </w:rPr>
              <w:t>37</w:t>
            </w:r>
            <w:r w:rsidR="00F26246">
              <w:rPr>
                <w:noProof/>
                <w:webHidden/>
              </w:rPr>
              <w:fldChar w:fldCharType="end"/>
            </w:r>
          </w:hyperlink>
        </w:p>
        <w:p w14:paraId="7F6C87CB" w14:textId="1D5F8F34" w:rsidR="00F26246" w:rsidRDefault="00BD79B2">
          <w:pPr>
            <w:pStyle w:val="TOC2"/>
            <w:tabs>
              <w:tab w:val="left" w:pos="660"/>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37" w:history="1">
            <w:r w:rsidR="00F26246" w:rsidRPr="00211DCF">
              <w:rPr>
                <w:rStyle w:val="Hyperlink"/>
                <w:noProof/>
              </w:rPr>
              <w:t>4</w:t>
            </w:r>
            <w:r w:rsidR="00F26246">
              <w:rPr>
                <w:rFonts w:asciiTheme="minorHAnsi" w:eastAsiaTheme="minorEastAsia" w:hAnsiTheme="minorHAnsi" w:cstheme="minorBidi"/>
                <w:noProof/>
                <w:kern w:val="2"/>
                <w:sz w:val="22"/>
                <w:szCs w:val="22"/>
                <w:lang w:eastAsia="en-GB"/>
                <w14:ligatures w14:val="standardContextual"/>
              </w:rPr>
              <w:tab/>
            </w:r>
            <w:r w:rsidR="00F26246" w:rsidRPr="00211DCF">
              <w:rPr>
                <w:rStyle w:val="Hyperlink"/>
                <w:noProof/>
              </w:rPr>
              <w:t>External Auditors Fees</w:t>
            </w:r>
            <w:r w:rsidR="00F26246">
              <w:rPr>
                <w:noProof/>
                <w:webHidden/>
              </w:rPr>
              <w:tab/>
            </w:r>
            <w:r w:rsidR="00F26246">
              <w:rPr>
                <w:noProof/>
                <w:webHidden/>
              </w:rPr>
              <w:fldChar w:fldCharType="begin"/>
            </w:r>
            <w:r w:rsidR="00F26246">
              <w:rPr>
                <w:noProof/>
                <w:webHidden/>
              </w:rPr>
              <w:instrText xml:space="preserve"> PAGEREF _Toc166761537 \h </w:instrText>
            </w:r>
            <w:r w:rsidR="00F26246">
              <w:rPr>
                <w:noProof/>
                <w:webHidden/>
              </w:rPr>
            </w:r>
            <w:r w:rsidR="00F26246">
              <w:rPr>
                <w:noProof/>
                <w:webHidden/>
              </w:rPr>
              <w:fldChar w:fldCharType="separate"/>
            </w:r>
            <w:r w:rsidR="00CE1478">
              <w:rPr>
                <w:noProof/>
                <w:webHidden/>
              </w:rPr>
              <w:t>40</w:t>
            </w:r>
            <w:r w:rsidR="00F26246">
              <w:rPr>
                <w:noProof/>
                <w:webHidden/>
              </w:rPr>
              <w:fldChar w:fldCharType="end"/>
            </w:r>
          </w:hyperlink>
        </w:p>
        <w:p w14:paraId="01A283B1" w14:textId="1FA7F07C" w:rsidR="00F26246" w:rsidRDefault="00BD79B2">
          <w:pPr>
            <w:pStyle w:val="TOC2"/>
            <w:tabs>
              <w:tab w:val="left" w:pos="660"/>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38" w:history="1">
            <w:r w:rsidR="00F26246" w:rsidRPr="00211DCF">
              <w:rPr>
                <w:rStyle w:val="Hyperlink"/>
                <w:noProof/>
              </w:rPr>
              <w:t>5</w:t>
            </w:r>
            <w:r w:rsidR="00F26246">
              <w:rPr>
                <w:rFonts w:asciiTheme="minorHAnsi" w:eastAsiaTheme="minorEastAsia" w:hAnsiTheme="minorHAnsi" w:cstheme="minorBidi"/>
                <w:noProof/>
                <w:kern w:val="2"/>
                <w:sz w:val="22"/>
                <w:szCs w:val="22"/>
                <w:lang w:eastAsia="en-GB"/>
                <w14:ligatures w14:val="standardContextual"/>
              </w:rPr>
              <w:tab/>
            </w:r>
            <w:r w:rsidR="00F26246" w:rsidRPr="00211DCF">
              <w:rPr>
                <w:rStyle w:val="Hyperlink"/>
                <w:noProof/>
              </w:rPr>
              <w:t>Related Parties Transactions</w:t>
            </w:r>
            <w:r w:rsidR="00F26246">
              <w:rPr>
                <w:noProof/>
                <w:webHidden/>
              </w:rPr>
              <w:tab/>
            </w:r>
            <w:r w:rsidR="00F26246">
              <w:rPr>
                <w:noProof/>
                <w:webHidden/>
              </w:rPr>
              <w:fldChar w:fldCharType="begin"/>
            </w:r>
            <w:r w:rsidR="00F26246">
              <w:rPr>
                <w:noProof/>
                <w:webHidden/>
              </w:rPr>
              <w:instrText xml:space="preserve"> PAGEREF _Toc166761538 \h </w:instrText>
            </w:r>
            <w:r w:rsidR="00F26246">
              <w:rPr>
                <w:noProof/>
                <w:webHidden/>
              </w:rPr>
            </w:r>
            <w:r w:rsidR="00F26246">
              <w:rPr>
                <w:noProof/>
                <w:webHidden/>
              </w:rPr>
              <w:fldChar w:fldCharType="separate"/>
            </w:r>
            <w:r w:rsidR="00CE1478">
              <w:rPr>
                <w:noProof/>
                <w:webHidden/>
              </w:rPr>
              <w:t>40</w:t>
            </w:r>
            <w:r w:rsidR="00F26246">
              <w:rPr>
                <w:noProof/>
                <w:webHidden/>
              </w:rPr>
              <w:fldChar w:fldCharType="end"/>
            </w:r>
          </w:hyperlink>
        </w:p>
        <w:p w14:paraId="52A2C40A" w14:textId="1837AAB8" w:rsidR="00F26246" w:rsidRDefault="00BD79B2">
          <w:pPr>
            <w:pStyle w:val="TOC2"/>
            <w:tabs>
              <w:tab w:val="left" w:pos="660"/>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39" w:history="1">
            <w:r w:rsidR="00F26246" w:rsidRPr="00211DCF">
              <w:rPr>
                <w:rStyle w:val="Hyperlink"/>
                <w:noProof/>
              </w:rPr>
              <w:t>6</w:t>
            </w:r>
            <w:r w:rsidR="00F26246">
              <w:rPr>
                <w:rFonts w:asciiTheme="minorHAnsi" w:eastAsiaTheme="minorEastAsia" w:hAnsiTheme="minorHAnsi" w:cstheme="minorBidi"/>
                <w:noProof/>
                <w:kern w:val="2"/>
                <w:sz w:val="22"/>
                <w:szCs w:val="22"/>
                <w:lang w:eastAsia="en-GB"/>
                <w14:ligatures w14:val="standardContextual"/>
              </w:rPr>
              <w:tab/>
            </w:r>
            <w:r w:rsidR="00F26246" w:rsidRPr="00211DCF">
              <w:rPr>
                <w:rStyle w:val="Hyperlink"/>
                <w:noProof/>
              </w:rPr>
              <w:t>Property, Plant &amp; Equipment</w:t>
            </w:r>
            <w:r w:rsidR="00F26246">
              <w:rPr>
                <w:noProof/>
                <w:webHidden/>
              </w:rPr>
              <w:tab/>
            </w:r>
            <w:r w:rsidR="00F26246">
              <w:rPr>
                <w:noProof/>
                <w:webHidden/>
              </w:rPr>
              <w:fldChar w:fldCharType="begin"/>
            </w:r>
            <w:r w:rsidR="00F26246">
              <w:rPr>
                <w:noProof/>
                <w:webHidden/>
              </w:rPr>
              <w:instrText xml:space="preserve"> PAGEREF _Toc166761539 \h </w:instrText>
            </w:r>
            <w:r w:rsidR="00F26246">
              <w:rPr>
                <w:noProof/>
                <w:webHidden/>
              </w:rPr>
            </w:r>
            <w:r w:rsidR="00F26246">
              <w:rPr>
                <w:noProof/>
                <w:webHidden/>
              </w:rPr>
              <w:fldChar w:fldCharType="separate"/>
            </w:r>
            <w:r w:rsidR="00CE1478">
              <w:rPr>
                <w:noProof/>
                <w:webHidden/>
              </w:rPr>
              <w:t>41</w:t>
            </w:r>
            <w:r w:rsidR="00F26246">
              <w:rPr>
                <w:noProof/>
                <w:webHidden/>
              </w:rPr>
              <w:fldChar w:fldCharType="end"/>
            </w:r>
          </w:hyperlink>
        </w:p>
        <w:p w14:paraId="494789F3" w14:textId="3A8A2ECE" w:rsidR="00F26246" w:rsidRDefault="00BD79B2">
          <w:pPr>
            <w:pStyle w:val="TOC2"/>
            <w:tabs>
              <w:tab w:val="left" w:pos="660"/>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40" w:history="1">
            <w:r w:rsidR="00F26246" w:rsidRPr="00211DCF">
              <w:rPr>
                <w:rStyle w:val="Hyperlink"/>
                <w:noProof/>
              </w:rPr>
              <w:t>7</w:t>
            </w:r>
            <w:r w:rsidR="00F26246">
              <w:rPr>
                <w:rFonts w:asciiTheme="minorHAnsi" w:eastAsiaTheme="minorEastAsia" w:hAnsiTheme="minorHAnsi" w:cstheme="minorBidi"/>
                <w:noProof/>
                <w:kern w:val="2"/>
                <w:sz w:val="22"/>
                <w:szCs w:val="22"/>
                <w:lang w:eastAsia="en-GB"/>
                <w14:ligatures w14:val="standardContextual"/>
              </w:rPr>
              <w:tab/>
            </w:r>
            <w:r w:rsidR="00F26246" w:rsidRPr="00211DCF">
              <w:rPr>
                <w:rStyle w:val="Hyperlink"/>
                <w:noProof/>
              </w:rPr>
              <w:t>Intangible Assets</w:t>
            </w:r>
            <w:r w:rsidR="00F26246">
              <w:rPr>
                <w:noProof/>
                <w:webHidden/>
              </w:rPr>
              <w:tab/>
            </w:r>
            <w:r w:rsidR="00F26246">
              <w:rPr>
                <w:noProof/>
                <w:webHidden/>
              </w:rPr>
              <w:fldChar w:fldCharType="begin"/>
            </w:r>
            <w:r w:rsidR="00F26246">
              <w:rPr>
                <w:noProof/>
                <w:webHidden/>
              </w:rPr>
              <w:instrText xml:space="preserve"> PAGEREF _Toc166761540 \h </w:instrText>
            </w:r>
            <w:r w:rsidR="00F26246">
              <w:rPr>
                <w:noProof/>
                <w:webHidden/>
              </w:rPr>
            </w:r>
            <w:r w:rsidR="00F26246">
              <w:rPr>
                <w:noProof/>
                <w:webHidden/>
              </w:rPr>
              <w:fldChar w:fldCharType="separate"/>
            </w:r>
            <w:r w:rsidR="00CE1478">
              <w:rPr>
                <w:noProof/>
                <w:webHidden/>
              </w:rPr>
              <w:t>44</w:t>
            </w:r>
            <w:r w:rsidR="00F26246">
              <w:rPr>
                <w:noProof/>
                <w:webHidden/>
              </w:rPr>
              <w:fldChar w:fldCharType="end"/>
            </w:r>
          </w:hyperlink>
        </w:p>
        <w:p w14:paraId="58841E2C" w14:textId="089D5D39" w:rsidR="00F26246" w:rsidRDefault="00BD79B2">
          <w:pPr>
            <w:pStyle w:val="TOC2"/>
            <w:tabs>
              <w:tab w:val="left" w:pos="660"/>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41" w:history="1">
            <w:r w:rsidR="00F26246" w:rsidRPr="00211DCF">
              <w:rPr>
                <w:rStyle w:val="Hyperlink"/>
                <w:noProof/>
              </w:rPr>
              <w:t>8</w:t>
            </w:r>
            <w:r w:rsidR="00F26246">
              <w:rPr>
                <w:rFonts w:asciiTheme="minorHAnsi" w:eastAsiaTheme="minorEastAsia" w:hAnsiTheme="minorHAnsi" w:cstheme="minorBidi"/>
                <w:noProof/>
                <w:kern w:val="2"/>
                <w:sz w:val="22"/>
                <w:szCs w:val="22"/>
                <w:lang w:eastAsia="en-GB"/>
                <w14:ligatures w14:val="standardContextual"/>
              </w:rPr>
              <w:tab/>
            </w:r>
            <w:r w:rsidR="00F26246" w:rsidRPr="00211DCF">
              <w:rPr>
                <w:rStyle w:val="Hyperlink"/>
                <w:noProof/>
              </w:rPr>
              <w:t>Financial Instruments</w:t>
            </w:r>
            <w:r w:rsidR="00F26246">
              <w:rPr>
                <w:noProof/>
                <w:webHidden/>
              </w:rPr>
              <w:tab/>
            </w:r>
            <w:r w:rsidR="00F26246">
              <w:rPr>
                <w:noProof/>
                <w:webHidden/>
              </w:rPr>
              <w:fldChar w:fldCharType="begin"/>
            </w:r>
            <w:r w:rsidR="00F26246">
              <w:rPr>
                <w:noProof/>
                <w:webHidden/>
              </w:rPr>
              <w:instrText xml:space="preserve"> PAGEREF _Toc166761541 \h </w:instrText>
            </w:r>
            <w:r w:rsidR="00F26246">
              <w:rPr>
                <w:noProof/>
                <w:webHidden/>
              </w:rPr>
            </w:r>
            <w:r w:rsidR="00F26246">
              <w:rPr>
                <w:noProof/>
                <w:webHidden/>
              </w:rPr>
              <w:fldChar w:fldCharType="separate"/>
            </w:r>
            <w:r w:rsidR="00CE1478">
              <w:rPr>
                <w:noProof/>
                <w:webHidden/>
              </w:rPr>
              <w:t>45</w:t>
            </w:r>
            <w:r w:rsidR="00F26246">
              <w:rPr>
                <w:noProof/>
                <w:webHidden/>
              </w:rPr>
              <w:fldChar w:fldCharType="end"/>
            </w:r>
          </w:hyperlink>
        </w:p>
        <w:p w14:paraId="5F86513A" w14:textId="22770B5F" w:rsidR="00F26246" w:rsidRDefault="00BD79B2">
          <w:pPr>
            <w:pStyle w:val="TOC2"/>
            <w:tabs>
              <w:tab w:val="left" w:pos="660"/>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42" w:history="1">
            <w:r w:rsidR="00F26246" w:rsidRPr="00211DCF">
              <w:rPr>
                <w:rStyle w:val="Hyperlink"/>
                <w:noProof/>
              </w:rPr>
              <w:t>9</w:t>
            </w:r>
            <w:r w:rsidR="00F26246">
              <w:rPr>
                <w:rFonts w:asciiTheme="minorHAnsi" w:eastAsiaTheme="minorEastAsia" w:hAnsiTheme="minorHAnsi" w:cstheme="minorBidi"/>
                <w:noProof/>
                <w:kern w:val="2"/>
                <w:sz w:val="22"/>
                <w:szCs w:val="22"/>
                <w:lang w:eastAsia="en-GB"/>
                <w14:ligatures w14:val="standardContextual"/>
              </w:rPr>
              <w:tab/>
            </w:r>
            <w:r w:rsidR="00F26246" w:rsidRPr="00211DCF">
              <w:rPr>
                <w:rStyle w:val="Hyperlink"/>
                <w:noProof/>
              </w:rPr>
              <w:t>Debtors</w:t>
            </w:r>
            <w:r w:rsidR="00F26246">
              <w:rPr>
                <w:noProof/>
                <w:webHidden/>
              </w:rPr>
              <w:tab/>
            </w:r>
            <w:r w:rsidR="00F26246">
              <w:rPr>
                <w:noProof/>
                <w:webHidden/>
              </w:rPr>
              <w:fldChar w:fldCharType="begin"/>
            </w:r>
            <w:r w:rsidR="00F26246">
              <w:rPr>
                <w:noProof/>
                <w:webHidden/>
              </w:rPr>
              <w:instrText xml:space="preserve"> PAGEREF _Toc166761542 \h </w:instrText>
            </w:r>
            <w:r w:rsidR="00F26246">
              <w:rPr>
                <w:noProof/>
                <w:webHidden/>
              </w:rPr>
            </w:r>
            <w:r w:rsidR="00F26246">
              <w:rPr>
                <w:noProof/>
                <w:webHidden/>
              </w:rPr>
              <w:fldChar w:fldCharType="separate"/>
            </w:r>
            <w:r w:rsidR="00CE1478">
              <w:rPr>
                <w:noProof/>
                <w:webHidden/>
              </w:rPr>
              <w:t>47</w:t>
            </w:r>
            <w:r w:rsidR="00F26246">
              <w:rPr>
                <w:noProof/>
                <w:webHidden/>
              </w:rPr>
              <w:fldChar w:fldCharType="end"/>
            </w:r>
          </w:hyperlink>
        </w:p>
        <w:p w14:paraId="3EE716B5" w14:textId="57F81ACD" w:rsidR="00F26246" w:rsidRDefault="00BD79B2">
          <w:pPr>
            <w:pStyle w:val="TOC2"/>
            <w:tabs>
              <w:tab w:val="left" w:pos="880"/>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43" w:history="1">
            <w:r w:rsidR="00F26246" w:rsidRPr="00211DCF">
              <w:rPr>
                <w:rStyle w:val="Hyperlink"/>
                <w:noProof/>
              </w:rPr>
              <w:t>10</w:t>
            </w:r>
            <w:r w:rsidR="00F26246">
              <w:rPr>
                <w:rFonts w:asciiTheme="minorHAnsi" w:eastAsiaTheme="minorEastAsia" w:hAnsiTheme="minorHAnsi" w:cstheme="minorBidi"/>
                <w:noProof/>
                <w:kern w:val="2"/>
                <w:sz w:val="22"/>
                <w:szCs w:val="22"/>
                <w:lang w:eastAsia="en-GB"/>
                <w14:ligatures w14:val="standardContextual"/>
              </w:rPr>
              <w:tab/>
            </w:r>
            <w:r w:rsidR="00F26246" w:rsidRPr="00211DCF">
              <w:rPr>
                <w:rStyle w:val="Hyperlink"/>
                <w:noProof/>
              </w:rPr>
              <w:t>Cash &amp; Cash Equivalents</w:t>
            </w:r>
            <w:r w:rsidR="00F26246">
              <w:rPr>
                <w:noProof/>
                <w:webHidden/>
              </w:rPr>
              <w:tab/>
            </w:r>
            <w:r w:rsidR="00F26246">
              <w:rPr>
                <w:noProof/>
                <w:webHidden/>
              </w:rPr>
              <w:fldChar w:fldCharType="begin"/>
            </w:r>
            <w:r w:rsidR="00F26246">
              <w:rPr>
                <w:noProof/>
                <w:webHidden/>
              </w:rPr>
              <w:instrText xml:space="preserve"> PAGEREF _Toc166761543 \h </w:instrText>
            </w:r>
            <w:r w:rsidR="00F26246">
              <w:rPr>
                <w:noProof/>
                <w:webHidden/>
              </w:rPr>
            </w:r>
            <w:r w:rsidR="00F26246">
              <w:rPr>
                <w:noProof/>
                <w:webHidden/>
              </w:rPr>
              <w:fldChar w:fldCharType="separate"/>
            </w:r>
            <w:r w:rsidR="00CE1478">
              <w:rPr>
                <w:noProof/>
                <w:webHidden/>
              </w:rPr>
              <w:t>47</w:t>
            </w:r>
            <w:r w:rsidR="00F26246">
              <w:rPr>
                <w:noProof/>
                <w:webHidden/>
              </w:rPr>
              <w:fldChar w:fldCharType="end"/>
            </w:r>
          </w:hyperlink>
        </w:p>
        <w:p w14:paraId="425EE22A" w14:textId="40B7332C" w:rsidR="00F26246" w:rsidRDefault="00BD79B2">
          <w:pPr>
            <w:pStyle w:val="TOC2"/>
            <w:tabs>
              <w:tab w:val="left" w:pos="880"/>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44" w:history="1">
            <w:r w:rsidR="00F26246" w:rsidRPr="00211DCF">
              <w:rPr>
                <w:rStyle w:val="Hyperlink"/>
                <w:noProof/>
              </w:rPr>
              <w:t>11</w:t>
            </w:r>
            <w:r w:rsidR="00F26246">
              <w:rPr>
                <w:rFonts w:asciiTheme="minorHAnsi" w:eastAsiaTheme="minorEastAsia" w:hAnsiTheme="minorHAnsi" w:cstheme="minorBidi"/>
                <w:noProof/>
                <w:kern w:val="2"/>
                <w:sz w:val="22"/>
                <w:szCs w:val="22"/>
                <w:lang w:eastAsia="en-GB"/>
                <w14:ligatures w14:val="standardContextual"/>
              </w:rPr>
              <w:tab/>
            </w:r>
            <w:r w:rsidR="00F26246" w:rsidRPr="00211DCF">
              <w:rPr>
                <w:rStyle w:val="Hyperlink"/>
                <w:noProof/>
              </w:rPr>
              <w:t>Creditors</w:t>
            </w:r>
            <w:r w:rsidR="00F26246">
              <w:rPr>
                <w:noProof/>
                <w:webHidden/>
              </w:rPr>
              <w:tab/>
            </w:r>
            <w:r w:rsidR="00F26246">
              <w:rPr>
                <w:noProof/>
                <w:webHidden/>
              </w:rPr>
              <w:fldChar w:fldCharType="begin"/>
            </w:r>
            <w:r w:rsidR="00F26246">
              <w:rPr>
                <w:noProof/>
                <w:webHidden/>
              </w:rPr>
              <w:instrText xml:space="preserve"> PAGEREF _Toc166761544 \h </w:instrText>
            </w:r>
            <w:r w:rsidR="00F26246">
              <w:rPr>
                <w:noProof/>
                <w:webHidden/>
              </w:rPr>
            </w:r>
            <w:r w:rsidR="00F26246">
              <w:rPr>
                <w:noProof/>
                <w:webHidden/>
              </w:rPr>
              <w:fldChar w:fldCharType="separate"/>
            </w:r>
            <w:r w:rsidR="00CE1478">
              <w:rPr>
                <w:noProof/>
                <w:webHidden/>
              </w:rPr>
              <w:t>47</w:t>
            </w:r>
            <w:r w:rsidR="00F26246">
              <w:rPr>
                <w:noProof/>
                <w:webHidden/>
              </w:rPr>
              <w:fldChar w:fldCharType="end"/>
            </w:r>
          </w:hyperlink>
        </w:p>
        <w:p w14:paraId="4D1738E1" w14:textId="76689C45" w:rsidR="00F26246" w:rsidRDefault="00BD79B2">
          <w:pPr>
            <w:pStyle w:val="TOC2"/>
            <w:tabs>
              <w:tab w:val="left" w:pos="880"/>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45" w:history="1">
            <w:r w:rsidR="00F26246" w:rsidRPr="00211DCF">
              <w:rPr>
                <w:rStyle w:val="Hyperlink"/>
                <w:noProof/>
              </w:rPr>
              <w:t>12</w:t>
            </w:r>
            <w:r w:rsidR="00F26246">
              <w:rPr>
                <w:rFonts w:asciiTheme="minorHAnsi" w:eastAsiaTheme="minorEastAsia" w:hAnsiTheme="minorHAnsi" w:cstheme="minorBidi"/>
                <w:noProof/>
                <w:kern w:val="2"/>
                <w:sz w:val="22"/>
                <w:szCs w:val="22"/>
                <w:lang w:eastAsia="en-GB"/>
                <w14:ligatures w14:val="standardContextual"/>
              </w:rPr>
              <w:tab/>
            </w:r>
            <w:r w:rsidR="00F26246" w:rsidRPr="00211DCF">
              <w:rPr>
                <w:rStyle w:val="Hyperlink"/>
                <w:noProof/>
              </w:rPr>
              <w:t>Provisions</w:t>
            </w:r>
            <w:r w:rsidR="00F26246">
              <w:rPr>
                <w:noProof/>
                <w:webHidden/>
              </w:rPr>
              <w:tab/>
            </w:r>
            <w:r w:rsidR="00F26246">
              <w:rPr>
                <w:noProof/>
                <w:webHidden/>
              </w:rPr>
              <w:fldChar w:fldCharType="begin"/>
            </w:r>
            <w:r w:rsidR="00F26246">
              <w:rPr>
                <w:noProof/>
                <w:webHidden/>
              </w:rPr>
              <w:instrText xml:space="preserve"> PAGEREF _Toc166761545 \h </w:instrText>
            </w:r>
            <w:r w:rsidR="00F26246">
              <w:rPr>
                <w:noProof/>
                <w:webHidden/>
              </w:rPr>
            </w:r>
            <w:r w:rsidR="00F26246">
              <w:rPr>
                <w:noProof/>
                <w:webHidden/>
              </w:rPr>
              <w:fldChar w:fldCharType="separate"/>
            </w:r>
            <w:r w:rsidR="00CE1478">
              <w:rPr>
                <w:noProof/>
                <w:webHidden/>
              </w:rPr>
              <w:t>48</w:t>
            </w:r>
            <w:r w:rsidR="00F26246">
              <w:rPr>
                <w:noProof/>
                <w:webHidden/>
              </w:rPr>
              <w:fldChar w:fldCharType="end"/>
            </w:r>
          </w:hyperlink>
        </w:p>
        <w:p w14:paraId="0EEDDE7E" w14:textId="28EA0BCF" w:rsidR="00F26246" w:rsidRDefault="00BD79B2">
          <w:pPr>
            <w:pStyle w:val="TOC2"/>
            <w:tabs>
              <w:tab w:val="left" w:pos="880"/>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46" w:history="1">
            <w:r w:rsidR="00F26246" w:rsidRPr="00211DCF">
              <w:rPr>
                <w:rStyle w:val="Hyperlink"/>
                <w:noProof/>
              </w:rPr>
              <w:t>13</w:t>
            </w:r>
            <w:r w:rsidR="00F26246">
              <w:rPr>
                <w:rFonts w:asciiTheme="minorHAnsi" w:eastAsiaTheme="minorEastAsia" w:hAnsiTheme="minorHAnsi" w:cstheme="minorBidi"/>
                <w:noProof/>
                <w:kern w:val="2"/>
                <w:sz w:val="22"/>
                <w:szCs w:val="22"/>
                <w:lang w:eastAsia="en-GB"/>
                <w14:ligatures w14:val="standardContextual"/>
              </w:rPr>
              <w:tab/>
            </w:r>
            <w:r w:rsidR="00F26246" w:rsidRPr="00211DCF">
              <w:rPr>
                <w:rStyle w:val="Hyperlink"/>
                <w:noProof/>
              </w:rPr>
              <w:t>Other Long-Term Liabilities</w:t>
            </w:r>
            <w:r w:rsidR="00F26246">
              <w:rPr>
                <w:noProof/>
                <w:webHidden/>
              </w:rPr>
              <w:tab/>
            </w:r>
            <w:r w:rsidR="00F26246">
              <w:rPr>
                <w:noProof/>
                <w:webHidden/>
              </w:rPr>
              <w:fldChar w:fldCharType="begin"/>
            </w:r>
            <w:r w:rsidR="00F26246">
              <w:rPr>
                <w:noProof/>
                <w:webHidden/>
              </w:rPr>
              <w:instrText xml:space="preserve"> PAGEREF _Toc166761546 \h </w:instrText>
            </w:r>
            <w:r w:rsidR="00F26246">
              <w:rPr>
                <w:noProof/>
                <w:webHidden/>
              </w:rPr>
            </w:r>
            <w:r w:rsidR="00F26246">
              <w:rPr>
                <w:noProof/>
                <w:webHidden/>
              </w:rPr>
              <w:fldChar w:fldCharType="separate"/>
            </w:r>
            <w:r w:rsidR="00CE1478">
              <w:rPr>
                <w:noProof/>
                <w:webHidden/>
              </w:rPr>
              <w:t>48</w:t>
            </w:r>
            <w:r w:rsidR="00F26246">
              <w:rPr>
                <w:noProof/>
                <w:webHidden/>
              </w:rPr>
              <w:fldChar w:fldCharType="end"/>
            </w:r>
          </w:hyperlink>
        </w:p>
        <w:p w14:paraId="567D3794" w14:textId="5F704B03" w:rsidR="00F26246" w:rsidRDefault="00BD79B2">
          <w:pPr>
            <w:pStyle w:val="TOC2"/>
            <w:tabs>
              <w:tab w:val="left" w:pos="880"/>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47" w:history="1">
            <w:r w:rsidR="00F26246" w:rsidRPr="00211DCF">
              <w:rPr>
                <w:rStyle w:val="Hyperlink"/>
                <w:noProof/>
              </w:rPr>
              <w:t>14</w:t>
            </w:r>
            <w:r w:rsidR="00F26246">
              <w:rPr>
                <w:rFonts w:asciiTheme="minorHAnsi" w:eastAsiaTheme="minorEastAsia" w:hAnsiTheme="minorHAnsi" w:cstheme="minorBidi"/>
                <w:noProof/>
                <w:kern w:val="2"/>
                <w:sz w:val="22"/>
                <w:szCs w:val="22"/>
                <w:lang w:eastAsia="en-GB"/>
                <w14:ligatures w14:val="standardContextual"/>
              </w:rPr>
              <w:tab/>
            </w:r>
            <w:r w:rsidR="00F26246" w:rsidRPr="00211DCF">
              <w:rPr>
                <w:rStyle w:val="Hyperlink"/>
                <w:noProof/>
              </w:rPr>
              <w:t>PFI Schemes</w:t>
            </w:r>
            <w:r w:rsidR="00F26246">
              <w:rPr>
                <w:noProof/>
                <w:webHidden/>
              </w:rPr>
              <w:tab/>
            </w:r>
            <w:r w:rsidR="00F26246">
              <w:rPr>
                <w:noProof/>
                <w:webHidden/>
              </w:rPr>
              <w:fldChar w:fldCharType="begin"/>
            </w:r>
            <w:r w:rsidR="00F26246">
              <w:rPr>
                <w:noProof/>
                <w:webHidden/>
              </w:rPr>
              <w:instrText xml:space="preserve"> PAGEREF _Toc166761547 \h </w:instrText>
            </w:r>
            <w:r w:rsidR="00F26246">
              <w:rPr>
                <w:noProof/>
                <w:webHidden/>
              </w:rPr>
            </w:r>
            <w:r w:rsidR="00F26246">
              <w:rPr>
                <w:noProof/>
                <w:webHidden/>
              </w:rPr>
              <w:fldChar w:fldCharType="separate"/>
            </w:r>
            <w:r w:rsidR="00CE1478">
              <w:rPr>
                <w:noProof/>
                <w:webHidden/>
              </w:rPr>
              <w:t>49</w:t>
            </w:r>
            <w:r w:rsidR="00F26246">
              <w:rPr>
                <w:noProof/>
                <w:webHidden/>
              </w:rPr>
              <w:fldChar w:fldCharType="end"/>
            </w:r>
          </w:hyperlink>
        </w:p>
        <w:p w14:paraId="1CC9FE43" w14:textId="05153B72" w:rsidR="00F26246" w:rsidRDefault="00BD79B2">
          <w:pPr>
            <w:pStyle w:val="TOC2"/>
            <w:tabs>
              <w:tab w:val="left" w:pos="880"/>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48" w:history="1">
            <w:r w:rsidR="00F26246" w:rsidRPr="00211DCF">
              <w:rPr>
                <w:rStyle w:val="Hyperlink"/>
                <w:noProof/>
              </w:rPr>
              <w:t>15</w:t>
            </w:r>
            <w:r w:rsidR="00F26246">
              <w:rPr>
                <w:rFonts w:asciiTheme="minorHAnsi" w:eastAsiaTheme="minorEastAsia" w:hAnsiTheme="minorHAnsi" w:cstheme="minorBidi"/>
                <w:noProof/>
                <w:kern w:val="2"/>
                <w:sz w:val="22"/>
                <w:szCs w:val="22"/>
                <w:lang w:eastAsia="en-GB"/>
                <w14:ligatures w14:val="standardContextual"/>
              </w:rPr>
              <w:tab/>
            </w:r>
            <w:r w:rsidR="00F26246" w:rsidRPr="00211DCF">
              <w:rPr>
                <w:rStyle w:val="Hyperlink"/>
                <w:noProof/>
              </w:rPr>
              <w:t>Net Liability Related to Local Government and Firefighters’ Pensions Schemes</w:t>
            </w:r>
            <w:r w:rsidR="00F26246">
              <w:rPr>
                <w:noProof/>
                <w:webHidden/>
              </w:rPr>
              <w:tab/>
            </w:r>
            <w:r w:rsidR="00F26246">
              <w:rPr>
                <w:noProof/>
                <w:webHidden/>
              </w:rPr>
              <w:fldChar w:fldCharType="begin"/>
            </w:r>
            <w:r w:rsidR="00F26246">
              <w:rPr>
                <w:noProof/>
                <w:webHidden/>
              </w:rPr>
              <w:instrText xml:space="preserve"> PAGEREF _Toc166761548 \h </w:instrText>
            </w:r>
            <w:r w:rsidR="00F26246">
              <w:rPr>
                <w:noProof/>
                <w:webHidden/>
              </w:rPr>
            </w:r>
            <w:r w:rsidR="00F26246">
              <w:rPr>
                <w:noProof/>
                <w:webHidden/>
              </w:rPr>
              <w:fldChar w:fldCharType="separate"/>
            </w:r>
            <w:r w:rsidR="00CE1478">
              <w:rPr>
                <w:noProof/>
                <w:webHidden/>
              </w:rPr>
              <w:t>50</w:t>
            </w:r>
            <w:r w:rsidR="00F26246">
              <w:rPr>
                <w:noProof/>
                <w:webHidden/>
              </w:rPr>
              <w:fldChar w:fldCharType="end"/>
            </w:r>
          </w:hyperlink>
        </w:p>
        <w:p w14:paraId="0C2C0D7C" w14:textId="4181C755" w:rsidR="00F26246" w:rsidRDefault="00BD79B2">
          <w:pPr>
            <w:pStyle w:val="TOC2"/>
            <w:tabs>
              <w:tab w:val="left" w:pos="880"/>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49" w:history="1">
            <w:r w:rsidR="00F26246" w:rsidRPr="00211DCF">
              <w:rPr>
                <w:rStyle w:val="Hyperlink"/>
                <w:noProof/>
              </w:rPr>
              <w:t>16</w:t>
            </w:r>
            <w:r w:rsidR="00F26246">
              <w:rPr>
                <w:rFonts w:asciiTheme="minorHAnsi" w:eastAsiaTheme="minorEastAsia" w:hAnsiTheme="minorHAnsi" w:cstheme="minorBidi"/>
                <w:noProof/>
                <w:kern w:val="2"/>
                <w:sz w:val="22"/>
                <w:szCs w:val="22"/>
                <w:lang w:eastAsia="en-GB"/>
                <w14:ligatures w14:val="standardContextual"/>
              </w:rPr>
              <w:tab/>
            </w:r>
            <w:r w:rsidR="00F26246" w:rsidRPr="00211DCF">
              <w:rPr>
                <w:rStyle w:val="Hyperlink"/>
                <w:noProof/>
              </w:rPr>
              <w:t>Usable Reserves</w:t>
            </w:r>
            <w:r w:rsidR="00F26246">
              <w:rPr>
                <w:noProof/>
                <w:webHidden/>
              </w:rPr>
              <w:tab/>
            </w:r>
            <w:r w:rsidR="00F26246">
              <w:rPr>
                <w:noProof/>
                <w:webHidden/>
              </w:rPr>
              <w:fldChar w:fldCharType="begin"/>
            </w:r>
            <w:r w:rsidR="00F26246">
              <w:rPr>
                <w:noProof/>
                <w:webHidden/>
              </w:rPr>
              <w:instrText xml:space="preserve"> PAGEREF _Toc166761549 \h </w:instrText>
            </w:r>
            <w:r w:rsidR="00F26246">
              <w:rPr>
                <w:noProof/>
                <w:webHidden/>
              </w:rPr>
            </w:r>
            <w:r w:rsidR="00F26246">
              <w:rPr>
                <w:noProof/>
                <w:webHidden/>
              </w:rPr>
              <w:fldChar w:fldCharType="separate"/>
            </w:r>
            <w:r w:rsidR="00CE1478">
              <w:rPr>
                <w:noProof/>
                <w:webHidden/>
              </w:rPr>
              <w:t>56</w:t>
            </w:r>
            <w:r w:rsidR="00F26246">
              <w:rPr>
                <w:noProof/>
                <w:webHidden/>
              </w:rPr>
              <w:fldChar w:fldCharType="end"/>
            </w:r>
          </w:hyperlink>
        </w:p>
        <w:p w14:paraId="110E09EB" w14:textId="2BA1AB7F" w:rsidR="00F26246" w:rsidRDefault="00BD79B2">
          <w:pPr>
            <w:pStyle w:val="TOC2"/>
            <w:tabs>
              <w:tab w:val="left" w:pos="880"/>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50" w:history="1">
            <w:r w:rsidR="00F26246" w:rsidRPr="00211DCF">
              <w:rPr>
                <w:rStyle w:val="Hyperlink"/>
                <w:noProof/>
              </w:rPr>
              <w:t>17</w:t>
            </w:r>
            <w:r w:rsidR="00F26246">
              <w:rPr>
                <w:rFonts w:asciiTheme="minorHAnsi" w:eastAsiaTheme="minorEastAsia" w:hAnsiTheme="minorHAnsi" w:cstheme="minorBidi"/>
                <w:noProof/>
                <w:kern w:val="2"/>
                <w:sz w:val="22"/>
                <w:szCs w:val="22"/>
                <w:lang w:eastAsia="en-GB"/>
                <w14:ligatures w14:val="standardContextual"/>
              </w:rPr>
              <w:tab/>
            </w:r>
            <w:r w:rsidR="00F26246" w:rsidRPr="00211DCF">
              <w:rPr>
                <w:rStyle w:val="Hyperlink"/>
                <w:noProof/>
              </w:rPr>
              <w:t>Transfers (to)/from Earmarked Reserves</w:t>
            </w:r>
            <w:r w:rsidR="00F26246">
              <w:rPr>
                <w:noProof/>
                <w:webHidden/>
              </w:rPr>
              <w:tab/>
            </w:r>
            <w:r w:rsidR="00F26246">
              <w:rPr>
                <w:noProof/>
                <w:webHidden/>
              </w:rPr>
              <w:fldChar w:fldCharType="begin"/>
            </w:r>
            <w:r w:rsidR="00F26246">
              <w:rPr>
                <w:noProof/>
                <w:webHidden/>
              </w:rPr>
              <w:instrText xml:space="preserve"> PAGEREF _Toc166761550 \h </w:instrText>
            </w:r>
            <w:r w:rsidR="00F26246">
              <w:rPr>
                <w:noProof/>
                <w:webHidden/>
              </w:rPr>
            </w:r>
            <w:r w:rsidR="00F26246">
              <w:rPr>
                <w:noProof/>
                <w:webHidden/>
              </w:rPr>
              <w:fldChar w:fldCharType="separate"/>
            </w:r>
            <w:r w:rsidR="00CE1478">
              <w:rPr>
                <w:noProof/>
                <w:webHidden/>
              </w:rPr>
              <w:t>57</w:t>
            </w:r>
            <w:r w:rsidR="00F26246">
              <w:rPr>
                <w:noProof/>
                <w:webHidden/>
              </w:rPr>
              <w:fldChar w:fldCharType="end"/>
            </w:r>
          </w:hyperlink>
        </w:p>
        <w:p w14:paraId="629F34DE" w14:textId="1B910E46" w:rsidR="00F26246" w:rsidRDefault="00BD79B2">
          <w:pPr>
            <w:pStyle w:val="TOC2"/>
            <w:tabs>
              <w:tab w:val="left" w:pos="880"/>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51" w:history="1">
            <w:r w:rsidR="00F26246" w:rsidRPr="00211DCF">
              <w:rPr>
                <w:rStyle w:val="Hyperlink"/>
                <w:noProof/>
              </w:rPr>
              <w:t>18</w:t>
            </w:r>
            <w:r w:rsidR="00F26246">
              <w:rPr>
                <w:rFonts w:asciiTheme="minorHAnsi" w:eastAsiaTheme="minorEastAsia" w:hAnsiTheme="minorHAnsi" w:cstheme="minorBidi"/>
                <w:noProof/>
                <w:kern w:val="2"/>
                <w:sz w:val="22"/>
                <w:szCs w:val="22"/>
                <w:lang w:eastAsia="en-GB"/>
                <w14:ligatures w14:val="standardContextual"/>
              </w:rPr>
              <w:tab/>
            </w:r>
            <w:r w:rsidR="00F26246" w:rsidRPr="00211DCF">
              <w:rPr>
                <w:rStyle w:val="Hyperlink"/>
                <w:noProof/>
              </w:rPr>
              <w:t>Unusable Reserves</w:t>
            </w:r>
            <w:r w:rsidR="00F26246">
              <w:rPr>
                <w:noProof/>
                <w:webHidden/>
              </w:rPr>
              <w:tab/>
            </w:r>
            <w:r w:rsidR="00F26246">
              <w:rPr>
                <w:noProof/>
                <w:webHidden/>
              </w:rPr>
              <w:fldChar w:fldCharType="begin"/>
            </w:r>
            <w:r w:rsidR="00F26246">
              <w:rPr>
                <w:noProof/>
                <w:webHidden/>
              </w:rPr>
              <w:instrText xml:space="preserve"> PAGEREF _Toc166761551 \h </w:instrText>
            </w:r>
            <w:r w:rsidR="00F26246">
              <w:rPr>
                <w:noProof/>
                <w:webHidden/>
              </w:rPr>
            </w:r>
            <w:r w:rsidR="00F26246">
              <w:rPr>
                <w:noProof/>
                <w:webHidden/>
              </w:rPr>
              <w:fldChar w:fldCharType="separate"/>
            </w:r>
            <w:r w:rsidR="00CE1478">
              <w:rPr>
                <w:noProof/>
                <w:webHidden/>
              </w:rPr>
              <w:t>58</w:t>
            </w:r>
            <w:r w:rsidR="00F26246">
              <w:rPr>
                <w:noProof/>
                <w:webHidden/>
              </w:rPr>
              <w:fldChar w:fldCharType="end"/>
            </w:r>
          </w:hyperlink>
        </w:p>
        <w:p w14:paraId="10BC00D8" w14:textId="1984D2D1" w:rsidR="00F26246" w:rsidRDefault="00BD79B2">
          <w:pPr>
            <w:pStyle w:val="TOC2"/>
            <w:tabs>
              <w:tab w:val="left" w:pos="880"/>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52" w:history="1">
            <w:r w:rsidR="00F26246" w:rsidRPr="00211DCF">
              <w:rPr>
                <w:rStyle w:val="Hyperlink"/>
                <w:noProof/>
              </w:rPr>
              <w:t>19</w:t>
            </w:r>
            <w:r w:rsidR="00F26246">
              <w:rPr>
                <w:rFonts w:asciiTheme="minorHAnsi" w:eastAsiaTheme="minorEastAsia" w:hAnsiTheme="minorHAnsi" w:cstheme="minorBidi"/>
                <w:noProof/>
                <w:kern w:val="2"/>
                <w:sz w:val="22"/>
                <w:szCs w:val="22"/>
                <w:lang w:eastAsia="en-GB"/>
                <w14:ligatures w14:val="standardContextual"/>
              </w:rPr>
              <w:tab/>
            </w:r>
            <w:r w:rsidR="00F26246" w:rsidRPr="00211DCF">
              <w:rPr>
                <w:rStyle w:val="Hyperlink"/>
                <w:noProof/>
              </w:rPr>
              <w:t>Contingent Liability</w:t>
            </w:r>
            <w:r w:rsidR="00F26246">
              <w:rPr>
                <w:noProof/>
                <w:webHidden/>
              </w:rPr>
              <w:tab/>
            </w:r>
            <w:r w:rsidR="00F26246">
              <w:rPr>
                <w:noProof/>
                <w:webHidden/>
              </w:rPr>
              <w:fldChar w:fldCharType="begin"/>
            </w:r>
            <w:r w:rsidR="00F26246">
              <w:rPr>
                <w:noProof/>
                <w:webHidden/>
              </w:rPr>
              <w:instrText xml:space="preserve"> PAGEREF _Toc166761552 \h </w:instrText>
            </w:r>
            <w:r w:rsidR="00F26246">
              <w:rPr>
                <w:noProof/>
                <w:webHidden/>
              </w:rPr>
            </w:r>
            <w:r w:rsidR="00F26246">
              <w:rPr>
                <w:noProof/>
                <w:webHidden/>
              </w:rPr>
              <w:fldChar w:fldCharType="separate"/>
            </w:r>
            <w:r w:rsidR="00CE1478">
              <w:rPr>
                <w:noProof/>
                <w:webHidden/>
              </w:rPr>
              <w:t>61</w:t>
            </w:r>
            <w:r w:rsidR="00F26246">
              <w:rPr>
                <w:noProof/>
                <w:webHidden/>
              </w:rPr>
              <w:fldChar w:fldCharType="end"/>
            </w:r>
          </w:hyperlink>
        </w:p>
        <w:p w14:paraId="177909EE" w14:textId="57377C98" w:rsidR="00F26246" w:rsidRDefault="00BD79B2">
          <w:pPr>
            <w:pStyle w:val="TOC2"/>
            <w:tabs>
              <w:tab w:val="left" w:pos="880"/>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53" w:history="1">
            <w:r w:rsidR="00F26246" w:rsidRPr="00211DCF">
              <w:rPr>
                <w:rStyle w:val="Hyperlink"/>
                <w:noProof/>
              </w:rPr>
              <w:t>20</w:t>
            </w:r>
            <w:r w:rsidR="00F26246">
              <w:rPr>
                <w:rFonts w:asciiTheme="minorHAnsi" w:eastAsiaTheme="minorEastAsia" w:hAnsiTheme="minorHAnsi" w:cstheme="minorBidi"/>
                <w:noProof/>
                <w:kern w:val="2"/>
                <w:sz w:val="22"/>
                <w:szCs w:val="22"/>
                <w:lang w:eastAsia="en-GB"/>
                <w14:ligatures w14:val="standardContextual"/>
              </w:rPr>
              <w:tab/>
            </w:r>
            <w:r w:rsidR="00F26246" w:rsidRPr="00211DCF">
              <w:rPr>
                <w:rStyle w:val="Hyperlink"/>
                <w:noProof/>
              </w:rPr>
              <w:t>Post Balance Sheet Events</w:t>
            </w:r>
            <w:r w:rsidR="00F26246">
              <w:rPr>
                <w:noProof/>
                <w:webHidden/>
              </w:rPr>
              <w:tab/>
            </w:r>
            <w:r w:rsidR="00F26246">
              <w:rPr>
                <w:noProof/>
                <w:webHidden/>
              </w:rPr>
              <w:fldChar w:fldCharType="begin"/>
            </w:r>
            <w:r w:rsidR="00F26246">
              <w:rPr>
                <w:noProof/>
                <w:webHidden/>
              </w:rPr>
              <w:instrText xml:space="preserve"> PAGEREF _Toc166761553 \h </w:instrText>
            </w:r>
            <w:r w:rsidR="00F26246">
              <w:rPr>
                <w:noProof/>
                <w:webHidden/>
              </w:rPr>
            </w:r>
            <w:r w:rsidR="00F26246">
              <w:rPr>
                <w:noProof/>
                <w:webHidden/>
              </w:rPr>
              <w:fldChar w:fldCharType="separate"/>
            </w:r>
            <w:r w:rsidR="00CE1478">
              <w:rPr>
                <w:noProof/>
                <w:webHidden/>
              </w:rPr>
              <w:t>61</w:t>
            </w:r>
            <w:r w:rsidR="00F26246">
              <w:rPr>
                <w:noProof/>
                <w:webHidden/>
              </w:rPr>
              <w:fldChar w:fldCharType="end"/>
            </w:r>
          </w:hyperlink>
        </w:p>
        <w:p w14:paraId="197EB06D" w14:textId="3153ADAE" w:rsidR="00F26246" w:rsidRDefault="00BD79B2">
          <w:pPr>
            <w:pStyle w:val="TOC2"/>
            <w:tabs>
              <w:tab w:val="left" w:pos="880"/>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54" w:history="1">
            <w:r w:rsidR="00F26246" w:rsidRPr="00211DCF">
              <w:rPr>
                <w:rStyle w:val="Hyperlink"/>
                <w:noProof/>
              </w:rPr>
              <w:t>21</w:t>
            </w:r>
            <w:r w:rsidR="00F26246">
              <w:rPr>
                <w:rFonts w:asciiTheme="minorHAnsi" w:eastAsiaTheme="minorEastAsia" w:hAnsiTheme="minorHAnsi" w:cstheme="minorBidi"/>
                <w:noProof/>
                <w:kern w:val="2"/>
                <w:sz w:val="22"/>
                <w:szCs w:val="22"/>
                <w:lang w:eastAsia="en-GB"/>
                <w14:ligatures w14:val="standardContextual"/>
              </w:rPr>
              <w:tab/>
            </w:r>
            <w:r w:rsidR="00F26246" w:rsidRPr="00211DCF">
              <w:rPr>
                <w:rStyle w:val="Hyperlink"/>
                <w:noProof/>
              </w:rPr>
              <w:t>Nature and Extent of Risks Arising from Financial Instruments</w:t>
            </w:r>
            <w:r w:rsidR="00F26246">
              <w:rPr>
                <w:noProof/>
                <w:webHidden/>
              </w:rPr>
              <w:tab/>
            </w:r>
            <w:r w:rsidR="00F26246">
              <w:rPr>
                <w:noProof/>
                <w:webHidden/>
              </w:rPr>
              <w:fldChar w:fldCharType="begin"/>
            </w:r>
            <w:r w:rsidR="00F26246">
              <w:rPr>
                <w:noProof/>
                <w:webHidden/>
              </w:rPr>
              <w:instrText xml:space="preserve"> PAGEREF _Toc166761554 \h </w:instrText>
            </w:r>
            <w:r w:rsidR="00F26246">
              <w:rPr>
                <w:noProof/>
                <w:webHidden/>
              </w:rPr>
            </w:r>
            <w:r w:rsidR="00F26246">
              <w:rPr>
                <w:noProof/>
                <w:webHidden/>
              </w:rPr>
              <w:fldChar w:fldCharType="separate"/>
            </w:r>
            <w:r w:rsidR="00CE1478">
              <w:rPr>
                <w:noProof/>
                <w:webHidden/>
              </w:rPr>
              <w:t>61</w:t>
            </w:r>
            <w:r w:rsidR="00F26246">
              <w:rPr>
                <w:noProof/>
                <w:webHidden/>
              </w:rPr>
              <w:fldChar w:fldCharType="end"/>
            </w:r>
          </w:hyperlink>
        </w:p>
        <w:p w14:paraId="2C430B95" w14:textId="1DA997A5" w:rsidR="00F26246" w:rsidRDefault="00BD79B2">
          <w:pPr>
            <w:pStyle w:val="TOC2"/>
            <w:tabs>
              <w:tab w:val="left" w:pos="880"/>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55" w:history="1">
            <w:r w:rsidR="00F26246" w:rsidRPr="00211DCF">
              <w:rPr>
                <w:rStyle w:val="Hyperlink"/>
                <w:noProof/>
                <w:lang w:val="en-US"/>
              </w:rPr>
              <w:t>22</w:t>
            </w:r>
            <w:r w:rsidR="00F26246">
              <w:rPr>
                <w:rFonts w:asciiTheme="minorHAnsi" w:eastAsiaTheme="minorEastAsia" w:hAnsiTheme="minorHAnsi" w:cstheme="minorBidi"/>
                <w:noProof/>
                <w:kern w:val="2"/>
                <w:sz w:val="22"/>
                <w:szCs w:val="22"/>
                <w:lang w:eastAsia="en-GB"/>
                <w14:ligatures w14:val="standardContextual"/>
              </w:rPr>
              <w:tab/>
            </w:r>
            <w:r w:rsidR="00F26246" w:rsidRPr="00211DCF">
              <w:rPr>
                <w:rStyle w:val="Hyperlink"/>
                <w:noProof/>
                <w:lang w:val="en-US"/>
              </w:rPr>
              <w:t>Local Authority Controlled Company – NW FireControl Limited</w:t>
            </w:r>
            <w:r w:rsidR="00F26246">
              <w:rPr>
                <w:noProof/>
                <w:webHidden/>
              </w:rPr>
              <w:tab/>
            </w:r>
            <w:r w:rsidR="00F26246">
              <w:rPr>
                <w:noProof/>
                <w:webHidden/>
              </w:rPr>
              <w:fldChar w:fldCharType="begin"/>
            </w:r>
            <w:r w:rsidR="00F26246">
              <w:rPr>
                <w:noProof/>
                <w:webHidden/>
              </w:rPr>
              <w:instrText xml:space="preserve"> PAGEREF _Toc166761555 \h </w:instrText>
            </w:r>
            <w:r w:rsidR="00F26246">
              <w:rPr>
                <w:noProof/>
                <w:webHidden/>
              </w:rPr>
            </w:r>
            <w:r w:rsidR="00F26246">
              <w:rPr>
                <w:noProof/>
                <w:webHidden/>
              </w:rPr>
              <w:fldChar w:fldCharType="separate"/>
            </w:r>
            <w:r w:rsidR="00CE1478">
              <w:rPr>
                <w:noProof/>
                <w:webHidden/>
              </w:rPr>
              <w:t>63</w:t>
            </w:r>
            <w:r w:rsidR="00F26246">
              <w:rPr>
                <w:noProof/>
                <w:webHidden/>
              </w:rPr>
              <w:fldChar w:fldCharType="end"/>
            </w:r>
          </w:hyperlink>
        </w:p>
        <w:p w14:paraId="23201FA2" w14:textId="26F7359E" w:rsidR="00F26246" w:rsidRDefault="00BD79B2">
          <w:pPr>
            <w:pStyle w:val="TOC2"/>
            <w:tabs>
              <w:tab w:val="left" w:pos="880"/>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56" w:history="1">
            <w:r w:rsidR="00F26246" w:rsidRPr="00211DCF">
              <w:rPr>
                <w:rStyle w:val="Hyperlink"/>
                <w:noProof/>
              </w:rPr>
              <w:t>23</w:t>
            </w:r>
            <w:r w:rsidR="00F26246">
              <w:rPr>
                <w:rFonts w:asciiTheme="minorHAnsi" w:eastAsiaTheme="minorEastAsia" w:hAnsiTheme="minorHAnsi" w:cstheme="minorBidi"/>
                <w:noProof/>
                <w:kern w:val="2"/>
                <w:sz w:val="22"/>
                <w:szCs w:val="22"/>
                <w:lang w:eastAsia="en-GB"/>
                <w14:ligatures w14:val="standardContextual"/>
              </w:rPr>
              <w:tab/>
            </w:r>
            <w:r w:rsidR="00F26246" w:rsidRPr="00211DCF">
              <w:rPr>
                <w:rStyle w:val="Hyperlink"/>
                <w:noProof/>
              </w:rPr>
              <w:t>Adjust net surplus/(deficit) on the provision of services for non-cash movements</w:t>
            </w:r>
            <w:r w:rsidR="00F26246">
              <w:rPr>
                <w:noProof/>
                <w:webHidden/>
              </w:rPr>
              <w:tab/>
            </w:r>
            <w:r w:rsidR="00F26246">
              <w:rPr>
                <w:noProof/>
                <w:webHidden/>
              </w:rPr>
              <w:fldChar w:fldCharType="begin"/>
            </w:r>
            <w:r w:rsidR="00F26246">
              <w:rPr>
                <w:noProof/>
                <w:webHidden/>
              </w:rPr>
              <w:instrText xml:space="preserve"> PAGEREF _Toc166761556 \h </w:instrText>
            </w:r>
            <w:r w:rsidR="00F26246">
              <w:rPr>
                <w:noProof/>
                <w:webHidden/>
              </w:rPr>
            </w:r>
            <w:r w:rsidR="00F26246">
              <w:rPr>
                <w:noProof/>
                <w:webHidden/>
              </w:rPr>
              <w:fldChar w:fldCharType="separate"/>
            </w:r>
            <w:r w:rsidR="00CE1478">
              <w:rPr>
                <w:noProof/>
                <w:webHidden/>
              </w:rPr>
              <w:t>64</w:t>
            </w:r>
            <w:r w:rsidR="00F26246">
              <w:rPr>
                <w:noProof/>
                <w:webHidden/>
              </w:rPr>
              <w:fldChar w:fldCharType="end"/>
            </w:r>
          </w:hyperlink>
        </w:p>
        <w:p w14:paraId="226A4ECA" w14:textId="508FD81C" w:rsidR="00F26246" w:rsidRDefault="00BD79B2">
          <w:pPr>
            <w:pStyle w:val="TOC2"/>
            <w:tabs>
              <w:tab w:val="left" w:pos="880"/>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57" w:history="1">
            <w:r w:rsidR="00F26246" w:rsidRPr="00211DCF">
              <w:rPr>
                <w:rStyle w:val="Hyperlink"/>
                <w:noProof/>
              </w:rPr>
              <w:t>24</w:t>
            </w:r>
            <w:r w:rsidR="00F26246">
              <w:rPr>
                <w:rFonts w:asciiTheme="minorHAnsi" w:eastAsiaTheme="minorEastAsia" w:hAnsiTheme="minorHAnsi" w:cstheme="minorBidi"/>
                <w:noProof/>
                <w:kern w:val="2"/>
                <w:sz w:val="22"/>
                <w:szCs w:val="22"/>
                <w:lang w:eastAsia="en-GB"/>
                <w14:ligatures w14:val="standardContextual"/>
              </w:rPr>
              <w:tab/>
            </w:r>
            <w:r w:rsidR="00F26246" w:rsidRPr="00211DCF">
              <w:rPr>
                <w:rStyle w:val="Hyperlink"/>
                <w:noProof/>
              </w:rPr>
              <w:t>Adjust for items included in the net surplus/(deficit) on the provision of services that are investing and financing activities</w:t>
            </w:r>
            <w:r w:rsidR="00F26246">
              <w:rPr>
                <w:noProof/>
                <w:webHidden/>
              </w:rPr>
              <w:tab/>
            </w:r>
            <w:r w:rsidR="00F26246">
              <w:rPr>
                <w:noProof/>
                <w:webHidden/>
              </w:rPr>
              <w:fldChar w:fldCharType="begin"/>
            </w:r>
            <w:r w:rsidR="00F26246">
              <w:rPr>
                <w:noProof/>
                <w:webHidden/>
              </w:rPr>
              <w:instrText xml:space="preserve"> PAGEREF _Toc166761557 \h </w:instrText>
            </w:r>
            <w:r w:rsidR="00F26246">
              <w:rPr>
                <w:noProof/>
                <w:webHidden/>
              </w:rPr>
            </w:r>
            <w:r w:rsidR="00F26246">
              <w:rPr>
                <w:noProof/>
                <w:webHidden/>
              </w:rPr>
              <w:fldChar w:fldCharType="separate"/>
            </w:r>
            <w:r w:rsidR="00CE1478">
              <w:rPr>
                <w:noProof/>
                <w:webHidden/>
              </w:rPr>
              <w:t>64</w:t>
            </w:r>
            <w:r w:rsidR="00F26246">
              <w:rPr>
                <w:noProof/>
                <w:webHidden/>
              </w:rPr>
              <w:fldChar w:fldCharType="end"/>
            </w:r>
          </w:hyperlink>
        </w:p>
        <w:p w14:paraId="635D530D" w14:textId="581C8741" w:rsidR="00F26246" w:rsidRDefault="00BD79B2">
          <w:pPr>
            <w:pStyle w:val="TOC2"/>
            <w:tabs>
              <w:tab w:val="left" w:pos="880"/>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58" w:history="1">
            <w:r w:rsidR="00F26246" w:rsidRPr="00211DCF">
              <w:rPr>
                <w:rStyle w:val="Hyperlink"/>
                <w:noProof/>
              </w:rPr>
              <w:t>25</w:t>
            </w:r>
            <w:r w:rsidR="00F26246">
              <w:rPr>
                <w:rFonts w:asciiTheme="minorHAnsi" w:eastAsiaTheme="minorEastAsia" w:hAnsiTheme="minorHAnsi" w:cstheme="minorBidi"/>
                <w:noProof/>
                <w:kern w:val="2"/>
                <w:sz w:val="22"/>
                <w:szCs w:val="22"/>
                <w:lang w:eastAsia="en-GB"/>
                <w14:ligatures w14:val="standardContextual"/>
              </w:rPr>
              <w:tab/>
            </w:r>
            <w:r w:rsidR="00F26246" w:rsidRPr="00211DCF">
              <w:rPr>
                <w:rStyle w:val="Hyperlink"/>
                <w:noProof/>
              </w:rPr>
              <w:t>Reconciliation of liabilities arising from financing activities</w:t>
            </w:r>
            <w:r w:rsidR="00F26246">
              <w:rPr>
                <w:noProof/>
                <w:webHidden/>
              </w:rPr>
              <w:tab/>
            </w:r>
            <w:r w:rsidR="00F26246">
              <w:rPr>
                <w:noProof/>
                <w:webHidden/>
              </w:rPr>
              <w:fldChar w:fldCharType="begin"/>
            </w:r>
            <w:r w:rsidR="00F26246">
              <w:rPr>
                <w:noProof/>
                <w:webHidden/>
              </w:rPr>
              <w:instrText xml:space="preserve"> PAGEREF _Toc166761558 \h </w:instrText>
            </w:r>
            <w:r w:rsidR="00F26246">
              <w:rPr>
                <w:noProof/>
                <w:webHidden/>
              </w:rPr>
            </w:r>
            <w:r w:rsidR="00F26246">
              <w:rPr>
                <w:noProof/>
                <w:webHidden/>
              </w:rPr>
              <w:fldChar w:fldCharType="separate"/>
            </w:r>
            <w:r w:rsidR="00CE1478">
              <w:rPr>
                <w:noProof/>
                <w:webHidden/>
              </w:rPr>
              <w:t>65</w:t>
            </w:r>
            <w:r w:rsidR="00F26246">
              <w:rPr>
                <w:noProof/>
                <w:webHidden/>
              </w:rPr>
              <w:fldChar w:fldCharType="end"/>
            </w:r>
          </w:hyperlink>
        </w:p>
        <w:p w14:paraId="0E48185B" w14:textId="5C2294CE" w:rsidR="00F26246" w:rsidRDefault="00BD79B2">
          <w:pPr>
            <w:pStyle w:val="TOC2"/>
            <w:tabs>
              <w:tab w:val="left" w:pos="880"/>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59" w:history="1">
            <w:r w:rsidR="00F26246" w:rsidRPr="00211DCF">
              <w:rPr>
                <w:rStyle w:val="Hyperlink"/>
                <w:noProof/>
              </w:rPr>
              <w:t>26</w:t>
            </w:r>
            <w:r w:rsidR="00F26246">
              <w:rPr>
                <w:rFonts w:asciiTheme="minorHAnsi" w:eastAsiaTheme="minorEastAsia" w:hAnsiTheme="minorHAnsi" w:cstheme="minorBidi"/>
                <w:noProof/>
                <w:kern w:val="2"/>
                <w:sz w:val="22"/>
                <w:szCs w:val="22"/>
                <w:lang w:eastAsia="en-GB"/>
                <w14:ligatures w14:val="standardContextual"/>
              </w:rPr>
              <w:tab/>
            </w:r>
            <w:r w:rsidR="00F26246" w:rsidRPr="00211DCF">
              <w:rPr>
                <w:rStyle w:val="Hyperlink"/>
                <w:noProof/>
              </w:rPr>
              <w:t>Assumptions made about the future and other major sources of estimation and uncertainty</w:t>
            </w:r>
            <w:r w:rsidR="00F26246">
              <w:rPr>
                <w:noProof/>
                <w:webHidden/>
              </w:rPr>
              <w:tab/>
            </w:r>
            <w:r w:rsidR="00F26246">
              <w:rPr>
                <w:noProof/>
                <w:webHidden/>
              </w:rPr>
              <w:fldChar w:fldCharType="begin"/>
            </w:r>
            <w:r w:rsidR="00F26246">
              <w:rPr>
                <w:noProof/>
                <w:webHidden/>
              </w:rPr>
              <w:instrText xml:space="preserve"> PAGEREF _Toc166761559 \h </w:instrText>
            </w:r>
            <w:r w:rsidR="00F26246">
              <w:rPr>
                <w:noProof/>
                <w:webHidden/>
              </w:rPr>
            </w:r>
            <w:r w:rsidR="00F26246">
              <w:rPr>
                <w:noProof/>
                <w:webHidden/>
              </w:rPr>
              <w:fldChar w:fldCharType="separate"/>
            </w:r>
            <w:r w:rsidR="00CE1478">
              <w:rPr>
                <w:noProof/>
                <w:webHidden/>
              </w:rPr>
              <w:t>65</w:t>
            </w:r>
            <w:r w:rsidR="00F26246">
              <w:rPr>
                <w:noProof/>
                <w:webHidden/>
              </w:rPr>
              <w:fldChar w:fldCharType="end"/>
            </w:r>
          </w:hyperlink>
        </w:p>
        <w:p w14:paraId="7EDB0D7B" w14:textId="349ECE27" w:rsidR="00F26246" w:rsidRDefault="00BD79B2">
          <w:pPr>
            <w:pStyle w:val="TOC2"/>
            <w:tabs>
              <w:tab w:val="left" w:pos="880"/>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60" w:history="1">
            <w:r w:rsidR="00F26246" w:rsidRPr="00211DCF">
              <w:rPr>
                <w:rStyle w:val="Hyperlink"/>
                <w:noProof/>
              </w:rPr>
              <w:t>27</w:t>
            </w:r>
            <w:r w:rsidR="00F26246">
              <w:rPr>
                <w:rFonts w:asciiTheme="minorHAnsi" w:eastAsiaTheme="minorEastAsia" w:hAnsiTheme="minorHAnsi" w:cstheme="minorBidi"/>
                <w:noProof/>
                <w:kern w:val="2"/>
                <w:sz w:val="22"/>
                <w:szCs w:val="22"/>
                <w:lang w:eastAsia="en-GB"/>
                <w14:ligatures w14:val="standardContextual"/>
              </w:rPr>
              <w:tab/>
            </w:r>
            <w:r w:rsidR="00F26246" w:rsidRPr="00211DCF">
              <w:rPr>
                <w:rStyle w:val="Hyperlink"/>
                <w:noProof/>
              </w:rPr>
              <w:t>Expenditure and Income Analysed by Nature</w:t>
            </w:r>
            <w:r w:rsidR="00F26246">
              <w:rPr>
                <w:noProof/>
                <w:webHidden/>
              </w:rPr>
              <w:tab/>
            </w:r>
            <w:r w:rsidR="00F26246">
              <w:rPr>
                <w:noProof/>
                <w:webHidden/>
              </w:rPr>
              <w:fldChar w:fldCharType="begin"/>
            </w:r>
            <w:r w:rsidR="00F26246">
              <w:rPr>
                <w:noProof/>
                <w:webHidden/>
              </w:rPr>
              <w:instrText xml:space="preserve"> PAGEREF _Toc166761560 \h </w:instrText>
            </w:r>
            <w:r w:rsidR="00F26246">
              <w:rPr>
                <w:noProof/>
                <w:webHidden/>
              </w:rPr>
            </w:r>
            <w:r w:rsidR="00F26246">
              <w:rPr>
                <w:noProof/>
                <w:webHidden/>
              </w:rPr>
              <w:fldChar w:fldCharType="separate"/>
            </w:r>
            <w:r w:rsidR="00CE1478">
              <w:rPr>
                <w:noProof/>
                <w:webHidden/>
              </w:rPr>
              <w:t>67</w:t>
            </w:r>
            <w:r w:rsidR="00F26246">
              <w:rPr>
                <w:noProof/>
                <w:webHidden/>
              </w:rPr>
              <w:fldChar w:fldCharType="end"/>
            </w:r>
          </w:hyperlink>
        </w:p>
        <w:p w14:paraId="34A13141" w14:textId="7AD74E5D" w:rsidR="00F26246" w:rsidRDefault="00BD79B2">
          <w:pPr>
            <w:pStyle w:val="TOC2"/>
            <w:tabs>
              <w:tab w:val="left" w:pos="880"/>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61" w:history="1">
            <w:r w:rsidR="00F26246" w:rsidRPr="00211DCF">
              <w:rPr>
                <w:rStyle w:val="Hyperlink"/>
                <w:noProof/>
              </w:rPr>
              <w:t>28</w:t>
            </w:r>
            <w:r w:rsidR="00F26246">
              <w:rPr>
                <w:rFonts w:asciiTheme="minorHAnsi" w:eastAsiaTheme="minorEastAsia" w:hAnsiTheme="minorHAnsi" w:cstheme="minorBidi"/>
                <w:noProof/>
                <w:kern w:val="2"/>
                <w:sz w:val="22"/>
                <w:szCs w:val="22"/>
                <w:lang w:eastAsia="en-GB"/>
                <w14:ligatures w14:val="standardContextual"/>
              </w:rPr>
              <w:tab/>
            </w:r>
            <w:r w:rsidR="00F26246" w:rsidRPr="00211DCF">
              <w:rPr>
                <w:rStyle w:val="Hyperlink"/>
                <w:noProof/>
              </w:rPr>
              <w:t>Critical Judgements</w:t>
            </w:r>
            <w:r w:rsidR="00F26246">
              <w:rPr>
                <w:noProof/>
                <w:webHidden/>
              </w:rPr>
              <w:tab/>
            </w:r>
            <w:r w:rsidR="00F26246">
              <w:rPr>
                <w:noProof/>
                <w:webHidden/>
              </w:rPr>
              <w:fldChar w:fldCharType="begin"/>
            </w:r>
            <w:r w:rsidR="00F26246">
              <w:rPr>
                <w:noProof/>
                <w:webHidden/>
              </w:rPr>
              <w:instrText xml:space="preserve"> PAGEREF _Toc166761561 \h </w:instrText>
            </w:r>
            <w:r w:rsidR="00F26246">
              <w:rPr>
                <w:noProof/>
                <w:webHidden/>
              </w:rPr>
            </w:r>
            <w:r w:rsidR="00F26246">
              <w:rPr>
                <w:noProof/>
                <w:webHidden/>
              </w:rPr>
              <w:fldChar w:fldCharType="separate"/>
            </w:r>
            <w:r w:rsidR="00CE1478">
              <w:rPr>
                <w:noProof/>
                <w:webHidden/>
              </w:rPr>
              <w:t>67</w:t>
            </w:r>
            <w:r w:rsidR="00F26246">
              <w:rPr>
                <w:noProof/>
                <w:webHidden/>
              </w:rPr>
              <w:fldChar w:fldCharType="end"/>
            </w:r>
          </w:hyperlink>
        </w:p>
        <w:p w14:paraId="26EB50F9" w14:textId="7A539B04" w:rsidR="00F26246" w:rsidRDefault="00BD79B2">
          <w:pPr>
            <w:pStyle w:val="TOC2"/>
            <w:tabs>
              <w:tab w:val="left" w:pos="880"/>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62" w:history="1">
            <w:r w:rsidR="00F26246" w:rsidRPr="00211DCF">
              <w:rPr>
                <w:rStyle w:val="Hyperlink"/>
                <w:noProof/>
              </w:rPr>
              <w:t>29</w:t>
            </w:r>
            <w:r w:rsidR="00F26246">
              <w:rPr>
                <w:rFonts w:asciiTheme="minorHAnsi" w:eastAsiaTheme="minorEastAsia" w:hAnsiTheme="minorHAnsi" w:cstheme="minorBidi"/>
                <w:noProof/>
                <w:kern w:val="2"/>
                <w:sz w:val="22"/>
                <w:szCs w:val="22"/>
                <w:lang w:eastAsia="en-GB"/>
                <w14:ligatures w14:val="standardContextual"/>
              </w:rPr>
              <w:tab/>
            </w:r>
            <w:r w:rsidR="00F26246" w:rsidRPr="00211DCF">
              <w:rPr>
                <w:rStyle w:val="Hyperlink"/>
                <w:noProof/>
              </w:rPr>
              <w:t>Accounting Policies</w:t>
            </w:r>
            <w:r w:rsidR="00F26246">
              <w:rPr>
                <w:noProof/>
                <w:webHidden/>
              </w:rPr>
              <w:tab/>
            </w:r>
            <w:r w:rsidR="00F26246">
              <w:rPr>
                <w:noProof/>
                <w:webHidden/>
              </w:rPr>
              <w:fldChar w:fldCharType="begin"/>
            </w:r>
            <w:r w:rsidR="00F26246">
              <w:rPr>
                <w:noProof/>
                <w:webHidden/>
              </w:rPr>
              <w:instrText xml:space="preserve"> PAGEREF _Toc166761562 \h </w:instrText>
            </w:r>
            <w:r w:rsidR="00F26246">
              <w:rPr>
                <w:noProof/>
                <w:webHidden/>
              </w:rPr>
            </w:r>
            <w:r w:rsidR="00F26246">
              <w:rPr>
                <w:noProof/>
                <w:webHidden/>
              </w:rPr>
              <w:fldChar w:fldCharType="separate"/>
            </w:r>
            <w:r w:rsidR="00CE1478">
              <w:rPr>
                <w:noProof/>
                <w:webHidden/>
              </w:rPr>
              <w:t>67</w:t>
            </w:r>
            <w:r w:rsidR="00F26246">
              <w:rPr>
                <w:noProof/>
                <w:webHidden/>
              </w:rPr>
              <w:fldChar w:fldCharType="end"/>
            </w:r>
          </w:hyperlink>
        </w:p>
        <w:p w14:paraId="2C8E2970" w14:textId="37395F35" w:rsidR="00F26246" w:rsidRDefault="00BD79B2">
          <w:pPr>
            <w:pStyle w:val="TOC1"/>
            <w:tabs>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63" w:history="1">
            <w:r w:rsidR="00F26246" w:rsidRPr="00211DCF">
              <w:rPr>
                <w:rStyle w:val="Hyperlink"/>
                <w:noProof/>
              </w:rPr>
              <w:t>Fire Fighters Pension Fund Account and Net Assets Statement</w:t>
            </w:r>
            <w:r w:rsidR="00F26246">
              <w:rPr>
                <w:noProof/>
                <w:webHidden/>
              </w:rPr>
              <w:tab/>
            </w:r>
            <w:r w:rsidR="00F26246">
              <w:rPr>
                <w:noProof/>
                <w:webHidden/>
              </w:rPr>
              <w:fldChar w:fldCharType="begin"/>
            </w:r>
            <w:r w:rsidR="00F26246">
              <w:rPr>
                <w:noProof/>
                <w:webHidden/>
              </w:rPr>
              <w:instrText xml:space="preserve"> PAGEREF _Toc166761563 \h </w:instrText>
            </w:r>
            <w:r w:rsidR="00F26246">
              <w:rPr>
                <w:noProof/>
                <w:webHidden/>
              </w:rPr>
            </w:r>
            <w:r w:rsidR="00F26246">
              <w:rPr>
                <w:noProof/>
                <w:webHidden/>
              </w:rPr>
              <w:fldChar w:fldCharType="separate"/>
            </w:r>
            <w:r w:rsidR="00CE1478">
              <w:rPr>
                <w:noProof/>
                <w:webHidden/>
              </w:rPr>
              <w:t>77</w:t>
            </w:r>
            <w:r w:rsidR="00F26246">
              <w:rPr>
                <w:noProof/>
                <w:webHidden/>
              </w:rPr>
              <w:fldChar w:fldCharType="end"/>
            </w:r>
          </w:hyperlink>
        </w:p>
        <w:p w14:paraId="64D88461" w14:textId="690C06DC" w:rsidR="00F26246" w:rsidRDefault="00BD79B2">
          <w:pPr>
            <w:pStyle w:val="TOC1"/>
            <w:tabs>
              <w:tab w:val="right" w:leader="dot" w:pos="9017"/>
            </w:tabs>
            <w:rPr>
              <w:rFonts w:asciiTheme="minorHAnsi" w:eastAsiaTheme="minorEastAsia" w:hAnsiTheme="minorHAnsi" w:cstheme="minorBidi"/>
              <w:noProof/>
              <w:kern w:val="2"/>
              <w:sz w:val="22"/>
              <w:szCs w:val="22"/>
              <w:lang w:eastAsia="en-GB"/>
              <w14:ligatures w14:val="standardContextual"/>
            </w:rPr>
          </w:pPr>
          <w:hyperlink w:anchor="_Toc166761564" w:history="1">
            <w:r w:rsidR="00F26246" w:rsidRPr="00211DCF">
              <w:rPr>
                <w:rStyle w:val="Hyperlink"/>
                <w:noProof/>
              </w:rPr>
              <w:t>Glossary of Terms</w:t>
            </w:r>
            <w:r w:rsidR="00F26246">
              <w:rPr>
                <w:noProof/>
                <w:webHidden/>
              </w:rPr>
              <w:tab/>
            </w:r>
            <w:r w:rsidR="00F26246">
              <w:rPr>
                <w:noProof/>
                <w:webHidden/>
              </w:rPr>
              <w:fldChar w:fldCharType="begin"/>
            </w:r>
            <w:r w:rsidR="00F26246">
              <w:rPr>
                <w:noProof/>
                <w:webHidden/>
              </w:rPr>
              <w:instrText xml:space="preserve"> PAGEREF _Toc166761564 \h </w:instrText>
            </w:r>
            <w:r w:rsidR="00F26246">
              <w:rPr>
                <w:noProof/>
                <w:webHidden/>
              </w:rPr>
            </w:r>
            <w:r w:rsidR="00F26246">
              <w:rPr>
                <w:noProof/>
                <w:webHidden/>
              </w:rPr>
              <w:fldChar w:fldCharType="separate"/>
            </w:r>
            <w:r w:rsidR="00CE1478">
              <w:rPr>
                <w:noProof/>
                <w:webHidden/>
              </w:rPr>
              <w:t>79</w:t>
            </w:r>
            <w:r w:rsidR="00F26246">
              <w:rPr>
                <w:noProof/>
                <w:webHidden/>
              </w:rPr>
              <w:fldChar w:fldCharType="end"/>
            </w:r>
          </w:hyperlink>
        </w:p>
        <w:p w14:paraId="0B3D2694" w14:textId="615B5D25" w:rsidR="002B6814" w:rsidRPr="00EA5689" w:rsidRDefault="005A3C76" w:rsidP="006B4BE1">
          <w:pPr>
            <w:sectPr w:rsidR="002B6814" w:rsidRPr="00EA5689" w:rsidSect="0050229D">
              <w:headerReference w:type="even" r:id="rId9"/>
              <w:headerReference w:type="default" r:id="rId10"/>
              <w:footerReference w:type="default" r:id="rId11"/>
              <w:headerReference w:type="first" r:id="rId12"/>
              <w:pgSz w:w="11907" w:h="16840" w:code="9"/>
              <w:pgMar w:top="1440" w:right="1440" w:bottom="1440" w:left="1440" w:header="706" w:footer="706" w:gutter="0"/>
              <w:pgNumType w:start="1"/>
              <w:cols w:space="720"/>
              <w:docGrid w:linePitch="326"/>
            </w:sectPr>
          </w:pPr>
          <w:r w:rsidRPr="004F0E19">
            <w:rPr>
              <w:b/>
              <w:bCs/>
              <w:noProof/>
              <w:szCs w:val="24"/>
            </w:rPr>
            <w:fldChar w:fldCharType="end"/>
          </w:r>
        </w:p>
      </w:sdtContent>
    </w:sdt>
    <w:p w14:paraId="10335662" w14:textId="230A968B" w:rsidR="006E6CFF" w:rsidRPr="004A1184" w:rsidRDefault="003668C6" w:rsidP="00B10A2A">
      <w:pPr>
        <w:pStyle w:val="Heading1"/>
        <w:rPr>
          <w:szCs w:val="24"/>
        </w:rPr>
      </w:pPr>
      <w:bookmarkStart w:id="1" w:name="_Toc166761523"/>
      <w:r w:rsidRPr="004A1184">
        <w:rPr>
          <w:szCs w:val="24"/>
        </w:rPr>
        <w:lastRenderedPageBreak/>
        <w:t>Narrative Report</w:t>
      </w:r>
      <w:bookmarkEnd w:id="1"/>
    </w:p>
    <w:p w14:paraId="1C85B084" w14:textId="77777777" w:rsidR="006E6CFF" w:rsidRPr="004A1184" w:rsidRDefault="006E6CFF" w:rsidP="00B10A2A">
      <w:pPr>
        <w:pStyle w:val="Footer"/>
        <w:tabs>
          <w:tab w:val="clear" w:pos="4153"/>
          <w:tab w:val="clear" w:pos="8306"/>
        </w:tabs>
        <w:rPr>
          <w:szCs w:val="24"/>
        </w:rPr>
      </w:pPr>
    </w:p>
    <w:p w14:paraId="4FD1734C" w14:textId="06CAD511" w:rsidR="006E6CFF" w:rsidRPr="004A1184" w:rsidRDefault="006E6CFF" w:rsidP="00B10A2A">
      <w:pPr>
        <w:rPr>
          <w:szCs w:val="24"/>
        </w:rPr>
      </w:pPr>
      <w:r w:rsidRPr="004A1184">
        <w:rPr>
          <w:szCs w:val="24"/>
        </w:rPr>
        <w:t xml:space="preserve">The Lancashire Combined Fire Authority (CFA) (the Authority) was established as a free-standing body from 1 April 1998. It sets its own budget, holds its own reserves, raises its own council </w:t>
      </w:r>
      <w:r w:rsidR="00A15F19" w:rsidRPr="004A1184">
        <w:rPr>
          <w:szCs w:val="24"/>
        </w:rPr>
        <w:t>tax,</w:t>
      </w:r>
      <w:r w:rsidRPr="004A1184">
        <w:rPr>
          <w:szCs w:val="24"/>
        </w:rPr>
        <w:t xml:space="preserve"> and receives funding direct from the Government and through business rates. </w:t>
      </w:r>
    </w:p>
    <w:p w14:paraId="3140FF0E" w14:textId="77777777" w:rsidR="006E6CFF" w:rsidRPr="004A1184" w:rsidRDefault="006E6CFF" w:rsidP="00B10A2A">
      <w:pPr>
        <w:rPr>
          <w:szCs w:val="24"/>
        </w:rPr>
      </w:pPr>
    </w:p>
    <w:p w14:paraId="25858AC3" w14:textId="4D4B86F8" w:rsidR="006E6CFF" w:rsidRPr="004A1184" w:rsidRDefault="006E6CFF" w:rsidP="00B10A2A">
      <w:pPr>
        <w:rPr>
          <w:szCs w:val="24"/>
        </w:rPr>
      </w:pPr>
      <w:r w:rsidRPr="004A1184">
        <w:rPr>
          <w:szCs w:val="24"/>
        </w:rPr>
        <w:t xml:space="preserve">The Authority must prepare and publish a Statement of Accounts annually. Its purpose is to give electors, local taxpayers, Fire Authority Members, </w:t>
      </w:r>
      <w:proofErr w:type="gramStart"/>
      <w:r w:rsidRPr="004A1184">
        <w:rPr>
          <w:szCs w:val="24"/>
        </w:rPr>
        <w:t>employees</w:t>
      </w:r>
      <w:proofErr w:type="gramEnd"/>
      <w:r w:rsidRPr="004A1184">
        <w:rPr>
          <w:szCs w:val="24"/>
        </w:rPr>
        <w:t xml:space="preserve"> and other interested parties clear information about the Fire authority’s finances.</w:t>
      </w:r>
    </w:p>
    <w:p w14:paraId="0F292A0B" w14:textId="77777777" w:rsidR="006E6CFF" w:rsidRPr="004A1184" w:rsidRDefault="006E6CFF" w:rsidP="00B10A2A">
      <w:pPr>
        <w:rPr>
          <w:szCs w:val="24"/>
        </w:rPr>
      </w:pPr>
    </w:p>
    <w:p w14:paraId="393E9B3F" w14:textId="77777777" w:rsidR="006E6CFF" w:rsidRPr="004A1184" w:rsidRDefault="006E6CFF" w:rsidP="00B10A2A">
      <w:pPr>
        <w:rPr>
          <w:szCs w:val="24"/>
        </w:rPr>
      </w:pPr>
      <w:r w:rsidRPr="004A1184">
        <w:rPr>
          <w:szCs w:val="24"/>
        </w:rPr>
        <w:t>The aim is to provide information on:</w:t>
      </w:r>
    </w:p>
    <w:p w14:paraId="31D6A305" w14:textId="77777777" w:rsidR="006E6CFF" w:rsidRPr="004A1184" w:rsidRDefault="006E6CFF" w:rsidP="00B10A2A">
      <w:pPr>
        <w:rPr>
          <w:szCs w:val="24"/>
        </w:rPr>
      </w:pPr>
    </w:p>
    <w:p w14:paraId="1238B635" w14:textId="77777777" w:rsidR="006E6CFF" w:rsidRPr="004A1184" w:rsidRDefault="006E6CFF" w:rsidP="00FA71D8">
      <w:pPr>
        <w:numPr>
          <w:ilvl w:val="0"/>
          <w:numId w:val="30"/>
        </w:numPr>
        <w:rPr>
          <w:szCs w:val="24"/>
        </w:rPr>
      </w:pPr>
      <w:r w:rsidRPr="004A1184">
        <w:rPr>
          <w:szCs w:val="24"/>
        </w:rPr>
        <w:t xml:space="preserve">the cost of providing Fire Authority services in the financial year </w:t>
      </w:r>
      <w:proofErr w:type="gramStart"/>
      <w:r w:rsidRPr="004A1184">
        <w:rPr>
          <w:szCs w:val="24"/>
        </w:rPr>
        <w:t>2022/23;</w:t>
      </w:r>
      <w:proofErr w:type="gramEnd"/>
    </w:p>
    <w:p w14:paraId="24B2DC5B" w14:textId="77777777" w:rsidR="006E6CFF" w:rsidRPr="004A1184" w:rsidRDefault="006E6CFF" w:rsidP="00FA71D8">
      <w:pPr>
        <w:numPr>
          <w:ilvl w:val="0"/>
          <w:numId w:val="30"/>
        </w:numPr>
        <w:rPr>
          <w:szCs w:val="24"/>
        </w:rPr>
      </w:pPr>
      <w:r w:rsidRPr="004A1184">
        <w:rPr>
          <w:szCs w:val="24"/>
        </w:rPr>
        <w:t xml:space="preserve">how these services were paid </w:t>
      </w:r>
      <w:proofErr w:type="gramStart"/>
      <w:r w:rsidRPr="004A1184">
        <w:rPr>
          <w:szCs w:val="24"/>
        </w:rPr>
        <w:t>for;</w:t>
      </w:r>
      <w:proofErr w:type="gramEnd"/>
    </w:p>
    <w:p w14:paraId="7CBC655F" w14:textId="77777777" w:rsidR="006E6CFF" w:rsidRPr="004A1184" w:rsidRDefault="006E6CFF" w:rsidP="00FA71D8">
      <w:pPr>
        <w:numPr>
          <w:ilvl w:val="0"/>
          <w:numId w:val="30"/>
        </w:numPr>
        <w:rPr>
          <w:szCs w:val="24"/>
        </w:rPr>
      </w:pPr>
      <w:r w:rsidRPr="004A1184">
        <w:rPr>
          <w:szCs w:val="24"/>
        </w:rPr>
        <w:t>what assets the Fire Authority owned at the end of the financial year; and</w:t>
      </w:r>
    </w:p>
    <w:p w14:paraId="6289F74E" w14:textId="77777777" w:rsidR="006E6CFF" w:rsidRPr="004A1184" w:rsidRDefault="006E6CFF" w:rsidP="00FA71D8">
      <w:pPr>
        <w:numPr>
          <w:ilvl w:val="0"/>
          <w:numId w:val="30"/>
        </w:numPr>
        <w:rPr>
          <w:szCs w:val="24"/>
        </w:rPr>
      </w:pPr>
      <w:r w:rsidRPr="004A1184">
        <w:rPr>
          <w:szCs w:val="24"/>
        </w:rPr>
        <w:t>what was owed, to and by, the Fire Authority at the end of the financial year.</w:t>
      </w:r>
    </w:p>
    <w:p w14:paraId="61E146AC" w14:textId="77777777" w:rsidR="006E6CFF" w:rsidRPr="004A1184" w:rsidRDefault="006E6CFF" w:rsidP="00B10A2A">
      <w:pPr>
        <w:rPr>
          <w:szCs w:val="24"/>
        </w:rPr>
      </w:pPr>
    </w:p>
    <w:p w14:paraId="1A611E70" w14:textId="77777777" w:rsidR="006E6CFF" w:rsidRPr="004A1184" w:rsidRDefault="006E6CFF" w:rsidP="00B10A2A">
      <w:pPr>
        <w:rPr>
          <w:szCs w:val="24"/>
        </w:rPr>
      </w:pPr>
      <w:r w:rsidRPr="004A1184">
        <w:rPr>
          <w:szCs w:val="24"/>
        </w:rPr>
        <w:t>This narrative report gives a guide to the most important matters included in the Statement of Accounts.</w:t>
      </w:r>
    </w:p>
    <w:p w14:paraId="1AD95C06" w14:textId="77777777" w:rsidR="006E6CFF" w:rsidRPr="004A1184" w:rsidRDefault="006E6CFF" w:rsidP="00B10A2A">
      <w:pPr>
        <w:pStyle w:val="Footer"/>
        <w:tabs>
          <w:tab w:val="clear" w:pos="4153"/>
          <w:tab w:val="clear" w:pos="8306"/>
        </w:tabs>
        <w:rPr>
          <w:b/>
          <w:szCs w:val="24"/>
        </w:rPr>
      </w:pPr>
    </w:p>
    <w:p w14:paraId="1FAC0189" w14:textId="77777777" w:rsidR="006E6CFF" w:rsidRPr="005C1944" w:rsidRDefault="006E6CFF" w:rsidP="005C1944">
      <w:pPr>
        <w:rPr>
          <w:b/>
          <w:bCs/>
        </w:rPr>
      </w:pPr>
      <w:r w:rsidRPr="005C1944">
        <w:rPr>
          <w:b/>
          <w:bCs/>
        </w:rPr>
        <w:t>Contents of this Statement of Accounts</w:t>
      </w:r>
    </w:p>
    <w:p w14:paraId="24C3B6D1" w14:textId="77777777" w:rsidR="006E6CFF" w:rsidRPr="004A1184" w:rsidRDefault="006E6CFF" w:rsidP="00B10A2A">
      <w:pPr>
        <w:pStyle w:val="Footer"/>
        <w:tabs>
          <w:tab w:val="clear" w:pos="4153"/>
          <w:tab w:val="clear" w:pos="8306"/>
        </w:tabs>
        <w:rPr>
          <w:b/>
          <w:szCs w:val="24"/>
        </w:rPr>
      </w:pPr>
    </w:p>
    <w:p w14:paraId="034945CC" w14:textId="7792942D" w:rsidR="006E6CFF" w:rsidRPr="004A1184" w:rsidRDefault="006E6CFF" w:rsidP="00B10A2A">
      <w:pPr>
        <w:rPr>
          <w:szCs w:val="24"/>
        </w:rPr>
      </w:pPr>
      <w:r w:rsidRPr="004A1184">
        <w:rPr>
          <w:szCs w:val="24"/>
        </w:rPr>
        <w:t xml:space="preserve">This Statement of Accounts covers the financial year ended on 31 March 2023 (referred to as </w:t>
      </w:r>
      <w:r w:rsidRPr="004A1184">
        <w:rPr>
          <w:caps/>
          <w:szCs w:val="24"/>
        </w:rPr>
        <w:t>2022/23</w:t>
      </w:r>
      <w:r w:rsidRPr="004A1184">
        <w:rPr>
          <w:szCs w:val="24"/>
        </w:rPr>
        <w:t>). It has been prepared in accordance with the Accounts and Audit Regulations 2015 as amended by the Accounts and Audit (Amendment) Regulations 2021 and the Code of Practice on Local Authority Accounting in the United Kingdom. The Statement contains:</w:t>
      </w:r>
    </w:p>
    <w:p w14:paraId="2D075CBB" w14:textId="77777777" w:rsidR="006E6CFF" w:rsidRPr="004A1184" w:rsidRDefault="006E6CFF" w:rsidP="00B10A2A">
      <w:pPr>
        <w:rPr>
          <w:b/>
          <w:szCs w:val="24"/>
        </w:rPr>
      </w:pPr>
    </w:p>
    <w:p w14:paraId="0E7D3F91" w14:textId="596F6B02" w:rsidR="006E6CFF" w:rsidRPr="004A1184" w:rsidRDefault="006E6CFF" w:rsidP="00B10A2A">
      <w:pPr>
        <w:rPr>
          <w:szCs w:val="24"/>
        </w:rPr>
      </w:pPr>
      <w:r w:rsidRPr="004A1184">
        <w:rPr>
          <w:b/>
          <w:szCs w:val="24"/>
        </w:rPr>
        <w:t>Statement on</w:t>
      </w:r>
      <w:r w:rsidRPr="004A1184">
        <w:rPr>
          <w:szCs w:val="24"/>
        </w:rPr>
        <w:t xml:space="preserve"> </w:t>
      </w:r>
      <w:r w:rsidRPr="004A1184">
        <w:rPr>
          <w:b/>
          <w:szCs w:val="24"/>
        </w:rPr>
        <w:t xml:space="preserve">Annual Governance Arrangements </w:t>
      </w:r>
      <w:r w:rsidRPr="004A1184">
        <w:rPr>
          <w:szCs w:val="24"/>
        </w:rPr>
        <w:t xml:space="preserve">– Sets out the Authority’s responsibilities </w:t>
      </w:r>
      <w:r w:rsidR="000F28B4" w:rsidRPr="004A1184">
        <w:rPr>
          <w:szCs w:val="24"/>
        </w:rPr>
        <w:t>regarding</w:t>
      </w:r>
      <w:r w:rsidRPr="004A1184">
        <w:rPr>
          <w:szCs w:val="24"/>
        </w:rPr>
        <w:t xml:space="preserve"> the system of internal control and corporate governance.</w:t>
      </w:r>
    </w:p>
    <w:p w14:paraId="75FC48AF" w14:textId="77777777" w:rsidR="006E6CFF" w:rsidRPr="004A1184" w:rsidRDefault="006E6CFF" w:rsidP="00B10A2A">
      <w:pPr>
        <w:rPr>
          <w:szCs w:val="24"/>
        </w:rPr>
      </w:pPr>
    </w:p>
    <w:p w14:paraId="6A7D4574" w14:textId="77777777" w:rsidR="006E6CFF" w:rsidRPr="004A1184" w:rsidRDefault="006E6CFF" w:rsidP="00B10A2A">
      <w:pPr>
        <w:rPr>
          <w:szCs w:val="24"/>
        </w:rPr>
      </w:pPr>
      <w:r w:rsidRPr="004A1184">
        <w:rPr>
          <w:rFonts w:cs="Arial"/>
          <w:b/>
          <w:szCs w:val="24"/>
        </w:rPr>
        <w:t>Independent Auditor’s Report to the Members of Lancashire Combined Fire Authority</w:t>
      </w:r>
      <w:r w:rsidRPr="004A1184">
        <w:rPr>
          <w:szCs w:val="24"/>
        </w:rPr>
        <w:t xml:space="preserve"> – The Auditor's report to the CFA on the accounts for </w:t>
      </w:r>
      <w:r w:rsidRPr="004A1184">
        <w:rPr>
          <w:caps/>
          <w:szCs w:val="24"/>
        </w:rPr>
        <w:t>2022/23</w:t>
      </w:r>
      <w:r w:rsidRPr="004A1184">
        <w:rPr>
          <w:szCs w:val="24"/>
        </w:rPr>
        <w:t>, which are set out in the sections shown below.</w:t>
      </w:r>
    </w:p>
    <w:p w14:paraId="62DE51EC" w14:textId="77777777" w:rsidR="006E6CFF" w:rsidRPr="004A1184" w:rsidRDefault="006E6CFF" w:rsidP="00B10A2A">
      <w:pPr>
        <w:rPr>
          <w:szCs w:val="24"/>
        </w:rPr>
      </w:pPr>
    </w:p>
    <w:p w14:paraId="05F9C253" w14:textId="77777777" w:rsidR="006E6CFF" w:rsidRPr="004A1184" w:rsidRDefault="006E6CFF" w:rsidP="00B10A2A">
      <w:pPr>
        <w:rPr>
          <w:szCs w:val="24"/>
        </w:rPr>
      </w:pPr>
      <w:r w:rsidRPr="004A1184">
        <w:rPr>
          <w:b/>
          <w:szCs w:val="24"/>
        </w:rPr>
        <w:t>Statement of Responsibilities for the Statement of Accounts</w:t>
      </w:r>
      <w:r w:rsidRPr="004A1184">
        <w:rPr>
          <w:szCs w:val="24"/>
        </w:rPr>
        <w:t xml:space="preserve"> – Sets out the responsibilities of the Authority and the Treasurer with regards to the statement of accounts.</w:t>
      </w:r>
    </w:p>
    <w:p w14:paraId="59A099BB" w14:textId="77777777" w:rsidR="006E6CFF" w:rsidRPr="004A1184" w:rsidRDefault="006E6CFF" w:rsidP="00B10A2A">
      <w:pPr>
        <w:tabs>
          <w:tab w:val="left" w:pos="720"/>
          <w:tab w:val="right" w:pos="5760"/>
        </w:tabs>
        <w:rPr>
          <w:szCs w:val="24"/>
        </w:rPr>
      </w:pPr>
    </w:p>
    <w:p w14:paraId="013681E4" w14:textId="64B19CB4" w:rsidR="006E6CFF" w:rsidRPr="004A1184" w:rsidRDefault="006E6CFF" w:rsidP="00B10A2A">
      <w:pPr>
        <w:rPr>
          <w:szCs w:val="24"/>
        </w:rPr>
      </w:pPr>
      <w:r w:rsidRPr="004A1184">
        <w:rPr>
          <w:b/>
          <w:szCs w:val="24"/>
        </w:rPr>
        <w:t xml:space="preserve">Comprehensive Income &amp; Expenditure Statement </w:t>
      </w:r>
      <w:r w:rsidRPr="004A1184">
        <w:rPr>
          <w:szCs w:val="24"/>
        </w:rPr>
        <w:t>- This statement shows the accounting cost in the year of providing services in accordance with generally accepted accounting practices, rather than the amount to be funded from taxation. The Fire Authority raises taxation to cover expenditure in accordance with regulations; this may be different from the accounting cost. The taxation position is shown in the Movement in Reserves Statement.</w:t>
      </w:r>
    </w:p>
    <w:p w14:paraId="2321AAF9" w14:textId="77777777" w:rsidR="006E6CFF" w:rsidRPr="004A1184" w:rsidRDefault="006E6CFF" w:rsidP="00B10A2A">
      <w:pPr>
        <w:rPr>
          <w:szCs w:val="24"/>
        </w:rPr>
      </w:pPr>
    </w:p>
    <w:p w14:paraId="5DA8CD33" w14:textId="7A4AE1FC" w:rsidR="006E6CFF" w:rsidRPr="004A1184" w:rsidRDefault="006E6CFF" w:rsidP="00B10A2A">
      <w:pPr>
        <w:rPr>
          <w:szCs w:val="24"/>
        </w:rPr>
      </w:pPr>
      <w:r w:rsidRPr="004A1184">
        <w:rPr>
          <w:b/>
          <w:szCs w:val="24"/>
        </w:rPr>
        <w:t xml:space="preserve">Movement In Reserves Statement </w:t>
      </w:r>
      <w:r w:rsidRPr="004A1184">
        <w:rPr>
          <w:szCs w:val="24"/>
        </w:rPr>
        <w:t>– This statement shows the movement in year on the different reserves held by the Fire Authority analysed between usable and other reserves. The surplus or (deficit) on the Provision of Services line shows the true economic cost of providing the Fire Authority’s services, more details of which are shown in the Comprehensive Income and Expenditure Statement.</w:t>
      </w:r>
    </w:p>
    <w:p w14:paraId="2FD51274" w14:textId="77777777" w:rsidR="006E6CFF" w:rsidRPr="004A1184" w:rsidRDefault="006E6CFF" w:rsidP="00B10A2A">
      <w:pPr>
        <w:rPr>
          <w:b/>
          <w:szCs w:val="24"/>
        </w:rPr>
      </w:pPr>
    </w:p>
    <w:p w14:paraId="1C31C41C" w14:textId="20E899F7" w:rsidR="006E6CFF" w:rsidRPr="004A1184" w:rsidRDefault="006E6CFF" w:rsidP="00B10A2A">
      <w:pPr>
        <w:rPr>
          <w:szCs w:val="24"/>
        </w:rPr>
      </w:pPr>
      <w:r w:rsidRPr="004A1184">
        <w:rPr>
          <w:b/>
          <w:szCs w:val="24"/>
        </w:rPr>
        <w:t>Balance Sheet</w:t>
      </w:r>
      <w:r w:rsidRPr="004A1184">
        <w:rPr>
          <w:szCs w:val="24"/>
        </w:rPr>
        <w:t xml:space="preserve"> – This shows information on the financial position of the Fire Authority as at the 31 March 2023, including the level of balances and reserves at the Fire Authority’s disposal, its </w:t>
      </w:r>
      <w:r w:rsidR="005436A9" w:rsidRPr="004A1184">
        <w:rPr>
          <w:szCs w:val="24"/>
        </w:rPr>
        <w:t>long-term</w:t>
      </w:r>
      <w:r w:rsidRPr="004A1184">
        <w:rPr>
          <w:szCs w:val="24"/>
        </w:rPr>
        <w:t xml:space="preserve"> indebtedness and the value of the assets held by the Fire Authority.</w:t>
      </w:r>
    </w:p>
    <w:p w14:paraId="3C3D2317" w14:textId="77777777" w:rsidR="006E6CFF" w:rsidRPr="004A1184" w:rsidRDefault="006E6CFF" w:rsidP="00B10A2A">
      <w:pPr>
        <w:rPr>
          <w:szCs w:val="24"/>
        </w:rPr>
      </w:pPr>
    </w:p>
    <w:p w14:paraId="1077F6AF" w14:textId="77777777" w:rsidR="006E6CFF" w:rsidRPr="004A1184" w:rsidRDefault="006E6CFF" w:rsidP="00B10A2A">
      <w:pPr>
        <w:rPr>
          <w:szCs w:val="24"/>
        </w:rPr>
      </w:pPr>
      <w:r w:rsidRPr="004A1184">
        <w:rPr>
          <w:b/>
          <w:szCs w:val="24"/>
        </w:rPr>
        <w:t>Cash Flow Statement</w:t>
      </w:r>
      <w:r w:rsidRPr="004A1184">
        <w:rPr>
          <w:szCs w:val="24"/>
        </w:rPr>
        <w:t xml:space="preserve"> – This shows the cash and cash equivalent movements in and out of the Fire Authority due to transactions with third parties for revenue and capital purposes.</w:t>
      </w:r>
    </w:p>
    <w:p w14:paraId="653F5C6E" w14:textId="77777777" w:rsidR="006E6CFF" w:rsidRPr="004A1184" w:rsidRDefault="006E6CFF" w:rsidP="00B10A2A">
      <w:pPr>
        <w:rPr>
          <w:szCs w:val="24"/>
        </w:rPr>
      </w:pPr>
    </w:p>
    <w:p w14:paraId="4AC9E564" w14:textId="4FDA87CD" w:rsidR="006E6CFF" w:rsidRPr="004A1184" w:rsidRDefault="006E6CFF" w:rsidP="00B10A2A">
      <w:pPr>
        <w:rPr>
          <w:szCs w:val="24"/>
        </w:rPr>
      </w:pPr>
      <w:r w:rsidRPr="004A1184">
        <w:rPr>
          <w:b/>
          <w:szCs w:val="24"/>
        </w:rPr>
        <w:t>Fire Fighters Pension Fund Account and Net Assets Statement</w:t>
      </w:r>
      <w:r w:rsidRPr="004A1184">
        <w:rPr>
          <w:szCs w:val="24"/>
        </w:rPr>
        <w:t xml:space="preserve"> – Shows the financial position of the fire fighters pension fund account, showing whether the Authority owes, or is owed, money by the Government </w:t>
      </w:r>
      <w:r w:rsidR="007D71A7" w:rsidRPr="004A1184">
        <w:rPr>
          <w:szCs w:val="24"/>
        </w:rPr>
        <w:t>to</w:t>
      </w:r>
      <w:r w:rsidRPr="004A1184">
        <w:rPr>
          <w:szCs w:val="24"/>
        </w:rPr>
        <w:t xml:space="preserve"> balance the account, together with details of its net assets.</w:t>
      </w:r>
    </w:p>
    <w:p w14:paraId="4BF85B5F" w14:textId="77777777" w:rsidR="003668C6" w:rsidRPr="004A1184" w:rsidRDefault="003668C6" w:rsidP="00B10A2A">
      <w:pPr>
        <w:rPr>
          <w:szCs w:val="24"/>
        </w:rPr>
      </w:pPr>
    </w:p>
    <w:p w14:paraId="3E7209B7" w14:textId="77777777" w:rsidR="006E6CFF" w:rsidRPr="005C1944" w:rsidRDefault="006E6CFF" w:rsidP="005C1944">
      <w:pPr>
        <w:rPr>
          <w:b/>
          <w:bCs/>
        </w:rPr>
      </w:pPr>
      <w:r w:rsidRPr="005C1944">
        <w:rPr>
          <w:b/>
          <w:bCs/>
        </w:rPr>
        <w:t>Review of the Year</w:t>
      </w:r>
    </w:p>
    <w:p w14:paraId="37EB89E6" w14:textId="77777777" w:rsidR="006E6CFF" w:rsidRPr="004A1184" w:rsidRDefault="006E6CFF" w:rsidP="00B10A2A">
      <w:pPr>
        <w:rPr>
          <w:szCs w:val="24"/>
        </w:rPr>
      </w:pPr>
    </w:p>
    <w:p w14:paraId="6215FCEB" w14:textId="1E20AC18" w:rsidR="006E6CFF" w:rsidRPr="004A1184" w:rsidRDefault="006E6CFF" w:rsidP="00B10A2A">
      <w:pPr>
        <w:rPr>
          <w:szCs w:val="24"/>
        </w:rPr>
      </w:pPr>
      <w:r w:rsidRPr="004A1184">
        <w:rPr>
          <w:szCs w:val="24"/>
        </w:rPr>
        <w:t xml:space="preserve">We have remained financially secure and are in a strong position not only to face future challenges but to lead innovation and improvements in our sector. We have continued to invest in people, </w:t>
      </w:r>
      <w:r w:rsidR="003668C6" w:rsidRPr="004A1184">
        <w:rPr>
          <w:szCs w:val="24"/>
        </w:rPr>
        <w:t>training,</w:t>
      </w:r>
      <w:r w:rsidRPr="004A1184">
        <w:rPr>
          <w:szCs w:val="24"/>
        </w:rPr>
        <w:t xml:space="preserve"> and equipment; prioritised operational effectiveness and efficiency to meet the challenges of an increasingly complex environment; embedded clear values and strong leadership throughout the organisation; and looked for new ways to collaborate to improve services for local people.</w:t>
      </w:r>
    </w:p>
    <w:p w14:paraId="00949E57" w14:textId="77777777" w:rsidR="006E6CFF" w:rsidRPr="004A1184" w:rsidRDefault="006E6CFF" w:rsidP="00B10A2A">
      <w:pPr>
        <w:rPr>
          <w:szCs w:val="24"/>
        </w:rPr>
      </w:pPr>
    </w:p>
    <w:p w14:paraId="608B1059" w14:textId="77777777" w:rsidR="006E6CFF" w:rsidRPr="004A1184" w:rsidRDefault="006E6CFF" w:rsidP="00B10A2A">
      <w:pPr>
        <w:tabs>
          <w:tab w:val="num" w:pos="284"/>
        </w:tabs>
        <w:rPr>
          <w:szCs w:val="24"/>
        </w:rPr>
      </w:pPr>
      <w:r w:rsidRPr="004A1184">
        <w:rPr>
          <w:szCs w:val="24"/>
        </w:rPr>
        <w:t xml:space="preserve">Last year we set out to strengthen community safety in respect of emerging risks affecting Lancashire. Climate change </w:t>
      </w:r>
      <w:proofErr w:type="gramStart"/>
      <w:r w:rsidRPr="004A1184">
        <w:rPr>
          <w:szCs w:val="24"/>
        </w:rPr>
        <w:t>in particular is</w:t>
      </w:r>
      <w:proofErr w:type="gramEnd"/>
      <w:r w:rsidRPr="004A1184">
        <w:rPr>
          <w:szCs w:val="24"/>
        </w:rPr>
        <w:t xml:space="preserve"> having a significant impact on homes, businesses and environments, and the risk of flooding and wildfires has increased.</w:t>
      </w:r>
    </w:p>
    <w:p w14:paraId="51FF0EA2" w14:textId="77777777" w:rsidR="006E6CFF" w:rsidRPr="004A1184" w:rsidRDefault="006E6CFF" w:rsidP="00B10A2A">
      <w:pPr>
        <w:tabs>
          <w:tab w:val="num" w:pos="284"/>
        </w:tabs>
        <w:rPr>
          <w:szCs w:val="24"/>
        </w:rPr>
      </w:pPr>
    </w:p>
    <w:p w14:paraId="40E13C29" w14:textId="77777777" w:rsidR="006E6CFF" w:rsidRPr="004A1184" w:rsidRDefault="006E6CFF" w:rsidP="00B10A2A">
      <w:pPr>
        <w:tabs>
          <w:tab w:val="num" w:pos="284"/>
        </w:tabs>
        <w:rPr>
          <w:szCs w:val="24"/>
        </w:rPr>
      </w:pPr>
      <w:r w:rsidRPr="004A1184">
        <w:rPr>
          <w:szCs w:val="24"/>
        </w:rPr>
        <w:t xml:space="preserve">In response, we invested in wildfire personal protective equipment (PPE) for every firefighter in the Service plus additional equipment for specialist wildfire units. Two new all-terrain Hagglund vehicles were added to our fleet to make it easier to access rural areas during extreme weather events. These vehicles have already proved their worth in multiple incidents across the county. </w:t>
      </w:r>
    </w:p>
    <w:p w14:paraId="1BCDCC89" w14:textId="77777777" w:rsidR="006E6CFF" w:rsidRPr="004A1184" w:rsidRDefault="006E6CFF" w:rsidP="00B10A2A">
      <w:pPr>
        <w:tabs>
          <w:tab w:val="num" w:pos="284"/>
        </w:tabs>
        <w:rPr>
          <w:szCs w:val="24"/>
        </w:rPr>
      </w:pPr>
    </w:p>
    <w:p w14:paraId="412C5CDD" w14:textId="77777777" w:rsidR="006E6CFF" w:rsidRPr="004A1184" w:rsidRDefault="006E6CFF" w:rsidP="00B10A2A">
      <w:pPr>
        <w:tabs>
          <w:tab w:val="num" w:pos="284"/>
        </w:tabs>
        <w:rPr>
          <w:szCs w:val="24"/>
        </w:rPr>
      </w:pPr>
      <w:r w:rsidRPr="004A1184">
        <w:rPr>
          <w:szCs w:val="24"/>
        </w:rPr>
        <w:t>Collaboration with other emergency services continued to deliver improved public services. We attended more incidents to gain entry to homes where there was a medical emergency and assist in searching for missing people than the previous year.</w:t>
      </w:r>
    </w:p>
    <w:p w14:paraId="5DF373DC" w14:textId="77777777" w:rsidR="006E6CFF" w:rsidRPr="004A1184" w:rsidRDefault="006E6CFF" w:rsidP="00B10A2A">
      <w:pPr>
        <w:tabs>
          <w:tab w:val="num" w:pos="284"/>
        </w:tabs>
        <w:rPr>
          <w:szCs w:val="24"/>
        </w:rPr>
      </w:pPr>
    </w:p>
    <w:p w14:paraId="5FB09623" w14:textId="77777777" w:rsidR="006E6CFF" w:rsidRPr="004A1184" w:rsidRDefault="006E6CFF" w:rsidP="00B10A2A">
      <w:pPr>
        <w:tabs>
          <w:tab w:val="num" w:pos="284"/>
        </w:tabs>
        <w:rPr>
          <w:szCs w:val="24"/>
        </w:rPr>
      </w:pPr>
      <w:r w:rsidRPr="004A1184">
        <w:rPr>
          <w:szCs w:val="24"/>
        </w:rPr>
        <w:t xml:space="preserve">These partnerships enable us to use our skills and experience to keep people safe in diverse ways. A new collaboration with </w:t>
      </w:r>
      <w:proofErr w:type="gramStart"/>
      <w:r w:rsidRPr="004A1184">
        <w:rPr>
          <w:szCs w:val="24"/>
        </w:rPr>
        <w:t>North West</w:t>
      </w:r>
      <w:proofErr w:type="gramEnd"/>
      <w:r w:rsidRPr="004A1184">
        <w:rPr>
          <w:szCs w:val="24"/>
        </w:rPr>
        <w:t xml:space="preserve"> Ambulance Service on their community first responder initiative has already seen a Lancashire resident benefit from life-saving first aid from one of our staff responding from the workplace.</w:t>
      </w:r>
    </w:p>
    <w:p w14:paraId="147CA70B" w14:textId="77777777" w:rsidR="006E6CFF" w:rsidRPr="004A1184" w:rsidRDefault="006E6CFF" w:rsidP="00B10A2A">
      <w:pPr>
        <w:tabs>
          <w:tab w:val="num" w:pos="284"/>
        </w:tabs>
        <w:rPr>
          <w:szCs w:val="24"/>
        </w:rPr>
      </w:pPr>
    </w:p>
    <w:p w14:paraId="0D20FACF" w14:textId="77777777" w:rsidR="006E6CFF" w:rsidRDefault="006E6CFF" w:rsidP="00B10A2A">
      <w:pPr>
        <w:tabs>
          <w:tab w:val="num" w:pos="284"/>
        </w:tabs>
        <w:rPr>
          <w:szCs w:val="24"/>
        </w:rPr>
      </w:pPr>
      <w:r w:rsidRPr="004A1184">
        <w:rPr>
          <w:szCs w:val="24"/>
        </w:rPr>
        <w:t>Business Fire Safety Checks is a new service delivered by operational crews to help small and lower risk businesses comply with fire safety laws, following significant changes to legislation. This means our dedicated fire safety inspection teams can focus on premises where occupants are at a higher risk of harm.</w:t>
      </w:r>
    </w:p>
    <w:p w14:paraId="32FEA44E" w14:textId="77777777" w:rsidR="00A15F19" w:rsidRPr="004A1184" w:rsidRDefault="00A15F19" w:rsidP="00B10A2A">
      <w:pPr>
        <w:tabs>
          <w:tab w:val="num" w:pos="284"/>
        </w:tabs>
        <w:rPr>
          <w:szCs w:val="24"/>
        </w:rPr>
      </w:pPr>
    </w:p>
    <w:p w14:paraId="45429850" w14:textId="77777777" w:rsidR="006E6CFF" w:rsidRPr="004A1184" w:rsidRDefault="006E6CFF" w:rsidP="00B10A2A">
      <w:pPr>
        <w:tabs>
          <w:tab w:val="num" w:pos="284"/>
        </w:tabs>
        <w:rPr>
          <w:szCs w:val="24"/>
        </w:rPr>
      </w:pPr>
      <w:r w:rsidRPr="004A1184">
        <w:rPr>
          <w:szCs w:val="24"/>
        </w:rPr>
        <w:t>Thank you to everyone who took part in our emergency cover consultation which reviewed fire engines and crewing arrangements alongside community risks. The improvements identified reflect the most effective and efficient use of resources for the whole of Lancashire. All 39 fire stations and 58 fire appliances have been maintained and we are increasing the number of firefighters employed.</w:t>
      </w:r>
    </w:p>
    <w:p w14:paraId="26DA08FC" w14:textId="77777777" w:rsidR="006E6CFF" w:rsidRPr="004A1184" w:rsidRDefault="006E6CFF" w:rsidP="00B10A2A">
      <w:pPr>
        <w:tabs>
          <w:tab w:val="num" w:pos="284"/>
        </w:tabs>
        <w:rPr>
          <w:szCs w:val="24"/>
        </w:rPr>
      </w:pPr>
    </w:p>
    <w:p w14:paraId="15976FCF" w14:textId="77777777" w:rsidR="006E6CFF" w:rsidRPr="004A1184" w:rsidRDefault="006E6CFF" w:rsidP="00B10A2A">
      <w:pPr>
        <w:tabs>
          <w:tab w:val="num" w:pos="284"/>
        </w:tabs>
        <w:rPr>
          <w:szCs w:val="24"/>
        </w:rPr>
      </w:pPr>
      <w:r w:rsidRPr="004A1184">
        <w:rPr>
          <w:szCs w:val="24"/>
        </w:rPr>
        <w:t xml:space="preserve">An innovation that is already benefitting Lancashire as part of the review is the introduction of dynamic cover software to deploy resources. It provides visual data on community risks and emergency cover in real-time to inform decision-making. This means we can position </w:t>
      </w:r>
      <w:r w:rsidRPr="004A1184">
        <w:rPr>
          <w:szCs w:val="24"/>
        </w:rPr>
        <w:lastRenderedPageBreak/>
        <w:t>firefighters and fire engines with greater precision and has improved emergency cover and response times in communities during several periods of high demand.</w:t>
      </w:r>
    </w:p>
    <w:p w14:paraId="6DA91DE1" w14:textId="77777777" w:rsidR="006E6CFF" w:rsidRPr="004A1184" w:rsidRDefault="006E6CFF" w:rsidP="00B10A2A">
      <w:pPr>
        <w:tabs>
          <w:tab w:val="num" w:pos="284"/>
        </w:tabs>
        <w:rPr>
          <w:szCs w:val="24"/>
        </w:rPr>
      </w:pPr>
    </w:p>
    <w:p w14:paraId="0BEC3E19" w14:textId="77777777" w:rsidR="006E6CFF" w:rsidRPr="004A1184" w:rsidRDefault="006E6CFF" w:rsidP="00B10A2A">
      <w:pPr>
        <w:tabs>
          <w:tab w:val="num" w:pos="284"/>
        </w:tabs>
        <w:rPr>
          <w:szCs w:val="24"/>
        </w:rPr>
      </w:pPr>
      <w:r w:rsidRPr="004A1184">
        <w:rPr>
          <w:szCs w:val="24"/>
        </w:rPr>
        <w:t>Behind all these achievements are dedicated people with the highest levels of skills and expertise. From saving lives on the frontline to supporting behind the scenes, we are united in our determination to make Lancashire safer.</w:t>
      </w:r>
    </w:p>
    <w:p w14:paraId="0116F437" w14:textId="77777777" w:rsidR="006E6CFF" w:rsidRPr="004A1184" w:rsidRDefault="006E6CFF" w:rsidP="00B10A2A">
      <w:pPr>
        <w:tabs>
          <w:tab w:val="num" w:pos="284"/>
        </w:tabs>
        <w:rPr>
          <w:rFonts w:cs="Arial"/>
          <w:color w:val="000000" w:themeColor="text1"/>
          <w:szCs w:val="24"/>
        </w:rPr>
      </w:pPr>
    </w:p>
    <w:p w14:paraId="68A39F1F" w14:textId="77777777" w:rsidR="006E6CFF" w:rsidRPr="005C1944" w:rsidRDefault="006E6CFF" w:rsidP="005C1944">
      <w:pPr>
        <w:rPr>
          <w:b/>
          <w:bCs/>
        </w:rPr>
      </w:pPr>
      <w:r w:rsidRPr="005C1944">
        <w:rPr>
          <w:b/>
          <w:bCs/>
        </w:rPr>
        <w:t>The 2022/23 Financial Overview</w:t>
      </w:r>
    </w:p>
    <w:p w14:paraId="681C4A7E" w14:textId="77777777" w:rsidR="006E6CFF" w:rsidRPr="004A1184" w:rsidRDefault="006E6CFF" w:rsidP="00B10A2A">
      <w:pPr>
        <w:rPr>
          <w:szCs w:val="24"/>
        </w:rPr>
      </w:pPr>
    </w:p>
    <w:p w14:paraId="2062AE19" w14:textId="79A9DB4C" w:rsidR="006E6CFF" w:rsidRPr="004A1184" w:rsidRDefault="006E6CFF" w:rsidP="00B10A2A">
      <w:pPr>
        <w:rPr>
          <w:rFonts w:cs="Arial"/>
          <w:color w:val="000000" w:themeColor="text1"/>
          <w:szCs w:val="24"/>
        </w:rPr>
      </w:pPr>
      <w:r w:rsidRPr="004A1184">
        <w:rPr>
          <w:rFonts w:cs="Arial"/>
          <w:color w:val="000000" w:themeColor="text1"/>
          <w:szCs w:val="24"/>
        </w:rPr>
        <w:t>The Authority’s spending is planned and controlled by an annual budget process, which leads to the setting of its budget requirement. Expenditure on the day-to-day running costs of the service is determined through the Revenue Budget and is recorded in the Comprehensive Income and Expenditure Statement.</w:t>
      </w:r>
    </w:p>
    <w:p w14:paraId="04BDC542" w14:textId="77777777" w:rsidR="006E6CFF" w:rsidRPr="004A1184" w:rsidRDefault="006E6CFF" w:rsidP="00B10A2A">
      <w:pPr>
        <w:rPr>
          <w:rFonts w:cs="Arial"/>
          <w:color w:val="000000" w:themeColor="text1"/>
          <w:szCs w:val="24"/>
        </w:rPr>
      </w:pPr>
    </w:p>
    <w:p w14:paraId="7F453616" w14:textId="5D86063B" w:rsidR="006E6CFF" w:rsidRPr="004A1184" w:rsidRDefault="006E6CFF" w:rsidP="00B10A2A">
      <w:pPr>
        <w:rPr>
          <w:rFonts w:cs="Arial"/>
          <w:color w:val="000000" w:themeColor="text1"/>
          <w:szCs w:val="24"/>
        </w:rPr>
      </w:pPr>
      <w:r w:rsidRPr="004A1184">
        <w:rPr>
          <w:rFonts w:cs="Arial"/>
          <w:color w:val="000000" w:themeColor="text1"/>
          <w:szCs w:val="24"/>
        </w:rPr>
        <w:t xml:space="preserve">In setting its budget the Authority aims to balance the public’s requirement for and expectations of our services with the cost of providing this. As such the revenue budget focuses on the need </w:t>
      </w:r>
      <w:proofErr w:type="gramStart"/>
      <w:r w:rsidRPr="004A1184">
        <w:rPr>
          <w:rFonts w:cs="Arial"/>
          <w:color w:val="000000" w:themeColor="text1"/>
          <w:szCs w:val="24"/>
        </w:rPr>
        <w:t>to:-</w:t>
      </w:r>
      <w:proofErr w:type="gramEnd"/>
    </w:p>
    <w:p w14:paraId="1D38E447" w14:textId="77777777" w:rsidR="006E6CFF" w:rsidRPr="004A1184" w:rsidRDefault="006E6CFF" w:rsidP="00B10A2A">
      <w:pPr>
        <w:rPr>
          <w:rFonts w:cs="Arial"/>
          <w:color w:val="000000" w:themeColor="text1"/>
          <w:szCs w:val="24"/>
        </w:rPr>
      </w:pPr>
    </w:p>
    <w:p w14:paraId="2A9A3C0E" w14:textId="77777777" w:rsidR="006E6CFF" w:rsidRPr="004A1184" w:rsidRDefault="006E6CFF" w:rsidP="00FA71D8">
      <w:pPr>
        <w:numPr>
          <w:ilvl w:val="0"/>
          <w:numId w:val="36"/>
        </w:numPr>
        <w:rPr>
          <w:rFonts w:cs="Arial"/>
          <w:color w:val="000000" w:themeColor="text1"/>
          <w:szCs w:val="24"/>
        </w:rPr>
      </w:pPr>
      <w:r w:rsidRPr="004A1184">
        <w:rPr>
          <w:rFonts w:cs="Arial"/>
          <w:color w:val="000000" w:themeColor="text1"/>
          <w:szCs w:val="24"/>
        </w:rPr>
        <w:t xml:space="preserve">deliver services as outlined in the Risk Management Plan and other </w:t>
      </w:r>
      <w:proofErr w:type="gramStart"/>
      <w:r w:rsidRPr="004A1184">
        <w:rPr>
          <w:rFonts w:cs="Arial"/>
          <w:color w:val="000000" w:themeColor="text1"/>
          <w:szCs w:val="24"/>
        </w:rPr>
        <w:t>plans;</w:t>
      </w:r>
      <w:proofErr w:type="gramEnd"/>
    </w:p>
    <w:p w14:paraId="79FEAAC4" w14:textId="77777777" w:rsidR="006E6CFF" w:rsidRPr="004A1184" w:rsidRDefault="006E6CFF" w:rsidP="00FA71D8">
      <w:pPr>
        <w:numPr>
          <w:ilvl w:val="0"/>
          <w:numId w:val="36"/>
        </w:numPr>
        <w:rPr>
          <w:rFonts w:cs="Arial"/>
          <w:color w:val="000000" w:themeColor="text1"/>
          <w:szCs w:val="24"/>
        </w:rPr>
      </w:pPr>
      <w:r w:rsidRPr="004A1184">
        <w:rPr>
          <w:rFonts w:cs="Arial"/>
          <w:color w:val="000000" w:themeColor="text1"/>
          <w:szCs w:val="24"/>
        </w:rPr>
        <w:t xml:space="preserve">maintain future council tax increases at reasonable </w:t>
      </w:r>
      <w:proofErr w:type="gramStart"/>
      <w:r w:rsidRPr="004A1184">
        <w:rPr>
          <w:rFonts w:cs="Arial"/>
          <w:color w:val="000000" w:themeColor="text1"/>
          <w:szCs w:val="24"/>
        </w:rPr>
        <w:t>levels;</w:t>
      </w:r>
      <w:proofErr w:type="gramEnd"/>
    </w:p>
    <w:p w14:paraId="39EA1E8F" w14:textId="77777777" w:rsidR="006E6CFF" w:rsidRPr="004A1184" w:rsidRDefault="006E6CFF" w:rsidP="00FA71D8">
      <w:pPr>
        <w:numPr>
          <w:ilvl w:val="0"/>
          <w:numId w:val="36"/>
        </w:numPr>
        <w:rPr>
          <w:rFonts w:cs="Arial"/>
          <w:color w:val="000000" w:themeColor="text1"/>
          <w:szCs w:val="24"/>
        </w:rPr>
      </w:pPr>
      <w:r w:rsidRPr="004A1184">
        <w:rPr>
          <w:rFonts w:cs="Arial"/>
          <w:color w:val="000000" w:themeColor="text1"/>
          <w:szCs w:val="24"/>
        </w:rPr>
        <w:t xml:space="preserve">continue to deliver efficiencies in line with </w:t>
      </w:r>
      <w:proofErr w:type="gramStart"/>
      <w:r w:rsidRPr="004A1184">
        <w:rPr>
          <w:rFonts w:cs="Arial"/>
          <w:color w:val="000000" w:themeColor="text1"/>
          <w:szCs w:val="24"/>
        </w:rPr>
        <w:t>targets;</w:t>
      </w:r>
      <w:proofErr w:type="gramEnd"/>
    </w:p>
    <w:p w14:paraId="65A32971" w14:textId="77777777" w:rsidR="006E6CFF" w:rsidRPr="004A1184" w:rsidRDefault="006E6CFF" w:rsidP="00FA71D8">
      <w:pPr>
        <w:numPr>
          <w:ilvl w:val="0"/>
          <w:numId w:val="36"/>
        </w:numPr>
        <w:rPr>
          <w:rFonts w:cs="Arial"/>
          <w:color w:val="000000" w:themeColor="text1"/>
          <w:szCs w:val="24"/>
        </w:rPr>
      </w:pPr>
      <w:r w:rsidRPr="004A1184">
        <w:rPr>
          <w:rFonts w:cs="Arial"/>
          <w:color w:val="000000" w:themeColor="text1"/>
          <w:szCs w:val="24"/>
        </w:rPr>
        <w:t xml:space="preserve">continue to invest in improvements in service delivery and </w:t>
      </w:r>
      <w:proofErr w:type="gramStart"/>
      <w:r w:rsidRPr="004A1184">
        <w:rPr>
          <w:rFonts w:cs="Arial"/>
          <w:color w:val="000000" w:themeColor="text1"/>
          <w:szCs w:val="24"/>
        </w:rPr>
        <w:t>facilities;</w:t>
      </w:r>
      <w:proofErr w:type="gramEnd"/>
    </w:p>
    <w:p w14:paraId="3F79B78E" w14:textId="77777777" w:rsidR="006E6CFF" w:rsidRPr="004A1184" w:rsidRDefault="006E6CFF" w:rsidP="00FA71D8">
      <w:pPr>
        <w:numPr>
          <w:ilvl w:val="0"/>
          <w:numId w:val="36"/>
        </w:numPr>
        <w:rPr>
          <w:rFonts w:cs="Arial"/>
          <w:color w:val="000000" w:themeColor="text1"/>
          <w:szCs w:val="24"/>
        </w:rPr>
      </w:pPr>
      <w:r w:rsidRPr="004A1184">
        <w:rPr>
          <w:rFonts w:cs="Arial"/>
          <w:color w:val="000000" w:themeColor="text1"/>
          <w:szCs w:val="24"/>
        </w:rPr>
        <w:t>set a robust budget that takes account of known and anticipated pressures; and</w:t>
      </w:r>
    </w:p>
    <w:p w14:paraId="3B83A4D1" w14:textId="77777777" w:rsidR="006E6CFF" w:rsidRPr="004A1184" w:rsidRDefault="006E6CFF" w:rsidP="00FA71D8">
      <w:pPr>
        <w:numPr>
          <w:ilvl w:val="0"/>
          <w:numId w:val="36"/>
        </w:numPr>
        <w:rPr>
          <w:rFonts w:cs="Arial"/>
          <w:color w:val="000000" w:themeColor="text1"/>
          <w:szCs w:val="24"/>
        </w:rPr>
      </w:pPr>
      <w:r w:rsidRPr="004A1184">
        <w:rPr>
          <w:rFonts w:cs="Arial"/>
          <w:color w:val="000000" w:themeColor="text1"/>
          <w:szCs w:val="24"/>
        </w:rPr>
        <w:t>maintain an adequate level of reserves.</w:t>
      </w:r>
    </w:p>
    <w:p w14:paraId="4456C4C9" w14:textId="77777777" w:rsidR="006E6CFF" w:rsidRPr="004A1184" w:rsidRDefault="006E6CFF" w:rsidP="00B10A2A">
      <w:pPr>
        <w:rPr>
          <w:rFonts w:cs="Arial"/>
          <w:color w:val="000000" w:themeColor="text1"/>
          <w:szCs w:val="24"/>
        </w:rPr>
      </w:pPr>
    </w:p>
    <w:p w14:paraId="4FC82B36" w14:textId="236EA0AD" w:rsidR="006E6CFF" w:rsidRPr="004A1184" w:rsidRDefault="006E6CFF" w:rsidP="00B10A2A">
      <w:pPr>
        <w:rPr>
          <w:rFonts w:cs="Arial"/>
          <w:color w:val="000000" w:themeColor="text1"/>
          <w:szCs w:val="24"/>
        </w:rPr>
      </w:pPr>
      <w:r w:rsidRPr="004A1184">
        <w:rPr>
          <w:rFonts w:cs="Arial"/>
          <w:color w:val="000000" w:themeColor="text1"/>
          <w:szCs w:val="24"/>
        </w:rPr>
        <w:t xml:space="preserve">The Authority agreed a gross revenue budget of £63.0m and a council tax of £77.27. This represented a £5 increase in council tax, in line with the Council Tax referendum limit. Based on this the budget was considered affordable, </w:t>
      </w:r>
      <w:r w:rsidR="007D71A7" w:rsidRPr="004A1184">
        <w:rPr>
          <w:rFonts w:cs="Arial"/>
          <w:color w:val="000000" w:themeColor="text1"/>
          <w:szCs w:val="24"/>
        </w:rPr>
        <w:t>prudent,</w:t>
      </w:r>
      <w:r w:rsidRPr="004A1184">
        <w:rPr>
          <w:rFonts w:cs="Arial"/>
          <w:color w:val="000000" w:themeColor="text1"/>
          <w:szCs w:val="24"/>
        </w:rPr>
        <w:t xml:space="preserve"> and sustainable, whilst ensuring that the Authority was able to deliver against its corporate priorities.</w:t>
      </w:r>
    </w:p>
    <w:p w14:paraId="4D2E8870" w14:textId="77777777" w:rsidR="006E6CFF" w:rsidRPr="004A1184" w:rsidRDefault="006E6CFF" w:rsidP="00B10A2A">
      <w:pPr>
        <w:rPr>
          <w:rFonts w:cs="Arial"/>
          <w:color w:val="000000" w:themeColor="text1"/>
          <w:szCs w:val="24"/>
        </w:rPr>
      </w:pPr>
    </w:p>
    <w:p w14:paraId="3478448F" w14:textId="2E521203" w:rsidR="004A1184" w:rsidRDefault="006E6CFF">
      <w:pPr>
        <w:rPr>
          <w:rFonts w:cs="Arial"/>
          <w:color w:val="000000" w:themeColor="text1"/>
          <w:szCs w:val="24"/>
        </w:rPr>
      </w:pPr>
      <w:r w:rsidRPr="004A1184">
        <w:rPr>
          <w:rFonts w:cs="Arial"/>
          <w:color w:val="000000" w:themeColor="text1"/>
          <w:szCs w:val="24"/>
        </w:rPr>
        <w:t>The net revenue position shows an overall overspend of £1.</w:t>
      </w:r>
      <w:r w:rsidR="002629D1" w:rsidRPr="004A1184">
        <w:rPr>
          <w:rFonts w:cs="Arial"/>
          <w:color w:val="000000" w:themeColor="text1"/>
          <w:szCs w:val="24"/>
        </w:rPr>
        <w:t>7</w:t>
      </w:r>
      <w:r w:rsidRPr="004A1184">
        <w:rPr>
          <w:rFonts w:cs="Arial"/>
          <w:color w:val="000000" w:themeColor="text1"/>
          <w:szCs w:val="24"/>
        </w:rPr>
        <w:t>m, with the main variances relating to higher than budgeted pay awards and inflation related costs, which is partly offset by higher than budgeted investment income. This has resulted in a drawdown from General Reserves to support the budget.</w:t>
      </w:r>
    </w:p>
    <w:p w14:paraId="47E84998" w14:textId="77777777" w:rsidR="00B10A2A" w:rsidRDefault="00B10A2A">
      <w:pPr>
        <w:rPr>
          <w:rFonts w:cs="Arial"/>
          <w:color w:val="000000" w:themeColor="text1"/>
          <w:szCs w:val="24"/>
        </w:rPr>
      </w:pPr>
      <w:r>
        <w:rPr>
          <w:rFonts w:cs="Arial"/>
          <w:color w:val="000000" w:themeColor="text1"/>
          <w:szCs w:val="24"/>
        </w:rPr>
        <w:br w:type="page"/>
      </w:r>
    </w:p>
    <w:p w14:paraId="647AF030" w14:textId="1D89BB6F" w:rsidR="006E6CFF" w:rsidRPr="004A1184" w:rsidRDefault="006E6CFF" w:rsidP="00B10A2A">
      <w:pPr>
        <w:rPr>
          <w:rFonts w:cs="Arial"/>
          <w:color w:val="000000" w:themeColor="text1"/>
          <w:szCs w:val="24"/>
        </w:rPr>
      </w:pPr>
      <w:r w:rsidRPr="004A1184">
        <w:rPr>
          <w:rFonts w:cs="Arial"/>
          <w:color w:val="000000" w:themeColor="text1"/>
          <w:szCs w:val="24"/>
        </w:rPr>
        <w:lastRenderedPageBreak/>
        <w:t>The following charts show a breakdown of where the monies we received come from and how we spent this:</w:t>
      </w:r>
    </w:p>
    <w:p w14:paraId="5B5D4CBC" w14:textId="0B8AE568" w:rsidR="006E6CFF" w:rsidRPr="006E6CFF" w:rsidRDefault="004A1184" w:rsidP="006E6CFF">
      <w:pPr>
        <w:jc w:val="both"/>
        <w:rPr>
          <w:rFonts w:cs="Arial"/>
          <w:color w:val="000000" w:themeColor="text1"/>
          <w:sz w:val="22"/>
          <w:szCs w:val="22"/>
          <w:highlight w:val="yellow"/>
        </w:rPr>
      </w:pPr>
      <w:r>
        <w:rPr>
          <w:noProof/>
        </w:rPr>
        <w:drawing>
          <wp:inline distT="0" distB="0" distL="0" distR="0" wp14:anchorId="5EA1C51C" wp14:editId="75EC87D7">
            <wp:extent cx="4581525" cy="3676650"/>
            <wp:effectExtent l="0" t="0" r="0" b="0"/>
            <wp:docPr id="1" name="Chart 1" descr="Pie chart showing the Authority's expenditure analysis for 2022/23. Employee pay costs 68%, supplies and services 11%, capital financing and other items 10%, premises 6%, transport 3% and other employee related costs 2%.">
              <a:extLst xmlns:a="http://schemas.openxmlformats.org/drawingml/2006/main">
                <a:ext uri="{FF2B5EF4-FFF2-40B4-BE49-F238E27FC236}">
                  <a16:creationId xmlns:a16="http://schemas.microsoft.com/office/drawing/2014/main" id="{390C6EE1-C278-6FDD-6DA7-35FCD270FC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5042"/>
      </w:tblGrid>
      <w:tr w:rsidR="006E6CFF" w:rsidRPr="000E606D" w14:paraId="2548DB3C" w14:textId="77777777" w:rsidTr="004552D3">
        <w:tc>
          <w:tcPr>
            <w:tcW w:w="4880" w:type="dxa"/>
          </w:tcPr>
          <w:p w14:paraId="2555A655" w14:textId="4B2058CD" w:rsidR="006E6CFF" w:rsidRPr="000E606D" w:rsidRDefault="006E6CFF" w:rsidP="00533E5D">
            <w:pPr>
              <w:jc w:val="both"/>
              <w:rPr>
                <w:rFonts w:cs="Arial"/>
                <w:color w:val="000000" w:themeColor="text1"/>
                <w:sz w:val="22"/>
                <w:szCs w:val="22"/>
              </w:rPr>
            </w:pPr>
          </w:p>
        </w:tc>
        <w:tc>
          <w:tcPr>
            <w:tcW w:w="5042" w:type="dxa"/>
          </w:tcPr>
          <w:p w14:paraId="61DAE325" w14:textId="644D6A59" w:rsidR="00057CAF" w:rsidRPr="000E606D" w:rsidRDefault="00057CAF" w:rsidP="00533E5D">
            <w:pPr>
              <w:jc w:val="both"/>
              <w:rPr>
                <w:rFonts w:cs="Arial"/>
                <w:color w:val="000000" w:themeColor="text1"/>
                <w:sz w:val="22"/>
                <w:szCs w:val="22"/>
              </w:rPr>
            </w:pPr>
          </w:p>
        </w:tc>
      </w:tr>
    </w:tbl>
    <w:p w14:paraId="43A81EA0" w14:textId="5E8E1365" w:rsidR="004A1184" w:rsidRDefault="004A1184" w:rsidP="006E6CFF">
      <w:pPr>
        <w:rPr>
          <w:rFonts w:cs="Arial"/>
          <w:color w:val="000000" w:themeColor="text1"/>
          <w:szCs w:val="24"/>
        </w:rPr>
      </w:pPr>
    </w:p>
    <w:p w14:paraId="10547006" w14:textId="7F57581C" w:rsidR="004A1184" w:rsidRDefault="004A1184">
      <w:pPr>
        <w:rPr>
          <w:rFonts w:cs="Arial"/>
          <w:color w:val="000000" w:themeColor="text1"/>
          <w:szCs w:val="24"/>
        </w:rPr>
      </w:pPr>
      <w:r>
        <w:rPr>
          <w:noProof/>
        </w:rPr>
        <w:drawing>
          <wp:inline distT="0" distB="0" distL="0" distR="0" wp14:anchorId="43BDF591" wp14:editId="1C9F28D5">
            <wp:extent cx="4733925" cy="3733800"/>
            <wp:effectExtent l="0" t="0" r="0" b="0"/>
            <wp:docPr id="6" name="Chart 6" descr="Pie chart showing the Authority's income analysis for 2022/23. Council tax 50%, business rates 27%, government grant 12% and other income 11%.">
              <a:extLst xmlns:a="http://schemas.openxmlformats.org/drawingml/2006/main">
                <a:ext uri="{FF2B5EF4-FFF2-40B4-BE49-F238E27FC236}">
                  <a16:creationId xmlns:a16="http://schemas.microsoft.com/office/drawing/2014/main" id="{A3690E83-AFF1-43F0-9313-31FB2FF8C1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cs="Arial"/>
          <w:color w:val="000000" w:themeColor="text1"/>
          <w:szCs w:val="24"/>
        </w:rPr>
        <w:br w:type="page"/>
      </w:r>
    </w:p>
    <w:p w14:paraId="095A2956" w14:textId="23ABC940" w:rsidR="006E6CFF" w:rsidRPr="004A1184" w:rsidRDefault="006E6CFF" w:rsidP="00B10A2A">
      <w:pPr>
        <w:rPr>
          <w:rFonts w:cs="Arial"/>
          <w:color w:val="000000" w:themeColor="text1"/>
          <w:szCs w:val="24"/>
        </w:rPr>
      </w:pPr>
      <w:r w:rsidRPr="004A1184">
        <w:rPr>
          <w:rFonts w:cs="Arial"/>
          <w:color w:val="000000" w:themeColor="text1"/>
          <w:szCs w:val="24"/>
        </w:rPr>
        <w:lastRenderedPageBreak/>
        <w:t xml:space="preserve">A summarised comparison of the Fire Authority’s expenditure for the year compared with budget is set out </w:t>
      </w:r>
      <w:r w:rsidR="000E606D" w:rsidRPr="004A1184">
        <w:rPr>
          <w:rFonts w:cs="Arial"/>
          <w:color w:val="000000" w:themeColor="text1"/>
          <w:szCs w:val="24"/>
        </w:rPr>
        <w:t>below:</w:t>
      </w:r>
    </w:p>
    <w:p w14:paraId="40428272" w14:textId="77777777" w:rsidR="006E6CFF" w:rsidRPr="004A1184" w:rsidRDefault="006E6CFF" w:rsidP="006E6CFF">
      <w:pPr>
        <w:rPr>
          <w:rFonts w:cs="Arial"/>
          <w:color w:val="000000" w:themeColor="text1"/>
          <w:szCs w:val="24"/>
        </w:rPr>
      </w:pP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1495"/>
        <w:gridCol w:w="1495"/>
        <w:gridCol w:w="1494"/>
      </w:tblGrid>
      <w:tr w:rsidR="006E6CFF" w:rsidRPr="004A1184" w14:paraId="1722917A" w14:textId="77777777" w:rsidTr="00BD79B2">
        <w:trPr>
          <w:trHeight w:val="600"/>
          <w:tblHeader/>
        </w:trPr>
        <w:tc>
          <w:tcPr>
            <w:tcW w:w="4082" w:type="dxa"/>
            <w:shd w:val="clear" w:color="auto" w:fill="BD2716"/>
            <w:noWrap/>
            <w:vAlign w:val="center"/>
            <w:hideMark/>
          </w:tcPr>
          <w:p w14:paraId="529321E9" w14:textId="72A518EB" w:rsidR="006E6CFF" w:rsidRPr="00BD79B2" w:rsidRDefault="00B10A2A" w:rsidP="00533E5D">
            <w:pPr>
              <w:rPr>
                <w:rFonts w:cs="Arial"/>
                <w:b/>
                <w:bCs/>
                <w:color w:val="FFFFFF" w:themeColor="background1"/>
                <w:szCs w:val="24"/>
                <w:lang w:eastAsia="en-GB"/>
              </w:rPr>
            </w:pPr>
            <w:bookmarkStart w:id="2" w:name="_Hlk162424902"/>
            <w:r w:rsidRPr="00BD79B2">
              <w:rPr>
                <w:rFonts w:cs="Arial"/>
                <w:b/>
                <w:bCs/>
                <w:color w:val="FFFFFF" w:themeColor="background1"/>
                <w:szCs w:val="24"/>
                <w:lang w:eastAsia="en-GB"/>
              </w:rPr>
              <w:t>Comparison (</w:t>
            </w:r>
            <w:r w:rsidR="00F2325E" w:rsidRPr="00BD79B2">
              <w:rPr>
                <w:rFonts w:cs="Arial"/>
                <w:b/>
                <w:bCs/>
                <w:color w:val="FFFFFF" w:themeColor="background1"/>
                <w:szCs w:val="24"/>
                <w:lang w:eastAsia="en-GB"/>
              </w:rPr>
              <w:t>£000</w:t>
            </w:r>
            <w:r w:rsidRPr="00BD79B2">
              <w:rPr>
                <w:rFonts w:cs="Arial"/>
                <w:b/>
                <w:bCs/>
                <w:color w:val="FFFFFF" w:themeColor="background1"/>
                <w:szCs w:val="24"/>
                <w:lang w:eastAsia="en-GB"/>
              </w:rPr>
              <w:t>)</w:t>
            </w:r>
          </w:p>
        </w:tc>
        <w:tc>
          <w:tcPr>
            <w:tcW w:w="1495" w:type="dxa"/>
            <w:shd w:val="clear" w:color="auto" w:fill="BD2716"/>
            <w:vAlign w:val="center"/>
            <w:hideMark/>
          </w:tcPr>
          <w:p w14:paraId="7188C0F5" w14:textId="2D8B63D6" w:rsidR="006E6CFF" w:rsidRPr="00BD79B2" w:rsidRDefault="006E6CFF" w:rsidP="00BD79B2">
            <w:pPr>
              <w:jc w:val="right"/>
              <w:rPr>
                <w:rFonts w:cs="Arial"/>
                <w:b/>
                <w:bCs/>
                <w:color w:val="FFFFFF" w:themeColor="background1"/>
                <w:szCs w:val="24"/>
                <w:lang w:eastAsia="en-GB"/>
              </w:rPr>
            </w:pPr>
            <w:r w:rsidRPr="00BD79B2">
              <w:rPr>
                <w:rFonts w:cs="Arial"/>
                <w:b/>
                <w:bCs/>
                <w:color w:val="FFFFFF" w:themeColor="background1"/>
                <w:szCs w:val="24"/>
                <w:lang w:eastAsia="en-GB"/>
              </w:rPr>
              <w:t>Budget</w:t>
            </w:r>
          </w:p>
        </w:tc>
        <w:tc>
          <w:tcPr>
            <w:tcW w:w="1495" w:type="dxa"/>
            <w:shd w:val="clear" w:color="auto" w:fill="BD2716"/>
            <w:vAlign w:val="center"/>
            <w:hideMark/>
          </w:tcPr>
          <w:p w14:paraId="265F64A0" w14:textId="77777777" w:rsidR="006E6CFF" w:rsidRPr="00BD79B2" w:rsidRDefault="006E6CFF" w:rsidP="00BD79B2">
            <w:pPr>
              <w:jc w:val="right"/>
              <w:rPr>
                <w:rFonts w:cs="Arial"/>
                <w:b/>
                <w:bCs/>
                <w:color w:val="FFFFFF" w:themeColor="background1"/>
                <w:szCs w:val="24"/>
                <w:lang w:eastAsia="en-GB"/>
              </w:rPr>
            </w:pPr>
            <w:r w:rsidRPr="00BD79B2">
              <w:rPr>
                <w:rFonts w:cs="Arial"/>
                <w:b/>
                <w:bCs/>
                <w:color w:val="FFFFFF" w:themeColor="background1"/>
                <w:szCs w:val="24"/>
                <w:lang w:eastAsia="en-GB"/>
              </w:rPr>
              <w:t>Spend</w:t>
            </w:r>
          </w:p>
        </w:tc>
        <w:tc>
          <w:tcPr>
            <w:tcW w:w="1494" w:type="dxa"/>
            <w:shd w:val="clear" w:color="auto" w:fill="BD2716"/>
            <w:vAlign w:val="center"/>
            <w:hideMark/>
          </w:tcPr>
          <w:p w14:paraId="34A41E13" w14:textId="14D36B9D" w:rsidR="006E6CFF" w:rsidRPr="00BD79B2" w:rsidRDefault="006E6CFF" w:rsidP="00BD79B2">
            <w:pPr>
              <w:jc w:val="right"/>
              <w:rPr>
                <w:rFonts w:cs="Arial"/>
                <w:b/>
                <w:bCs/>
                <w:color w:val="FFFFFF" w:themeColor="background1"/>
                <w:szCs w:val="24"/>
                <w:lang w:eastAsia="en-GB"/>
              </w:rPr>
            </w:pPr>
            <w:r w:rsidRPr="00BD79B2">
              <w:rPr>
                <w:rFonts w:cs="Arial"/>
                <w:b/>
                <w:bCs/>
                <w:color w:val="FFFFFF" w:themeColor="background1"/>
                <w:szCs w:val="24"/>
                <w:lang w:eastAsia="en-GB"/>
              </w:rPr>
              <w:t>(Under) / Overspend</w:t>
            </w:r>
          </w:p>
        </w:tc>
      </w:tr>
      <w:tr w:rsidR="006E6CFF" w:rsidRPr="004A1184" w14:paraId="50F66AD9" w14:textId="77777777" w:rsidTr="00533E5D">
        <w:trPr>
          <w:trHeight w:val="300"/>
        </w:trPr>
        <w:tc>
          <w:tcPr>
            <w:tcW w:w="4082" w:type="dxa"/>
            <w:shd w:val="clear" w:color="auto" w:fill="auto"/>
            <w:noWrap/>
            <w:vAlign w:val="center"/>
            <w:hideMark/>
          </w:tcPr>
          <w:p w14:paraId="2433AF3E" w14:textId="77777777" w:rsidR="006E6CFF" w:rsidRPr="004A1184" w:rsidRDefault="006E6CFF" w:rsidP="00533E5D">
            <w:pPr>
              <w:rPr>
                <w:rFonts w:cs="Arial"/>
                <w:szCs w:val="24"/>
                <w:lang w:eastAsia="en-GB"/>
              </w:rPr>
            </w:pPr>
            <w:r w:rsidRPr="004A1184">
              <w:rPr>
                <w:rFonts w:cs="Arial"/>
                <w:szCs w:val="24"/>
                <w:lang w:eastAsia="en-GB"/>
              </w:rPr>
              <w:t>Employees: pay costs</w:t>
            </w:r>
          </w:p>
        </w:tc>
        <w:tc>
          <w:tcPr>
            <w:tcW w:w="1495" w:type="dxa"/>
            <w:shd w:val="clear" w:color="auto" w:fill="auto"/>
            <w:noWrap/>
            <w:vAlign w:val="center"/>
            <w:hideMark/>
          </w:tcPr>
          <w:p w14:paraId="6DD6A0A8" w14:textId="77777777" w:rsidR="006E6CFF" w:rsidRPr="004A1184" w:rsidRDefault="006E6CFF" w:rsidP="00533E5D">
            <w:pPr>
              <w:jc w:val="right"/>
              <w:rPr>
                <w:rFonts w:cs="Arial"/>
                <w:szCs w:val="24"/>
                <w:lang w:eastAsia="en-GB"/>
              </w:rPr>
            </w:pPr>
            <w:r w:rsidRPr="004A1184">
              <w:rPr>
                <w:rFonts w:cs="Arial"/>
                <w:szCs w:val="24"/>
                <w:lang w:eastAsia="en-GB"/>
              </w:rPr>
              <w:t xml:space="preserve">48,795 </w:t>
            </w:r>
          </w:p>
        </w:tc>
        <w:tc>
          <w:tcPr>
            <w:tcW w:w="1495" w:type="dxa"/>
            <w:shd w:val="clear" w:color="auto" w:fill="auto"/>
            <w:noWrap/>
            <w:vAlign w:val="center"/>
            <w:hideMark/>
          </w:tcPr>
          <w:p w14:paraId="5DDE43A4" w14:textId="77777777" w:rsidR="006E6CFF" w:rsidRPr="004A1184" w:rsidRDefault="006E6CFF" w:rsidP="00533E5D">
            <w:pPr>
              <w:jc w:val="right"/>
              <w:rPr>
                <w:rFonts w:cs="Arial"/>
                <w:szCs w:val="24"/>
                <w:lang w:eastAsia="en-GB"/>
              </w:rPr>
            </w:pPr>
            <w:r w:rsidRPr="004A1184">
              <w:rPr>
                <w:rFonts w:cs="Arial"/>
                <w:szCs w:val="24"/>
                <w:lang w:eastAsia="en-GB"/>
              </w:rPr>
              <w:t xml:space="preserve">49,680 </w:t>
            </w:r>
          </w:p>
        </w:tc>
        <w:tc>
          <w:tcPr>
            <w:tcW w:w="1494" w:type="dxa"/>
            <w:shd w:val="clear" w:color="auto" w:fill="auto"/>
            <w:noWrap/>
            <w:vAlign w:val="center"/>
            <w:hideMark/>
          </w:tcPr>
          <w:p w14:paraId="32D5D919" w14:textId="77777777" w:rsidR="006E6CFF" w:rsidRPr="004A1184" w:rsidRDefault="006E6CFF" w:rsidP="00533E5D">
            <w:pPr>
              <w:jc w:val="right"/>
              <w:rPr>
                <w:rFonts w:cs="Arial"/>
                <w:szCs w:val="24"/>
                <w:lang w:eastAsia="en-GB"/>
              </w:rPr>
            </w:pPr>
            <w:r w:rsidRPr="004A1184">
              <w:rPr>
                <w:rFonts w:cs="Arial"/>
                <w:szCs w:val="24"/>
                <w:lang w:eastAsia="en-GB"/>
              </w:rPr>
              <w:t xml:space="preserve">885 </w:t>
            </w:r>
          </w:p>
        </w:tc>
      </w:tr>
      <w:tr w:rsidR="006E6CFF" w:rsidRPr="004A1184" w14:paraId="54405153" w14:textId="77777777" w:rsidTr="00533E5D">
        <w:trPr>
          <w:trHeight w:val="300"/>
        </w:trPr>
        <w:tc>
          <w:tcPr>
            <w:tcW w:w="4082" w:type="dxa"/>
            <w:shd w:val="clear" w:color="auto" w:fill="auto"/>
            <w:noWrap/>
            <w:vAlign w:val="center"/>
            <w:hideMark/>
          </w:tcPr>
          <w:p w14:paraId="186DEDB6" w14:textId="77777777" w:rsidR="006E6CFF" w:rsidRPr="004A1184" w:rsidRDefault="006E6CFF" w:rsidP="00533E5D">
            <w:pPr>
              <w:rPr>
                <w:rFonts w:cs="Arial"/>
                <w:szCs w:val="24"/>
                <w:lang w:eastAsia="en-GB"/>
              </w:rPr>
            </w:pPr>
            <w:r w:rsidRPr="004A1184">
              <w:rPr>
                <w:rFonts w:cs="Arial"/>
                <w:szCs w:val="24"/>
                <w:lang w:eastAsia="en-GB"/>
              </w:rPr>
              <w:t>Other employee related costs</w:t>
            </w:r>
          </w:p>
        </w:tc>
        <w:tc>
          <w:tcPr>
            <w:tcW w:w="1495" w:type="dxa"/>
            <w:shd w:val="clear" w:color="auto" w:fill="auto"/>
            <w:noWrap/>
            <w:vAlign w:val="center"/>
            <w:hideMark/>
          </w:tcPr>
          <w:p w14:paraId="4C4521A7" w14:textId="77777777" w:rsidR="006E6CFF" w:rsidRPr="004A1184" w:rsidRDefault="006E6CFF" w:rsidP="00533E5D">
            <w:pPr>
              <w:jc w:val="right"/>
              <w:rPr>
                <w:rFonts w:cs="Arial"/>
                <w:szCs w:val="24"/>
                <w:lang w:eastAsia="en-GB"/>
              </w:rPr>
            </w:pPr>
            <w:r w:rsidRPr="004A1184">
              <w:rPr>
                <w:rFonts w:cs="Arial"/>
                <w:szCs w:val="24"/>
                <w:lang w:eastAsia="en-GB"/>
              </w:rPr>
              <w:t xml:space="preserve">1,493 </w:t>
            </w:r>
          </w:p>
        </w:tc>
        <w:tc>
          <w:tcPr>
            <w:tcW w:w="1495" w:type="dxa"/>
            <w:shd w:val="clear" w:color="auto" w:fill="auto"/>
            <w:noWrap/>
            <w:vAlign w:val="center"/>
            <w:hideMark/>
          </w:tcPr>
          <w:p w14:paraId="1328E8E6" w14:textId="77777777" w:rsidR="006E6CFF" w:rsidRPr="004A1184" w:rsidRDefault="006E6CFF" w:rsidP="00533E5D">
            <w:pPr>
              <w:jc w:val="right"/>
              <w:rPr>
                <w:rFonts w:cs="Arial"/>
                <w:szCs w:val="24"/>
                <w:lang w:eastAsia="en-GB"/>
              </w:rPr>
            </w:pPr>
            <w:r w:rsidRPr="004A1184">
              <w:rPr>
                <w:rFonts w:cs="Arial"/>
                <w:szCs w:val="24"/>
                <w:lang w:eastAsia="en-GB"/>
              </w:rPr>
              <w:t xml:space="preserve">1,736 </w:t>
            </w:r>
          </w:p>
        </w:tc>
        <w:tc>
          <w:tcPr>
            <w:tcW w:w="1494" w:type="dxa"/>
            <w:shd w:val="clear" w:color="auto" w:fill="auto"/>
            <w:noWrap/>
            <w:vAlign w:val="center"/>
            <w:hideMark/>
          </w:tcPr>
          <w:p w14:paraId="237B823E" w14:textId="77777777" w:rsidR="006E6CFF" w:rsidRPr="004A1184" w:rsidRDefault="006E6CFF" w:rsidP="00533E5D">
            <w:pPr>
              <w:jc w:val="right"/>
              <w:rPr>
                <w:rFonts w:cs="Arial"/>
                <w:szCs w:val="24"/>
                <w:lang w:eastAsia="en-GB"/>
              </w:rPr>
            </w:pPr>
            <w:r w:rsidRPr="004A1184">
              <w:rPr>
                <w:rFonts w:cs="Arial"/>
                <w:szCs w:val="24"/>
                <w:lang w:eastAsia="en-GB"/>
              </w:rPr>
              <w:t xml:space="preserve">243 </w:t>
            </w:r>
          </w:p>
        </w:tc>
      </w:tr>
      <w:tr w:rsidR="006E6CFF" w:rsidRPr="004A1184" w14:paraId="2CF42362" w14:textId="77777777" w:rsidTr="00533E5D">
        <w:trPr>
          <w:trHeight w:val="300"/>
        </w:trPr>
        <w:tc>
          <w:tcPr>
            <w:tcW w:w="4082" w:type="dxa"/>
            <w:shd w:val="clear" w:color="auto" w:fill="auto"/>
            <w:noWrap/>
            <w:vAlign w:val="center"/>
            <w:hideMark/>
          </w:tcPr>
          <w:p w14:paraId="427CBDF6" w14:textId="77777777" w:rsidR="006E6CFF" w:rsidRPr="004A1184" w:rsidRDefault="006E6CFF" w:rsidP="00533E5D">
            <w:pPr>
              <w:rPr>
                <w:rFonts w:cs="Arial"/>
                <w:szCs w:val="24"/>
                <w:lang w:eastAsia="en-GB"/>
              </w:rPr>
            </w:pPr>
            <w:r w:rsidRPr="004A1184">
              <w:rPr>
                <w:rFonts w:cs="Arial"/>
                <w:szCs w:val="24"/>
                <w:lang w:eastAsia="en-GB"/>
              </w:rPr>
              <w:t>Premises</w:t>
            </w:r>
          </w:p>
        </w:tc>
        <w:tc>
          <w:tcPr>
            <w:tcW w:w="1495" w:type="dxa"/>
            <w:shd w:val="clear" w:color="auto" w:fill="auto"/>
            <w:noWrap/>
            <w:vAlign w:val="center"/>
            <w:hideMark/>
          </w:tcPr>
          <w:p w14:paraId="469053EB" w14:textId="77777777" w:rsidR="006E6CFF" w:rsidRPr="004A1184" w:rsidRDefault="006E6CFF" w:rsidP="00533E5D">
            <w:pPr>
              <w:jc w:val="right"/>
              <w:rPr>
                <w:rFonts w:cs="Arial"/>
                <w:szCs w:val="24"/>
                <w:lang w:eastAsia="en-GB"/>
              </w:rPr>
            </w:pPr>
            <w:r w:rsidRPr="004A1184">
              <w:rPr>
                <w:rFonts w:cs="Arial"/>
                <w:szCs w:val="24"/>
                <w:lang w:eastAsia="en-GB"/>
              </w:rPr>
              <w:t xml:space="preserve">3,473 </w:t>
            </w:r>
          </w:p>
        </w:tc>
        <w:tc>
          <w:tcPr>
            <w:tcW w:w="1495" w:type="dxa"/>
            <w:shd w:val="clear" w:color="auto" w:fill="auto"/>
            <w:noWrap/>
            <w:vAlign w:val="center"/>
            <w:hideMark/>
          </w:tcPr>
          <w:p w14:paraId="29F03823" w14:textId="77777777" w:rsidR="006E6CFF" w:rsidRPr="004A1184" w:rsidRDefault="006E6CFF" w:rsidP="00533E5D">
            <w:pPr>
              <w:jc w:val="right"/>
              <w:rPr>
                <w:rFonts w:cs="Arial"/>
                <w:szCs w:val="24"/>
                <w:lang w:eastAsia="en-GB"/>
              </w:rPr>
            </w:pPr>
            <w:r w:rsidRPr="004A1184">
              <w:rPr>
                <w:rFonts w:cs="Arial"/>
                <w:szCs w:val="24"/>
                <w:lang w:eastAsia="en-GB"/>
              </w:rPr>
              <w:t xml:space="preserve">4,217 </w:t>
            </w:r>
          </w:p>
        </w:tc>
        <w:tc>
          <w:tcPr>
            <w:tcW w:w="1494" w:type="dxa"/>
            <w:shd w:val="clear" w:color="auto" w:fill="auto"/>
            <w:noWrap/>
            <w:vAlign w:val="center"/>
            <w:hideMark/>
          </w:tcPr>
          <w:p w14:paraId="7FA6616A" w14:textId="77777777" w:rsidR="006E6CFF" w:rsidRPr="004A1184" w:rsidRDefault="006E6CFF" w:rsidP="00533E5D">
            <w:pPr>
              <w:jc w:val="right"/>
              <w:rPr>
                <w:rFonts w:cs="Arial"/>
                <w:szCs w:val="24"/>
                <w:lang w:eastAsia="en-GB"/>
              </w:rPr>
            </w:pPr>
            <w:r w:rsidRPr="004A1184">
              <w:rPr>
                <w:rFonts w:cs="Arial"/>
                <w:szCs w:val="24"/>
                <w:lang w:eastAsia="en-GB"/>
              </w:rPr>
              <w:t xml:space="preserve">744 </w:t>
            </w:r>
          </w:p>
        </w:tc>
      </w:tr>
      <w:tr w:rsidR="006E6CFF" w:rsidRPr="004A1184" w14:paraId="61EDC6E9" w14:textId="77777777" w:rsidTr="00533E5D">
        <w:trPr>
          <w:trHeight w:val="300"/>
        </w:trPr>
        <w:tc>
          <w:tcPr>
            <w:tcW w:w="4082" w:type="dxa"/>
            <w:shd w:val="clear" w:color="auto" w:fill="auto"/>
            <w:noWrap/>
            <w:vAlign w:val="center"/>
            <w:hideMark/>
          </w:tcPr>
          <w:p w14:paraId="2CFE3474" w14:textId="77777777" w:rsidR="006E6CFF" w:rsidRPr="004A1184" w:rsidRDefault="006E6CFF" w:rsidP="00533E5D">
            <w:pPr>
              <w:rPr>
                <w:rFonts w:cs="Arial"/>
                <w:szCs w:val="24"/>
                <w:lang w:eastAsia="en-GB"/>
              </w:rPr>
            </w:pPr>
            <w:r w:rsidRPr="004A1184">
              <w:rPr>
                <w:rFonts w:cs="Arial"/>
                <w:szCs w:val="24"/>
                <w:lang w:eastAsia="en-GB"/>
              </w:rPr>
              <w:t>Transport</w:t>
            </w:r>
          </w:p>
        </w:tc>
        <w:tc>
          <w:tcPr>
            <w:tcW w:w="1495" w:type="dxa"/>
            <w:shd w:val="clear" w:color="auto" w:fill="auto"/>
            <w:noWrap/>
            <w:vAlign w:val="center"/>
            <w:hideMark/>
          </w:tcPr>
          <w:p w14:paraId="2F2F156B" w14:textId="77777777" w:rsidR="006E6CFF" w:rsidRPr="004A1184" w:rsidRDefault="006E6CFF" w:rsidP="00533E5D">
            <w:pPr>
              <w:jc w:val="right"/>
              <w:rPr>
                <w:rFonts w:cs="Arial"/>
                <w:szCs w:val="24"/>
                <w:lang w:eastAsia="en-GB"/>
              </w:rPr>
            </w:pPr>
            <w:r w:rsidRPr="004A1184">
              <w:rPr>
                <w:rFonts w:cs="Arial"/>
                <w:szCs w:val="24"/>
                <w:lang w:eastAsia="en-GB"/>
              </w:rPr>
              <w:t xml:space="preserve">1,948 </w:t>
            </w:r>
          </w:p>
        </w:tc>
        <w:tc>
          <w:tcPr>
            <w:tcW w:w="1495" w:type="dxa"/>
            <w:shd w:val="clear" w:color="auto" w:fill="auto"/>
            <w:noWrap/>
            <w:vAlign w:val="center"/>
            <w:hideMark/>
          </w:tcPr>
          <w:p w14:paraId="3C556417" w14:textId="77777777" w:rsidR="006E6CFF" w:rsidRPr="004A1184" w:rsidRDefault="006E6CFF" w:rsidP="00533E5D">
            <w:pPr>
              <w:jc w:val="right"/>
              <w:rPr>
                <w:rFonts w:cs="Arial"/>
                <w:szCs w:val="24"/>
                <w:lang w:eastAsia="en-GB"/>
              </w:rPr>
            </w:pPr>
            <w:r w:rsidRPr="004A1184">
              <w:rPr>
                <w:rFonts w:cs="Arial"/>
                <w:szCs w:val="24"/>
                <w:lang w:eastAsia="en-GB"/>
              </w:rPr>
              <w:t xml:space="preserve">2,031 </w:t>
            </w:r>
          </w:p>
        </w:tc>
        <w:tc>
          <w:tcPr>
            <w:tcW w:w="1494" w:type="dxa"/>
            <w:shd w:val="clear" w:color="auto" w:fill="auto"/>
            <w:noWrap/>
            <w:vAlign w:val="center"/>
            <w:hideMark/>
          </w:tcPr>
          <w:p w14:paraId="32EDA55E" w14:textId="77777777" w:rsidR="006E6CFF" w:rsidRPr="004A1184" w:rsidRDefault="006E6CFF" w:rsidP="00533E5D">
            <w:pPr>
              <w:jc w:val="right"/>
              <w:rPr>
                <w:rFonts w:cs="Arial"/>
                <w:szCs w:val="24"/>
                <w:lang w:eastAsia="en-GB"/>
              </w:rPr>
            </w:pPr>
            <w:r w:rsidRPr="004A1184">
              <w:rPr>
                <w:rFonts w:cs="Arial"/>
                <w:szCs w:val="24"/>
                <w:lang w:eastAsia="en-GB"/>
              </w:rPr>
              <w:t xml:space="preserve">84 </w:t>
            </w:r>
          </w:p>
        </w:tc>
      </w:tr>
      <w:tr w:rsidR="006E6CFF" w:rsidRPr="004A1184" w14:paraId="640881AD" w14:textId="77777777" w:rsidTr="00533E5D">
        <w:trPr>
          <w:trHeight w:val="300"/>
        </w:trPr>
        <w:tc>
          <w:tcPr>
            <w:tcW w:w="4082" w:type="dxa"/>
            <w:shd w:val="clear" w:color="auto" w:fill="auto"/>
            <w:noWrap/>
            <w:vAlign w:val="center"/>
            <w:hideMark/>
          </w:tcPr>
          <w:p w14:paraId="79F4C896" w14:textId="77777777" w:rsidR="006E6CFF" w:rsidRPr="004A1184" w:rsidRDefault="006E6CFF" w:rsidP="00533E5D">
            <w:pPr>
              <w:rPr>
                <w:rFonts w:cs="Arial"/>
                <w:szCs w:val="24"/>
                <w:lang w:eastAsia="en-GB"/>
              </w:rPr>
            </w:pPr>
            <w:r w:rsidRPr="004A1184">
              <w:rPr>
                <w:rFonts w:cs="Arial"/>
                <w:szCs w:val="24"/>
                <w:lang w:eastAsia="en-GB"/>
              </w:rPr>
              <w:t>Supplies &amp; services</w:t>
            </w:r>
          </w:p>
        </w:tc>
        <w:tc>
          <w:tcPr>
            <w:tcW w:w="1495" w:type="dxa"/>
            <w:shd w:val="clear" w:color="auto" w:fill="auto"/>
            <w:noWrap/>
            <w:vAlign w:val="center"/>
            <w:hideMark/>
          </w:tcPr>
          <w:p w14:paraId="3EC00A91" w14:textId="77777777" w:rsidR="006E6CFF" w:rsidRPr="004A1184" w:rsidRDefault="006E6CFF" w:rsidP="00533E5D">
            <w:pPr>
              <w:jc w:val="right"/>
              <w:rPr>
                <w:rFonts w:cs="Arial"/>
                <w:szCs w:val="24"/>
                <w:lang w:eastAsia="en-GB"/>
              </w:rPr>
            </w:pPr>
            <w:r w:rsidRPr="004A1184">
              <w:rPr>
                <w:rFonts w:cs="Arial"/>
                <w:szCs w:val="24"/>
                <w:lang w:eastAsia="en-GB"/>
              </w:rPr>
              <w:t xml:space="preserve">8,710 </w:t>
            </w:r>
          </w:p>
        </w:tc>
        <w:tc>
          <w:tcPr>
            <w:tcW w:w="1495" w:type="dxa"/>
            <w:shd w:val="clear" w:color="auto" w:fill="auto"/>
            <w:noWrap/>
            <w:vAlign w:val="center"/>
            <w:hideMark/>
          </w:tcPr>
          <w:p w14:paraId="6862420D" w14:textId="5D608F8A" w:rsidR="006E6CFF" w:rsidRPr="004A1184" w:rsidRDefault="006E6CFF" w:rsidP="00533E5D">
            <w:pPr>
              <w:jc w:val="right"/>
              <w:rPr>
                <w:rFonts w:cs="Arial"/>
                <w:szCs w:val="24"/>
                <w:lang w:eastAsia="en-GB"/>
              </w:rPr>
            </w:pPr>
            <w:r w:rsidRPr="004A1184">
              <w:rPr>
                <w:rFonts w:cs="Arial"/>
                <w:szCs w:val="24"/>
                <w:lang w:eastAsia="en-GB"/>
              </w:rPr>
              <w:t>8,1</w:t>
            </w:r>
            <w:r w:rsidR="002629D1" w:rsidRPr="004A1184">
              <w:rPr>
                <w:rFonts w:cs="Arial"/>
                <w:szCs w:val="24"/>
                <w:lang w:eastAsia="en-GB"/>
              </w:rPr>
              <w:t>92</w:t>
            </w:r>
            <w:r w:rsidRPr="004A1184">
              <w:rPr>
                <w:rFonts w:cs="Arial"/>
                <w:szCs w:val="24"/>
                <w:lang w:eastAsia="en-GB"/>
              </w:rPr>
              <w:t xml:space="preserve"> </w:t>
            </w:r>
          </w:p>
        </w:tc>
        <w:tc>
          <w:tcPr>
            <w:tcW w:w="1494" w:type="dxa"/>
            <w:shd w:val="clear" w:color="auto" w:fill="auto"/>
            <w:noWrap/>
            <w:vAlign w:val="center"/>
            <w:hideMark/>
          </w:tcPr>
          <w:p w14:paraId="1C8CE3B6" w14:textId="0931DEB3" w:rsidR="006E6CFF" w:rsidRPr="004A1184" w:rsidRDefault="006E6CFF" w:rsidP="00533E5D">
            <w:pPr>
              <w:jc w:val="right"/>
              <w:rPr>
                <w:rFonts w:cs="Arial"/>
                <w:szCs w:val="24"/>
                <w:lang w:eastAsia="en-GB"/>
              </w:rPr>
            </w:pPr>
            <w:r w:rsidRPr="004A1184">
              <w:rPr>
                <w:rFonts w:cs="Arial"/>
                <w:szCs w:val="24"/>
                <w:lang w:eastAsia="en-GB"/>
              </w:rPr>
              <w:t>(5</w:t>
            </w:r>
            <w:r w:rsidR="002629D1" w:rsidRPr="004A1184">
              <w:rPr>
                <w:rFonts w:cs="Arial"/>
                <w:szCs w:val="24"/>
                <w:lang w:eastAsia="en-GB"/>
              </w:rPr>
              <w:t>1</w:t>
            </w:r>
            <w:r w:rsidRPr="004A1184">
              <w:rPr>
                <w:rFonts w:cs="Arial"/>
                <w:szCs w:val="24"/>
                <w:lang w:eastAsia="en-GB"/>
              </w:rPr>
              <w:t>8)</w:t>
            </w:r>
          </w:p>
        </w:tc>
      </w:tr>
      <w:tr w:rsidR="006E6CFF" w:rsidRPr="004A1184" w14:paraId="463F6864" w14:textId="77777777" w:rsidTr="00533E5D">
        <w:trPr>
          <w:trHeight w:val="300"/>
        </w:trPr>
        <w:tc>
          <w:tcPr>
            <w:tcW w:w="4082" w:type="dxa"/>
            <w:shd w:val="clear" w:color="auto" w:fill="auto"/>
            <w:noWrap/>
            <w:vAlign w:val="center"/>
            <w:hideMark/>
          </w:tcPr>
          <w:p w14:paraId="3563AB68" w14:textId="77777777" w:rsidR="006E6CFF" w:rsidRPr="004A1184" w:rsidRDefault="006E6CFF" w:rsidP="00533E5D">
            <w:pPr>
              <w:rPr>
                <w:rFonts w:cs="Arial"/>
                <w:szCs w:val="24"/>
                <w:lang w:eastAsia="en-GB"/>
              </w:rPr>
            </w:pPr>
            <w:r w:rsidRPr="004A1184">
              <w:rPr>
                <w:rFonts w:cs="Arial"/>
                <w:szCs w:val="24"/>
                <w:lang w:eastAsia="en-GB"/>
              </w:rPr>
              <w:t>Capital financing costs &amp; other items</w:t>
            </w:r>
          </w:p>
        </w:tc>
        <w:tc>
          <w:tcPr>
            <w:tcW w:w="1495" w:type="dxa"/>
            <w:shd w:val="clear" w:color="auto" w:fill="auto"/>
            <w:noWrap/>
            <w:vAlign w:val="center"/>
            <w:hideMark/>
          </w:tcPr>
          <w:p w14:paraId="4BB37B4A" w14:textId="77777777" w:rsidR="006E6CFF" w:rsidRPr="004A1184" w:rsidRDefault="006E6CFF" w:rsidP="00533E5D">
            <w:pPr>
              <w:jc w:val="right"/>
              <w:rPr>
                <w:rFonts w:cs="Arial"/>
                <w:szCs w:val="24"/>
                <w:lang w:eastAsia="en-GB"/>
              </w:rPr>
            </w:pPr>
            <w:r w:rsidRPr="004A1184">
              <w:rPr>
                <w:rFonts w:cs="Arial"/>
                <w:szCs w:val="24"/>
                <w:lang w:eastAsia="en-GB"/>
              </w:rPr>
              <w:t xml:space="preserve">6,584 </w:t>
            </w:r>
          </w:p>
        </w:tc>
        <w:tc>
          <w:tcPr>
            <w:tcW w:w="1495" w:type="dxa"/>
            <w:shd w:val="clear" w:color="auto" w:fill="auto"/>
            <w:noWrap/>
            <w:vAlign w:val="center"/>
            <w:hideMark/>
          </w:tcPr>
          <w:p w14:paraId="3F8D9CCD" w14:textId="77777777" w:rsidR="006E6CFF" w:rsidRPr="004A1184" w:rsidRDefault="006E6CFF" w:rsidP="00533E5D">
            <w:pPr>
              <w:jc w:val="right"/>
              <w:rPr>
                <w:rFonts w:cs="Arial"/>
                <w:szCs w:val="24"/>
                <w:lang w:eastAsia="en-GB"/>
              </w:rPr>
            </w:pPr>
            <w:r w:rsidRPr="004A1184">
              <w:rPr>
                <w:rFonts w:cs="Arial"/>
                <w:szCs w:val="24"/>
                <w:lang w:eastAsia="en-GB"/>
              </w:rPr>
              <w:t xml:space="preserve">6,921 </w:t>
            </w:r>
          </w:p>
        </w:tc>
        <w:tc>
          <w:tcPr>
            <w:tcW w:w="1494" w:type="dxa"/>
            <w:shd w:val="clear" w:color="auto" w:fill="auto"/>
            <w:noWrap/>
            <w:vAlign w:val="center"/>
            <w:hideMark/>
          </w:tcPr>
          <w:p w14:paraId="36C532EC" w14:textId="77777777" w:rsidR="006E6CFF" w:rsidRPr="004A1184" w:rsidRDefault="006E6CFF" w:rsidP="00533E5D">
            <w:pPr>
              <w:jc w:val="right"/>
              <w:rPr>
                <w:rFonts w:cs="Arial"/>
                <w:szCs w:val="24"/>
                <w:lang w:eastAsia="en-GB"/>
              </w:rPr>
            </w:pPr>
            <w:r w:rsidRPr="004A1184">
              <w:rPr>
                <w:rFonts w:cs="Arial"/>
                <w:szCs w:val="24"/>
                <w:lang w:eastAsia="en-GB"/>
              </w:rPr>
              <w:t xml:space="preserve">337 </w:t>
            </w:r>
          </w:p>
        </w:tc>
      </w:tr>
      <w:tr w:rsidR="006E6CFF" w:rsidRPr="004A1184" w14:paraId="52F50694" w14:textId="77777777" w:rsidTr="00533E5D">
        <w:trPr>
          <w:trHeight w:val="300"/>
        </w:trPr>
        <w:tc>
          <w:tcPr>
            <w:tcW w:w="4082" w:type="dxa"/>
            <w:shd w:val="clear" w:color="auto" w:fill="auto"/>
            <w:noWrap/>
            <w:vAlign w:val="center"/>
            <w:hideMark/>
          </w:tcPr>
          <w:p w14:paraId="0994AA4F" w14:textId="77777777" w:rsidR="006E6CFF" w:rsidRPr="004A1184" w:rsidRDefault="006E6CFF" w:rsidP="00533E5D">
            <w:pPr>
              <w:rPr>
                <w:rFonts w:cs="Arial"/>
                <w:b/>
                <w:bCs/>
                <w:szCs w:val="24"/>
                <w:lang w:eastAsia="en-GB"/>
              </w:rPr>
            </w:pPr>
            <w:r w:rsidRPr="004A1184">
              <w:rPr>
                <w:rFonts w:cs="Arial"/>
                <w:b/>
                <w:bCs/>
                <w:szCs w:val="24"/>
                <w:lang w:eastAsia="en-GB"/>
              </w:rPr>
              <w:t>Total Expenditure</w:t>
            </w:r>
          </w:p>
        </w:tc>
        <w:tc>
          <w:tcPr>
            <w:tcW w:w="1495" w:type="dxa"/>
            <w:shd w:val="clear" w:color="auto" w:fill="auto"/>
            <w:noWrap/>
            <w:vAlign w:val="center"/>
            <w:hideMark/>
          </w:tcPr>
          <w:p w14:paraId="27565458" w14:textId="77777777" w:rsidR="006E6CFF" w:rsidRPr="004A1184" w:rsidRDefault="006E6CFF" w:rsidP="00533E5D">
            <w:pPr>
              <w:jc w:val="right"/>
              <w:rPr>
                <w:rFonts w:cs="Arial"/>
                <w:b/>
                <w:bCs/>
                <w:szCs w:val="24"/>
                <w:lang w:eastAsia="en-GB"/>
              </w:rPr>
            </w:pPr>
            <w:r w:rsidRPr="004A1184">
              <w:rPr>
                <w:rFonts w:cs="Arial"/>
                <w:b/>
                <w:bCs/>
                <w:szCs w:val="24"/>
                <w:lang w:eastAsia="en-GB"/>
              </w:rPr>
              <w:t xml:space="preserve">71,003 </w:t>
            </w:r>
          </w:p>
        </w:tc>
        <w:tc>
          <w:tcPr>
            <w:tcW w:w="1495" w:type="dxa"/>
            <w:shd w:val="clear" w:color="auto" w:fill="auto"/>
            <w:noWrap/>
            <w:vAlign w:val="center"/>
            <w:hideMark/>
          </w:tcPr>
          <w:p w14:paraId="35EE7DED" w14:textId="2E72A0C5" w:rsidR="006E6CFF" w:rsidRPr="004A1184" w:rsidRDefault="006E6CFF" w:rsidP="00533E5D">
            <w:pPr>
              <w:jc w:val="right"/>
              <w:rPr>
                <w:rFonts w:cs="Arial"/>
                <w:b/>
                <w:bCs/>
                <w:szCs w:val="24"/>
                <w:lang w:eastAsia="en-GB"/>
              </w:rPr>
            </w:pPr>
            <w:r w:rsidRPr="004A1184">
              <w:rPr>
                <w:rFonts w:cs="Arial"/>
                <w:b/>
                <w:bCs/>
                <w:szCs w:val="24"/>
                <w:lang w:eastAsia="en-GB"/>
              </w:rPr>
              <w:t>72,7</w:t>
            </w:r>
            <w:r w:rsidR="002629D1" w:rsidRPr="004A1184">
              <w:rPr>
                <w:rFonts w:cs="Arial"/>
                <w:b/>
                <w:bCs/>
                <w:szCs w:val="24"/>
                <w:lang w:eastAsia="en-GB"/>
              </w:rPr>
              <w:t>77</w:t>
            </w:r>
            <w:r w:rsidRPr="004A1184">
              <w:rPr>
                <w:rFonts w:cs="Arial"/>
                <w:b/>
                <w:bCs/>
                <w:szCs w:val="24"/>
                <w:lang w:eastAsia="en-GB"/>
              </w:rPr>
              <w:t xml:space="preserve"> </w:t>
            </w:r>
          </w:p>
        </w:tc>
        <w:tc>
          <w:tcPr>
            <w:tcW w:w="1494" w:type="dxa"/>
            <w:shd w:val="clear" w:color="auto" w:fill="auto"/>
            <w:noWrap/>
            <w:vAlign w:val="center"/>
            <w:hideMark/>
          </w:tcPr>
          <w:p w14:paraId="1961AB4A" w14:textId="63DB4B21" w:rsidR="006E6CFF" w:rsidRPr="004A1184" w:rsidRDefault="006E6CFF" w:rsidP="00533E5D">
            <w:pPr>
              <w:jc w:val="right"/>
              <w:rPr>
                <w:rFonts w:cs="Arial"/>
                <w:b/>
                <w:bCs/>
                <w:szCs w:val="24"/>
                <w:lang w:eastAsia="en-GB"/>
              </w:rPr>
            </w:pPr>
            <w:r w:rsidRPr="004A1184">
              <w:rPr>
                <w:rFonts w:cs="Arial"/>
                <w:b/>
                <w:bCs/>
                <w:szCs w:val="24"/>
                <w:lang w:eastAsia="en-GB"/>
              </w:rPr>
              <w:t>1,</w:t>
            </w:r>
            <w:r w:rsidR="002629D1" w:rsidRPr="004A1184">
              <w:rPr>
                <w:rFonts w:cs="Arial"/>
                <w:b/>
                <w:bCs/>
                <w:szCs w:val="24"/>
                <w:lang w:eastAsia="en-GB"/>
              </w:rPr>
              <w:t>774</w:t>
            </w:r>
            <w:r w:rsidRPr="004A1184">
              <w:rPr>
                <w:rFonts w:cs="Arial"/>
                <w:b/>
                <w:bCs/>
                <w:szCs w:val="24"/>
                <w:lang w:eastAsia="en-GB"/>
              </w:rPr>
              <w:t xml:space="preserve"> </w:t>
            </w:r>
          </w:p>
        </w:tc>
      </w:tr>
      <w:tr w:rsidR="006E6CFF" w:rsidRPr="004A1184" w14:paraId="49C97CC3" w14:textId="77777777" w:rsidTr="00533E5D">
        <w:trPr>
          <w:trHeight w:val="300"/>
        </w:trPr>
        <w:tc>
          <w:tcPr>
            <w:tcW w:w="4082" w:type="dxa"/>
            <w:shd w:val="clear" w:color="auto" w:fill="auto"/>
            <w:noWrap/>
            <w:vAlign w:val="center"/>
            <w:hideMark/>
          </w:tcPr>
          <w:p w14:paraId="1D0A4DA9" w14:textId="77777777" w:rsidR="006E6CFF" w:rsidRPr="004A1184" w:rsidRDefault="006E6CFF" w:rsidP="00533E5D">
            <w:pPr>
              <w:rPr>
                <w:rFonts w:cs="Arial"/>
                <w:szCs w:val="24"/>
                <w:lang w:eastAsia="en-GB"/>
              </w:rPr>
            </w:pPr>
            <w:r w:rsidRPr="004A1184">
              <w:rPr>
                <w:rFonts w:cs="Arial"/>
                <w:szCs w:val="24"/>
                <w:lang w:eastAsia="en-GB"/>
              </w:rPr>
              <w:t>Other Income</w:t>
            </w:r>
          </w:p>
        </w:tc>
        <w:tc>
          <w:tcPr>
            <w:tcW w:w="1495" w:type="dxa"/>
            <w:shd w:val="clear" w:color="auto" w:fill="auto"/>
            <w:noWrap/>
            <w:vAlign w:val="center"/>
            <w:hideMark/>
          </w:tcPr>
          <w:p w14:paraId="2F520378" w14:textId="77777777" w:rsidR="006E6CFF" w:rsidRPr="004A1184" w:rsidRDefault="006E6CFF" w:rsidP="00533E5D">
            <w:pPr>
              <w:jc w:val="right"/>
              <w:rPr>
                <w:rFonts w:cs="Arial"/>
                <w:szCs w:val="24"/>
                <w:lang w:eastAsia="en-GB"/>
              </w:rPr>
            </w:pPr>
            <w:r w:rsidRPr="004A1184">
              <w:rPr>
                <w:rFonts w:cs="Arial"/>
                <w:szCs w:val="24"/>
                <w:lang w:eastAsia="en-GB"/>
              </w:rPr>
              <w:t>(7,986)</w:t>
            </w:r>
          </w:p>
        </w:tc>
        <w:tc>
          <w:tcPr>
            <w:tcW w:w="1495" w:type="dxa"/>
            <w:shd w:val="clear" w:color="auto" w:fill="auto"/>
            <w:noWrap/>
            <w:vAlign w:val="center"/>
            <w:hideMark/>
          </w:tcPr>
          <w:p w14:paraId="785BD979" w14:textId="77777777" w:rsidR="006E6CFF" w:rsidRPr="004A1184" w:rsidRDefault="006E6CFF" w:rsidP="00533E5D">
            <w:pPr>
              <w:jc w:val="right"/>
              <w:rPr>
                <w:rFonts w:cs="Arial"/>
                <w:szCs w:val="24"/>
                <w:lang w:eastAsia="en-GB"/>
              </w:rPr>
            </w:pPr>
            <w:r w:rsidRPr="004A1184">
              <w:rPr>
                <w:rFonts w:cs="Arial"/>
                <w:szCs w:val="24"/>
                <w:lang w:eastAsia="en-GB"/>
              </w:rPr>
              <w:t>(7,865)</w:t>
            </w:r>
          </w:p>
        </w:tc>
        <w:tc>
          <w:tcPr>
            <w:tcW w:w="1494" w:type="dxa"/>
            <w:shd w:val="clear" w:color="auto" w:fill="auto"/>
            <w:noWrap/>
            <w:vAlign w:val="center"/>
            <w:hideMark/>
          </w:tcPr>
          <w:p w14:paraId="76B2F0B6" w14:textId="77777777" w:rsidR="006E6CFF" w:rsidRPr="004A1184" w:rsidRDefault="006E6CFF" w:rsidP="00533E5D">
            <w:pPr>
              <w:jc w:val="right"/>
              <w:rPr>
                <w:rFonts w:cs="Arial"/>
                <w:szCs w:val="24"/>
                <w:lang w:eastAsia="en-GB"/>
              </w:rPr>
            </w:pPr>
            <w:r w:rsidRPr="004A1184">
              <w:rPr>
                <w:rFonts w:cs="Arial"/>
                <w:szCs w:val="24"/>
                <w:lang w:eastAsia="en-GB"/>
              </w:rPr>
              <w:t xml:space="preserve">121 </w:t>
            </w:r>
          </w:p>
        </w:tc>
      </w:tr>
      <w:tr w:rsidR="006E6CFF" w:rsidRPr="004A1184" w14:paraId="367CE81D" w14:textId="77777777" w:rsidTr="00533E5D">
        <w:trPr>
          <w:trHeight w:val="300"/>
        </w:trPr>
        <w:tc>
          <w:tcPr>
            <w:tcW w:w="4082" w:type="dxa"/>
            <w:shd w:val="clear" w:color="auto" w:fill="auto"/>
            <w:noWrap/>
            <w:vAlign w:val="center"/>
            <w:hideMark/>
          </w:tcPr>
          <w:p w14:paraId="51C42E6A" w14:textId="77777777" w:rsidR="006E6CFF" w:rsidRPr="004A1184" w:rsidRDefault="006E6CFF" w:rsidP="00533E5D">
            <w:pPr>
              <w:rPr>
                <w:rFonts w:cs="Arial"/>
                <w:b/>
                <w:bCs/>
                <w:szCs w:val="24"/>
                <w:lang w:eastAsia="en-GB"/>
              </w:rPr>
            </w:pPr>
            <w:r w:rsidRPr="004A1184">
              <w:rPr>
                <w:rFonts w:cs="Arial"/>
                <w:b/>
                <w:bCs/>
                <w:szCs w:val="24"/>
                <w:lang w:eastAsia="en-GB"/>
              </w:rPr>
              <w:t>Budget requirement</w:t>
            </w:r>
          </w:p>
        </w:tc>
        <w:tc>
          <w:tcPr>
            <w:tcW w:w="1495" w:type="dxa"/>
            <w:shd w:val="clear" w:color="auto" w:fill="auto"/>
            <w:noWrap/>
            <w:vAlign w:val="center"/>
            <w:hideMark/>
          </w:tcPr>
          <w:p w14:paraId="6E356FB9" w14:textId="77777777" w:rsidR="006E6CFF" w:rsidRPr="004A1184" w:rsidRDefault="006E6CFF" w:rsidP="00533E5D">
            <w:pPr>
              <w:jc w:val="right"/>
              <w:rPr>
                <w:rFonts w:cs="Arial"/>
                <w:b/>
                <w:bCs/>
                <w:szCs w:val="24"/>
                <w:lang w:eastAsia="en-GB"/>
              </w:rPr>
            </w:pPr>
            <w:r w:rsidRPr="004A1184">
              <w:rPr>
                <w:rFonts w:cs="Arial"/>
                <w:b/>
                <w:bCs/>
                <w:szCs w:val="24"/>
                <w:lang w:eastAsia="en-GB"/>
              </w:rPr>
              <w:t xml:space="preserve">63,017 </w:t>
            </w:r>
          </w:p>
        </w:tc>
        <w:tc>
          <w:tcPr>
            <w:tcW w:w="1495" w:type="dxa"/>
            <w:shd w:val="clear" w:color="auto" w:fill="auto"/>
            <w:noWrap/>
            <w:vAlign w:val="center"/>
            <w:hideMark/>
          </w:tcPr>
          <w:p w14:paraId="130BF689" w14:textId="5E7BD45E" w:rsidR="006E6CFF" w:rsidRPr="004A1184" w:rsidRDefault="006E6CFF" w:rsidP="00533E5D">
            <w:pPr>
              <w:jc w:val="right"/>
              <w:rPr>
                <w:rFonts w:cs="Arial"/>
                <w:b/>
                <w:bCs/>
                <w:szCs w:val="24"/>
                <w:lang w:eastAsia="en-GB"/>
              </w:rPr>
            </w:pPr>
            <w:r w:rsidRPr="004A1184">
              <w:rPr>
                <w:rFonts w:cs="Arial"/>
                <w:b/>
                <w:bCs/>
                <w:szCs w:val="24"/>
                <w:lang w:eastAsia="en-GB"/>
              </w:rPr>
              <w:t>64,</w:t>
            </w:r>
            <w:r w:rsidR="002629D1" w:rsidRPr="004A1184">
              <w:rPr>
                <w:rFonts w:cs="Arial"/>
                <w:b/>
                <w:bCs/>
                <w:szCs w:val="24"/>
                <w:lang w:eastAsia="en-GB"/>
              </w:rPr>
              <w:t>911</w:t>
            </w:r>
            <w:r w:rsidRPr="004A1184">
              <w:rPr>
                <w:rFonts w:cs="Arial"/>
                <w:b/>
                <w:bCs/>
                <w:szCs w:val="24"/>
                <w:lang w:eastAsia="en-GB"/>
              </w:rPr>
              <w:t xml:space="preserve"> </w:t>
            </w:r>
          </w:p>
        </w:tc>
        <w:tc>
          <w:tcPr>
            <w:tcW w:w="1494" w:type="dxa"/>
            <w:shd w:val="clear" w:color="auto" w:fill="auto"/>
            <w:noWrap/>
            <w:vAlign w:val="center"/>
            <w:hideMark/>
          </w:tcPr>
          <w:p w14:paraId="4CFD8FA7" w14:textId="57ED71B4" w:rsidR="006E6CFF" w:rsidRPr="004A1184" w:rsidRDefault="006E6CFF" w:rsidP="00533E5D">
            <w:pPr>
              <w:jc w:val="right"/>
              <w:rPr>
                <w:rFonts w:cs="Arial"/>
                <w:b/>
                <w:bCs/>
                <w:szCs w:val="24"/>
                <w:lang w:eastAsia="en-GB"/>
              </w:rPr>
            </w:pPr>
            <w:r w:rsidRPr="004A1184">
              <w:rPr>
                <w:rFonts w:cs="Arial"/>
                <w:b/>
                <w:bCs/>
                <w:szCs w:val="24"/>
                <w:lang w:eastAsia="en-GB"/>
              </w:rPr>
              <w:t>1,8</w:t>
            </w:r>
            <w:r w:rsidR="002629D1" w:rsidRPr="004A1184">
              <w:rPr>
                <w:rFonts w:cs="Arial"/>
                <w:b/>
                <w:bCs/>
                <w:szCs w:val="24"/>
                <w:lang w:eastAsia="en-GB"/>
              </w:rPr>
              <w:t>9</w:t>
            </w:r>
            <w:r w:rsidRPr="004A1184">
              <w:rPr>
                <w:rFonts w:cs="Arial"/>
                <w:b/>
                <w:bCs/>
                <w:szCs w:val="24"/>
                <w:lang w:eastAsia="en-GB"/>
              </w:rPr>
              <w:t xml:space="preserve">5 </w:t>
            </w:r>
          </w:p>
        </w:tc>
      </w:tr>
    </w:tbl>
    <w:p w14:paraId="69D14ACC" w14:textId="77777777" w:rsidR="00632FB9" w:rsidRDefault="00632FB9"/>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1495"/>
        <w:gridCol w:w="1495"/>
        <w:gridCol w:w="1494"/>
      </w:tblGrid>
      <w:tr w:rsidR="00665819" w:rsidRPr="004A1184" w14:paraId="04751BA2" w14:textId="77777777" w:rsidTr="00BD79B2">
        <w:trPr>
          <w:trHeight w:val="300"/>
        </w:trPr>
        <w:tc>
          <w:tcPr>
            <w:tcW w:w="8566" w:type="dxa"/>
            <w:gridSpan w:val="4"/>
            <w:shd w:val="clear" w:color="auto" w:fill="D9D9D9" w:themeFill="background1" w:themeFillShade="D9"/>
            <w:noWrap/>
            <w:vAlign w:val="center"/>
            <w:hideMark/>
          </w:tcPr>
          <w:p w14:paraId="555DA44E" w14:textId="2CD51C78" w:rsidR="00665819" w:rsidRPr="00665819" w:rsidRDefault="00665819" w:rsidP="00533E5D">
            <w:pPr>
              <w:rPr>
                <w:rFonts w:cs="Arial"/>
                <w:b/>
                <w:bCs/>
                <w:szCs w:val="24"/>
                <w:lang w:eastAsia="en-GB"/>
              </w:rPr>
            </w:pPr>
            <w:r w:rsidRPr="00665819">
              <w:rPr>
                <w:rFonts w:cs="Arial"/>
                <w:b/>
                <w:bCs/>
                <w:szCs w:val="24"/>
                <w:lang w:eastAsia="en-GB"/>
              </w:rPr>
              <w:t>Funded by:</w:t>
            </w:r>
          </w:p>
        </w:tc>
      </w:tr>
      <w:tr w:rsidR="006E6CFF" w:rsidRPr="004A1184" w14:paraId="51F30DEC" w14:textId="77777777" w:rsidTr="00533E5D">
        <w:trPr>
          <w:trHeight w:val="300"/>
        </w:trPr>
        <w:tc>
          <w:tcPr>
            <w:tcW w:w="4082" w:type="dxa"/>
            <w:shd w:val="clear" w:color="auto" w:fill="auto"/>
            <w:noWrap/>
            <w:vAlign w:val="center"/>
            <w:hideMark/>
          </w:tcPr>
          <w:p w14:paraId="1BB1BA6B" w14:textId="77777777" w:rsidR="006E6CFF" w:rsidRPr="004A1184" w:rsidRDefault="006E6CFF" w:rsidP="00533E5D">
            <w:pPr>
              <w:rPr>
                <w:rFonts w:cs="Arial"/>
                <w:szCs w:val="24"/>
                <w:lang w:eastAsia="en-GB"/>
              </w:rPr>
            </w:pPr>
            <w:r w:rsidRPr="004A1184">
              <w:rPr>
                <w:rFonts w:cs="Arial"/>
                <w:szCs w:val="24"/>
                <w:lang w:eastAsia="en-GB"/>
              </w:rPr>
              <w:t>Council tax</w:t>
            </w:r>
          </w:p>
        </w:tc>
        <w:tc>
          <w:tcPr>
            <w:tcW w:w="1495" w:type="dxa"/>
            <w:shd w:val="clear" w:color="auto" w:fill="auto"/>
            <w:noWrap/>
            <w:vAlign w:val="center"/>
            <w:hideMark/>
          </w:tcPr>
          <w:p w14:paraId="0C4966ED" w14:textId="77777777" w:rsidR="006E6CFF" w:rsidRPr="004A1184" w:rsidRDefault="006E6CFF" w:rsidP="00533E5D">
            <w:pPr>
              <w:jc w:val="right"/>
              <w:rPr>
                <w:rFonts w:cs="Arial"/>
                <w:szCs w:val="24"/>
                <w:lang w:eastAsia="en-GB"/>
              </w:rPr>
            </w:pPr>
            <w:r w:rsidRPr="004A1184">
              <w:rPr>
                <w:rFonts w:cs="Arial"/>
                <w:szCs w:val="24"/>
                <w:lang w:eastAsia="en-GB"/>
              </w:rPr>
              <w:t>(35,111)</w:t>
            </w:r>
          </w:p>
        </w:tc>
        <w:tc>
          <w:tcPr>
            <w:tcW w:w="1495" w:type="dxa"/>
            <w:shd w:val="clear" w:color="auto" w:fill="auto"/>
            <w:noWrap/>
            <w:vAlign w:val="center"/>
            <w:hideMark/>
          </w:tcPr>
          <w:p w14:paraId="76FE5395" w14:textId="77777777" w:rsidR="006E6CFF" w:rsidRPr="004A1184" w:rsidRDefault="006E6CFF" w:rsidP="00533E5D">
            <w:pPr>
              <w:jc w:val="right"/>
              <w:rPr>
                <w:rFonts w:cs="Arial"/>
                <w:szCs w:val="24"/>
                <w:lang w:eastAsia="en-GB"/>
              </w:rPr>
            </w:pPr>
            <w:r w:rsidRPr="004A1184">
              <w:rPr>
                <w:rFonts w:cs="Arial"/>
                <w:szCs w:val="24"/>
                <w:lang w:eastAsia="en-GB"/>
              </w:rPr>
              <w:t>(35,111)</w:t>
            </w:r>
          </w:p>
        </w:tc>
        <w:tc>
          <w:tcPr>
            <w:tcW w:w="1494" w:type="dxa"/>
            <w:shd w:val="clear" w:color="auto" w:fill="auto"/>
            <w:noWrap/>
            <w:vAlign w:val="center"/>
            <w:hideMark/>
          </w:tcPr>
          <w:p w14:paraId="15D971E5" w14:textId="3FBEEEEE" w:rsidR="006E6CFF" w:rsidRPr="004A1184" w:rsidRDefault="009E63DB" w:rsidP="00533E5D">
            <w:pPr>
              <w:jc w:val="right"/>
              <w:rPr>
                <w:rFonts w:cs="Arial"/>
                <w:szCs w:val="24"/>
                <w:lang w:eastAsia="en-GB"/>
              </w:rPr>
            </w:pPr>
            <w:r w:rsidRPr="004A1184">
              <w:rPr>
                <w:rFonts w:cs="Arial"/>
                <w:szCs w:val="24"/>
                <w:lang w:eastAsia="en-GB"/>
              </w:rPr>
              <w:t>-</w:t>
            </w:r>
          </w:p>
        </w:tc>
      </w:tr>
      <w:tr w:rsidR="006E6CFF" w:rsidRPr="004A1184" w14:paraId="73E43CE1" w14:textId="77777777" w:rsidTr="00533E5D">
        <w:trPr>
          <w:trHeight w:val="300"/>
        </w:trPr>
        <w:tc>
          <w:tcPr>
            <w:tcW w:w="4082" w:type="dxa"/>
            <w:shd w:val="clear" w:color="auto" w:fill="auto"/>
            <w:noWrap/>
            <w:vAlign w:val="center"/>
            <w:hideMark/>
          </w:tcPr>
          <w:p w14:paraId="7469E542" w14:textId="77777777" w:rsidR="006E6CFF" w:rsidRPr="004A1184" w:rsidRDefault="006E6CFF" w:rsidP="00533E5D">
            <w:pPr>
              <w:rPr>
                <w:rFonts w:cs="Arial"/>
                <w:szCs w:val="24"/>
                <w:lang w:eastAsia="en-GB"/>
              </w:rPr>
            </w:pPr>
            <w:r w:rsidRPr="004A1184">
              <w:rPr>
                <w:rFonts w:cs="Arial"/>
                <w:szCs w:val="24"/>
                <w:lang w:eastAsia="en-GB"/>
              </w:rPr>
              <w:t>Business rates</w:t>
            </w:r>
          </w:p>
        </w:tc>
        <w:tc>
          <w:tcPr>
            <w:tcW w:w="1495" w:type="dxa"/>
            <w:shd w:val="clear" w:color="auto" w:fill="auto"/>
            <w:noWrap/>
            <w:vAlign w:val="center"/>
            <w:hideMark/>
          </w:tcPr>
          <w:p w14:paraId="1D8CFC9B" w14:textId="77777777" w:rsidR="006E6CFF" w:rsidRPr="004A1184" w:rsidRDefault="006E6CFF" w:rsidP="00533E5D">
            <w:pPr>
              <w:jc w:val="right"/>
              <w:rPr>
                <w:rFonts w:cs="Arial"/>
                <w:szCs w:val="24"/>
                <w:lang w:eastAsia="en-GB"/>
              </w:rPr>
            </w:pPr>
            <w:r w:rsidRPr="004A1184">
              <w:rPr>
                <w:rFonts w:cs="Arial"/>
                <w:szCs w:val="24"/>
                <w:lang w:eastAsia="en-GB"/>
              </w:rPr>
              <w:t>(19,074)</w:t>
            </w:r>
          </w:p>
        </w:tc>
        <w:tc>
          <w:tcPr>
            <w:tcW w:w="1495" w:type="dxa"/>
            <w:shd w:val="clear" w:color="auto" w:fill="auto"/>
            <w:noWrap/>
            <w:vAlign w:val="center"/>
            <w:hideMark/>
          </w:tcPr>
          <w:p w14:paraId="44C381E0" w14:textId="77777777" w:rsidR="006E6CFF" w:rsidRPr="004A1184" w:rsidRDefault="006E6CFF" w:rsidP="00533E5D">
            <w:pPr>
              <w:jc w:val="right"/>
              <w:rPr>
                <w:rFonts w:cs="Arial"/>
                <w:szCs w:val="24"/>
                <w:lang w:eastAsia="en-GB"/>
              </w:rPr>
            </w:pPr>
            <w:r w:rsidRPr="004A1184">
              <w:rPr>
                <w:rFonts w:cs="Arial"/>
                <w:szCs w:val="24"/>
                <w:lang w:eastAsia="en-GB"/>
              </w:rPr>
              <w:t>(19,296)</w:t>
            </w:r>
          </w:p>
        </w:tc>
        <w:tc>
          <w:tcPr>
            <w:tcW w:w="1494" w:type="dxa"/>
            <w:shd w:val="clear" w:color="auto" w:fill="auto"/>
            <w:noWrap/>
            <w:vAlign w:val="center"/>
            <w:hideMark/>
          </w:tcPr>
          <w:p w14:paraId="1B5A57BA" w14:textId="77777777" w:rsidR="006E6CFF" w:rsidRPr="004A1184" w:rsidRDefault="006E6CFF" w:rsidP="00533E5D">
            <w:pPr>
              <w:jc w:val="right"/>
              <w:rPr>
                <w:rFonts w:cs="Arial"/>
                <w:szCs w:val="24"/>
                <w:lang w:eastAsia="en-GB"/>
              </w:rPr>
            </w:pPr>
            <w:r w:rsidRPr="004A1184">
              <w:rPr>
                <w:rFonts w:cs="Arial"/>
                <w:szCs w:val="24"/>
                <w:lang w:eastAsia="en-GB"/>
              </w:rPr>
              <w:t>(222)</w:t>
            </w:r>
          </w:p>
        </w:tc>
      </w:tr>
      <w:tr w:rsidR="006E6CFF" w:rsidRPr="004A1184" w14:paraId="10AB25AB" w14:textId="77777777" w:rsidTr="00533E5D">
        <w:trPr>
          <w:trHeight w:val="300"/>
        </w:trPr>
        <w:tc>
          <w:tcPr>
            <w:tcW w:w="4082" w:type="dxa"/>
            <w:shd w:val="clear" w:color="auto" w:fill="auto"/>
            <w:noWrap/>
            <w:vAlign w:val="center"/>
            <w:hideMark/>
          </w:tcPr>
          <w:p w14:paraId="16007A6D" w14:textId="77777777" w:rsidR="006E6CFF" w:rsidRPr="004A1184" w:rsidRDefault="006E6CFF" w:rsidP="00533E5D">
            <w:pPr>
              <w:rPr>
                <w:rFonts w:cs="Arial"/>
                <w:szCs w:val="24"/>
                <w:lang w:eastAsia="en-GB"/>
              </w:rPr>
            </w:pPr>
            <w:r w:rsidRPr="004A1184">
              <w:rPr>
                <w:rFonts w:cs="Arial"/>
                <w:szCs w:val="24"/>
                <w:lang w:eastAsia="en-GB"/>
              </w:rPr>
              <w:t>Government grant</w:t>
            </w:r>
          </w:p>
        </w:tc>
        <w:tc>
          <w:tcPr>
            <w:tcW w:w="1495" w:type="dxa"/>
            <w:shd w:val="clear" w:color="auto" w:fill="auto"/>
            <w:noWrap/>
            <w:vAlign w:val="center"/>
            <w:hideMark/>
          </w:tcPr>
          <w:p w14:paraId="2B6576A6" w14:textId="77777777" w:rsidR="006E6CFF" w:rsidRPr="004A1184" w:rsidRDefault="006E6CFF" w:rsidP="00533E5D">
            <w:pPr>
              <w:jc w:val="right"/>
              <w:rPr>
                <w:rFonts w:cs="Arial"/>
                <w:szCs w:val="24"/>
                <w:lang w:eastAsia="en-GB"/>
              </w:rPr>
            </w:pPr>
            <w:r w:rsidRPr="004A1184">
              <w:rPr>
                <w:rFonts w:cs="Arial"/>
                <w:szCs w:val="24"/>
                <w:lang w:eastAsia="en-GB"/>
              </w:rPr>
              <w:t>(8,832)</w:t>
            </w:r>
          </w:p>
        </w:tc>
        <w:tc>
          <w:tcPr>
            <w:tcW w:w="1495" w:type="dxa"/>
            <w:shd w:val="clear" w:color="auto" w:fill="auto"/>
            <w:noWrap/>
            <w:vAlign w:val="center"/>
            <w:hideMark/>
          </w:tcPr>
          <w:p w14:paraId="6E8589FB" w14:textId="77777777" w:rsidR="006E6CFF" w:rsidRPr="004A1184" w:rsidRDefault="006E6CFF" w:rsidP="00533E5D">
            <w:pPr>
              <w:jc w:val="right"/>
              <w:rPr>
                <w:rFonts w:cs="Arial"/>
                <w:szCs w:val="24"/>
                <w:lang w:eastAsia="en-GB"/>
              </w:rPr>
            </w:pPr>
            <w:r w:rsidRPr="004A1184">
              <w:rPr>
                <w:rFonts w:cs="Arial"/>
                <w:szCs w:val="24"/>
                <w:lang w:eastAsia="en-GB"/>
              </w:rPr>
              <w:t>(8,832)</w:t>
            </w:r>
          </w:p>
        </w:tc>
        <w:tc>
          <w:tcPr>
            <w:tcW w:w="1494" w:type="dxa"/>
            <w:shd w:val="clear" w:color="auto" w:fill="auto"/>
            <w:noWrap/>
            <w:vAlign w:val="center"/>
            <w:hideMark/>
          </w:tcPr>
          <w:p w14:paraId="140B4D8F" w14:textId="7DCFAEC5" w:rsidR="006E6CFF" w:rsidRPr="004A1184" w:rsidRDefault="009E63DB" w:rsidP="00533E5D">
            <w:pPr>
              <w:jc w:val="right"/>
              <w:rPr>
                <w:rFonts w:cs="Arial"/>
                <w:szCs w:val="24"/>
                <w:lang w:eastAsia="en-GB"/>
              </w:rPr>
            </w:pPr>
            <w:r w:rsidRPr="004A1184">
              <w:rPr>
                <w:rFonts w:cs="Arial"/>
                <w:szCs w:val="24"/>
                <w:lang w:eastAsia="en-GB"/>
              </w:rPr>
              <w:t>-</w:t>
            </w:r>
          </w:p>
        </w:tc>
      </w:tr>
      <w:tr w:rsidR="006E6CFF" w:rsidRPr="004A1184" w14:paraId="022CABE3" w14:textId="77777777" w:rsidTr="00533E5D">
        <w:trPr>
          <w:trHeight w:val="300"/>
        </w:trPr>
        <w:tc>
          <w:tcPr>
            <w:tcW w:w="4082" w:type="dxa"/>
            <w:shd w:val="clear" w:color="auto" w:fill="auto"/>
            <w:noWrap/>
            <w:vAlign w:val="center"/>
            <w:hideMark/>
          </w:tcPr>
          <w:p w14:paraId="10D0C5E0" w14:textId="3496E3D1" w:rsidR="006E6CFF" w:rsidRPr="004A1184" w:rsidRDefault="00665819" w:rsidP="00665819">
            <w:pPr>
              <w:rPr>
                <w:rFonts w:cs="Arial"/>
                <w:szCs w:val="24"/>
                <w:lang w:eastAsia="en-GB"/>
              </w:rPr>
            </w:pPr>
            <w:r>
              <w:rPr>
                <w:rFonts w:cs="Arial"/>
                <w:szCs w:val="24"/>
                <w:lang w:eastAsia="en-GB"/>
              </w:rPr>
              <w:t>Sub-total</w:t>
            </w:r>
          </w:p>
        </w:tc>
        <w:tc>
          <w:tcPr>
            <w:tcW w:w="1495" w:type="dxa"/>
            <w:shd w:val="clear" w:color="auto" w:fill="auto"/>
            <w:noWrap/>
            <w:vAlign w:val="center"/>
            <w:hideMark/>
          </w:tcPr>
          <w:p w14:paraId="3443D10E" w14:textId="77777777" w:rsidR="006E6CFF" w:rsidRPr="004A1184" w:rsidRDefault="006E6CFF" w:rsidP="00533E5D">
            <w:pPr>
              <w:jc w:val="right"/>
              <w:rPr>
                <w:rFonts w:cs="Arial"/>
                <w:b/>
                <w:bCs/>
                <w:szCs w:val="24"/>
                <w:lang w:eastAsia="en-GB"/>
              </w:rPr>
            </w:pPr>
            <w:r w:rsidRPr="004A1184">
              <w:rPr>
                <w:rFonts w:cs="Arial"/>
                <w:b/>
                <w:bCs/>
                <w:szCs w:val="24"/>
                <w:lang w:eastAsia="en-GB"/>
              </w:rPr>
              <w:t>(63,017)</w:t>
            </w:r>
          </w:p>
        </w:tc>
        <w:tc>
          <w:tcPr>
            <w:tcW w:w="1495" w:type="dxa"/>
            <w:shd w:val="clear" w:color="auto" w:fill="auto"/>
            <w:noWrap/>
            <w:vAlign w:val="center"/>
            <w:hideMark/>
          </w:tcPr>
          <w:p w14:paraId="28B7E625" w14:textId="77777777" w:rsidR="006E6CFF" w:rsidRPr="004A1184" w:rsidRDefault="006E6CFF" w:rsidP="00533E5D">
            <w:pPr>
              <w:jc w:val="right"/>
              <w:rPr>
                <w:rFonts w:cs="Arial"/>
                <w:b/>
                <w:bCs/>
                <w:szCs w:val="24"/>
                <w:lang w:eastAsia="en-GB"/>
              </w:rPr>
            </w:pPr>
            <w:r w:rsidRPr="004A1184">
              <w:rPr>
                <w:rFonts w:cs="Arial"/>
                <w:b/>
                <w:bCs/>
                <w:szCs w:val="24"/>
                <w:lang w:eastAsia="en-GB"/>
              </w:rPr>
              <w:t>(63,239)</w:t>
            </w:r>
          </w:p>
        </w:tc>
        <w:tc>
          <w:tcPr>
            <w:tcW w:w="1494" w:type="dxa"/>
            <w:shd w:val="clear" w:color="auto" w:fill="auto"/>
            <w:noWrap/>
            <w:vAlign w:val="center"/>
            <w:hideMark/>
          </w:tcPr>
          <w:p w14:paraId="3204EE09" w14:textId="77777777" w:rsidR="006E6CFF" w:rsidRPr="004A1184" w:rsidRDefault="006E6CFF" w:rsidP="00533E5D">
            <w:pPr>
              <w:jc w:val="right"/>
              <w:rPr>
                <w:rFonts w:cs="Arial"/>
                <w:b/>
                <w:bCs/>
                <w:szCs w:val="24"/>
                <w:lang w:eastAsia="en-GB"/>
              </w:rPr>
            </w:pPr>
            <w:r w:rsidRPr="004A1184">
              <w:rPr>
                <w:rFonts w:cs="Arial"/>
                <w:b/>
                <w:bCs/>
                <w:szCs w:val="24"/>
                <w:lang w:eastAsia="en-GB"/>
              </w:rPr>
              <w:t>(222)</w:t>
            </w:r>
          </w:p>
        </w:tc>
      </w:tr>
      <w:tr w:rsidR="006E6CFF" w:rsidRPr="004A1184" w14:paraId="615D4AAF" w14:textId="77777777" w:rsidTr="00533E5D">
        <w:trPr>
          <w:trHeight w:val="300"/>
        </w:trPr>
        <w:tc>
          <w:tcPr>
            <w:tcW w:w="4082" w:type="dxa"/>
            <w:shd w:val="clear" w:color="auto" w:fill="auto"/>
            <w:noWrap/>
            <w:vAlign w:val="center"/>
            <w:hideMark/>
          </w:tcPr>
          <w:p w14:paraId="06CAC410" w14:textId="77777777" w:rsidR="006E6CFF" w:rsidRPr="004A1184" w:rsidRDefault="006E6CFF" w:rsidP="00533E5D">
            <w:pPr>
              <w:rPr>
                <w:rFonts w:cs="Arial"/>
                <w:b/>
                <w:bCs/>
                <w:szCs w:val="24"/>
                <w:lang w:eastAsia="en-GB"/>
              </w:rPr>
            </w:pPr>
            <w:r w:rsidRPr="004A1184">
              <w:rPr>
                <w:rFonts w:cs="Arial"/>
                <w:b/>
                <w:bCs/>
                <w:szCs w:val="24"/>
                <w:lang w:eastAsia="en-GB"/>
              </w:rPr>
              <w:t>Net Overspend</w:t>
            </w:r>
          </w:p>
        </w:tc>
        <w:tc>
          <w:tcPr>
            <w:tcW w:w="1495" w:type="dxa"/>
            <w:shd w:val="clear" w:color="auto" w:fill="auto"/>
            <w:noWrap/>
            <w:vAlign w:val="center"/>
            <w:hideMark/>
          </w:tcPr>
          <w:p w14:paraId="2BD04DD1" w14:textId="73D987AF" w:rsidR="00FF4100" w:rsidRPr="004A1184" w:rsidRDefault="00FF4100" w:rsidP="00FF4100">
            <w:pPr>
              <w:jc w:val="right"/>
              <w:rPr>
                <w:rFonts w:cs="Arial"/>
                <w:b/>
                <w:bCs/>
                <w:szCs w:val="24"/>
                <w:lang w:eastAsia="en-GB"/>
              </w:rPr>
            </w:pPr>
            <w:r>
              <w:rPr>
                <w:rFonts w:cs="Arial"/>
                <w:b/>
                <w:bCs/>
                <w:szCs w:val="24"/>
                <w:lang w:eastAsia="en-GB"/>
              </w:rPr>
              <w:t>-</w:t>
            </w:r>
          </w:p>
        </w:tc>
        <w:tc>
          <w:tcPr>
            <w:tcW w:w="1495" w:type="dxa"/>
            <w:shd w:val="clear" w:color="auto" w:fill="auto"/>
            <w:noWrap/>
            <w:vAlign w:val="center"/>
            <w:hideMark/>
          </w:tcPr>
          <w:p w14:paraId="714617A4" w14:textId="3D40DF68" w:rsidR="006E6CFF" w:rsidRPr="004A1184" w:rsidRDefault="006E6CFF" w:rsidP="00533E5D">
            <w:pPr>
              <w:jc w:val="right"/>
              <w:rPr>
                <w:rFonts w:cs="Arial"/>
                <w:b/>
                <w:bCs/>
                <w:szCs w:val="24"/>
                <w:lang w:eastAsia="en-GB"/>
              </w:rPr>
            </w:pPr>
            <w:r w:rsidRPr="004A1184">
              <w:rPr>
                <w:rFonts w:cs="Arial"/>
                <w:b/>
                <w:bCs/>
                <w:szCs w:val="24"/>
                <w:lang w:eastAsia="en-GB"/>
              </w:rPr>
              <w:t>1,6</w:t>
            </w:r>
            <w:r w:rsidR="002629D1" w:rsidRPr="004A1184">
              <w:rPr>
                <w:rFonts w:cs="Arial"/>
                <w:b/>
                <w:bCs/>
                <w:szCs w:val="24"/>
                <w:lang w:eastAsia="en-GB"/>
              </w:rPr>
              <w:t>7</w:t>
            </w:r>
            <w:r w:rsidRPr="004A1184">
              <w:rPr>
                <w:rFonts w:cs="Arial"/>
                <w:b/>
                <w:bCs/>
                <w:szCs w:val="24"/>
                <w:lang w:eastAsia="en-GB"/>
              </w:rPr>
              <w:t xml:space="preserve">3 </w:t>
            </w:r>
          </w:p>
        </w:tc>
        <w:tc>
          <w:tcPr>
            <w:tcW w:w="1494" w:type="dxa"/>
            <w:shd w:val="clear" w:color="auto" w:fill="auto"/>
            <w:noWrap/>
            <w:vAlign w:val="center"/>
            <w:hideMark/>
          </w:tcPr>
          <w:p w14:paraId="2905DF89" w14:textId="07CDFCB2" w:rsidR="006E6CFF" w:rsidRPr="004A1184" w:rsidRDefault="006E6CFF" w:rsidP="00533E5D">
            <w:pPr>
              <w:jc w:val="right"/>
              <w:rPr>
                <w:rFonts w:cs="Arial"/>
                <w:b/>
                <w:bCs/>
                <w:szCs w:val="24"/>
                <w:lang w:eastAsia="en-GB"/>
              </w:rPr>
            </w:pPr>
            <w:r w:rsidRPr="004A1184">
              <w:rPr>
                <w:rFonts w:cs="Arial"/>
                <w:b/>
                <w:bCs/>
                <w:szCs w:val="24"/>
                <w:lang w:eastAsia="en-GB"/>
              </w:rPr>
              <w:t>1,6</w:t>
            </w:r>
            <w:r w:rsidR="002629D1" w:rsidRPr="004A1184">
              <w:rPr>
                <w:rFonts w:cs="Arial"/>
                <w:b/>
                <w:bCs/>
                <w:szCs w:val="24"/>
                <w:lang w:eastAsia="en-GB"/>
              </w:rPr>
              <w:t>7</w:t>
            </w:r>
            <w:r w:rsidRPr="004A1184">
              <w:rPr>
                <w:rFonts w:cs="Arial"/>
                <w:b/>
                <w:bCs/>
                <w:szCs w:val="24"/>
                <w:lang w:eastAsia="en-GB"/>
              </w:rPr>
              <w:t xml:space="preserve">3 </w:t>
            </w:r>
          </w:p>
        </w:tc>
      </w:tr>
      <w:bookmarkEnd w:id="2"/>
    </w:tbl>
    <w:p w14:paraId="4CA89930" w14:textId="7E03365D" w:rsidR="006E6CFF" w:rsidRPr="007D71A7" w:rsidRDefault="006E6CFF" w:rsidP="006E6CFF">
      <w:pPr>
        <w:jc w:val="center"/>
        <w:rPr>
          <w:rFonts w:cs="Arial"/>
          <w:color w:val="000000" w:themeColor="text1"/>
          <w:szCs w:val="24"/>
        </w:rPr>
      </w:pPr>
    </w:p>
    <w:p w14:paraId="7B09AC7D" w14:textId="77777777" w:rsidR="006E6CFF" w:rsidRPr="007D71A7" w:rsidRDefault="006E6CFF" w:rsidP="006E6CFF">
      <w:pPr>
        <w:rPr>
          <w:rFonts w:cs="Arial"/>
          <w:color w:val="000000" w:themeColor="text1"/>
          <w:szCs w:val="24"/>
        </w:rPr>
      </w:pPr>
      <w:r w:rsidRPr="007D71A7">
        <w:rPr>
          <w:rFonts w:cs="Arial"/>
          <w:color w:val="000000" w:themeColor="text1"/>
          <w:szCs w:val="24"/>
        </w:rPr>
        <w:t>The following reconciliation shows the comparison between the revenue budget position, as set out above, and the Total Comprehensive Income and Expenditure figure reported in the accounts.</w:t>
      </w:r>
    </w:p>
    <w:p w14:paraId="3D2B2063" w14:textId="77777777" w:rsidR="006E6CFF" w:rsidRPr="007D71A7" w:rsidRDefault="006E6CFF" w:rsidP="006E6CFF">
      <w:pPr>
        <w:jc w:val="both"/>
        <w:rPr>
          <w:rFonts w:cs="Arial"/>
          <w:color w:val="000000" w:themeColor="text1"/>
          <w:szCs w:val="24"/>
        </w:rPr>
      </w:pPr>
    </w:p>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7"/>
        <w:gridCol w:w="1645"/>
      </w:tblGrid>
      <w:tr w:rsidR="006E6CFF" w:rsidRPr="007D71A7" w14:paraId="6DBC44B2" w14:textId="77777777" w:rsidTr="00BD79B2">
        <w:trPr>
          <w:tblHeader/>
        </w:trPr>
        <w:tc>
          <w:tcPr>
            <w:tcW w:w="6917" w:type="dxa"/>
            <w:shd w:val="clear" w:color="auto" w:fill="BD2716"/>
            <w:vAlign w:val="center"/>
          </w:tcPr>
          <w:p w14:paraId="3A863BE0" w14:textId="5F058BD2" w:rsidR="006E6CFF" w:rsidRPr="00BD79B2" w:rsidRDefault="00B10A2A" w:rsidP="00BD79B2">
            <w:pPr>
              <w:rPr>
                <w:rFonts w:cs="Arial"/>
                <w:b/>
                <w:bCs/>
                <w:color w:val="FFFFFF" w:themeColor="background1"/>
                <w:szCs w:val="24"/>
              </w:rPr>
            </w:pPr>
            <w:r w:rsidRPr="00BD79B2">
              <w:rPr>
                <w:rFonts w:cs="Arial"/>
                <w:b/>
                <w:bCs/>
                <w:color w:val="FFFFFF" w:themeColor="background1"/>
                <w:szCs w:val="24"/>
              </w:rPr>
              <w:t>Reconciliation</w:t>
            </w:r>
          </w:p>
        </w:tc>
        <w:tc>
          <w:tcPr>
            <w:tcW w:w="1645" w:type="dxa"/>
            <w:shd w:val="clear" w:color="auto" w:fill="BD2716"/>
            <w:vAlign w:val="center"/>
          </w:tcPr>
          <w:p w14:paraId="4AB3C5E8" w14:textId="722B8BF1" w:rsidR="006E6CFF" w:rsidRPr="00BD79B2" w:rsidRDefault="00F2325E" w:rsidP="00BD79B2">
            <w:pPr>
              <w:ind w:left="175" w:right="286"/>
              <w:jc w:val="right"/>
              <w:rPr>
                <w:rFonts w:cs="Arial"/>
                <w:color w:val="FFFFFF" w:themeColor="background1"/>
                <w:szCs w:val="24"/>
              </w:rPr>
            </w:pPr>
            <w:r w:rsidRPr="00BD79B2">
              <w:rPr>
                <w:rFonts w:cs="Arial"/>
                <w:color w:val="FFFFFF" w:themeColor="background1"/>
                <w:szCs w:val="24"/>
              </w:rPr>
              <w:t>£000</w:t>
            </w:r>
          </w:p>
        </w:tc>
      </w:tr>
      <w:tr w:rsidR="006E6CFF" w:rsidRPr="007D71A7" w14:paraId="00175959" w14:textId="77777777" w:rsidTr="00233A66">
        <w:tc>
          <w:tcPr>
            <w:tcW w:w="6917" w:type="dxa"/>
            <w:vAlign w:val="center"/>
          </w:tcPr>
          <w:p w14:paraId="6AA464AF" w14:textId="77777777" w:rsidR="006E6CFF" w:rsidRPr="007D71A7" w:rsidRDefault="006E6CFF" w:rsidP="00582882">
            <w:pPr>
              <w:rPr>
                <w:rFonts w:cs="Arial"/>
                <w:color w:val="000000" w:themeColor="text1"/>
                <w:szCs w:val="24"/>
              </w:rPr>
            </w:pPr>
            <w:r w:rsidRPr="007D71A7">
              <w:rPr>
                <w:rFonts w:cs="Arial"/>
                <w:b/>
                <w:bCs/>
                <w:color w:val="000000" w:themeColor="text1"/>
                <w:szCs w:val="24"/>
              </w:rPr>
              <w:t xml:space="preserve">Revenue Outturn </w:t>
            </w:r>
          </w:p>
        </w:tc>
        <w:tc>
          <w:tcPr>
            <w:tcW w:w="1645" w:type="dxa"/>
            <w:vAlign w:val="center"/>
          </w:tcPr>
          <w:p w14:paraId="3FB78FE0" w14:textId="28819962" w:rsidR="006E6CFF" w:rsidRPr="00233A66" w:rsidRDefault="006E6CFF" w:rsidP="00233A66">
            <w:pPr>
              <w:jc w:val="right"/>
              <w:rPr>
                <w:rFonts w:cs="Arial"/>
                <w:b/>
                <w:bCs/>
                <w:szCs w:val="24"/>
                <w:lang w:eastAsia="en-GB"/>
              </w:rPr>
            </w:pPr>
            <w:r w:rsidRPr="007D71A7">
              <w:rPr>
                <w:rFonts w:cs="Arial"/>
                <w:b/>
                <w:bCs/>
                <w:szCs w:val="24"/>
                <w:lang w:eastAsia="en-GB"/>
              </w:rPr>
              <w:t>1,6</w:t>
            </w:r>
            <w:r w:rsidR="002629D1" w:rsidRPr="007D71A7">
              <w:rPr>
                <w:rFonts w:cs="Arial"/>
                <w:b/>
                <w:bCs/>
                <w:szCs w:val="24"/>
                <w:lang w:eastAsia="en-GB"/>
              </w:rPr>
              <w:t>7</w:t>
            </w:r>
            <w:r w:rsidRPr="007D71A7">
              <w:rPr>
                <w:rFonts w:cs="Arial"/>
                <w:b/>
                <w:bCs/>
                <w:szCs w:val="24"/>
                <w:lang w:eastAsia="en-GB"/>
              </w:rPr>
              <w:t>3</w:t>
            </w:r>
          </w:p>
        </w:tc>
      </w:tr>
      <w:tr w:rsidR="006E6CFF" w:rsidRPr="007D71A7" w14:paraId="7D31BB21" w14:textId="77777777" w:rsidTr="00233A66">
        <w:tc>
          <w:tcPr>
            <w:tcW w:w="6917" w:type="dxa"/>
            <w:vAlign w:val="center"/>
          </w:tcPr>
          <w:p w14:paraId="1ACB5E10" w14:textId="77777777" w:rsidR="006E6CFF" w:rsidRPr="007D71A7" w:rsidRDefault="006E6CFF" w:rsidP="00582882">
            <w:pPr>
              <w:rPr>
                <w:rFonts w:cs="Arial"/>
                <w:szCs w:val="24"/>
              </w:rPr>
            </w:pPr>
            <w:r w:rsidRPr="007D71A7">
              <w:rPr>
                <w:rFonts w:cs="Arial"/>
                <w:color w:val="000000"/>
                <w:szCs w:val="24"/>
              </w:rPr>
              <w:t xml:space="preserve">Remove Capital Contributions and transfers to / from reserves </w:t>
            </w:r>
          </w:p>
        </w:tc>
        <w:tc>
          <w:tcPr>
            <w:tcW w:w="1645" w:type="dxa"/>
            <w:vAlign w:val="center"/>
          </w:tcPr>
          <w:p w14:paraId="06E43E2B" w14:textId="77777777" w:rsidR="006E6CFF" w:rsidRPr="00233A66" w:rsidRDefault="006E6CFF" w:rsidP="00233A66">
            <w:pPr>
              <w:jc w:val="right"/>
              <w:rPr>
                <w:rFonts w:cs="Arial"/>
                <w:szCs w:val="24"/>
                <w:lang w:eastAsia="en-GB"/>
              </w:rPr>
            </w:pPr>
            <w:r w:rsidRPr="00233A66">
              <w:rPr>
                <w:rFonts w:cs="Arial"/>
                <w:szCs w:val="24"/>
                <w:lang w:eastAsia="en-GB"/>
              </w:rPr>
              <w:t>(3,825)</w:t>
            </w:r>
          </w:p>
        </w:tc>
      </w:tr>
      <w:tr w:rsidR="006E6CFF" w:rsidRPr="007D71A7" w14:paraId="0937268F" w14:textId="77777777" w:rsidTr="00233A66">
        <w:tc>
          <w:tcPr>
            <w:tcW w:w="6917" w:type="dxa"/>
            <w:vAlign w:val="center"/>
          </w:tcPr>
          <w:p w14:paraId="77E4D413" w14:textId="77777777" w:rsidR="006E6CFF" w:rsidRPr="007D71A7" w:rsidRDefault="006E6CFF" w:rsidP="00582882">
            <w:pPr>
              <w:rPr>
                <w:rFonts w:cs="Arial"/>
                <w:szCs w:val="24"/>
              </w:rPr>
            </w:pPr>
            <w:r w:rsidRPr="007D71A7">
              <w:rPr>
                <w:rFonts w:cs="Arial"/>
                <w:color w:val="000000"/>
                <w:szCs w:val="24"/>
              </w:rPr>
              <w:t>Adjustments for Capital Purposes</w:t>
            </w:r>
          </w:p>
        </w:tc>
        <w:tc>
          <w:tcPr>
            <w:tcW w:w="1645" w:type="dxa"/>
            <w:vAlign w:val="center"/>
          </w:tcPr>
          <w:p w14:paraId="20A8DD1B" w14:textId="0EE6098A" w:rsidR="006E6CFF" w:rsidRPr="00233A66" w:rsidRDefault="006E6CFF" w:rsidP="00233A66">
            <w:pPr>
              <w:jc w:val="right"/>
              <w:rPr>
                <w:rFonts w:cs="Arial"/>
                <w:szCs w:val="24"/>
                <w:lang w:eastAsia="en-GB"/>
              </w:rPr>
            </w:pPr>
            <w:r w:rsidRPr="00233A66">
              <w:rPr>
                <w:rFonts w:cs="Arial"/>
                <w:szCs w:val="24"/>
                <w:lang w:eastAsia="en-GB"/>
              </w:rPr>
              <w:t>4,214</w:t>
            </w:r>
          </w:p>
        </w:tc>
      </w:tr>
      <w:tr w:rsidR="006E6CFF" w:rsidRPr="007D71A7" w14:paraId="7752FEF1" w14:textId="77777777" w:rsidTr="00233A66">
        <w:tc>
          <w:tcPr>
            <w:tcW w:w="6917" w:type="dxa"/>
            <w:vAlign w:val="center"/>
          </w:tcPr>
          <w:p w14:paraId="23CEF5F2" w14:textId="77777777" w:rsidR="006E6CFF" w:rsidRPr="007D71A7" w:rsidRDefault="006E6CFF" w:rsidP="00582882">
            <w:pPr>
              <w:rPr>
                <w:rFonts w:cs="Arial"/>
                <w:szCs w:val="24"/>
              </w:rPr>
            </w:pPr>
            <w:r w:rsidRPr="007D71A7">
              <w:rPr>
                <w:rFonts w:cs="Arial"/>
                <w:color w:val="000000"/>
                <w:szCs w:val="24"/>
              </w:rPr>
              <w:t>Net change for Pensions Adjustments</w:t>
            </w:r>
          </w:p>
        </w:tc>
        <w:tc>
          <w:tcPr>
            <w:tcW w:w="1645" w:type="dxa"/>
            <w:vAlign w:val="center"/>
          </w:tcPr>
          <w:p w14:paraId="55BE0F04" w14:textId="2A08AACE" w:rsidR="006E6CFF" w:rsidRPr="00233A66" w:rsidRDefault="006E6CFF" w:rsidP="00233A66">
            <w:pPr>
              <w:jc w:val="right"/>
              <w:rPr>
                <w:rFonts w:cs="Arial"/>
                <w:szCs w:val="24"/>
                <w:lang w:eastAsia="en-GB"/>
              </w:rPr>
            </w:pPr>
            <w:r w:rsidRPr="00233A66">
              <w:rPr>
                <w:rFonts w:cs="Arial"/>
                <w:szCs w:val="24"/>
                <w:lang w:eastAsia="en-GB"/>
              </w:rPr>
              <w:t>12,868</w:t>
            </w:r>
          </w:p>
        </w:tc>
      </w:tr>
      <w:tr w:rsidR="006E6CFF" w:rsidRPr="007D71A7" w14:paraId="7F9D45A4" w14:textId="77777777" w:rsidTr="00233A66">
        <w:tc>
          <w:tcPr>
            <w:tcW w:w="6917" w:type="dxa"/>
            <w:vAlign w:val="center"/>
          </w:tcPr>
          <w:p w14:paraId="460B525F" w14:textId="77777777" w:rsidR="006E6CFF" w:rsidRPr="007D71A7" w:rsidRDefault="006E6CFF" w:rsidP="00582882">
            <w:pPr>
              <w:rPr>
                <w:rFonts w:cs="Arial"/>
                <w:szCs w:val="24"/>
              </w:rPr>
            </w:pPr>
            <w:r w:rsidRPr="007D71A7">
              <w:rPr>
                <w:rFonts w:cs="Arial"/>
                <w:color w:val="000000"/>
                <w:szCs w:val="24"/>
              </w:rPr>
              <w:t>Other Differences</w:t>
            </w:r>
          </w:p>
        </w:tc>
        <w:tc>
          <w:tcPr>
            <w:tcW w:w="1645" w:type="dxa"/>
            <w:vAlign w:val="center"/>
          </w:tcPr>
          <w:p w14:paraId="3B63D2DD" w14:textId="298D791A" w:rsidR="006E6CFF" w:rsidRPr="00233A66" w:rsidRDefault="006E6CFF" w:rsidP="00233A66">
            <w:pPr>
              <w:jc w:val="right"/>
              <w:rPr>
                <w:rFonts w:cs="Arial"/>
                <w:szCs w:val="24"/>
                <w:lang w:eastAsia="en-GB"/>
              </w:rPr>
            </w:pPr>
            <w:r w:rsidRPr="00233A66">
              <w:rPr>
                <w:rFonts w:cs="Arial"/>
                <w:szCs w:val="24"/>
                <w:lang w:eastAsia="en-GB"/>
              </w:rPr>
              <w:t>416</w:t>
            </w:r>
          </w:p>
        </w:tc>
      </w:tr>
      <w:tr w:rsidR="006E6CFF" w:rsidRPr="007D71A7" w14:paraId="4B4E1FA0" w14:textId="77777777" w:rsidTr="00233A66">
        <w:tc>
          <w:tcPr>
            <w:tcW w:w="6917" w:type="dxa"/>
            <w:tcBorders>
              <w:top w:val="single" w:sz="4" w:space="0" w:color="auto"/>
              <w:left w:val="single" w:sz="4" w:space="0" w:color="auto"/>
              <w:bottom w:val="single" w:sz="4" w:space="0" w:color="auto"/>
              <w:right w:val="single" w:sz="4" w:space="0" w:color="auto"/>
            </w:tcBorders>
            <w:vAlign w:val="center"/>
          </w:tcPr>
          <w:p w14:paraId="4F85B138" w14:textId="77777777" w:rsidR="006E6CFF" w:rsidRPr="007D71A7" w:rsidRDefault="006E6CFF" w:rsidP="00582882">
            <w:pPr>
              <w:rPr>
                <w:rFonts w:cs="Arial"/>
                <w:szCs w:val="24"/>
              </w:rPr>
            </w:pPr>
            <w:r w:rsidRPr="007D71A7">
              <w:rPr>
                <w:rFonts w:cs="Arial"/>
                <w:b/>
                <w:bCs/>
                <w:color w:val="000000"/>
                <w:szCs w:val="24"/>
              </w:rPr>
              <w:t>Deficit on provision of services</w:t>
            </w:r>
          </w:p>
        </w:tc>
        <w:tc>
          <w:tcPr>
            <w:tcW w:w="1645" w:type="dxa"/>
            <w:tcBorders>
              <w:top w:val="single" w:sz="4" w:space="0" w:color="auto"/>
              <w:left w:val="single" w:sz="4" w:space="0" w:color="auto"/>
              <w:bottom w:val="single" w:sz="4" w:space="0" w:color="auto"/>
              <w:right w:val="single" w:sz="4" w:space="0" w:color="auto"/>
            </w:tcBorders>
            <w:vAlign w:val="center"/>
          </w:tcPr>
          <w:p w14:paraId="56EC88EF" w14:textId="336BB33D" w:rsidR="006E6CFF" w:rsidRPr="00233A66" w:rsidRDefault="006E6CFF" w:rsidP="00233A66">
            <w:pPr>
              <w:jc w:val="right"/>
              <w:rPr>
                <w:rFonts w:cs="Arial"/>
                <w:b/>
                <w:bCs/>
                <w:szCs w:val="24"/>
                <w:lang w:eastAsia="en-GB"/>
              </w:rPr>
            </w:pPr>
            <w:r w:rsidRPr="007D71A7">
              <w:rPr>
                <w:rFonts w:cs="Arial"/>
                <w:b/>
                <w:bCs/>
                <w:szCs w:val="24"/>
                <w:lang w:eastAsia="en-GB"/>
              </w:rPr>
              <w:t>15,3</w:t>
            </w:r>
            <w:r w:rsidR="002629D1" w:rsidRPr="007D71A7">
              <w:rPr>
                <w:rFonts w:cs="Arial"/>
                <w:b/>
                <w:bCs/>
                <w:szCs w:val="24"/>
                <w:lang w:eastAsia="en-GB"/>
              </w:rPr>
              <w:t>4</w:t>
            </w:r>
            <w:r w:rsidRPr="007D71A7">
              <w:rPr>
                <w:rFonts w:cs="Arial"/>
                <w:b/>
                <w:bCs/>
                <w:szCs w:val="24"/>
                <w:lang w:eastAsia="en-GB"/>
              </w:rPr>
              <w:t>7</w:t>
            </w:r>
          </w:p>
        </w:tc>
      </w:tr>
      <w:tr w:rsidR="006E6CFF" w:rsidRPr="007D71A7" w14:paraId="61F89BFF" w14:textId="77777777" w:rsidTr="00233A66">
        <w:tc>
          <w:tcPr>
            <w:tcW w:w="6917" w:type="dxa"/>
            <w:vAlign w:val="center"/>
          </w:tcPr>
          <w:p w14:paraId="0F201F0F" w14:textId="77777777" w:rsidR="006E6CFF" w:rsidRPr="007D71A7" w:rsidRDefault="006E6CFF" w:rsidP="00582882">
            <w:pPr>
              <w:rPr>
                <w:rFonts w:cs="Arial"/>
                <w:szCs w:val="24"/>
              </w:rPr>
            </w:pPr>
            <w:r w:rsidRPr="007D71A7">
              <w:rPr>
                <w:rFonts w:cs="Arial"/>
                <w:color w:val="000000"/>
                <w:szCs w:val="24"/>
              </w:rPr>
              <w:t>(Surplus)/Deficit on revaluation of fixed assets</w:t>
            </w:r>
          </w:p>
        </w:tc>
        <w:tc>
          <w:tcPr>
            <w:tcW w:w="1645" w:type="dxa"/>
            <w:vAlign w:val="center"/>
          </w:tcPr>
          <w:p w14:paraId="5E54456F" w14:textId="77777777" w:rsidR="006E6CFF" w:rsidRPr="00233A66" w:rsidRDefault="006E6CFF" w:rsidP="00233A66">
            <w:pPr>
              <w:jc w:val="right"/>
              <w:rPr>
                <w:rFonts w:cs="Arial"/>
                <w:szCs w:val="24"/>
                <w:lang w:eastAsia="en-GB"/>
              </w:rPr>
            </w:pPr>
            <w:r w:rsidRPr="00233A66">
              <w:rPr>
                <w:rFonts w:cs="Arial"/>
                <w:szCs w:val="24"/>
                <w:lang w:eastAsia="en-GB"/>
              </w:rPr>
              <w:t>(21,735)</w:t>
            </w:r>
          </w:p>
        </w:tc>
      </w:tr>
      <w:tr w:rsidR="006E6CFF" w:rsidRPr="007D71A7" w14:paraId="4CF4D591" w14:textId="77777777" w:rsidTr="00233A66">
        <w:tc>
          <w:tcPr>
            <w:tcW w:w="6917" w:type="dxa"/>
            <w:vAlign w:val="center"/>
          </w:tcPr>
          <w:p w14:paraId="19857C53" w14:textId="77777777" w:rsidR="006E6CFF" w:rsidRPr="007D71A7" w:rsidRDefault="006E6CFF" w:rsidP="00582882">
            <w:pPr>
              <w:rPr>
                <w:rFonts w:cs="Arial"/>
                <w:szCs w:val="24"/>
              </w:rPr>
            </w:pPr>
            <w:r w:rsidRPr="007D71A7">
              <w:rPr>
                <w:rFonts w:cs="Arial"/>
                <w:color w:val="000000"/>
                <w:szCs w:val="24"/>
              </w:rPr>
              <w:t>Actuarial (gains)/losses on pension fund assets</w:t>
            </w:r>
          </w:p>
        </w:tc>
        <w:tc>
          <w:tcPr>
            <w:tcW w:w="1645" w:type="dxa"/>
            <w:vAlign w:val="center"/>
          </w:tcPr>
          <w:p w14:paraId="30FF4B34" w14:textId="77777777" w:rsidR="006E6CFF" w:rsidRPr="00233A66" w:rsidRDefault="006E6CFF" w:rsidP="00233A66">
            <w:pPr>
              <w:jc w:val="right"/>
              <w:rPr>
                <w:rFonts w:cs="Arial"/>
                <w:szCs w:val="24"/>
                <w:lang w:eastAsia="en-GB"/>
              </w:rPr>
            </w:pPr>
            <w:r w:rsidRPr="00233A66">
              <w:rPr>
                <w:rFonts w:cs="Arial"/>
                <w:szCs w:val="24"/>
                <w:lang w:eastAsia="en-GB"/>
              </w:rPr>
              <w:t>(276,694)</w:t>
            </w:r>
          </w:p>
        </w:tc>
      </w:tr>
      <w:tr w:rsidR="006E6CFF" w:rsidRPr="007D71A7" w14:paraId="30A98FEE" w14:textId="77777777" w:rsidTr="00233A66">
        <w:tc>
          <w:tcPr>
            <w:tcW w:w="6917" w:type="dxa"/>
            <w:vAlign w:val="center"/>
          </w:tcPr>
          <w:p w14:paraId="67B2070C" w14:textId="77777777" w:rsidR="006E6CFF" w:rsidRPr="007D71A7" w:rsidRDefault="006E6CFF" w:rsidP="00582882">
            <w:pPr>
              <w:rPr>
                <w:rFonts w:cs="Arial"/>
                <w:szCs w:val="24"/>
              </w:rPr>
            </w:pPr>
            <w:r w:rsidRPr="007D71A7">
              <w:rPr>
                <w:rFonts w:cs="Arial"/>
                <w:b/>
                <w:bCs/>
                <w:color w:val="000000"/>
                <w:szCs w:val="24"/>
              </w:rPr>
              <w:t>Total Comprehensive Income and Expenditure</w:t>
            </w:r>
          </w:p>
        </w:tc>
        <w:tc>
          <w:tcPr>
            <w:tcW w:w="1645" w:type="dxa"/>
            <w:vAlign w:val="center"/>
          </w:tcPr>
          <w:p w14:paraId="33C53C5D" w14:textId="3DA92D56" w:rsidR="006E6CFF" w:rsidRPr="007D71A7" w:rsidRDefault="006E6CFF" w:rsidP="00233A66">
            <w:pPr>
              <w:jc w:val="right"/>
              <w:rPr>
                <w:rFonts w:cs="Arial"/>
                <w:b/>
                <w:bCs/>
                <w:szCs w:val="24"/>
                <w:lang w:eastAsia="en-GB"/>
              </w:rPr>
            </w:pPr>
            <w:r w:rsidRPr="007D71A7">
              <w:rPr>
                <w:rFonts w:cs="Arial"/>
                <w:b/>
                <w:bCs/>
                <w:szCs w:val="24"/>
                <w:lang w:eastAsia="en-GB"/>
              </w:rPr>
              <w:t>(283,</w:t>
            </w:r>
            <w:r w:rsidR="002629D1" w:rsidRPr="007D71A7">
              <w:rPr>
                <w:rFonts w:cs="Arial"/>
                <w:b/>
                <w:bCs/>
                <w:szCs w:val="24"/>
                <w:lang w:eastAsia="en-GB"/>
              </w:rPr>
              <w:t>082</w:t>
            </w:r>
            <w:r w:rsidRPr="007D71A7">
              <w:rPr>
                <w:rFonts w:cs="Arial"/>
                <w:b/>
                <w:bCs/>
                <w:szCs w:val="24"/>
                <w:lang w:eastAsia="en-GB"/>
              </w:rPr>
              <w:t>)</w:t>
            </w:r>
          </w:p>
        </w:tc>
      </w:tr>
    </w:tbl>
    <w:p w14:paraId="7403769F" w14:textId="77777777" w:rsidR="006E6CFF" w:rsidRPr="007D71A7" w:rsidRDefault="006E6CFF" w:rsidP="006E6CFF">
      <w:pPr>
        <w:jc w:val="both"/>
        <w:rPr>
          <w:rFonts w:cs="Arial"/>
          <w:color w:val="000000" w:themeColor="text1"/>
          <w:szCs w:val="24"/>
        </w:rPr>
      </w:pPr>
    </w:p>
    <w:p w14:paraId="43EAB7CF" w14:textId="387154E6" w:rsidR="006E6CFF" w:rsidRPr="007D71A7" w:rsidRDefault="006E6CFF" w:rsidP="00B10A2A">
      <w:pPr>
        <w:rPr>
          <w:rFonts w:cs="Arial"/>
          <w:color w:val="000000" w:themeColor="text1"/>
          <w:szCs w:val="24"/>
        </w:rPr>
      </w:pPr>
      <w:r w:rsidRPr="007D71A7">
        <w:rPr>
          <w:rFonts w:cs="Arial"/>
          <w:color w:val="000000" w:themeColor="text1"/>
          <w:szCs w:val="24"/>
        </w:rPr>
        <w:t>The Authority’s general fund balance at the start of the year was £6.0</w:t>
      </w:r>
      <w:r w:rsidR="007B1261" w:rsidRPr="007D71A7">
        <w:rPr>
          <w:rFonts w:cs="Arial"/>
          <w:color w:val="000000" w:themeColor="text1"/>
          <w:szCs w:val="24"/>
        </w:rPr>
        <w:t>4</w:t>
      </w:r>
      <w:r w:rsidRPr="007D71A7">
        <w:rPr>
          <w:rFonts w:cs="Arial"/>
          <w:color w:val="000000" w:themeColor="text1"/>
          <w:szCs w:val="24"/>
        </w:rPr>
        <w:t>m, the overspend of £1.</w:t>
      </w:r>
      <w:r w:rsidR="00C46E92" w:rsidRPr="007D71A7">
        <w:rPr>
          <w:rFonts w:cs="Arial"/>
          <w:color w:val="000000" w:themeColor="text1"/>
          <w:szCs w:val="24"/>
        </w:rPr>
        <w:t>6</w:t>
      </w:r>
      <w:r w:rsidR="00025A15" w:rsidRPr="007D71A7">
        <w:rPr>
          <w:rFonts w:cs="Arial"/>
          <w:color w:val="000000" w:themeColor="text1"/>
          <w:szCs w:val="24"/>
        </w:rPr>
        <w:t>7</w:t>
      </w:r>
      <w:r w:rsidRPr="007D71A7">
        <w:rPr>
          <w:rFonts w:cs="Arial"/>
          <w:color w:val="000000" w:themeColor="text1"/>
          <w:szCs w:val="24"/>
        </w:rPr>
        <w:t>m has been transferred to the reserve reducing the balance to £4.</w:t>
      </w:r>
      <w:r w:rsidR="007B1261" w:rsidRPr="007D71A7">
        <w:rPr>
          <w:rFonts w:cs="Arial"/>
          <w:color w:val="000000" w:themeColor="text1"/>
          <w:szCs w:val="24"/>
        </w:rPr>
        <w:t>37</w:t>
      </w:r>
      <w:r w:rsidRPr="007D71A7">
        <w:rPr>
          <w:rFonts w:cs="Arial"/>
          <w:color w:val="000000" w:themeColor="text1"/>
          <w:szCs w:val="24"/>
        </w:rPr>
        <w:t xml:space="preserve">m (this is above the minimum level of reserves approved by the Authority at its budget meeting in 2023. Note the General Fund Balance including our share of </w:t>
      </w:r>
      <w:proofErr w:type="gramStart"/>
      <w:r w:rsidRPr="007D71A7">
        <w:rPr>
          <w:rFonts w:cs="Arial"/>
          <w:color w:val="000000" w:themeColor="text1"/>
          <w:szCs w:val="24"/>
        </w:rPr>
        <w:t>North West</w:t>
      </w:r>
      <w:proofErr w:type="gramEnd"/>
      <w:r w:rsidRPr="007D71A7">
        <w:rPr>
          <w:rFonts w:cs="Arial"/>
          <w:color w:val="000000" w:themeColor="text1"/>
          <w:szCs w:val="24"/>
        </w:rPr>
        <w:t xml:space="preserve"> </w:t>
      </w:r>
      <w:proofErr w:type="spellStart"/>
      <w:r w:rsidRPr="007D71A7">
        <w:rPr>
          <w:rFonts w:cs="Arial"/>
          <w:color w:val="000000" w:themeColor="text1"/>
          <w:szCs w:val="24"/>
        </w:rPr>
        <w:t>FireControl</w:t>
      </w:r>
      <w:proofErr w:type="spellEnd"/>
      <w:r w:rsidRPr="007D71A7">
        <w:rPr>
          <w:rFonts w:cs="Arial"/>
          <w:color w:val="000000" w:themeColor="text1"/>
          <w:szCs w:val="24"/>
        </w:rPr>
        <w:t xml:space="preserve"> general reserves is £4.</w:t>
      </w:r>
      <w:r w:rsidR="007B1261" w:rsidRPr="007D71A7">
        <w:rPr>
          <w:rFonts w:cs="Arial"/>
          <w:color w:val="000000" w:themeColor="text1"/>
          <w:szCs w:val="24"/>
        </w:rPr>
        <w:t>89</w:t>
      </w:r>
      <w:r w:rsidRPr="007D71A7">
        <w:rPr>
          <w:rFonts w:cs="Arial"/>
          <w:color w:val="000000" w:themeColor="text1"/>
          <w:szCs w:val="24"/>
        </w:rPr>
        <w:t>m.</w:t>
      </w:r>
    </w:p>
    <w:p w14:paraId="1E9A5864" w14:textId="77777777" w:rsidR="006E6CFF" w:rsidRPr="007D71A7" w:rsidRDefault="006E6CFF" w:rsidP="00B10A2A">
      <w:pPr>
        <w:rPr>
          <w:rFonts w:cs="Arial"/>
          <w:color w:val="000000" w:themeColor="text1"/>
          <w:szCs w:val="24"/>
        </w:rPr>
      </w:pPr>
    </w:p>
    <w:p w14:paraId="223DC627" w14:textId="5A5A83FA" w:rsidR="006E6CFF" w:rsidRPr="007D71A7" w:rsidRDefault="006E6CFF" w:rsidP="00B10A2A">
      <w:pPr>
        <w:rPr>
          <w:rFonts w:cs="Arial"/>
          <w:color w:val="000000" w:themeColor="text1"/>
          <w:szCs w:val="24"/>
        </w:rPr>
      </w:pPr>
      <w:r w:rsidRPr="007D71A7">
        <w:rPr>
          <w:rFonts w:cs="Arial"/>
          <w:color w:val="000000" w:themeColor="text1"/>
          <w:szCs w:val="24"/>
        </w:rPr>
        <w:t xml:space="preserve">The Authority also holds an additional £9.3m of earmarked revenue reserves and £22m of capital reserves and receipts. The Capital reserves and receipts are fully utilised within the medium-term financial strategy, reducing to zero in 2027. It is also worth noting that over half of the earmarked reserve relates to the Authority’s two PFI schemes, whereby monies are set </w:t>
      </w:r>
      <w:r w:rsidRPr="007D71A7">
        <w:rPr>
          <w:rFonts w:cs="Arial"/>
          <w:color w:val="000000" w:themeColor="text1"/>
          <w:szCs w:val="24"/>
        </w:rPr>
        <w:lastRenderedPageBreak/>
        <w:t>aside in the early years of the schemes to meet future costs, thus smoothing out the impact of inflationary pressures.</w:t>
      </w:r>
    </w:p>
    <w:p w14:paraId="5AFF54BE" w14:textId="2068BF3C" w:rsidR="006E6CFF" w:rsidRPr="00C46E92" w:rsidRDefault="006E6CFF" w:rsidP="00B10A2A">
      <w:pPr>
        <w:rPr>
          <w:rFonts w:cs="Arial"/>
          <w:color w:val="000000" w:themeColor="text1"/>
          <w:sz w:val="22"/>
          <w:szCs w:val="22"/>
          <w:highlight w:val="red"/>
        </w:rPr>
      </w:pPr>
      <w:r w:rsidRPr="007D71A7">
        <w:rPr>
          <w:rFonts w:cs="Arial"/>
          <w:color w:val="000000" w:themeColor="text1"/>
          <w:szCs w:val="24"/>
        </w:rPr>
        <w:t xml:space="preserve">The Authority has continued to invest in its asset base, with capital expenditure incurred in the year </w:t>
      </w:r>
      <w:r w:rsidRPr="00A01DCD">
        <w:rPr>
          <w:rFonts w:cs="Arial"/>
          <w:color w:val="000000" w:themeColor="text1"/>
          <w:szCs w:val="24"/>
        </w:rPr>
        <w:t>totalling £1.</w:t>
      </w:r>
      <w:r w:rsidR="009723B8" w:rsidRPr="00A01DCD">
        <w:rPr>
          <w:rFonts w:cs="Arial"/>
          <w:color w:val="000000" w:themeColor="text1"/>
          <w:szCs w:val="24"/>
        </w:rPr>
        <w:t>7</w:t>
      </w:r>
      <w:r w:rsidRPr="00A01DCD">
        <w:rPr>
          <w:rFonts w:cs="Arial"/>
          <w:color w:val="000000" w:themeColor="text1"/>
          <w:szCs w:val="24"/>
        </w:rPr>
        <w:t>m,</w:t>
      </w:r>
      <w:r w:rsidRPr="007D71A7">
        <w:rPr>
          <w:rFonts w:cs="Arial"/>
          <w:color w:val="000000" w:themeColor="text1"/>
          <w:szCs w:val="24"/>
        </w:rPr>
        <w:t xml:space="preserve"> with the main contributors to this being set out </w:t>
      </w:r>
      <w:proofErr w:type="gramStart"/>
      <w:r w:rsidR="007D71A7">
        <w:rPr>
          <w:rFonts w:cs="Arial"/>
          <w:color w:val="000000" w:themeColor="text1"/>
          <w:szCs w:val="24"/>
        </w:rPr>
        <w:t>below</w:t>
      </w:r>
      <w:r w:rsidRPr="007D71A7">
        <w:rPr>
          <w:rFonts w:cs="Arial"/>
          <w:color w:val="000000" w:themeColor="text1"/>
          <w:szCs w:val="24"/>
        </w:rPr>
        <w:t>:-</w:t>
      </w:r>
      <w:proofErr w:type="gramEnd"/>
    </w:p>
    <w:p w14:paraId="1062E866" w14:textId="77777777" w:rsidR="006E6CFF" w:rsidRPr="00816695" w:rsidRDefault="006E6CFF" w:rsidP="006E6CFF">
      <w:pPr>
        <w:jc w:val="both"/>
        <w:rPr>
          <w:rFonts w:cs="Arial"/>
          <w:color w:val="000000" w:themeColor="text1"/>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gridCol w:w="822"/>
      </w:tblGrid>
      <w:tr w:rsidR="006E6CFF" w:rsidRPr="00816695" w14:paraId="57E0655D" w14:textId="77777777" w:rsidTr="00BD79B2">
        <w:trPr>
          <w:tblHeader/>
        </w:trPr>
        <w:tc>
          <w:tcPr>
            <w:tcW w:w="9101" w:type="dxa"/>
            <w:shd w:val="clear" w:color="auto" w:fill="BD2716"/>
            <w:vAlign w:val="center"/>
          </w:tcPr>
          <w:p w14:paraId="3D7A4FB2" w14:textId="2BCFF7E9" w:rsidR="006E6CFF" w:rsidRPr="00BD79B2" w:rsidRDefault="00B10A2A" w:rsidP="00BD79B2">
            <w:pPr>
              <w:rPr>
                <w:rFonts w:cs="Arial"/>
                <w:color w:val="FFFFFF" w:themeColor="background1"/>
                <w:szCs w:val="24"/>
              </w:rPr>
            </w:pPr>
            <w:r w:rsidRPr="00BD79B2">
              <w:rPr>
                <w:rFonts w:cs="Arial"/>
                <w:color w:val="FFFFFF" w:themeColor="background1"/>
                <w:szCs w:val="24"/>
              </w:rPr>
              <w:t>Capital Expenditure</w:t>
            </w:r>
          </w:p>
        </w:tc>
        <w:tc>
          <w:tcPr>
            <w:tcW w:w="822" w:type="dxa"/>
            <w:shd w:val="clear" w:color="auto" w:fill="BD2716"/>
            <w:vAlign w:val="center"/>
          </w:tcPr>
          <w:p w14:paraId="185033D0" w14:textId="2E6D4D0C" w:rsidR="006E6CFF" w:rsidRPr="00BD79B2" w:rsidRDefault="006E6CFF" w:rsidP="00BD79B2">
            <w:pPr>
              <w:jc w:val="right"/>
              <w:rPr>
                <w:rFonts w:cs="Arial"/>
                <w:color w:val="FFFFFF" w:themeColor="background1"/>
                <w:szCs w:val="24"/>
              </w:rPr>
            </w:pPr>
            <w:r w:rsidRPr="00BD79B2">
              <w:rPr>
                <w:rFonts w:cs="Arial"/>
                <w:color w:val="FFFFFF" w:themeColor="background1"/>
                <w:szCs w:val="24"/>
              </w:rPr>
              <w:t>£m</w:t>
            </w:r>
          </w:p>
        </w:tc>
      </w:tr>
      <w:tr w:rsidR="006E6CFF" w:rsidRPr="00816695" w14:paraId="5C4049F9" w14:textId="77777777" w:rsidTr="00233A66">
        <w:tc>
          <w:tcPr>
            <w:tcW w:w="9101" w:type="dxa"/>
            <w:shd w:val="clear" w:color="auto" w:fill="auto"/>
          </w:tcPr>
          <w:p w14:paraId="569D8078" w14:textId="77777777" w:rsidR="006E6CFF" w:rsidRPr="00A15F19" w:rsidRDefault="006E6CFF" w:rsidP="00582882">
            <w:pPr>
              <w:rPr>
                <w:rFonts w:cs="Arial"/>
                <w:color w:val="000000" w:themeColor="text1"/>
                <w:szCs w:val="24"/>
              </w:rPr>
            </w:pPr>
            <w:r w:rsidRPr="00A15F19">
              <w:rPr>
                <w:rFonts w:cs="Arial"/>
                <w:color w:val="000000" w:themeColor="text1"/>
                <w:szCs w:val="24"/>
              </w:rPr>
              <w:t>Vehicles</w:t>
            </w:r>
          </w:p>
          <w:p w14:paraId="735653B5" w14:textId="77777777" w:rsidR="006E6CFF" w:rsidRPr="00A15F19" w:rsidRDefault="006E6CFF" w:rsidP="00582882">
            <w:pPr>
              <w:numPr>
                <w:ilvl w:val="0"/>
                <w:numId w:val="34"/>
              </w:numPr>
              <w:contextualSpacing/>
              <w:rPr>
                <w:rFonts w:eastAsia="Calibri" w:cs="Arial"/>
                <w:color w:val="000000" w:themeColor="text1"/>
                <w:szCs w:val="24"/>
              </w:rPr>
            </w:pPr>
            <w:r w:rsidRPr="00A15F19">
              <w:rPr>
                <w:rFonts w:eastAsia="Calibri" w:cs="Arial"/>
                <w:color w:val="000000" w:themeColor="text1"/>
                <w:szCs w:val="24"/>
              </w:rPr>
              <w:t>Support Vehicles –various support vehicles, such as vans and cars</w:t>
            </w:r>
          </w:p>
        </w:tc>
        <w:tc>
          <w:tcPr>
            <w:tcW w:w="822" w:type="dxa"/>
            <w:shd w:val="clear" w:color="auto" w:fill="auto"/>
            <w:vAlign w:val="center"/>
          </w:tcPr>
          <w:p w14:paraId="51D637F8" w14:textId="77777777" w:rsidR="006E6CFF" w:rsidRPr="00A15F19" w:rsidRDefault="006E6CFF" w:rsidP="00233A66">
            <w:pPr>
              <w:jc w:val="right"/>
              <w:rPr>
                <w:rFonts w:cs="Arial"/>
                <w:color w:val="000000" w:themeColor="text1"/>
                <w:szCs w:val="24"/>
              </w:rPr>
            </w:pPr>
          </w:p>
          <w:p w14:paraId="222E109E" w14:textId="77777777" w:rsidR="006E6CFF" w:rsidRPr="00A15F19" w:rsidRDefault="006E6CFF" w:rsidP="00233A66">
            <w:pPr>
              <w:jc w:val="right"/>
              <w:rPr>
                <w:rFonts w:cs="Arial"/>
                <w:color w:val="000000" w:themeColor="text1"/>
                <w:szCs w:val="24"/>
              </w:rPr>
            </w:pPr>
            <w:r w:rsidRPr="00A15F19">
              <w:rPr>
                <w:rFonts w:cs="Arial"/>
                <w:color w:val="000000" w:themeColor="text1"/>
                <w:szCs w:val="24"/>
              </w:rPr>
              <w:t>0.4</w:t>
            </w:r>
          </w:p>
        </w:tc>
      </w:tr>
      <w:tr w:rsidR="006E6CFF" w:rsidRPr="00816695" w14:paraId="3EBF420A" w14:textId="77777777" w:rsidTr="00233A66">
        <w:tc>
          <w:tcPr>
            <w:tcW w:w="9101" w:type="dxa"/>
            <w:shd w:val="clear" w:color="auto" w:fill="auto"/>
          </w:tcPr>
          <w:p w14:paraId="2962C7B9" w14:textId="77777777" w:rsidR="006E6CFF" w:rsidRPr="00A15F19" w:rsidRDefault="006E6CFF" w:rsidP="00582882">
            <w:pPr>
              <w:rPr>
                <w:rFonts w:cs="Arial"/>
                <w:color w:val="000000" w:themeColor="text1"/>
                <w:szCs w:val="24"/>
              </w:rPr>
            </w:pPr>
            <w:r w:rsidRPr="00A15F19">
              <w:rPr>
                <w:rFonts w:cs="Arial"/>
                <w:color w:val="000000" w:themeColor="text1"/>
                <w:szCs w:val="24"/>
              </w:rPr>
              <w:t>Operational Equipment</w:t>
            </w:r>
          </w:p>
          <w:p w14:paraId="4D94DE1F" w14:textId="77777777" w:rsidR="006E6CFF" w:rsidRPr="00A15F19" w:rsidRDefault="006E6CFF" w:rsidP="00582882">
            <w:pPr>
              <w:numPr>
                <w:ilvl w:val="0"/>
                <w:numId w:val="34"/>
              </w:numPr>
              <w:contextualSpacing/>
              <w:rPr>
                <w:szCs w:val="24"/>
              </w:rPr>
            </w:pPr>
            <w:r w:rsidRPr="00A15F19">
              <w:rPr>
                <w:rFonts w:eastAsia="Calibri" w:cs="Arial"/>
                <w:color w:val="000000" w:themeColor="text1"/>
                <w:szCs w:val="24"/>
              </w:rPr>
              <w:t>CCTV &amp; Dash Cams</w:t>
            </w:r>
          </w:p>
        </w:tc>
        <w:tc>
          <w:tcPr>
            <w:tcW w:w="822" w:type="dxa"/>
            <w:shd w:val="clear" w:color="auto" w:fill="auto"/>
            <w:vAlign w:val="center"/>
          </w:tcPr>
          <w:p w14:paraId="631A23E6" w14:textId="77777777" w:rsidR="006E6CFF" w:rsidRPr="00A15F19" w:rsidRDefault="006E6CFF" w:rsidP="00233A66">
            <w:pPr>
              <w:jc w:val="right"/>
              <w:rPr>
                <w:rFonts w:cs="Arial"/>
                <w:color w:val="000000" w:themeColor="text1"/>
                <w:szCs w:val="24"/>
              </w:rPr>
            </w:pPr>
          </w:p>
          <w:p w14:paraId="7CE02A2F" w14:textId="77777777" w:rsidR="006E6CFF" w:rsidRPr="00A15F19" w:rsidRDefault="006E6CFF" w:rsidP="00233A66">
            <w:pPr>
              <w:jc w:val="right"/>
              <w:rPr>
                <w:rFonts w:cs="Arial"/>
                <w:color w:val="000000" w:themeColor="text1"/>
                <w:szCs w:val="24"/>
              </w:rPr>
            </w:pPr>
            <w:r w:rsidRPr="00A15F19">
              <w:rPr>
                <w:rFonts w:cs="Arial"/>
                <w:color w:val="000000" w:themeColor="text1"/>
                <w:szCs w:val="24"/>
              </w:rPr>
              <w:t>0.2</w:t>
            </w:r>
          </w:p>
        </w:tc>
      </w:tr>
      <w:tr w:rsidR="006E6CFF" w:rsidRPr="00816695" w14:paraId="192E4724" w14:textId="77777777" w:rsidTr="00233A66">
        <w:tc>
          <w:tcPr>
            <w:tcW w:w="9101" w:type="dxa"/>
            <w:shd w:val="clear" w:color="auto" w:fill="auto"/>
          </w:tcPr>
          <w:p w14:paraId="4A5541F0" w14:textId="77777777" w:rsidR="006E6CFF" w:rsidRPr="00A15F19" w:rsidRDefault="006E6CFF" w:rsidP="00582882">
            <w:pPr>
              <w:rPr>
                <w:rFonts w:cs="Arial"/>
                <w:color w:val="000000" w:themeColor="text1"/>
                <w:szCs w:val="24"/>
              </w:rPr>
            </w:pPr>
            <w:r w:rsidRPr="00A15F19">
              <w:rPr>
                <w:rFonts w:cs="Arial"/>
                <w:color w:val="000000" w:themeColor="text1"/>
                <w:szCs w:val="24"/>
              </w:rPr>
              <w:t>ICT Equipment</w:t>
            </w:r>
          </w:p>
          <w:p w14:paraId="43CF78E4" w14:textId="77777777" w:rsidR="006E6CFF" w:rsidRPr="00A15F19" w:rsidRDefault="006E6CFF" w:rsidP="00582882">
            <w:pPr>
              <w:numPr>
                <w:ilvl w:val="0"/>
                <w:numId w:val="34"/>
              </w:numPr>
              <w:contextualSpacing/>
              <w:rPr>
                <w:rFonts w:cs="Arial"/>
                <w:color w:val="000000" w:themeColor="text1"/>
                <w:szCs w:val="24"/>
              </w:rPr>
            </w:pPr>
            <w:r w:rsidRPr="00A15F19">
              <w:rPr>
                <w:rFonts w:eastAsia="Calibri" w:cs="Arial"/>
                <w:color w:val="000000" w:themeColor="text1"/>
                <w:szCs w:val="24"/>
              </w:rPr>
              <w:t>Dynamic Coverage Tool, Command Support software</w:t>
            </w:r>
          </w:p>
        </w:tc>
        <w:tc>
          <w:tcPr>
            <w:tcW w:w="822" w:type="dxa"/>
            <w:shd w:val="clear" w:color="auto" w:fill="auto"/>
            <w:vAlign w:val="center"/>
          </w:tcPr>
          <w:p w14:paraId="095DA177" w14:textId="77777777" w:rsidR="006E6CFF" w:rsidRPr="00A15F19" w:rsidRDefault="006E6CFF" w:rsidP="00233A66">
            <w:pPr>
              <w:jc w:val="right"/>
              <w:rPr>
                <w:rFonts w:cs="Arial"/>
                <w:color w:val="000000" w:themeColor="text1"/>
                <w:szCs w:val="24"/>
              </w:rPr>
            </w:pPr>
          </w:p>
          <w:p w14:paraId="68081584" w14:textId="77777777" w:rsidR="006E6CFF" w:rsidRPr="00A15F19" w:rsidRDefault="006E6CFF" w:rsidP="00233A66">
            <w:pPr>
              <w:jc w:val="right"/>
              <w:rPr>
                <w:rFonts w:cs="Arial"/>
                <w:color w:val="000000" w:themeColor="text1"/>
                <w:szCs w:val="24"/>
              </w:rPr>
            </w:pPr>
            <w:r w:rsidRPr="00A15F19">
              <w:rPr>
                <w:rFonts w:cs="Arial"/>
                <w:color w:val="000000" w:themeColor="text1"/>
                <w:szCs w:val="24"/>
              </w:rPr>
              <w:t>0.4</w:t>
            </w:r>
          </w:p>
        </w:tc>
      </w:tr>
      <w:tr w:rsidR="006E6CFF" w:rsidRPr="00816695" w14:paraId="7E620782" w14:textId="77777777" w:rsidTr="00233A66">
        <w:tc>
          <w:tcPr>
            <w:tcW w:w="9101" w:type="dxa"/>
            <w:shd w:val="clear" w:color="auto" w:fill="auto"/>
          </w:tcPr>
          <w:p w14:paraId="1F6BEFEB" w14:textId="77777777" w:rsidR="006E6CFF" w:rsidRPr="00A15F19" w:rsidRDefault="006E6CFF" w:rsidP="00582882">
            <w:pPr>
              <w:rPr>
                <w:rFonts w:cs="Arial"/>
                <w:color w:val="000000" w:themeColor="text1"/>
                <w:szCs w:val="24"/>
              </w:rPr>
            </w:pPr>
            <w:r w:rsidRPr="00A15F19">
              <w:rPr>
                <w:rFonts w:cs="Arial"/>
                <w:color w:val="000000" w:themeColor="text1"/>
                <w:szCs w:val="24"/>
              </w:rPr>
              <w:t>Buildings</w:t>
            </w:r>
          </w:p>
          <w:p w14:paraId="0ADFDAEC" w14:textId="38D14798" w:rsidR="006E6CFF" w:rsidRPr="00A15F19" w:rsidRDefault="00816695" w:rsidP="00582882">
            <w:pPr>
              <w:numPr>
                <w:ilvl w:val="0"/>
                <w:numId w:val="35"/>
              </w:numPr>
              <w:contextualSpacing/>
              <w:rPr>
                <w:rFonts w:eastAsia="Calibri" w:cs="Arial"/>
                <w:color w:val="000000" w:themeColor="text1"/>
                <w:szCs w:val="24"/>
              </w:rPr>
            </w:pPr>
            <w:r w:rsidRPr="00A15F19">
              <w:rPr>
                <w:rFonts w:eastAsia="Calibri" w:cs="Arial"/>
                <w:color w:val="000000" w:themeColor="text1"/>
                <w:szCs w:val="24"/>
              </w:rPr>
              <w:t>Dormitory</w:t>
            </w:r>
            <w:r w:rsidR="006E6CFF" w:rsidRPr="00A15F19">
              <w:rPr>
                <w:rFonts w:eastAsia="Calibri" w:cs="Arial"/>
                <w:color w:val="000000" w:themeColor="text1"/>
                <w:szCs w:val="24"/>
              </w:rPr>
              <w:t xml:space="preserve"> facilities, Drill tower replacements &amp; work at the fleet workshop</w:t>
            </w:r>
          </w:p>
        </w:tc>
        <w:tc>
          <w:tcPr>
            <w:tcW w:w="822" w:type="dxa"/>
            <w:shd w:val="clear" w:color="auto" w:fill="auto"/>
            <w:vAlign w:val="center"/>
          </w:tcPr>
          <w:p w14:paraId="48DE4D53" w14:textId="77777777" w:rsidR="006E6CFF" w:rsidRPr="00A15F19" w:rsidRDefault="006E6CFF" w:rsidP="00233A66">
            <w:pPr>
              <w:tabs>
                <w:tab w:val="decimal" w:pos="1168"/>
              </w:tabs>
              <w:jc w:val="right"/>
              <w:rPr>
                <w:rFonts w:cs="Arial"/>
                <w:color w:val="000000" w:themeColor="text1"/>
                <w:szCs w:val="24"/>
              </w:rPr>
            </w:pPr>
          </w:p>
          <w:p w14:paraId="13494ED5" w14:textId="77777777" w:rsidR="006E6CFF" w:rsidRPr="00A15F19" w:rsidRDefault="006E6CFF" w:rsidP="00233A66">
            <w:pPr>
              <w:jc w:val="right"/>
              <w:rPr>
                <w:rFonts w:cs="Arial"/>
                <w:color w:val="000000" w:themeColor="text1"/>
                <w:szCs w:val="24"/>
              </w:rPr>
            </w:pPr>
            <w:r w:rsidRPr="00A15F19">
              <w:rPr>
                <w:rFonts w:cs="Arial"/>
                <w:color w:val="000000" w:themeColor="text1"/>
                <w:szCs w:val="24"/>
              </w:rPr>
              <w:t>0.6</w:t>
            </w:r>
          </w:p>
        </w:tc>
      </w:tr>
      <w:tr w:rsidR="006E6CFF" w:rsidRPr="00816695" w14:paraId="1F1FFE3D" w14:textId="77777777" w:rsidTr="00233A66">
        <w:tc>
          <w:tcPr>
            <w:tcW w:w="9101" w:type="dxa"/>
            <w:shd w:val="clear" w:color="auto" w:fill="auto"/>
          </w:tcPr>
          <w:p w14:paraId="11C70708" w14:textId="77777777" w:rsidR="006E6CFF" w:rsidRPr="00A15F19" w:rsidRDefault="006E6CFF" w:rsidP="00582882">
            <w:pPr>
              <w:rPr>
                <w:rFonts w:cs="Arial"/>
                <w:b/>
                <w:bCs/>
                <w:color w:val="000000" w:themeColor="text1"/>
                <w:szCs w:val="24"/>
              </w:rPr>
            </w:pPr>
            <w:r w:rsidRPr="00A15F19">
              <w:rPr>
                <w:rFonts w:cs="Arial"/>
                <w:b/>
                <w:bCs/>
                <w:color w:val="000000" w:themeColor="text1"/>
                <w:szCs w:val="24"/>
              </w:rPr>
              <w:t>Total</w:t>
            </w:r>
          </w:p>
        </w:tc>
        <w:tc>
          <w:tcPr>
            <w:tcW w:w="822" w:type="dxa"/>
            <w:shd w:val="clear" w:color="auto" w:fill="auto"/>
            <w:vAlign w:val="center"/>
          </w:tcPr>
          <w:p w14:paraId="1B657AAD" w14:textId="75E96BC9" w:rsidR="006E6CFF" w:rsidRPr="00A15F19" w:rsidRDefault="006E6CFF" w:rsidP="00233A66">
            <w:pPr>
              <w:jc w:val="right"/>
              <w:rPr>
                <w:rFonts w:cs="Arial"/>
                <w:b/>
                <w:bCs/>
                <w:color w:val="000000" w:themeColor="text1"/>
                <w:szCs w:val="24"/>
              </w:rPr>
            </w:pPr>
            <w:r w:rsidRPr="00A15F19">
              <w:rPr>
                <w:rFonts w:cs="Arial"/>
                <w:b/>
                <w:bCs/>
                <w:color w:val="000000" w:themeColor="text1"/>
                <w:szCs w:val="24"/>
              </w:rPr>
              <w:t>1.</w:t>
            </w:r>
            <w:r w:rsidR="009723B8" w:rsidRPr="00A15F19">
              <w:rPr>
                <w:rFonts w:cs="Arial"/>
                <w:b/>
                <w:bCs/>
                <w:color w:val="000000" w:themeColor="text1"/>
                <w:szCs w:val="24"/>
              </w:rPr>
              <w:t>7</w:t>
            </w:r>
          </w:p>
        </w:tc>
      </w:tr>
    </w:tbl>
    <w:p w14:paraId="29693743" w14:textId="77777777" w:rsidR="006E6CFF" w:rsidRPr="00816695" w:rsidRDefault="006E6CFF" w:rsidP="006E6CFF">
      <w:pPr>
        <w:jc w:val="both"/>
        <w:rPr>
          <w:rFonts w:cs="Arial"/>
          <w:color w:val="000000" w:themeColor="text1"/>
          <w:sz w:val="22"/>
          <w:szCs w:val="22"/>
        </w:rPr>
      </w:pPr>
    </w:p>
    <w:p w14:paraId="4479DBA8" w14:textId="1340EE6B" w:rsidR="006E6CFF" w:rsidRPr="00E55951" w:rsidRDefault="006E6CFF" w:rsidP="00582882">
      <w:pPr>
        <w:rPr>
          <w:rFonts w:cs="Arial"/>
          <w:color w:val="000000" w:themeColor="text1"/>
          <w:szCs w:val="24"/>
        </w:rPr>
      </w:pPr>
      <w:r w:rsidRPr="00E55951">
        <w:rPr>
          <w:rFonts w:cs="Arial"/>
          <w:color w:val="000000" w:themeColor="text1"/>
          <w:szCs w:val="24"/>
        </w:rPr>
        <w:t>The Balance Sheet shows that the Authority’s Total Net Liabilities reduced from (£75</w:t>
      </w:r>
      <w:r w:rsidR="00C12F87">
        <w:rPr>
          <w:rFonts w:cs="Arial"/>
          <w:color w:val="000000" w:themeColor="text1"/>
          <w:szCs w:val="24"/>
        </w:rPr>
        <w:t>3.7</w:t>
      </w:r>
      <w:r w:rsidRPr="00E55951">
        <w:rPr>
          <w:rFonts w:cs="Arial"/>
          <w:color w:val="000000" w:themeColor="text1"/>
          <w:szCs w:val="24"/>
        </w:rPr>
        <w:t>m) to (£</w:t>
      </w:r>
      <w:r w:rsidR="00FF7CB8">
        <w:rPr>
          <w:rFonts w:cs="Arial"/>
          <w:color w:val="000000" w:themeColor="text1"/>
          <w:szCs w:val="24"/>
        </w:rPr>
        <w:t>502</w:t>
      </w:r>
      <w:r w:rsidR="00C12F87">
        <w:rPr>
          <w:rFonts w:cs="Arial"/>
          <w:color w:val="000000" w:themeColor="text1"/>
          <w:szCs w:val="24"/>
        </w:rPr>
        <w:t>.</w:t>
      </w:r>
      <w:r w:rsidR="00FF7CB8">
        <w:rPr>
          <w:rFonts w:cs="Arial"/>
          <w:color w:val="000000" w:themeColor="text1"/>
          <w:szCs w:val="24"/>
        </w:rPr>
        <w:t>5</w:t>
      </w:r>
      <w:r w:rsidRPr="00E55951">
        <w:rPr>
          <w:rFonts w:cs="Arial"/>
          <w:color w:val="000000" w:themeColor="text1"/>
          <w:szCs w:val="24"/>
        </w:rPr>
        <w:t xml:space="preserve">m). This reflects the Authority’s compliance with International Accounting Standards and in particular the requirement to show the full pensions liability in the accounts. Whilst the liability on the Local Government Pension Scheme is partly funded the Fire-fighters Pension Scheme is unfunded, </w:t>
      </w:r>
      <w:proofErr w:type="spellStart"/>
      <w:r w:rsidRPr="00E55951">
        <w:rPr>
          <w:rFonts w:cs="Arial"/>
          <w:color w:val="000000" w:themeColor="text1"/>
          <w:szCs w:val="24"/>
        </w:rPr>
        <w:t>ie</w:t>
      </w:r>
      <w:proofErr w:type="spellEnd"/>
      <w:r w:rsidRPr="00E55951">
        <w:rPr>
          <w:rFonts w:cs="Arial"/>
          <w:color w:val="000000" w:themeColor="text1"/>
          <w:szCs w:val="24"/>
        </w:rPr>
        <w:t xml:space="preserve"> there are no assets from which future liabilities will be paid, and hence the Authority’s overall </w:t>
      </w:r>
      <w:r w:rsidR="00A15F19">
        <w:rPr>
          <w:rFonts w:cs="Arial"/>
          <w:color w:val="000000" w:themeColor="text1"/>
          <w:szCs w:val="24"/>
        </w:rPr>
        <w:t xml:space="preserve">Fire-fighters </w:t>
      </w:r>
      <w:r w:rsidRPr="00E55951">
        <w:rPr>
          <w:rFonts w:cs="Arial"/>
          <w:color w:val="000000" w:themeColor="text1"/>
          <w:szCs w:val="24"/>
        </w:rPr>
        <w:t>pension liability of (£6</w:t>
      </w:r>
      <w:r w:rsidR="00FF7CB8">
        <w:rPr>
          <w:rFonts w:cs="Arial"/>
          <w:color w:val="000000" w:themeColor="text1"/>
          <w:szCs w:val="24"/>
        </w:rPr>
        <w:t>51</w:t>
      </w:r>
      <w:r w:rsidR="00C12F87">
        <w:rPr>
          <w:rFonts w:cs="Arial"/>
          <w:color w:val="000000" w:themeColor="text1"/>
          <w:szCs w:val="24"/>
        </w:rPr>
        <w:t>.</w:t>
      </w:r>
      <w:r w:rsidR="00760463">
        <w:rPr>
          <w:rFonts w:cs="Arial"/>
          <w:color w:val="000000" w:themeColor="text1"/>
          <w:szCs w:val="24"/>
        </w:rPr>
        <w:t>5</w:t>
      </w:r>
      <w:r w:rsidRPr="00E55951">
        <w:rPr>
          <w:rFonts w:cs="Arial"/>
          <w:color w:val="000000" w:themeColor="text1"/>
          <w:szCs w:val="24"/>
        </w:rPr>
        <w:t>m) is extremely large. If this liability was excluded the Authority’s Total Net Assets would be £1</w:t>
      </w:r>
      <w:r w:rsidR="004E5731">
        <w:rPr>
          <w:rFonts w:cs="Arial"/>
          <w:color w:val="000000" w:themeColor="text1"/>
          <w:szCs w:val="24"/>
        </w:rPr>
        <w:t>49</w:t>
      </w:r>
      <w:r w:rsidR="00C12F87">
        <w:rPr>
          <w:rFonts w:cs="Arial"/>
          <w:color w:val="000000" w:themeColor="text1"/>
          <w:szCs w:val="24"/>
        </w:rPr>
        <w:t>.</w:t>
      </w:r>
      <w:r w:rsidR="004E5731">
        <w:rPr>
          <w:rFonts w:cs="Arial"/>
          <w:color w:val="000000" w:themeColor="text1"/>
          <w:szCs w:val="24"/>
        </w:rPr>
        <w:t>0</w:t>
      </w:r>
      <w:r w:rsidRPr="00E55951">
        <w:rPr>
          <w:rFonts w:cs="Arial"/>
          <w:color w:val="000000" w:themeColor="text1"/>
          <w:szCs w:val="24"/>
        </w:rPr>
        <w:t>m. There was a significant reduction in the fire-fighters Pension Scheme liability of £2</w:t>
      </w:r>
      <w:r w:rsidR="004E48AD">
        <w:rPr>
          <w:rFonts w:cs="Arial"/>
          <w:color w:val="000000" w:themeColor="text1"/>
          <w:szCs w:val="24"/>
        </w:rPr>
        <w:t>24</w:t>
      </w:r>
      <w:r w:rsidR="00760463">
        <w:rPr>
          <w:rFonts w:cs="Arial"/>
          <w:color w:val="000000" w:themeColor="text1"/>
          <w:szCs w:val="24"/>
        </w:rPr>
        <w:t>.4</w:t>
      </w:r>
      <w:r w:rsidRPr="00E55951">
        <w:rPr>
          <w:rFonts w:cs="Arial"/>
          <w:color w:val="000000" w:themeColor="text1"/>
          <w:szCs w:val="24"/>
        </w:rPr>
        <w:t xml:space="preserve">m; a reduction of over a quarter. The change is due to </w:t>
      </w:r>
      <w:r w:rsidR="000E606D" w:rsidRPr="00E55951">
        <w:rPr>
          <w:rFonts w:cs="Arial"/>
          <w:color w:val="000000" w:themeColor="text1"/>
          <w:szCs w:val="24"/>
        </w:rPr>
        <w:t>several</w:t>
      </w:r>
      <w:r w:rsidRPr="00E55951">
        <w:rPr>
          <w:rFonts w:cs="Arial"/>
          <w:color w:val="000000" w:themeColor="text1"/>
          <w:szCs w:val="24"/>
        </w:rPr>
        <w:t xml:space="preserve"> changes in actuarial assumptions, the most significant impact being a higher discount rate which is used to calculate the present value of future pension liabilities. As the discount rate increases, the pension liability decreases. The pension liability includes estimated costs in relation to the McCloud judgement</w:t>
      </w:r>
      <w:r w:rsidR="0080307B" w:rsidRPr="00E55951">
        <w:rPr>
          <w:rFonts w:cs="Arial"/>
          <w:color w:val="000000" w:themeColor="text1"/>
          <w:szCs w:val="24"/>
        </w:rPr>
        <w:t>.</w:t>
      </w:r>
    </w:p>
    <w:p w14:paraId="11EC9F77" w14:textId="77777777" w:rsidR="006E6CFF" w:rsidRPr="00816695" w:rsidRDefault="006E6CFF" w:rsidP="00582882">
      <w:pPr>
        <w:rPr>
          <w:rFonts w:cs="Arial"/>
          <w:color w:val="000000" w:themeColor="text1"/>
          <w:sz w:val="22"/>
          <w:szCs w:val="22"/>
        </w:rPr>
      </w:pPr>
    </w:p>
    <w:p w14:paraId="3DAE4D21" w14:textId="6D2D213E" w:rsidR="006E6CFF" w:rsidRPr="00E55951" w:rsidRDefault="006E6CFF" w:rsidP="00582882">
      <w:pPr>
        <w:rPr>
          <w:rFonts w:cs="Arial"/>
          <w:color w:val="000000" w:themeColor="text1"/>
          <w:szCs w:val="24"/>
        </w:rPr>
      </w:pPr>
      <w:r w:rsidRPr="00E55951">
        <w:rPr>
          <w:rFonts w:cs="Arial"/>
          <w:color w:val="000000" w:themeColor="text1"/>
          <w:szCs w:val="24"/>
        </w:rPr>
        <w:t>Long</w:t>
      </w:r>
      <w:r w:rsidR="00A16368" w:rsidRPr="00E55951">
        <w:rPr>
          <w:rFonts w:cs="Arial"/>
          <w:color w:val="000000" w:themeColor="text1"/>
          <w:szCs w:val="24"/>
        </w:rPr>
        <w:t>-</w:t>
      </w:r>
      <w:r w:rsidRPr="00E55951">
        <w:rPr>
          <w:rFonts w:cs="Arial"/>
          <w:color w:val="000000" w:themeColor="text1"/>
          <w:szCs w:val="24"/>
        </w:rPr>
        <w:t>term assets have increased slightly in value to £1</w:t>
      </w:r>
      <w:r w:rsidR="004E5731">
        <w:rPr>
          <w:rFonts w:cs="Arial"/>
          <w:color w:val="000000" w:themeColor="text1"/>
          <w:szCs w:val="24"/>
        </w:rPr>
        <w:t>2</w:t>
      </w:r>
      <w:r w:rsidR="00C12F87">
        <w:rPr>
          <w:rFonts w:cs="Arial"/>
          <w:color w:val="000000" w:themeColor="text1"/>
          <w:szCs w:val="24"/>
        </w:rPr>
        <w:t>6.</w:t>
      </w:r>
      <w:r w:rsidR="004E5731">
        <w:rPr>
          <w:rFonts w:cs="Arial"/>
          <w:color w:val="000000" w:themeColor="text1"/>
          <w:szCs w:val="24"/>
        </w:rPr>
        <w:t>6</w:t>
      </w:r>
      <w:r w:rsidRPr="00E55951">
        <w:rPr>
          <w:rFonts w:cs="Arial"/>
          <w:color w:val="000000" w:themeColor="text1"/>
          <w:szCs w:val="24"/>
        </w:rPr>
        <w:t xml:space="preserve">m, reflecting the investment in our asset base and the impact of revaluations. </w:t>
      </w:r>
    </w:p>
    <w:p w14:paraId="62D1CDF7" w14:textId="77777777" w:rsidR="006E6CFF" w:rsidRPr="00816695" w:rsidRDefault="006E6CFF" w:rsidP="00582882">
      <w:pPr>
        <w:rPr>
          <w:rFonts w:cs="Arial"/>
          <w:b/>
          <w:color w:val="000000" w:themeColor="text1"/>
          <w:sz w:val="22"/>
          <w:szCs w:val="22"/>
        </w:rPr>
      </w:pPr>
    </w:p>
    <w:p w14:paraId="25D77AE9" w14:textId="77777777" w:rsidR="006E6CFF" w:rsidRPr="005C1944" w:rsidRDefault="006E6CFF" w:rsidP="005C1944">
      <w:pPr>
        <w:rPr>
          <w:b/>
          <w:bCs/>
        </w:rPr>
      </w:pPr>
      <w:r w:rsidRPr="005C1944">
        <w:rPr>
          <w:b/>
          <w:bCs/>
        </w:rPr>
        <w:t>Future Financial Plans</w:t>
      </w:r>
    </w:p>
    <w:p w14:paraId="569311FD" w14:textId="77777777" w:rsidR="006E6CFF" w:rsidRPr="00816695" w:rsidRDefault="006E6CFF" w:rsidP="00582882">
      <w:pPr>
        <w:rPr>
          <w:rFonts w:cs="Arial"/>
          <w:color w:val="000000" w:themeColor="text1"/>
          <w:sz w:val="22"/>
          <w:szCs w:val="22"/>
        </w:rPr>
      </w:pPr>
    </w:p>
    <w:p w14:paraId="6325EC7A" w14:textId="24EED021" w:rsidR="006E6CFF" w:rsidRPr="00234514" w:rsidRDefault="006E6CFF" w:rsidP="00582882">
      <w:pPr>
        <w:rPr>
          <w:rFonts w:cs="Arial"/>
          <w:szCs w:val="24"/>
        </w:rPr>
      </w:pPr>
      <w:r w:rsidRPr="00234514">
        <w:rPr>
          <w:rFonts w:cs="Arial"/>
          <w:szCs w:val="24"/>
        </w:rPr>
        <w:t xml:space="preserve">Due to economic uncertainty the anticipated </w:t>
      </w:r>
      <w:r w:rsidR="00FB5AD0" w:rsidRPr="00234514">
        <w:rPr>
          <w:rFonts w:cs="Arial"/>
          <w:szCs w:val="24"/>
        </w:rPr>
        <w:t>four-year</w:t>
      </w:r>
      <w:r w:rsidRPr="00234514">
        <w:rPr>
          <w:rFonts w:cs="Arial"/>
          <w:szCs w:val="24"/>
        </w:rPr>
        <w:t xml:space="preserve"> Spending Review was again reduced to a single year review, covering 2023/24, with a multi-year settlement anticipated for next year. </w:t>
      </w:r>
      <w:r w:rsidR="00470E44" w:rsidRPr="00234514">
        <w:rPr>
          <w:rFonts w:cs="Arial"/>
          <w:szCs w:val="24"/>
        </w:rPr>
        <w:t>Again,</w:t>
      </w:r>
      <w:r w:rsidRPr="00234514">
        <w:rPr>
          <w:rFonts w:cs="Arial"/>
          <w:szCs w:val="24"/>
        </w:rPr>
        <w:t xml:space="preserve"> the outcome of the Fair Funding review, which looked to re-assess the methodology under which funding was allocated to individual authorities, and the implementation of a 75% Business Rates Retention Scheme, have been put on hold. The 2023/24 Local Government Finance Settlement showed an increase in the Governments Settlement Funding Assessment of 6%. </w:t>
      </w:r>
    </w:p>
    <w:p w14:paraId="40EDEECB" w14:textId="77777777" w:rsidR="006E6CFF" w:rsidRPr="00234514" w:rsidRDefault="006E6CFF" w:rsidP="00582882">
      <w:pPr>
        <w:rPr>
          <w:rFonts w:cs="Arial"/>
          <w:color w:val="000000" w:themeColor="text1"/>
          <w:szCs w:val="24"/>
        </w:rPr>
      </w:pPr>
    </w:p>
    <w:p w14:paraId="02EEBFDC" w14:textId="100DF146" w:rsidR="006E6CFF" w:rsidRPr="00234514" w:rsidRDefault="006E6CFF" w:rsidP="00582882">
      <w:pPr>
        <w:rPr>
          <w:rFonts w:cs="Arial"/>
          <w:color w:val="000000" w:themeColor="text1"/>
          <w:szCs w:val="24"/>
        </w:rPr>
      </w:pPr>
      <w:r w:rsidRPr="00234514">
        <w:rPr>
          <w:rFonts w:cs="Arial"/>
          <w:color w:val="000000" w:themeColor="text1"/>
          <w:szCs w:val="24"/>
        </w:rPr>
        <w:t xml:space="preserve">The Government again amended the council tax referendum principles for 2023/24, allowing Fire Authorities to increase council tax levels by £5 resulting in a council tax of £82.27 per band D property. </w:t>
      </w:r>
      <w:r w:rsidRPr="00234514">
        <w:rPr>
          <w:rFonts w:cs="Arial"/>
          <w:szCs w:val="24"/>
        </w:rPr>
        <w:t>Raising council tax by the maximum permissible still only increases the overall council tax bill by £5 but generates £2.3m of funding for the Authority. This increase provides an opportunity to address the two</w:t>
      </w:r>
      <w:r w:rsidR="00FB5AD0" w:rsidRPr="00234514">
        <w:rPr>
          <w:rFonts w:cs="Arial"/>
          <w:szCs w:val="24"/>
        </w:rPr>
        <w:t>-</w:t>
      </w:r>
      <w:r w:rsidRPr="00234514">
        <w:rPr>
          <w:rFonts w:cs="Arial"/>
          <w:szCs w:val="24"/>
        </w:rPr>
        <w:t>year pay award agreed during 2022/23</w:t>
      </w:r>
      <w:r w:rsidRPr="00234514">
        <w:rPr>
          <w:rFonts w:cs="Arial"/>
          <w:color w:val="000000" w:themeColor="text1"/>
          <w:szCs w:val="24"/>
        </w:rPr>
        <w:t>.</w:t>
      </w:r>
    </w:p>
    <w:p w14:paraId="1C4313CC" w14:textId="77777777" w:rsidR="006E6CFF" w:rsidRPr="00234514" w:rsidRDefault="006E6CFF" w:rsidP="00582882">
      <w:pPr>
        <w:rPr>
          <w:rFonts w:cs="Arial"/>
          <w:color w:val="000000" w:themeColor="text1"/>
          <w:szCs w:val="24"/>
        </w:rPr>
      </w:pPr>
    </w:p>
    <w:p w14:paraId="545B276B" w14:textId="0A665FB7" w:rsidR="006E6CFF" w:rsidRPr="00234514" w:rsidRDefault="006E6CFF" w:rsidP="00582882">
      <w:pPr>
        <w:rPr>
          <w:rFonts w:cs="Arial"/>
          <w:color w:val="000000" w:themeColor="text1"/>
          <w:szCs w:val="24"/>
        </w:rPr>
      </w:pPr>
      <w:r w:rsidRPr="00234514">
        <w:rPr>
          <w:rFonts w:cs="Arial"/>
          <w:color w:val="000000" w:themeColor="text1"/>
          <w:szCs w:val="24"/>
        </w:rPr>
        <w:t xml:space="preserve">The Authority therefore agreed a </w:t>
      </w:r>
      <w:r w:rsidR="00472322">
        <w:rPr>
          <w:rFonts w:cs="Arial"/>
          <w:color w:val="000000" w:themeColor="text1"/>
          <w:szCs w:val="24"/>
        </w:rPr>
        <w:t xml:space="preserve">net </w:t>
      </w:r>
      <w:r w:rsidRPr="00234514">
        <w:rPr>
          <w:rFonts w:cs="Arial"/>
          <w:color w:val="000000" w:themeColor="text1"/>
          <w:szCs w:val="24"/>
        </w:rPr>
        <w:t>revenue budget of £68.</w:t>
      </w:r>
      <w:r w:rsidR="00472322">
        <w:rPr>
          <w:rFonts w:cs="Arial"/>
          <w:color w:val="000000" w:themeColor="text1"/>
          <w:szCs w:val="24"/>
        </w:rPr>
        <w:t>2</w:t>
      </w:r>
      <w:r w:rsidRPr="00234514">
        <w:rPr>
          <w:rFonts w:cs="Arial"/>
          <w:color w:val="000000" w:themeColor="text1"/>
          <w:szCs w:val="24"/>
        </w:rPr>
        <w:t xml:space="preserve">m, allowing for inflationary pressures. Based on this the budget, as presented, is considered affordable, </w:t>
      </w:r>
      <w:r w:rsidR="000F28B4" w:rsidRPr="00234514">
        <w:rPr>
          <w:rFonts w:cs="Arial"/>
          <w:color w:val="000000" w:themeColor="text1"/>
          <w:szCs w:val="24"/>
        </w:rPr>
        <w:t>prudent,</w:t>
      </w:r>
      <w:r w:rsidRPr="00234514">
        <w:rPr>
          <w:rFonts w:cs="Arial"/>
          <w:color w:val="000000" w:themeColor="text1"/>
          <w:szCs w:val="24"/>
        </w:rPr>
        <w:t xml:space="preserve"> and sustainable, whilst ensuring that the Authority </w:t>
      </w:r>
      <w:r w:rsidR="000F28B4" w:rsidRPr="00234514">
        <w:rPr>
          <w:rFonts w:cs="Arial"/>
          <w:color w:val="000000" w:themeColor="text1"/>
          <w:szCs w:val="24"/>
        </w:rPr>
        <w:t>can</w:t>
      </w:r>
      <w:r w:rsidRPr="00234514">
        <w:rPr>
          <w:rFonts w:cs="Arial"/>
          <w:color w:val="000000" w:themeColor="text1"/>
          <w:szCs w:val="24"/>
        </w:rPr>
        <w:t xml:space="preserve"> deliver against its corporate priorities.</w:t>
      </w:r>
    </w:p>
    <w:p w14:paraId="48040817" w14:textId="77777777" w:rsidR="006E6CFF" w:rsidRPr="00234514" w:rsidRDefault="006E6CFF" w:rsidP="00582882">
      <w:pPr>
        <w:rPr>
          <w:rFonts w:cs="Arial"/>
          <w:szCs w:val="24"/>
        </w:rPr>
      </w:pPr>
    </w:p>
    <w:p w14:paraId="5DB73A7D" w14:textId="77777777" w:rsidR="006E6CFF" w:rsidRPr="00234514" w:rsidRDefault="006E6CFF" w:rsidP="00582882">
      <w:pPr>
        <w:autoSpaceDE w:val="0"/>
        <w:autoSpaceDN w:val="0"/>
        <w:adjustRightInd w:val="0"/>
        <w:rPr>
          <w:rFonts w:cs="Arial"/>
          <w:color w:val="000000" w:themeColor="text1"/>
          <w:szCs w:val="24"/>
        </w:rPr>
      </w:pPr>
      <w:r w:rsidRPr="00234514">
        <w:rPr>
          <w:rFonts w:cs="Arial"/>
          <w:color w:val="000000" w:themeColor="text1"/>
          <w:szCs w:val="24"/>
        </w:rPr>
        <w:t xml:space="preserve">Given economic uncertainty, the longer term implications of Brexit, the potential impact of the Fair Funding Review and the roll out of greater local retention of Business rates, it is extremely difficult to anticipate what funding will look like beyond the existing settlement, hence for the purpose of medium term financial strategy we had assumed that the funding will increases broadly in line with inflation, at 5.0% in 2024/25 and 2% thereafter. Based on this we have been able to set a balanced budget in future years, after allowing for council tax increases in line with forecast inflation. </w:t>
      </w:r>
    </w:p>
    <w:p w14:paraId="594BA8F9" w14:textId="77777777" w:rsidR="006E6CFF" w:rsidRPr="00234514" w:rsidRDefault="006E6CFF" w:rsidP="00582882">
      <w:pPr>
        <w:rPr>
          <w:rFonts w:cs="Arial"/>
          <w:szCs w:val="24"/>
        </w:rPr>
      </w:pPr>
    </w:p>
    <w:p w14:paraId="469E30F3" w14:textId="77777777" w:rsidR="006E6CFF" w:rsidRPr="00234514" w:rsidRDefault="006E6CFF" w:rsidP="00582882">
      <w:pPr>
        <w:rPr>
          <w:rFonts w:cs="Arial"/>
          <w:color w:val="000000" w:themeColor="text1"/>
          <w:szCs w:val="24"/>
        </w:rPr>
      </w:pPr>
      <w:r w:rsidRPr="00234514">
        <w:rPr>
          <w:rFonts w:cs="Arial"/>
          <w:color w:val="000000" w:themeColor="text1"/>
          <w:szCs w:val="24"/>
        </w:rPr>
        <w:t>The capital budget continues to invest in our asset base, in particular vehicle replacement, new operational equipment, new IT requirements and refurbishment/replacement of stations/buildings. This gives rise to a capital program of £42m over the next five years.</w:t>
      </w:r>
    </w:p>
    <w:p w14:paraId="3DC8A19C" w14:textId="77777777" w:rsidR="006E6CFF" w:rsidRPr="00234514" w:rsidRDefault="006E6CFF" w:rsidP="00582882">
      <w:pPr>
        <w:rPr>
          <w:rFonts w:cs="Arial"/>
          <w:color w:val="000000" w:themeColor="text1"/>
          <w:szCs w:val="24"/>
          <w:highlight w:val="yellow"/>
        </w:rPr>
      </w:pPr>
    </w:p>
    <w:p w14:paraId="54ECB483" w14:textId="77777777" w:rsidR="006E6CFF" w:rsidRPr="00234514" w:rsidRDefault="006E6CFF" w:rsidP="00582882">
      <w:pPr>
        <w:rPr>
          <w:rFonts w:cs="Arial"/>
          <w:color w:val="000000" w:themeColor="text1"/>
          <w:szCs w:val="24"/>
        </w:rPr>
      </w:pPr>
      <w:r w:rsidRPr="00234514">
        <w:rPr>
          <w:rFonts w:cs="Arial"/>
          <w:color w:val="000000" w:themeColor="text1"/>
          <w:szCs w:val="24"/>
        </w:rPr>
        <w:t>We will continue to invest to ensure that our staff have the best equipment available, our vehicle programme sees us investing in enhanced aerial capability, whilst our operational equipment investment includes the replacement of our Breathing Apparatus sets and telemetry, and our cutting/extrication equipment.</w:t>
      </w:r>
    </w:p>
    <w:p w14:paraId="17D5F370" w14:textId="77777777" w:rsidR="006E6CFF" w:rsidRPr="00234514" w:rsidRDefault="006E6CFF" w:rsidP="00582882">
      <w:pPr>
        <w:rPr>
          <w:rFonts w:cs="Arial"/>
          <w:color w:val="000000" w:themeColor="text1"/>
          <w:szCs w:val="24"/>
        </w:rPr>
      </w:pPr>
    </w:p>
    <w:p w14:paraId="05E8CE1B" w14:textId="14B1DE52" w:rsidR="006E6CFF" w:rsidRPr="00234514" w:rsidRDefault="006E6CFF" w:rsidP="00582882">
      <w:pPr>
        <w:rPr>
          <w:rFonts w:cs="Arial"/>
          <w:color w:val="000000" w:themeColor="text1"/>
          <w:szCs w:val="24"/>
        </w:rPr>
      </w:pPr>
      <w:r w:rsidRPr="00234514">
        <w:rPr>
          <w:rFonts w:cs="Arial"/>
          <w:color w:val="000000" w:themeColor="text1"/>
          <w:szCs w:val="24"/>
        </w:rPr>
        <w:t xml:space="preserve">When the national Emergency Services Mobile Communications Programme (ESMCP) progresses to a stage where we can purchase replacement radio and mobilising </w:t>
      </w:r>
      <w:r w:rsidR="000E606D" w:rsidRPr="00234514">
        <w:rPr>
          <w:rFonts w:cs="Arial"/>
          <w:color w:val="000000" w:themeColor="text1"/>
          <w:szCs w:val="24"/>
        </w:rPr>
        <w:t>equipment,</w:t>
      </w:r>
      <w:r w:rsidRPr="00234514">
        <w:rPr>
          <w:rFonts w:cs="Arial"/>
          <w:color w:val="000000" w:themeColor="text1"/>
          <w:szCs w:val="24"/>
        </w:rPr>
        <w:t xml:space="preserve"> we will upgrade our current provision. This project has incurred delays and is outside of our control. It is assumed that any costs to the Authority will be funded by specific capital </w:t>
      </w:r>
      <w:r w:rsidR="000E606D" w:rsidRPr="00234514">
        <w:rPr>
          <w:rFonts w:cs="Arial"/>
          <w:color w:val="000000" w:themeColor="text1"/>
          <w:szCs w:val="24"/>
        </w:rPr>
        <w:t>grant.</w:t>
      </w:r>
    </w:p>
    <w:p w14:paraId="4F37A10C" w14:textId="77777777" w:rsidR="006E6CFF" w:rsidRPr="00234514" w:rsidRDefault="006E6CFF" w:rsidP="00582882">
      <w:pPr>
        <w:rPr>
          <w:rFonts w:cs="Arial"/>
          <w:color w:val="000000" w:themeColor="text1"/>
          <w:szCs w:val="24"/>
        </w:rPr>
      </w:pPr>
    </w:p>
    <w:p w14:paraId="242A2EE4" w14:textId="4C7D5BFB" w:rsidR="006E6CFF" w:rsidRPr="00234514" w:rsidRDefault="00470E44" w:rsidP="00582882">
      <w:pPr>
        <w:rPr>
          <w:rFonts w:cs="Arial"/>
          <w:szCs w:val="24"/>
        </w:rPr>
      </w:pPr>
      <w:r w:rsidRPr="00234514">
        <w:rPr>
          <w:rFonts w:cs="Arial"/>
          <w:szCs w:val="24"/>
        </w:rPr>
        <w:t>Most of</w:t>
      </w:r>
      <w:r w:rsidR="006E6CFF" w:rsidRPr="00234514">
        <w:rPr>
          <w:rFonts w:cs="Arial"/>
          <w:szCs w:val="24"/>
        </w:rPr>
        <w:t xml:space="preserve"> the capital programme relates to planned enhancements to our building stock, including the potential replacement of Service HQ and Preston Fire Station, together with enhancements to our training props at our Service Training Centre.</w:t>
      </w:r>
    </w:p>
    <w:p w14:paraId="01559907" w14:textId="77777777" w:rsidR="006E6CFF" w:rsidRPr="00234514" w:rsidRDefault="006E6CFF" w:rsidP="00582882">
      <w:pPr>
        <w:rPr>
          <w:rFonts w:cs="Arial"/>
          <w:szCs w:val="24"/>
        </w:rPr>
      </w:pPr>
    </w:p>
    <w:p w14:paraId="4BDC5DDC" w14:textId="0AAEFC07" w:rsidR="006E6CFF" w:rsidRPr="00234514" w:rsidRDefault="006E6CFF" w:rsidP="00582882">
      <w:pPr>
        <w:rPr>
          <w:rFonts w:cs="Arial"/>
          <w:color w:val="000000" w:themeColor="text1"/>
          <w:szCs w:val="24"/>
        </w:rPr>
      </w:pPr>
      <w:r w:rsidRPr="00234514">
        <w:rPr>
          <w:rFonts w:cs="Arial"/>
          <w:szCs w:val="24"/>
        </w:rPr>
        <w:t xml:space="preserve">The capital programme shows the Authority utilising </w:t>
      </w:r>
      <w:r w:rsidR="00470E44" w:rsidRPr="00234514">
        <w:rPr>
          <w:rFonts w:cs="Arial"/>
          <w:szCs w:val="24"/>
        </w:rPr>
        <w:t>all</w:t>
      </w:r>
      <w:r w:rsidRPr="00234514">
        <w:rPr>
          <w:rFonts w:cs="Arial"/>
          <w:szCs w:val="24"/>
        </w:rPr>
        <w:t xml:space="preserve"> its capital reserves and </w:t>
      </w:r>
      <w:proofErr w:type="gramStart"/>
      <w:r w:rsidRPr="00234514">
        <w:rPr>
          <w:rFonts w:cs="Arial"/>
          <w:szCs w:val="24"/>
        </w:rPr>
        <w:t>receipts</w:t>
      </w:r>
      <w:proofErr w:type="gramEnd"/>
      <w:r w:rsidRPr="00234514">
        <w:rPr>
          <w:rFonts w:cs="Arial"/>
          <w:szCs w:val="24"/>
        </w:rPr>
        <w:t xml:space="preserve"> part way through 2026/27, meaning that the remainder of the capital programme will need to be met from either capital grant (if available), additional revenue contributions or from new borrowing. Any borrowing will impact the revenue budget as capital financing (interest payable and Minimum Revenue Provision - MRP) charges. As we have already set aside funds (prepaid MRP) to offset our existing £2.0m of PWLB borrowing we would need to take out new borrowing of £11</w:t>
      </w:r>
      <w:r w:rsidR="00472322">
        <w:rPr>
          <w:rFonts w:cs="Arial"/>
          <w:szCs w:val="24"/>
        </w:rPr>
        <w:t>.6</w:t>
      </w:r>
      <w:r w:rsidRPr="00234514">
        <w:rPr>
          <w:rFonts w:cs="Arial"/>
          <w:szCs w:val="24"/>
        </w:rPr>
        <w:t>m. This has a significant impact on the revenue budget, in terms of interest payments and setting aside a sum equivalent to the Minimum Revenue Provision (MRP</w:t>
      </w:r>
      <w:r w:rsidR="00470E44" w:rsidRPr="00234514">
        <w:rPr>
          <w:rFonts w:cs="Arial"/>
          <w:szCs w:val="24"/>
        </w:rPr>
        <w:t>) and</w:t>
      </w:r>
      <w:r w:rsidRPr="00234514">
        <w:rPr>
          <w:rFonts w:cs="Arial"/>
          <w:szCs w:val="24"/>
        </w:rPr>
        <w:t xml:space="preserve"> is reflected in our </w:t>
      </w:r>
      <w:r w:rsidR="00470E44" w:rsidRPr="00234514">
        <w:rPr>
          <w:rFonts w:cs="Arial"/>
          <w:szCs w:val="24"/>
        </w:rPr>
        <w:t>Medium-Term</w:t>
      </w:r>
      <w:r w:rsidRPr="00234514">
        <w:rPr>
          <w:rFonts w:cs="Arial"/>
          <w:szCs w:val="24"/>
        </w:rPr>
        <w:t xml:space="preserve"> Financial Strategy.</w:t>
      </w:r>
    </w:p>
    <w:p w14:paraId="6009A33A" w14:textId="77777777" w:rsidR="006E6CFF" w:rsidRPr="00234514" w:rsidRDefault="006E6CFF" w:rsidP="00582882">
      <w:pPr>
        <w:rPr>
          <w:rFonts w:cs="Arial"/>
          <w:color w:val="000000" w:themeColor="text1"/>
          <w:szCs w:val="24"/>
        </w:rPr>
      </w:pPr>
    </w:p>
    <w:p w14:paraId="6CC7D95C" w14:textId="77777777" w:rsidR="006E6CFF" w:rsidRPr="00234514" w:rsidRDefault="006E6CFF" w:rsidP="00582882">
      <w:pPr>
        <w:rPr>
          <w:rFonts w:cs="Arial"/>
          <w:color w:val="000000" w:themeColor="text1"/>
          <w:szCs w:val="24"/>
        </w:rPr>
      </w:pPr>
      <w:r w:rsidRPr="00234514">
        <w:rPr>
          <w:rFonts w:cs="Arial"/>
          <w:color w:val="000000" w:themeColor="text1"/>
          <w:szCs w:val="24"/>
        </w:rPr>
        <w:t xml:space="preserve">The following significant financial risks have all been assessed and the Treasurer feels that these are adequately covered within the budget estimates or within the level of reserves currently </w:t>
      </w:r>
      <w:proofErr w:type="gramStart"/>
      <w:r w:rsidRPr="00234514">
        <w:rPr>
          <w:rFonts w:cs="Arial"/>
          <w:color w:val="000000" w:themeColor="text1"/>
          <w:szCs w:val="24"/>
        </w:rPr>
        <w:t>held:-</w:t>
      </w:r>
      <w:proofErr w:type="gramEnd"/>
    </w:p>
    <w:p w14:paraId="49EA90D6" w14:textId="77777777" w:rsidR="006E6CFF" w:rsidRPr="00234514" w:rsidRDefault="006E6CFF" w:rsidP="00582882">
      <w:pPr>
        <w:rPr>
          <w:rFonts w:cs="Arial"/>
          <w:color w:val="000000" w:themeColor="text1"/>
          <w:szCs w:val="24"/>
        </w:rPr>
      </w:pPr>
    </w:p>
    <w:p w14:paraId="46C349AB" w14:textId="77777777" w:rsidR="006E6CFF" w:rsidRPr="00234514" w:rsidRDefault="006E6CFF" w:rsidP="00582882">
      <w:pPr>
        <w:numPr>
          <w:ilvl w:val="1"/>
          <w:numId w:val="40"/>
        </w:numPr>
        <w:contextualSpacing/>
        <w:rPr>
          <w:rFonts w:cs="Arial"/>
          <w:szCs w:val="24"/>
          <w:lang w:eastAsia="en-GB"/>
        </w:rPr>
      </w:pPr>
      <w:r w:rsidRPr="00234514">
        <w:rPr>
          <w:rFonts w:cs="Arial"/>
          <w:szCs w:val="24"/>
          <w:lang w:eastAsia="en-GB"/>
        </w:rPr>
        <w:t xml:space="preserve">Reductions in funding levels over and above those </w:t>
      </w:r>
      <w:proofErr w:type="gramStart"/>
      <w:r w:rsidRPr="00234514">
        <w:rPr>
          <w:rFonts w:cs="Arial"/>
          <w:szCs w:val="24"/>
          <w:lang w:eastAsia="en-GB"/>
        </w:rPr>
        <w:t>forecast;</w:t>
      </w:r>
      <w:proofErr w:type="gramEnd"/>
    </w:p>
    <w:p w14:paraId="4CEDFC7D" w14:textId="77777777" w:rsidR="006E6CFF" w:rsidRPr="00234514" w:rsidRDefault="006E6CFF" w:rsidP="00582882">
      <w:pPr>
        <w:numPr>
          <w:ilvl w:val="1"/>
          <w:numId w:val="40"/>
        </w:numPr>
        <w:contextualSpacing/>
        <w:rPr>
          <w:rFonts w:cs="Arial"/>
          <w:szCs w:val="24"/>
          <w:lang w:eastAsia="en-GB"/>
        </w:rPr>
      </w:pPr>
      <w:r w:rsidRPr="00234514">
        <w:rPr>
          <w:rFonts w:cs="Arial"/>
          <w:szCs w:val="24"/>
          <w:lang w:eastAsia="en-GB"/>
        </w:rPr>
        <w:t xml:space="preserve">Reduction in funding via Business Rates retention </w:t>
      </w:r>
      <w:proofErr w:type="gramStart"/>
      <w:r w:rsidRPr="00234514">
        <w:rPr>
          <w:rFonts w:cs="Arial"/>
          <w:szCs w:val="24"/>
          <w:lang w:eastAsia="en-GB"/>
        </w:rPr>
        <w:t>scheme;</w:t>
      </w:r>
      <w:proofErr w:type="gramEnd"/>
    </w:p>
    <w:p w14:paraId="60FC194E" w14:textId="77777777" w:rsidR="006E6CFF" w:rsidRPr="00234514" w:rsidRDefault="006E6CFF" w:rsidP="00582882">
      <w:pPr>
        <w:numPr>
          <w:ilvl w:val="1"/>
          <w:numId w:val="40"/>
        </w:numPr>
        <w:contextualSpacing/>
        <w:rPr>
          <w:rFonts w:cs="Arial"/>
          <w:szCs w:val="24"/>
          <w:lang w:eastAsia="en-GB"/>
        </w:rPr>
      </w:pPr>
      <w:r w:rsidRPr="00234514">
        <w:rPr>
          <w:rFonts w:cs="Arial"/>
          <w:szCs w:val="24"/>
          <w:lang w:eastAsia="en-GB"/>
        </w:rPr>
        <w:t xml:space="preserve">Reduction in council tax funding due to changes in collection rates, localisation of council tax support, reducing tax base and/or council tax referendum </w:t>
      </w:r>
      <w:proofErr w:type="gramStart"/>
      <w:r w:rsidRPr="00234514">
        <w:rPr>
          <w:rFonts w:cs="Arial"/>
          <w:szCs w:val="24"/>
          <w:lang w:eastAsia="en-GB"/>
        </w:rPr>
        <w:t>limits;</w:t>
      </w:r>
      <w:proofErr w:type="gramEnd"/>
    </w:p>
    <w:p w14:paraId="4263B3A1" w14:textId="77777777" w:rsidR="006E6CFF" w:rsidRPr="00234514" w:rsidRDefault="006E6CFF" w:rsidP="00582882">
      <w:pPr>
        <w:numPr>
          <w:ilvl w:val="1"/>
          <w:numId w:val="40"/>
        </w:numPr>
        <w:contextualSpacing/>
        <w:rPr>
          <w:rFonts w:cs="Arial"/>
          <w:szCs w:val="24"/>
          <w:lang w:eastAsia="en-GB"/>
        </w:rPr>
      </w:pPr>
      <w:r w:rsidRPr="00234514">
        <w:rPr>
          <w:rFonts w:cs="Arial"/>
          <w:szCs w:val="24"/>
          <w:lang w:eastAsia="en-GB"/>
        </w:rPr>
        <w:t xml:space="preserve">Higher than anticipated </w:t>
      </w:r>
      <w:proofErr w:type="gramStart"/>
      <w:r w:rsidRPr="00234514">
        <w:rPr>
          <w:rFonts w:cs="Arial"/>
          <w:szCs w:val="24"/>
          <w:lang w:eastAsia="en-GB"/>
        </w:rPr>
        <w:t>inflation;</w:t>
      </w:r>
      <w:proofErr w:type="gramEnd"/>
    </w:p>
    <w:p w14:paraId="05EF0FB8" w14:textId="77777777" w:rsidR="006E6CFF" w:rsidRPr="00234514" w:rsidRDefault="006E6CFF" w:rsidP="00582882">
      <w:pPr>
        <w:numPr>
          <w:ilvl w:val="1"/>
          <w:numId w:val="40"/>
        </w:numPr>
        <w:contextualSpacing/>
        <w:rPr>
          <w:rFonts w:cs="Arial"/>
          <w:szCs w:val="24"/>
          <w:lang w:eastAsia="en-GB"/>
        </w:rPr>
      </w:pPr>
      <w:r w:rsidRPr="00234514">
        <w:rPr>
          <w:rFonts w:cs="Arial"/>
          <w:szCs w:val="24"/>
          <w:lang w:eastAsia="en-GB"/>
        </w:rPr>
        <w:t>Larger increases in future pension costs/</w:t>
      </w:r>
      <w:proofErr w:type="gramStart"/>
      <w:r w:rsidRPr="00234514">
        <w:rPr>
          <w:rFonts w:cs="Arial"/>
          <w:szCs w:val="24"/>
          <w:lang w:eastAsia="en-GB"/>
        </w:rPr>
        <w:t>contributions;</w:t>
      </w:r>
      <w:proofErr w:type="gramEnd"/>
    </w:p>
    <w:p w14:paraId="3F3AAC5B" w14:textId="77777777" w:rsidR="006E6CFF" w:rsidRPr="00234514" w:rsidRDefault="006E6CFF" w:rsidP="00582882">
      <w:pPr>
        <w:numPr>
          <w:ilvl w:val="1"/>
          <w:numId w:val="40"/>
        </w:numPr>
        <w:contextualSpacing/>
        <w:rPr>
          <w:rFonts w:cs="Arial"/>
          <w:szCs w:val="24"/>
          <w:lang w:eastAsia="en-GB"/>
        </w:rPr>
      </w:pPr>
      <w:r w:rsidRPr="00234514">
        <w:rPr>
          <w:rFonts w:cs="Arial"/>
          <w:szCs w:val="24"/>
          <w:lang w:eastAsia="en-GB"/>
        </w:rPr>
        <w:t xml:space="preserve">Significant changes in retirement </w:t>
      </w:r>
      <w:proofErr w:type="gramStart"/>
      <w:r w:rsidRPr="00234514">
        <w:rPr>
          <w:rFonts w:cs="Arial"/>
          <w:szCs w:val="24"/>
          <w:lang w:eastAsia="en-GB"/>
        </w:rPr>
        <w:t>profiles;</w:t>
      </w:r>
      <w:proofErr w:type="gramEnd"/>
    </w:p>
    <w:p w14:paraId="48F306D6" w14:textId="38700970" w:rsidR="006E6CFF" w:rsidRPr="00234514" w:rsidRDefault="006E6CFF" w:rsidP="00582882">
      <w:pPr>
        <w:numPr>
          <w:ilvl w:val="1"/>
          <w:numId w:val="40"/>
        </w:numPr>
        <w:contextualSpacing/>
        <w:rPr>
          <w:rFonts w:cs="Arial"/>
          <w:szCs w:val="24"/>
          <w:lang w:eastAsia="en-GB"/>
        </w:rPr>
      </w:pPr>
      <w:r w:rsidRPr="00234514">
        <w:rPr>
          <w:rFonts w:cs="Arial"/>
          <w:szCs w:val="24"/>
          <w:lang w:eastAsia="en-GB"/>
        </w:rPr>
        <w:t xml:space="preserve">Increase in costs arising from demand led pressures, </w:t>
      </w:r>
      <w:proofErr w:type="spellStart"/>
      <w:r w:rsidRPr="00234514">
        <w:rPr>
          <w:rFonts w:cs="Arial"/>
          <w:szCs w:val="24"/>
          <w:lang w:eastAsia="en-GB"/>
        </w:rPr>
        <w:t>ie</w:t>
      </w:r>
      <w:proofErr w:type="spellEnd"/>
      <w:r w:rsidRPr="00234514">
        <w:rPr>
          <w:rFonts w:cs="Arial"/>
          <w:szCs w:val="24"/>
          <w:lang w:eastAsia="en-GB"/>
        </w:rPr>
        <w:t xml:space="preserve">, increasing staff numbers, overtime due to spate conditions or major equipment replacement </w:t>
      </w:r>
      <w:proofErr w:type="gramStart"/>
      <w:r w:rsidRPr="00234514">
        <w:rPr>
          <w:rFonts w:cs="Arial"/>
          <w:szCs w:val="24"/>
          <w:lang w:eastAsia="en-GB"/>
        </w:rPr>
        <w:t>requirements;</w:t>
      </w:r>
      <w:proofErr w:type="gramEnd"/>
    </w:p>
    <w:p w14:paraId="2E5A092C" w14:textId="11032233" w:rsidR="006E6CFF" w:rsidRPr="00234514" w:rsidRDefault="006E6CFF" w:rsidP="00582882">
      <w:pPr>
        <w:numPr>
          <w:ilvl w:val="1"/>
          <w:numId w:val="40"/>
        </w:numPr>
        <w:contextualSpacing/>
        <w:rPr>
          <w:rFonts w:cs="Arial"/>
          <w:szCs w:val="24"/>
          <w:lang w:eastAsia="en-GB"/>
        </w:rPr>
      </w:pPr>
      <w:r w:rsidRPr="00234514">
        <w:rPr>
          <w:rFonts w:cs="Arial"/>
          <w:szCs w:val="24"/>
          <w:lang w:eastAsia="en-GB"/>
        </w:rPr>
        <w:t>Inadequacy of insurance arrangements</w:t>
      </w:r>
      <w:r w:rsidR="000A40E3" w:rsidRPr="00234514">
        <w:rPr>
          <w:rFonts w:cs="Arial"/>
          <w:szCs w:val="24"/>
          <w:lang w:eastAsia="en-GB"/>
        </w:rPr>
        <w:t>.</w:t>
      </w:r>
    </w:p>
    <w:p w14:paraId="4F1EB71F" w14:textId="77777777" w:rsidR="006E6CFF" w:rsidRPr="000E606D" w:rsidRDefault="006E6CFF" w:rsidP="00582882">
      <w:pPr>
        <w:rPr>
          <w:rFonts w:cs="Arial"/>
          <w:color w:val="000000" w:themeColor="text1"/>
          <w:sz w:val="22"/>
          <w:szCs w:val="22"/>
        </w:rPr>
      </w:pPr>
    </w:p>
    <w:p w14:paraId="541155CE" w14:textId="77777777" w:rsidR="006B4BE1" w:rsidRPr="005C1944" w:rsidRDefault="006B4BE1" w:rsidP="005C1944">
      <w:pPr>
        <w:rPr>
          <w:b/>
          <w:bCs/>
        </w:rPr>
      </w:pPr>
      <w:r w:rsidRPr="005C1944">
        <w:rPr>
          <w:b/>
          <w:bCs/>
        </w:rPr>
        <w:t>Accounting Changes</w:t>
      </w:r>
    </w:p>
    <w:p w14:paraId="3815A969" w14:textId="77777777" w:rsidR="006B4BE1" w:rsidRPr="000E606D" w:rsidRDefault="006B4BE1" w:rsidP="00582882"/>
    <w:p w14:paraId="661D93BE" w14:textId="77777777" w:rsidR="00582882" w:rsidRDefault="006B4BE1" w:rsidP="005C1944">
      <w:pPr>
        <w:rPr>
          <w:b/>
        </w:rPr>
      </w:pPr>
      <w:r w:rsidRPr="00B073BE">
        <w:t xml:space="preserve">The accounts have been prepared in accordance with the requirements of the </w:t>
      </w:r>
      <w:r w:rsidR="008C1531" w:rsidRPr="00B073BE">
        <w:t>Code of Practice on Local Authority Accounting in the United Kingdom 202</w:t>
      </w:r>
      <w:r w:rsidR="006E6CFF" w:rsidRPr="00B073BE">
        <w:t>2</w:t>
      </w:r>
      <w:r w:rsidR="008C1531" w:rsidRPr="00B073BE">
        <w:t>/2</w:t>
      </w:r>
      <w:r w:rsidR="006E6CFF" w:rsidRPr="00B073BE">
        <w:t>3</w:t>
      </w:r>
      <w:r w:rsidR="0058000E" w:rsidRPr="00B073BE">
        <w:t xml:space="preserve"> </w:t>
      </w:r>
      <w:r w:rsidRPr="00B073BE">
        <w:t>(the Code).</w:t>
      </w:r>
      <w:bookmarkStart w:id="3" w:name="Governance"/>
      <w:bookmarkEnd w:id="3"/>
    </w:p>
    <w:p w14:paraId="30834DA3" w14:textId="77777777" w:rsidR="00582882" w:rsidRDefault="00582882" w:rsidP="00322C20"/>
    <w:p w14:paraId="203AA2E2" w14:textId="0236EFD4" w:rsidR="0077530B" w:rsidRPr="00B073BE" w:rsidRDefault="00E7631F" w:rsidP="005C1944">
      <w:pPr>
        <w:pStyle w:val="Heading1"/>
      </w:pPr>
      <w:bookmarkStart w:id="4" w:name="_Toc166761524"/>
      <w:r w:rsidRPr="00B073BE">
        <w:t xml:space="preserve">Statement </w:t>
      </w:r>
      <w:r w:rsidR="003278CF">
        <w:t>o</w:t>
      </w:r>
      <w:r w:rsidRPr="00B073BE">
        <w:t xml:space="preserve">n Annual Governance Arrangements </w:t>
      </w:r>
      <w:r w:rsidR="00234514" w:rsidRPr="00B073BE">
        <w:t>b</w:t>
      </w:r>
      <w:r w:rsidRPr="00B073BE">
        <w:t xml:space="preserve">y </w:t>
      </w:r>
      <w:r w:rsidR="00234514" w:rsidRPr="00B073BE">
        <w:t>t</w:t>
      </w:r>
      <w:r w:rsidRPr="00B073BE">
        <w:t xml:space="preserve">he Chairman </w:t>
      </w:r>
      <w:r w:rsidR="00234514" w:rsidRPr="00B073BE">
        <w:t>o</w:t>
      </w:r>
      <w:r w:rsidRPr="00B073BE">
        <w:t xml:space="preserve">f </w:t>
      </w:r>
      <w:r w:rsidR="00234514" w:rsidRPr="00B073BE">
        <w:t>t</w:t>
      </w:r>
      <w:r w:rsidRPr="00B073BE">
        <w:t xml:space="preserve">he Combined Fire Authority, </w:t>
      </w:r>
      <w:r w:rsidR="00234514" w:rsidRPr="00B073BE">
        <w:t>t</w:t>
      </w:r>
      <w:r w:rsidRPr="00B073BE">
        <w:t xml:space="preserve">he Treasurer </w:t>
      </w:r>
      <w:r w:rsidR="00234514" w:rsidRPr="00B073BE">
        <w:t>t</w:t>
      </w:r>
      <w:r w:rsidRPr="00B073BE">
        <w:t xml:space="preserve">o </w:t>
      </w:r>
      <w:r w:rsidR="00234514" w:rsidRPr="00B073BE">
        <w:t>t</w:t>
      </w:r>
      <w:r w:rsidRPr="00B073BE">
        <w:t xml:space="preserve">he Combined Fire Authority </w:t>
      </w:r>
      <w:r w:rsidR="00234514" w:rsidRPr="00B073BE">
        <w:t>a</w:t>
      </w:r>
      <w:r w:rsidRPr="00B073BE">
        <w:t xml:space="preserve">nd </w:t>
      </w:r>
      <w:r w:rsidR="00234514" w:rsidRPr="00B073BE">
        <w:t>t</w:t>
      </w:r>
      <w:r w:rsidRPr="00B073BE">
        <w:t>he Chief Fire Officer</w:t>
      </w:r>
      <w:bookmarkEnd w:id="4"/>
    </w:p>
    <w:p w14:paraId="04877971" w14:textId="77777777" w:rsidR="0077530B" w:rsidRPr="00AF3DCD" w:rsidRDefault="0077530B" w:rsidP="00582882">
      <w:pPr>
        <w:rPr>
          <w:rFonts w:cs="Arial"/>
          <w:sz w:val="22"/>
          <w:szCs w:val="22"/>
        </w:rPr>
      </w:pPr>
    </w:p>
    <w:p w14:paraId="3C0021B5" w14:textId="77777777" w:rsidR="006E6CFF" w:rsidRPr="005C1944" w:rsidRDefault="006E6CFF" w:rsidP="005C1944">
      <w:pPr>
        <w:rPr>
          <w:b/>
          <w:bCs/>
        </w:rPr>
      </w:pPr>
      <w:r w:rsidRPr="005C1944">
        <w:rPr>
          <w:b/>
          <w:bCs/>
        </w:rPr>
        <w:t>Scope of Responsibility</w:t>
      </w:r>
    </w:p>
    <w:p w14:paraId="6C1A0354" w14:textId="77777777" w:rsidR="006E6CFF" w:rsidRPr="002A4D26" w:rsidRDefault="006E6CFF" w:rsidP="00582882">
      <w:pPr>
        <w:rPr>
          <w:sz w:val="22"/>
          <w:szCs w:val="22"/>
        </w:rPr>
      </w:pPr>
    </w:p>
    <w:p w14:paraId="3CFEA0E8" w14:textId="7B373D0E" w:rsidR="006E6CFF" w:rsidRPr="00234514" w:rsidRDefault="006E6CFF" w:rsidP="00582882">
      <w:pPr>
        <w:autoSpaceDE w:val="0"/>
        <w:autoSpaceDN w:val="0"/>
        <w:adjustRightInd w:val="0"/>
        <w:rPr>
          <w:rFonts w:cs="Arial"/>
          <w:szCs w:val="24"/>
        </w:rPr>
      </w:pPr>
      <w:r w:rsidRPr="00234514">
        <w:rPr>
          <w:rFonts w:cs="Arial"/>
          <w:szCs w:val="24"/>
        </w:rPr>
        <w:t xml:space="preserve">Lancashire Combined Fire Authority (the Authority) is responsible for ensuring that its business is conducted in accordance with the law and proper standards, and that public money is safeguarded and properly accounted for, and used economically, </w:t>
      </w:r>
      <w:r w:rsidR="000F28B4" w:rsidRPr="00234514">
        <w:rPr>
          <w:rFonts w:cs="Arial"/>
          <w:szCs w:val="24"/>
        </w:rPr>
        <w:t>efficiently,</w:t>
      </w:r>
      <w:r w:rsidRPr="00234514">
        <w:rPr>
          <w:rFonts w:cs="Arial"/>
          <w:szCs w:val="24"/>
        </w:rPr>
        <w:t xml:space="preserve"> and effectively. The Authority also has a duty under the Local Government Act 1999 to </w:t>
      </w:r>
      <w:proofErr w:type="gramStart"/>
      <w:r w:rsidRPr="00234514">
        <w:rPr>
          <w:rFonts w:cs="Arial"/>
          <w:szCs w:val="24"/>
        </w:rPr>
        <w:t>make arrangements</w:t>
      </w:r>
      <w:proofErr w:type="gramEnd"/>
      <w:r w:rsidRPr="00234514">
        <w:rPr>
          <w:rFonts w:cs="Arial"/>
          <w:szCs w:val="24"/>
        </w:rPr>
        <w:t xml:space="preserve"> to secure continuous improvement in the way in which its functions are exercised, having regard to a combination of economy, efficiency and effectiveness.</w:t>
      </w:r>
    </w:p>
    <w:p w14:paraId="0F6FB3A2" w14:textId="77777777" w:rsidR="006E6CFF" w:rsidRPr="00234514" w:rsidRDefault="006E6CFF" w:rsidP="00582882">
      <w:pPr>
        <w:autoSpaceDE w:val="0"/>
        <w:autoSpaceDN w:val="0"/>
        <w:adjustRightInd w:val="0"/>
        <w:rPr>
          <w:rFonts w:cs="Arial"/>
          <w:szCs w:val="24"/>
        </w:rPr>
      </w:pPr>
    </w:p>
    <w:p w14:paraId="4B4B0F0A" w14:textId="77777777" w:rsidR="006E6CFF" w:rsidRPr="00234514" w:rsidRDefault="006E6CFF" w:rsidP="00582882">
      <w:pPr>
        <w:autoSpaceDE w:val="0"/>
        <w:autoSpaceDN w:val="0"/>
        <w:adjustRightInd w:val="0"/>
        <w:rPr>
          <w:rFonts w:cs="Arial"/>
          <w:szCs w:val="24"/>
        </w:rPr>
      </w:pPr>
      <w:r w:rsidRPr="00234514">
        <w:rPr>
          <w:rFonts w:cs="Arial"/>
          <w:szCs w:val="24"/>
        </w:rPr>
        <w:t>In discharging this overall responsibility, the Authority is responsible for putting in place proper arrangements for the governance of its affairs facilitating the effective exercise of its functions, and which includes arrangements for the management of risk.</w:t>
      </w:r>
    </w:p>
    <w:p w14:paraId="198CCD86" w14:textId="77777777" w:rsidR="006E6CFF" w:rsidRPr="00234514" w:rsidRDefault="006E6CFF" w:rsidP="00582882">
      <w:pPr>
        <w:autoSpaceDE w:val="0"/>
        <w:autoSpaceDN w:val="0"/>
        <w:adjustRightInd w:val="0"/>
        <w:rPr>
          <w:rFonts w:cs="Arial"/>
          <w:szCs w:val="24"/>
        </w:rPr>
      </w:pPr>
    </w:p>
    <w:p w14:paraId="49B54DD1" w14:textId="4E8D0120" w:rsidR="006E6CFF" w:rsidRPr="00234514" w:rsidRDefault="006E6CFF" w:rsidP="00582882">
      <w:pPr>
        <w:rPr>
          <w:rFonts w:cs="Arial"/>
          <w:szCs w:val="24"/>
        </w:rPr>
      </w:pPr>
      <w:r w:rsidRPr="00234514">
        <w:rPr>
          <w:rFonts w:cs="Arial"/>
          <w:szCs w:val="24"/>
        </w:rPr>
        <w:t xml:space="preserve">The Authority approved and adopted an updated Local Code of Corporate Governance in 2018 and this was reviewed by the Audit Committee in July 2023. It aligns with the principles of the CIPFA/SOLACE Framework </w:t>
      </w:r>
      <w:r w:rsidRPr="00234514">
        <w:rPr>
          <w:rFonts w:cs="Arial"/>
          <w:i/>
          <w:szCs w:val="24"/>
        </w:rPr>
        <w:t>Delivering</w:t>
      </w:r>
      <w:r w:rsidRPr="00234514">
        <w:rPr>
          <w:rFonts w:cs="Arial"/>
          <w:szCs w:val="24"/>
        </w:rPr>
        <w:t xml:space="preserve"> </w:t>
      </w:r>
      <w:r w:rsidRPr="00234514">
        <w:rPr>
          <w:rFonts w:cs="Arial"/>
          <w:i/>
          <w:iCs/>
          <w:szCs w:val="24"/>
        </w:rPr>
        <w:t>Good Governance in Local Government Framework 2016</w:t>
      </w:r>
      <w:r w:rsidRPr="00234514">
        <w:rPr>
          <w:rFonts w:cs="Arial"/>
          <w:szCs w:val="24"/>
        </w:rPr>
        <w:t xml:space="preserve">. Included within the Code are the following core </w:t>
      </w:r>
      <w:proofErr w:type="gramStart"/>
      <w:r w:rsidRPr="00234514">
        <w:rPr>
          <w:rFonts w:cs="Arial"/>
          <w:szCs w:val="24"/>
        </w:rPr>
        <w:t>principles:-</w:t>
      </w:r>
      <w:proofErr w:type="gramEnd"/>
    </w:p>
    <w:p w14:paraId="4B773759" w14:textId="77777777" w:rsidR="006E6CFF" w:rsidRPr="00234514" w:rsidRDefault="006E6CFF" w:rsidP="00582882">
      <w:pPr>
        <w:rPr>
          <w:rFonts w:cs="Arial"/>
          <w:szCs w:val="24"/>
        </w:rPr>
      </w:pPr>
    </w:p>
    <w:p w14:paraId="379324CE" w14:textId="77777777" w:rsidR="006E6CFF" w:rsidRPr="00234514" w:rsidRDefault="006E6CFF" w:rsidP="00582882">
      <w:pPr>
        <w:numPr>
          <w:ilvl w:val="0"/>
          <w:numId w:val="31"/>
        </w:numPr>
        <w:tabs>
          <w:tab w:val="clear" w:pos="720"/>
          <w:tab w:val="num" w:pos="426"/>
        </w:tabs>
        <w:ind w:left="426" w:hanging="426"/>
        <w:rPr>
          <w:rFonts w:cs="Arial"/>
          <w:szCs w:val="24"/>
        </w:rPr>
      </w:pPr>
      <w:r w:rsidRPr="00234514">
        <w:rPr>
          <w:rFonts w:cs="FS Lola"/>
          <w:bCs/>
          <w:color w:val="000000"/>
          <w:szCs w:val="24"/>
        </w:rPr>
        <w:t xml:space="preserve">Behaving with integrity, demonstrating strong commitment to ethical values, and respecting the rule of law </w:t>
      </w:r>
    </w:p>
    <w:p w14:paraId="22F7B3A7" w14:textId="77777777" w:rsidR="006E6CFF" w:rsidRPr="00234514" w:rsidRDefault="006E6CFF" w:rsidP="00582882">
      <w:pPr>
        <w:numPr>
          <w:ilvl w:val="0"/>
          <w:numId w:val="31"/>
        </w:numPr>
        <w:tabs>
          <w:tab w:val="clear" w:pos="720"/>
          <w:tab w:val="num" w:pos="426"/>
        </w:tabs>
        <w:ind w:left="426" w:hanging="426"/>
        <w:rPr>
          <w:rFonts w:cs="FS Lola"/>
          <w:color w:val="000000"/>
          <w:szCs w:val="24"/>
        </w:rPr>
      </w:pPr>
      <w:r w:rsidRPr="00234514">
        <w:rPr>
          <w:rFonts w:cs="FS Lola"/>
          <w:bCs/>
          <w:color w:val="000000"/>
          <w:szCs w:val="24"/>
        </w:rPr>
        <w:t xml:space="preserve">Ensuring openness and comprehensive stakeholder engagement </w:t>
      </w:r>
    </w:p>
    <w:p w14:paraId="13B3C5B8" w14:textId="77777777" w:rsidR="006E6CFF" w:rsidRPr="00234514" w:rsidRDefault="006E6CFF" w:rsidP="00582882">
      <w:pPr>
        <w:numPr>
          <w:ilvl w:val="0"/>
          <w:numId w:val="31"/>
        </w:numPr>
        <w:tabs>
          <w:tab w:val="clear" w:pos="720"/>
          <w:tab w:val="num" w:pos="426"/>
        </w:tabs>
        <w:ind w:left="426" w:hanging="426"/>
        <w:rPr>
          <w:rFonts w:cs="Arial"/>
          <w:szCs w:val="24"/>
        </w:rPr>
      </w:pPr>
      <w:r w:rsidRPr="00234514">
        <w:rPr>
          <w:rFonts w:cs="FS Lola"/>
          <w:bCs/>
          <w:color w:val="000000"/>
          <w:szCs w:val="24"/>
        </w:rPr>
        <w:t xml:space="preserve">Defining outcomes in terms of sustainable economic, social, and environmental benefits </w:t>
      </w:r>
    </w:p>
    <w:p w14:paraId="72B4D239" w14:textId="77777777" w:rsidR="006E6CFF" w:rsidRPr="00234514" w:rsidRDefault="006E6CFF" w:rsidP="00582882">
      <w:pPr>
        <w:numPr>
          <w:ilvl w:val="0"/>
          <w:numId w:val="31"/>
        </w:numPr>
        <w:tabs>
          <w:tab w:val="clear" w:pos="720"/>
          <w:tab w:val="num" w:pos="426"/>
        </w:tabs>
        <w:ind w:left="426" w:hanging="426"/>
        <w:rPr>
          <w:rFonts w:cs="Arial"/>
          <w:szCs w:val="24"/>
        </w:rPr>
      </w:pPr>
      <w:r w:rsidRPr="00234514">
        <w:rPr>
          <w:rFonts w:cs="FS Lola"/>
          <w:bCs/>
          <w:color w:val="000000"/>
          <w:szCs w:val="24"/>
        </w:rPr>
        <w:t xml:space="preserve">Determining the interventions necessary to optimise the achievement of the intended </w:t>
      </w:r>
      <w:proofErr w:type="gramStart"/>
      <w:r w:rsidRPr="00234514">
        <w:rPr>
          <w:rFonts w:cs="FS Lola"/>
          <w:bCs/>
          <w:color w:val="000000"/>
          <w:szCs w:val="24"/>
        </w:rPr>
        <w:t>outcomes</w:t>
      </w:r>
      <w:proofErr w:type="gramEnd"/>
      <w:r w:rsidRPr="00234514">
        <w:rPr>
          <w:rFonts w:cs="FS Lola"/>
          <w:bCs/>
          <w:color w:val="000000"/>
          <w:szCs w:val="24"/>
        </w:rPr>
        <w:t xml:space="preserve"> </w:t>
      </w:r>
    </w:p>
    <w:p w14:paraId="1DF1BF42" w14:textId="77777777" w:rsidR="006E6CFF" w:rsidRPr="00234514" w:rsidRDefault="006E6CFF" w:rsidP="00582882">
      <w:pPr>
        <w:numPr>
          <w:ilvl w:val="0"/>
          <w:numId w:val="31"/>
        </w:numPr>
        <w:tabs>
          <w:tab w:val="clear" w:pos="720"/>
          <w:tab w:val="num" w:pos="426"/>
        </w:tabs>
        <w:ind w:left="426" w:hanging="426"/>
        <w:rPr>
          <w:rFonts w:cs="Arial"/>
          <w:szCs w:val="24"/>
        </w:rPr>
      </w:pPr>
      <w:r w:rsidRPr="00234514">
        <w:rPr>
          <w:rFonts w:cs="FS Lola"/>
          <w:bCs/>
          <w:color w:val="000000"/>
          <w:szCs w:val="24"/>
        </w:rPr>
        <w:t xml:space="preserve">Developing the entity’s capacity, including the capability of its leadership and the individuals within it </w:t>
      </w:r>
    </w:p>
    <w:p w14:paraId="5E4305D7" w14:textId="77777777" w:rsidR="006E6CFF" w:rsidRPr="00234514" w:rsidRDefault="006E6CFF" w:rsidP="00582882">
      <w:pPr>
        <w:numPr>
          <w:ilvl w:val="0"/>
          <w:numId w:val="31"/>
        </w:numPr>
        <w:tabs>
          <w:tab w:val="clear" w:pos="720"/>
          <w:tab w:val="num" w:pos="426"/>
        </w:tabs>
        <w:ind w:left="426" w:hanging="426"/>
        <w:rPr>
          <w:rFonts w:cs="Arial"/>
          <w:szCs w:val="24"/>
        </w:rPr>
      </w:pPr>
      <w:r w:rsidRPr="00234514">
        <w:rPr>
          <w:rFonts w:cs="FS Lola"/>
          <w:bCs/>
          <w:color w:val="000000"/>
          <w:szCs w:val="24"/>
        </w:rPr>
        <w:t xml:space="preserve">Managing risks and performance through robust internal control and strong public financial management </w:t>
      </w:r>
    </w:p>
    <w:p w14:paraId="4C43F228" w14:textId="77777777" w:rsidR="006E6CFF" w:rsidRPr="00234514" w:rsidRDefault="006E6CFF" w:rsidP="00582882">
      <w:pPr>
        <w:numPr>
          <w:ilvl w:val="0"/>
          <w:numId w:val="31"/>
        </w:numPr>
        <w:tabs>
          <w:tab w:val="clear" w:pos="720"/>
          <w:tab w:val="num" w:pos="426"/>
        </w:tabs>
        <w:ind w:left="426" w:hanging="426"/>
        <w:rPr>
          <w:rFonts w:cs="Arial"/>
          <w:szCs w:val="24"/>
        </w:rPr>
      </w:pPr>
      <w:r w:rsidRPr="00234514">
        <w:rPr>
          <w:rFonts w:cs="FS Lola"/>
          <w:bCs/>
          <w:color w:val="000000"/>
          <w:szCs w:val="24"/>
        </w:rPr>
        <w:t xml:space="preserve">Implementing good practices in transparency, reporting, and audit to deliver effective </w:t>
      </w:r>
      <w:proofErr w:type="gramStart"/>
      <w:r w:rsidRPr="00234514">
        <w:rPr>
          <w:rFonts w:cs="FS Lola"/>
          <w:bCs/>
          <w:color w:val="000000"/>
          <w:szCs w:val="24"/>
        </w:rPr>
        <w:t>accountability</w:t>
      </w:r>
      <w:proofErr w:type="gramEnd"/>
      <w:r w:rsidRPr="00234514">
        <w:rPr>
          <w:rFonts w:cs="FS Lola"/>
          <w:bCs/>
          <w:color w:val="000000"/>
          <w:szCs w:val="24"/>
        </w:rPr>
        <w:t xml:space="preserve"> </w:t>
      </w:r>
    </w:p>
    <w:p w14:paraId="65ADB555" w14:textId="77777777" w:rsidR="006E6CFF" w:rsidRPr="00234514" w:rsidRDefault="006E6CFF" w:rsidP="00582882">
      <w:pPr>
        <w:rPr>
          <w:rFonts w:cs="Arial"/>
          <w:b/>
          <w:szCs w:val="24"/>
        </w:rPr>
      </w:pPr>
    </w:p>
    <w:p w14:paraId="54125EAF" w14:textId="581CB4B1" w:rsidR="006E6CFF" w:rsidRPr="00234514" w:rsidRDefault="006E6CFF" w:rsidP="00582882">
      <w:pPr>
        <w:rPr>
          <w:rFonts w:cs="Arial"/>
          <w:szCs w:val="24"/>
        </w:rPr>
      </w:pPr>
      <w:r w:rsidRPr="00234514">
        <w:rPr>
          <w:rFonts w:cs="Arial"/>
          <w:szCs w:val="24"/>
        </w:rPr>
        <w:t xml:space="preserve">(A copy of the code, setting out the core and supporting principles, what the Authority commits itself to do and how it will do this can be found on our </w:t>
      </w:r>
      <w:hyperlink r:id="rId15" w:history="1">
        <w:r w:rsidRPr="00057CAF">
          <w:rPr>
            <w:rStyle w:val="Hyperlink"/>
            <w:rFonts w:cs="Arial"/>
            <w:szCs w:val="24"/>
          </w:rPr>
          <w:t>website</w:t>
        </w:r>
      </w:hyperlink>
      <w:r w:rsidR="00057CAF">
        <w:rPr>
          <w:rFonts w:cs="Arial"/>
          <w:szCs w:val="24"/>
        </w:rPr>
        <w:t>.</w:t>
      </w:r>
    </w:p>
    <w:p w14:paraId="5FC7537D" w14:textId="77777777" w:rsidR="006E6CFF" w:rsidRPr="00234514" w:rsidRDefault="006E6CFF" w:rsidP="00582882">
      <w:pPr>
        <w:rPr>
          <w:rFonts w:cs="Arial"/>
          <w:szCs w:val="24"/>
          <w:lang w:eastAsia="en-GB"/>
        </w:rPr>
      </w:pPr>
    </w:p>
    <w:p w14:paraId="7CDABC2C" w14:textId="6C1389B4" w:rsidR="006E6CFF" w:rsidRPr="00234514" w:rsidRDefault="006E6CFF" w:rsidP="00582882">
      <w:pPr>
        <w:autoSpaceDE w:val="0"/>
        <w:autoSpaceDN w:val="0"/>
        <w:adjustRightInd w:val="0"/>
        <w:rPr>
          <w:rFonts w:cs="Arial"/>
          <w:szCs w:val="24"/>
        </w:rPr>
      </w:pPr>
      <w:r w:rsidRPr="00234514">
        <w:rPr>
          <w:rFonts w:cs="Arial"/>
          <w:szCs w:val="24"/>
        </w:rPr>
        <w:t xml:space="preserve">This statement explains how the Authority has complied with the code </w:t>
      </w:r>
      <w:r w:rsidR="00234514" w:rsidRPr="00234514">
        <w:rPr>
          <w:rFonts w:cs="Arial"/>
          <w:szCs w:val="24"/>
        </w:rPr>
        <w:t>and</w:t>
      </w:r>
      <w:r w:rsidRPr="00234514">
        <w:rPr>
          <w:rFonts w:cs="Arial"/>
          <w:szCs w:val="24"/>
        </w:rPr>
        <w:t xml:space="preserve"> meets the requirements of regulation 6(2) of the Accounts and Audit Regulations 2015 in relation to the publication of a statement on internal control.</w:t>
      </w:r>
    </w:p>
    <w:p w14:paraId="6E71D50C" w14:textId="77777777" w:rsidR="006E6CFF" w:rsidRPr="0009320B" w:rsidRDefault="006E6CFF" w:rsidP="00582882">
      <w:pPr>
        <w:autoSpaceDE w:val="0"/>
        <w:autoSpaceDN w:val="0"/>
        <w:adjustRightInd w:val="0"/>
        <w:rPr>
          <w:rFonts w:cs="Arial"/>
          <w:sz w:val="22"/>
          <w:szCs w:val="22"/>
        </w:rPr>
      </w:pPr>
    </w:p>
    <w:p w14:paraId="2007314F" w14:textId="77777777" w:rsidR="006E6CFF" w:rsidRPr="005C1944" w:rsidRDefault="006E6CFF" w:rsidP="005C1944">
      <w:pPr>
        <w:rPr>
          <w:b/>
          <w:bCs/>
        </w:rPr>
      </w:pPr>
      <w:r w:rsidRPr="005C1944">
        <w:rPr>
          <w:b/>
          <w:bCs/>
        </w:rPr>
        <w:t>The Purpose of the Governance Framework</w:t>
      </w:r>
    </w:p>
    <w:p w14:paraId="4EFB7898" w14:textId="77777777" w:rsidR="006E6CFF" w:rsidRPr="002A4D26" w:rsidRDefault="006E6CFF" w:rsidP="00582882">
      <w:pPr>
        <w:rPr>
          <w:sz w:val="22"/>
          <w:szCs w:val="22"/>
        </w:rPr>
      </w:pPr>
    </w:p>
    <w:p w14:paraId="204E3158" w14:textId="55DB0649" w:rsidR="006E6CFF" w:rsidRPr="00234514" w:rsidRDefault="006E6CFF" w:rsidP="00582882">
      <w:pPr>
        <w:autoSpaceDE w:val="0"/>
        <w:autoSpaceDN w:val="0"/>
        <w:adjustRightInd w:val="0"/>
        <w:rPr>
          <w:rFonts w:cs="Arial"/>
          <w:szCs w:val="24"/>
        </w:rPr>
      </w:pPr>
      <w:r w:rsidRPr="00234514">
        <w:rPr>
          <w:rFonts w:cs="Arial"/>
          <w:szCs w:val="24"/>
        </w:rPr>
        <w:t xml:space="preserve">The governance framework comprises the systems and processes, and culture and values, by which the Authority is directed and controlled and its activities through which it accounts to, engages </w:t>
      </w:r>
      <w:r w:rsidR="00FF4100" w:rsidRPr="00234514">
        <w:rPr>
          <w:rFonts w:cs="Arial"/>
          <w:szCs w:val="24"/>
        </w:rPr>
        <w:t>with,</w:t>
      </w:r>
      <w:r w:rsidRPr="00234514">
        <w:rPr>
          <w:rFonts w:cs="Arial"/>
          <w:szCs w:val="24"/>
        </w:rPr>
        <w:t xml:space="preserve"> and leads the community. It enables the Authority to monitor the </w:t>
      </w:r>
      <w:r w:rsidRPr="00234514">
        <w:rPr>
          <w:rFonts w:cs="Arial"/>
          <w:szCs w:val="24"/>
        </w:rPr>
        <w:lastRenderedPageBreak/>
        <w:t>achievement of its strategic objectives and to consider whether those objectives have led to the delivery of appropriate, cost-effective services.</w:t>
      </w:r>
    </w:p>
    <w:p w14:paraId="72C7B370" w14:textId="77777777" w:rsidR="006E6CFF" w:rsidRPr="00234514" w:rsidRDefault="006E6CFF" w:rsidP="00582882">
      <w:pPr>
        <w:autoSpaceDE w:val="0"/>
        <w:autoSpaceDN w:val="0"/>
        <w:adjustRightInd w:val="0"/>
        <w:rPr>
          <w:rFonts w:cs="Arial"/>
          <w:szCs w:val="24"/>
        </w:rPr>
      </w:pPr>
    </w:p>
    <w:p w14:paraId="723BD1E9" w14:textId="54E7A613" w:rsidR="006E6CFF" w:rsidRPr="00234514" w:rsidRDefault="006E6CFF" w:rsidP="00582882">
      <w:pPr>
        <w:autoSpaceDE w:val="0"/>
        <w:autoSpaceDN w:val="0"/>
        <w:adjustRightInd w:val="0"/>
        <w:rPr>
          <w:rFonts w:cs="Arial"/>
          <w:szCs w:val="24"/>
        </w:rPr>
      </w:pPr>
      <w:r w:rsidRPr="00234514">
        <w:rPr>
          <w:rFonts w:cs="Arial"/>
          <w:szCs w:val="24"/>
        </w:rPr>
        <w:t xml:space="preserve">The system of internal control is a significant part of that framework and is designed to manage risk to a reasonable level. It cannot eliminate all risk of failure to achieve policies, aims and objectives and can therefore only provide reasonable and not absolute assurance of effectiveness. The system of internal control is based on an on-going process designed to identify and prioritise the risks to the achievement of the Authority’s policies, aims and objectives, to evaluate the likelihood of those risks being realised and the impact should they be realised, and to manage them efficiently, </w:t>
      </w:r>
      <w:r w:rsidR="005436A9" w:rsidRPr="00234514">
        <w:rPr>
          <w:rFonts w:cs="Arial"/>
          <w:szCs w:val="24"/>
        </w:rPr>
        <w:t>effectively,</w:t>
      </w:r>
      <w:r w:rsidRPr="00234514">
        <w:rPr>
          <w:rFonts w:cs="Arial"/>
          <w:szCs w:val="24"/>
        </w:rPr>
        <w:t xml:space="preserve"> and economically.</w:t>
      </w:r>
    </w:p>
    <w:p w14:paraId="7BF0CC28" w14:textId="77777777" w:rsidR="006E6CFF" w:rsidRPr="00234514" w:rsidRDefault="006E6CFF" w:rsidP="00582882">
      <w:pPr>
        <w:autoSpaceDE w:val="0"/>
        <w:autoSpaceDN w:val="0"/>
        <w:adjustRightInd w:val="0"/>
        <w:rPr>
          <w:rFonts w:cs="Arial"/>
          <w:szCs w:val="24"/>
        </w:rPr>
      </w:pPr>
    </w:p>
    <w:p w14:paraId="5FD505C1" w14:textId="77777777" w:rsidR="006E6CFF" w:rsidRPr="00234514" w:rsidRDefault="006E6CFF" w:rsidP="00582882">
      <w:pPr>
        <w:autoSpaceDE w:val="0"/>
        <w:autoSpaceDN w:val="0"/>
        <w:adjustRightInd w:val="0"/>
        <w:rPr>
          <w:rFonts w:cs="Arial"/>
          <w:szCs w:val="24"/>
        </w:rPr>
      </w:pPr>
      <w:r w:rsidRPr="00234514">
        <w:rPr>
          <w:rFonts w:cs="Arial"/>
          <w:szCs w:val="24"/>
        </w:rPr>
        <w:t>The governance framework has been in place at the Authority for the year ended 31 March 2023 and up to the date of approval of the 2022/23 Statement of Accounts.</w:t>
      </w:r>
    </w:p>
    <w:p w14:paraId="0A4A9442" w14:textId="77777777" w:rsidR="006E6CFF" w:rsidRPr="0009320B" w:rsidRDefault="006E6CFF" w:rsidP="00582882">
      <w:pPr>
        <w:autoSpaceDE w:val="0"/>
        <w:autoSpaceDN w:val="0"/>
        <w:adjustRightInd w:val="0"/>
        <w:rPr>
          <w:rFonts w:cs="Arial"/>
          <w:b/>
          <w:bCs/>
          <w:sz w:val="22"/>
          <w:szCs w:val="22"/>
        </w:rPr>
      </w:pPr>
    </w:p>
    <w:p w14:paraId="6A2664F7" w14:textId="77777777" w:rsidR="006E6CFF" w:rsidRPr="005C1944" w:rsidRDefault="006E6CFF" w:rsidP="005C1944">
      <w:pPr>
        <w:rPr>
          <w:b/>
          <w:bCs/>
        </w:rPr>
      </w:pPr>
      <w:r w:rsidRPr="005C1944">
        <w:rPr>
          <w:b/>
          <w:bCs/>
        </w:rPr>
        <w:t>The Governance Framework</w:t>
      </w:r>
    </w:p>
    <w:p w14:paraId="5DFC5263" w14:textId="77777777" w:rsidR="006E6CFF" w:rsidRPr="002A4D26" w:rsidRDefault="006E6CFF" w:rsidP="00582882">
      <w:pPr>
        <w:rPr>
          <w:sz w:val="22"/>
          <w:szCs w:val="22"/>
        </w:rPr>
      </w:pPr>
    </w:p>
    <w:p w14:paraId="33F18711" w14:textId="77777777" w:rsidR="006E6CFF" w:rsidRPr="00234514" w:rsidRDefault="006E6CFF" w:rsidP="00582882">
      <w:pPr>
        <w:autoSpaceDE w:val="0"/>
        <w:autoSpaceDN w:val="0"/>
        <w:adjustRightInd w:val="0"/>
        <w:rPr>
          <w:rFonts w:cs="Arial"/>
          <w:szCs w:val="24"/>
        </w:rPr>
      </w:pPr>
      <w:r w:rsidRPr="00234514">
        <w:rPr>
          <w:rFonts w:cs="Arial"/>
          <w:szCs w:val="24"/>
        </w:rPr>
        <w:t xml:space="preserve">The Authority’s Local Code of Corporate Governance set out its framework for corporate governance. The key elements of the systems and processes that comprise the Authority’s governance arrangements in accordance with the seven principles of the Local Code of Corporate Governance </w:t>
      </w:r>
      <w:proofErr w:type="gramStart"/>
      <w:r w:rsidRPr="00234514">
        <w:rPr>
          <w:rFonts w:cs="Arial"/>
          <w:szCs w:val="24"/>
        </w:rPr>
        <w:t>include:-</w:t>
      </w:r>
      <w:proofErr w:type="gramEnd"/>
    </w:p>
    <w:p w14:paraId="53D76E9E" w14:textId="77777777" w:rsidR="006E6CFF" w:rsidRPr="00234514" w:rsidRDefault="006E6CFF" w:rsidP="00582882">
      <w:pPr>
        <w:autoSpaceDE w:val="0"/>
        <w:autoSpaceDN w:val="0"/>
        <w:adjustRightInd w:val="0"/>
        <w:rPr>
          <w:rFonts w:cs="Arial"/>
          <w:szCs w:val="24"/>
        </w:rPr>
      </w:pPr>
    </w:p>
    <w:p w14:paraId="0ABB7C44" w14:textId="758FAE15" w:rsidR="006E6CFF" w:rsidRPr="00234514" w:rsidRDefault="006E6CFF" w:rsidP="00582882">
      <w:pPr>
        <w:numPr>
          <w:ilvl w:val="0"/>
          <w:numId w:val="33"/>
        </w:numPr>
        <w:rPr>
          <w:rFonts w:cs="Arial"/>
          <w:szCs w:val="24"/>
        </w:rPr>
      </w:pPr>
      <w:r w:rsidRPr="00234514">
        <w:rPr>
          <w:rFonts w:cs="Arial"/>
          <w:szCs w:val="24"/>
        </w:rPr>
        <w:t xml:space="preserve">The Community Risk Management Plan (CRMP) sets out the direction of the Service and how we will make Lancashire safer. It is informed by the greatest risks to the people and communities of Lancashire which are identified in our strategic assessment of risk (opens in a new tab). The plan describes our aim, priorities, equality objectives and values, alongside how we will prevent, </w:t>
      </w:r>
      <w:r w:rsidR="00B10A2A" w:rsidRPr="00234514">
        <w:rPr>
          <w:rFonts w:cs="Arial"/>
          <w:szCs w:val="24"/>
        </w:rPr>
        <w:t>protect,</w:t>
      </w:r>
      <w:r w:rsidRPr="00234514">
        <w:rPr>
          <w:rFonts w:cs="Arial"/>
          <w:szCs w:val="24"/>
        </w:rPr>
        <w:t xml:space="preserve"> and respond to the risks in Lancashire. The current plan covering 2022-2027 can be found on our </w:t>
      </w:r>
      <w:hyperlink r:id="rId16" w:history="1">
        <w:r w:rsidRPr="00B10A2A">
          <w:rPr>
            <w:rStyle w:val="Hyperlink"/>
            <w:rFonts w:cs="Arial"/>
            <w:szCs w:val="24"/>
          </w:rPr>
          <w:t>website</w:t>
        </w:r>
      </w:hyperlink>
      <w:r w:rsidRPr="00234514">
        <w:rPr>
          <w:szCs w:val="24"/>
        </w:rPr>
        <w:t>;</w:t>
      </w:r>
    </w:p>
    <w:p w14:paraId="559B0083" w14:textId="77777777" w:rsidR="006E6CFF" w:rsidRPr="00234514" w:rsidRDefault="006E6CFF" w:rsidP="00582882">
      <w:pPr>
        <w:rPr>
          <w:rFonts w:cs="Arial"/>
          <w:szCs w:val="24"/>
        </w:rPr>
      </w:pPr>
    </w:p>
    <w:p w14:paraId="366F8A31" w14:textId="0F297B28" w:rsidR="006E6CFF" w:rsidRPr="00234514" w:rsidRDefault="006E6CFF" w:rsidP="00582882">
      <w:pPr>
        <w:numPr>
          <w:ilvl w:val="0"/>
          <w:numId w:val="33"/>
        </w:numPr>
        <w:rPr>
          <w:rFonts w:cs="Arial"/>
          <w:szCs w:val="24"/>
        </w:rPr>
      </w:pPr>
      <w:r w:rsidRPr="00234514">
        <w:rPr>
          <w:rFonts w:cs="Arial"/>
          <w:szCs w:val="24"/>
        </w:rPr>
        <w:t>The Strategic Assessment of Risk (</w:t>
      </w:r>
      <w:proofErr w:type="spellStart"/>
      <w:r w:rsidRPr="00234514">
        <w:rPr>
          <w:rFonts w:cs="Arial"/>
          <w:szCs w:val="24"/>
        </w:rPr>
        <w:t>SAoR</w:t>
      </w:r>
      <w:proofErr w:type="spellEnd"/>
      <w:r w:rsidRPr="00234514">
        <w:rPr>
          <w:rFonts w:cs="Arial"/>
          <w:szCs w:val="24"/>
        </w:rPr>
        <w:t xml:space="preserve">) seeks to underpin our Community Risk Management Plan (CRMP) by ensuring that risk management drives decision-making within Lancashire. This document can be found on our </w:t>
      </w:r>
      <w:hyperlink r:id="rId17" w:history="1">
        <w:r w:rsidRPr="00B10A2A">
          <w:rPr>
            <w:rStyle w:val="Hyperlink"/>
            <w:rFonts w:cs="Arial"/>
            <w:szCs w:val="24"/>
          </w:rPr>
          <w:t>website</w:t>
        </w:r>
      </w:hyperlink>
      <w:r w:rsidRPr="00234514">
        <w:rPr>
          <w:szCs w:val="24"/>
        </w:rPr>
        <w:t>;</w:t>
      </w:r>
    </w:p>
    <w:p w14:paraId="70154327" w14:textId="77777777" w:rsidR="006E6CFF" w:rsidRPr="00234514" w:rsidRDefault="006E6CFF" w:rsidP="00582882">
      <w:pPr>
        <w:pStyle w:val="ListParagraph"/>
        <w:rPr>
          <w:rFonts w:cs="Arial"/>
          <w:szCs w:val="24"/>
        </w:rPr>
      </w:pPr>
    </w:p>
    <w:p w14:paraId="7ABE28B3" w14:textId="072138FA" w:rsidR="006E6CFF" w:rsidRPr="00234514" w:rsidRDefault="006E6CFF" w:rsidP="00582882">
      <w:pPr>
        <w:numPr>
          <w:ilvl w:val="0"/>
          <w:numId w:val="33"/>
        </w:numPr>
        <w:rPr>
          <w:color w:val="0000FF"/>
          <w:szCs w:val="24"/>
          <w:u w:val="single"/>
        </w:rPr>
      </w:pPr>
      <w:r w:rsidRPr="00234514">
        <w:rPr>
          <w:rFonts w:cs="Arial"/>
          <w:szCs w:val="24"/>
        </w:rPr>
        <w:t xml:space="preserve">The Annual Service Plan details the activities we will undertake to deliver the strategy set out in our CRMP. The current plan was approved this year and can be found on our </w:t>
      </w:r>
      <w:hyperlink r:id="rId18" w:history="1">
        <w:r w:rsidRPr="007461FD">
          <w:rPr>
            <w:rStyle w:val="Hyperlink"/>
            <w:rFonts w:cs="Arial"/>
            <w:szCs w:val="24"/>
          </w:rPr>
          <w:t>website</w:t>
        </w:r>
      </w:hyperlink>
      <w:r w:rsidRPr="00234514">
        <w:rPr>
          <w:szCs w:val="24"/>
        </w:rPr>
        <w:t>;</w:t>
      </w:r>
    </w:p>
    <w:p w14:paraId="6C2C4CD7" w14:textId="77777777" w:rsidR="006E6CFF" w:rsidRPr="00234514" w:rsidRDefault="006E6CFF" w:rsidP="00582882">
      <w:pPr>
        <w:pStyle w:val="ListParagraph"/>
        <w:rPr>
          <w:rFonts w:cs="Arial"/>
          <w:szCs w:val="24"/>
        </w:rPr>
      </w:pPr>
    </w:p>
    <w:p w14:paraId="7A8CD102" w14:textId="77777777" w:rsidR="006E6CFF" w:rsidRPr="00234514" w:rsidRDefault="006E6CFF" w:rsidP="00582882">
      <w:pPr>
        <w:numPr>
          <w:ilvl w:val="0"/>
          <w:numId w:val="33"/>
        </w:numPr>
        <w:tabs>
          <w:tab w:val="clear" w:pos="360"/>
          <w:tab w:val="num" w:pos="284"/>
        </w:tabs>
        <w:ind w:left="284" w:hanging="284"/>
        <w:rPr>
          <w:rFonts w:cs="Arial"/>
          <w:szCs w:val="24"/>
        </w:rPr>
      </w:pPr>
      <w:r w:rsidRPr="00234514">
        <w:rPr>
          <w:rFonts w:cs="Arial"/>
          <w:szCs w:val="24"/>
        </w:rPr>
        <w:t xml:space="preserve">A Communication Strategy and the Consultation </w:t>
      </w:r>
      <w:proofErr w:type="gramStart"/>
      <w:r w:rsidRPr="00234514">
        <w:rPr>
          <w:rFonts w:cs="Arial"/>
          <w:szCs w:val="24"/>
        </w:rPr>
        <w:t>Strategy;</w:t>
      </w:r>
      <w:proofErr w:type="gramEnd"/>
      <w:r w:rsidRPr="00234514">
        <w:rPr>
          <w:rFonts w:cs="Arial"/>
          <w:szCs w:val="24"/>
        </w:rPr>
        <w:t xml:space="preserve"> </w:t>
      </w:r>
    </w:p>
    <w:p w14:paraId="073B3224" w14:textId="77777777" w:rsidR="006E6CFF" w:rsidRPr="00234514" w:rsidRDefault="006E6CFF" w:rsidP="00582882">
      <w:pPr>
        <w:rPr>
          <w:rFonts w:cs="Arial"/>
          <w:szCs w:val="24"/>
        </w:rPr>
      </w:pPr>
    </w:p>
    <w:p w14:paraId="04FF3EA9" w14:textId="307D77DF" w:rsidR="006E6CFF" w:rsidRPr="00234514" w:rsidRDefault="006E6CFF" w:rsidP="00582882">
      <w:pPr>
        <w:numPr>
          <w:ilvl w:val="0"/>
          <w:numId w:val="33"/>
        </w:numPr>
        <w:tabs>
          <w:tab w:val="clear" w:pos="360"/>
          <w:tab w:val="num" w:pos="284"/>
        </w:tabs>
        <w:ind w:left="284" w:hanging="284"/>
        <w:rPr>
          <w:rFonts w:cs="Arial"/>
          <w:szCs w:val="24"/>
        </w:rPr>
      </w:pPr>
      <w:r w:rsidRPr="00234514">
        <w:rPr>
          <w:rFonts w:cs="Arial"/>
          <w:szCs w:val="24"/>
        </w:rPr>
        <w:t xml:space="preserve">A comprehensive performance management framework, with the Performance Committee and Service Management Team receiving regular reports on performance against targets and any corrective action taken to address any variances. On an annual basis the Authority publishes an Annual Service </w:t>
      </w:r>
      <w:proofErr w:type="gramStart"/>
      <w:r w:rsidRPr="00234514">
        <w:rPr>
          <w:rFonts w:cs="Arial"/>
          <w:szCs w:val="24"/>
        </w:rPr>
        <w:t>Report;</w:t>
      </w:r>
      <w:proofErr w:type="gramEnd"/>
    </w:p>
    <w:p w14:paraId="4F1399FB" w14:textId="77777777" w:rsidR="006E6CFF" w:rsidRPr="00234514" w:rsidRDefault="006E6CFF" w:rsidP="00582882">
      <w:pPr>
        <w:rPr>
          <w:rFonts w:cs="Arial"/>
          <w:szCs w:val="24"/>
        </w:rPr>
      </w:pPr>
    </w:p>
    <w:p w14:paraId="3E07220D" w14:textId="77777777" w:rsidR="006E6CFF" w:rsidRPr="00234514" w:rsidRDefault="006E6CFF" w:rsidP="00582882">
      <w:pPr>
        <w:numPr>
          <w:ilvl w:val="0"/>
          <w:numId w:val="33"/>
        </w:numPr>
        <w:tabs>
          <w:tab w:val="clear" w:pos="360"/>
          <w:tab w:val="num" w:pos="284"/>
        </w:tabs>
        <w:ind w:left="284" w:hanging="284"/>
        <w:rPr>
          <w:rFonts w:cs="Arial"/>
          <w:szCs w:val="24"/>
        </w:rPr>
      </w:pPr>
      <w:r w:rsidRPr="00234514">
        <w:rPr>
          <w:rFonts w:cs="Arial"/>
          <w:szCs w:val="24"/>
        </w:rPr>
        <w:t xml:space="preserve">A Corporate Programme Board provides oversight across 5 </w:t>
      </w:r>
      <w:proofErr w:type="gramStart"/>
      <w:r w:rsidRPr="00234514">
        <w:rPr>
          <w:rFonts w:cs="Arial"/>
          <w:szCs w:val="24"/>
        </w:rPr>
        <w:t>areas:-</w:t>
      </w:r>
      <w:proofErr w:type="gramEnd"/>
    </w:p>
    <w:p w14:paraId="32B22DD5" w14:textId="77777777" w:rsidR="006E6CFF" w:rsidRPr="00234514" w:rsidRDefault="006E6CFF" w:rsidP="00582882">
      <w:pPr>
        <w:numPr>
          <w:ilvl w:val="1"/>
          <w:numId w:val="33"/>
        </w:numPr>
        <w:rPr>
          <w:rFonts w:cs="Arial"/>
          <w:szCs w:val="24"/>
        </w:rPr>
      </w:pPr>
      <w:r w:rsidRPr="00234514">
        <w:rPr>
          <w:rFonts w:cs="Arial"/>
          <w:szCs w:val="24"/>
        </w:rPr>
        <w:t>Business Process Improvement Programme</w:t>
      </w:r>
    </w:p>
    <w:p w14:paraId="78950770" w14:textId="77777777" w:rsidR="006E6CFF" w:rsidRPr="00234514" w:rsidRDefault="006E6CFF" w:rsidP="00582882">
      <w:pPr>
        <w:numPr>
          <w:ilvl w:val="1"/>
          <w:numId w:val="33"/>
        </w:numPr>
        <w:rPr>
          <w:rFonts w:cs="Arial"/>
          <w:szCs w:val="24"/>
        </w:rPr>
      </w:pPr>
      <w:r w:rsidRPr="00234514">
        <w:rPr>
          <w:rFonts w:cs="Arial"/>
          <w:szCs w:val="24"/>
        </w:rPr>
        <w:t>Service Delivery Change Programme</w:t>
      </w:r>
    </w:p>
    <w:p w14:paraId="084B4356" w14:textId="77777777" w:rsidR="006E6CFF" w:rsidRPr="00234514" w:rsidRDefault="006E6CFF" w:rsidP="00582882">
      <w:pPr>
        <w:numPr>
          <w:ilvl w:val="1"/>
          <w:numId w:val="33"/>
        </w:numPr>
        <w:rPr>
          <w:rFonts w:cs="Arial"/>
          <w:szCs w:val="24"/>
        </w:rPr>
      </w:pPr>
      <w:r w:rsidRPr="00234514">
        <w:rPr>
          <w:rFonts w:cs="Arial"/>
          <w:szCs w:val="24"/>
        </w:rPr>
        <w:t>Capital Projects Programme.</w:t>
      </w:r>
    </w:p>
    <w:p w14:paraId="4A62E03B" w14:textId="77777777" w:rsidR="006E6CFF" w:rsidRPr="00234514" w:rsidRDefault="006E6CFF" w:rsidP="00582882">
      <w:pPr>
        <w:numPr>
          <w:ilvl w:val="1"/>
          <w:numId w:val="33"/>
        </w:numPr>
        <w:rPr>
          <w:rFonts w:cs="Arial"/>
          <w:szCs w:val="24"/>
        </w:rPr>
      </w:pPr>
      <w:r w:rsidRPr="00234514">
        <w:rPr>
          <w:rFonts w:cs="Arial"/>
          <w:szCs w:val="24"/>
        </w:rPr>
        <w:t>People Strategy</w:t>
      </w:r>
    </w:p>
    <w:p w14:paraId="4E4114CB" w14:textId="77777777" w:rsidR="006E6CFF" w:rsidRPr="00234514" w:rsidRDefault="006E6CFF" w:rsidP="00582882">
      <w:pPr>
        <w:numPr>
          <w:ilvl w:val="1"/>
          <w:numId w:val="33"/>
        </w:numPr>
        <w:rPr>
          <w:rFonts w:cs="Arial"/>
          <w:szCs w:val="24"/>
        </w:rPr>
      </w:pPr>
      <w:r w:rsidRPr="00234514">
        <w:rPr>
          <w:rFonts w:cs="Arial"/>
          <w:szCs w:val="24"/>
        </w:rPr>
        <w:t>Risk Management</w:t>
      </w:r>
    </w:p>
    <w:p w14:paraId="31C79606" w14:textId="77777777" w:rsidR="006E6CFF" w:rsidRPr="00234514" w:rsidRDefault="006E6CFF" w:rsidP="00582882">
      <w:pPr>
        <w:ind w:left="720"/>
        <w:rPr>
          <w:rFonts w:cs="Arial"/>
          <w:szCs w:val="24"/>
        </w:rPr>
      </w:pPr>
    </w:p>
    <w:p w14:paraId="50D33BB2" w14:textId="77777777" w:rsidR="006E6CFF" w:rsidRPr="00234514" w:rsidRDefault="006E6CFF" w:rsidP="00582882">
      <w:pPr>
        <w:ind w:left="284"/>
        <w:rPr>
          <w:rFonts w:cs="Arial"/>
          <w:szCs w:val="24"/>
        </w:rPr>
      </w:pPr>
      <w:r w:rsidRPr="00234514">
        <w:rPr>
          <w:rFonts w:cs="Arial"/>
          <w:szCs w:val="24"/>
        </w:rPr>
        <w:lastRenderedPageBreak/>
        <w:t xml:space="preserve">All major projects and reviews follow similar format and report to the Corporate Programme </w:t>
      </w:r>
      <w:proofErr w:type="gramStart"/>
      <w:r w:rsidRPr="00234514">
        <w:rPr>
          <w:rFonts w:cs="Arial"/>
          <w:szCs w:val="24"/>
        </w:rPr>
        <w:t>Board;</w:t>
      </w:r>
      <w:proofErr w:type="gramEnd"/>
    </w:p>
    <w:p w14:paraId="52A5FB7F" w14:textId="77777777" w:rsidR="006E6CFF" w:rsidRPr="00234514" w:rsidRDefault="006E6CFF" w:rsidP="00582882">
      <w:pPr>
        <w:rPr>
          <w:rFonts w:cs="Arial"/>
          <w:szCs w:val="24"/>
        </w:rPr>
      </w:pPr>
    </w:p>
    <w:p w14:paraId="44AE1D30" w14:textId="77777777" w:rsidR="006E6CFF" w:rsidRPr="00234514" w:rsidRDefault="006E6CFF" w:rsidP="00582882">
      <w:pPr>
        <w:numPr>
          <w:ilvl w:val="0"/>
          <w:numId w:val="33"/>
        </w:numPr>
        <w:tabs>
          <w:tab w:val="clear" w:pos="360"/>
          <w:tab w:val="num" w:pos="284"/>
        </w:tabs>
        <w:ind w:left="284" w:hanging="284"/>
        <w:rPr>
          <w:rFonts w:cs="Arial"/>
          <w:szCs w:val="24"/>
        </w:rPr>
      </w:pPr>
      <w:r w:rsidRPr="00234514">
        <w:rPr>
          <w:rFonts w:cs="Arial"/>
          <w:szCs w:val="24"/>
        </w:rPr>
        <w:t xml:space="preserve">The Authority operates a Committee Structure aligned to strategic objectives, within agreed Terms of Reference, as </w:t>
      </w:r>
      <w:proofErr w:type="gramStart"/>
      <w:r w:rsidRPr="00234514">
        <w:rPr>
          <w:rFonts w:cs="Arial"/>
          <w:szCs w:val="24"/>
        </w:rPr>
        <w:t>follows:-</w:t>
      </w:r>
      <w:proofErr w:type="gramEnd"/>
    </w:p>
    <w:p w14:paraId="66A2A369" w14:textId="77777777" w:rsidR="006E6CFF" w:rsidRPr="00234514" w:rsidRDefault="006E6CFF" w:rsidP="00582882">
      <w:pPr>
        <w:ind w:left="284"/>
        <w:rPr>
          <w:rFonts w:cs="Arial"/>
          <w:szCs w:val="24"/>
        </w:rPr>
      </w:pPr>
    </w:p>
    <w:p w14:paraId="0863DF58" w14:textId="77777777" w:rsidR="006E6CFF" w:rsidRPr="00234514" w:rsidRDefault="006E6CFF" w:rsidP="00582882">
      <w:pPr>
        <w:numPr>
          <w:ilvl w:val="1"/>
          <w:numId w:val="33"/>
        </w:numPr>
        <w:tabs>
          <w:tab w:val="num" w:pos="284"/>
        </w:tabs>
        <w:spacing w:after="240"/>
        <w:ind w:left="1077" w:hanging="357"/>
        <w:rPr>
          <w:rFonts w:cs="Arial"/>
          <w:szCs w:val="24"/>
        </w:rPr>
      </w:pPr>
      <w:r w:rsidRPr="00234514">
        <w:rPr>
          <w:rFonts w:cs="Arial"/>
          <w:szCs w:val="24"/>
        </w:rPr>
        <w:t xml:space="preserve">The Audit Committee - To advise on the adequacy and effectiveness of the Authority's Internal and External Audit Service and risk management arrangements, which operates in line with the core functions identified in CIPFAs Audit Committees – Practical Guidance for Local </w:t>
      </w:r>
      <w:proofErr w:type="gramStart"/>
      <w:r w:rsidRPr="00234514">
        <w:rPr>
          <w:rFonts w:cs="Arial"/>
          <w:szCs w:val="24"/>
        </w:rPr>
        <w:t>Authorities;</w:t>
      </w:r>
      <w:proofErr w:type="gramEnd"/>
    </w:p>
    <w:p w14:paraId="7A7BF188" w14:textId="4043C470" w:rsidR="006E6CFF" w:rsidRPr="00234514" w:rsidRDefault="006E6CFF" w:rsidP="00582882">
      <w:pPr>
        <w:numPr>
          <w:ilvl w:val="1"/>
          <w:numId w:val="33"/>
        </w:numPr>
        <w:tabs>
          <w:tab w:val="num" w:pos="284"/>
        </w:tabs>
        <w:spacing w:after="240"/>
        <w:ind w:left="1077" w:hanging="357"/>
        <w:rPr>
          <w:rFonts w:cs="Arial"/>
          <w:szCs w:val="24"/>
        </w:rPr>
      </w:pPr>
      <w:r w:rsidRPr="00234514">
        <w:rPr>
          <w:rFonts w:cs="Arial"/>
          <w:szCs w:val="24"/>
        </w:rPr>
        <w:t>The Resources Committee - To consider reports and make decisions relating to financial, human resources and property related issues</w:t>
      </w:r>
      <w:r w:rsidR="000A40E3" w:rsidRPr="00234514">
        <w:rPr>
          <w:rFonts w:cs="Arial"/>
          <w:szCs w:val="24"/>
        </w:rPr>
        <w:t>.</w:t>
      </w:r>
    </w:p>
    <w:p w14:paraId="7FEDE1F1" w14:textId="02D3C23A" w:rsidR="006E6CFF" w:rsidRPr="00234514" w:rsidRDefault="006E6CFF" w:rsidP="00582882">
      <w:pPr>
        <w:numPr>
          <w:ilvl w:val="1"/>
          <w:numId w:val="33"/>
        </w:numPr>
        <w:tabs>
          <w:tab w:val="num" w:pos="284"/>
        </w:tabs>
        <w:spacing w:after="240"/>
        <w:ind w:left="1077" w:hanging="357"/>
        <w:rPr>
          <w:rFonts w:cs="Arial"/>
          <w:szCs w:val="24"/>
        </w:rPr>
      </w:pPr>
      <w:r w:rsidRPr="00234514">
        <w:rPr>
          <w:rFonts w:cs="Arial"/>
          <w:szCs w:val="24"/>
        </w:rPr>
        <w:t>The Planning Committee - To consider reports and make decisions relating to all aspect of planning arrangements, including consultation and communication arrangements</w:t>
      </w:r>
      <w:r w:rsidR="000A40E3" w:rsidRPr="00234514">
        <w:rPr>
          <w:rFonts w:cs="Arial"/>
          <w:szCs w:val="24"/>
        </w:rPr>
        <w:t>.</w:t>
      </w:r>
    </w:p>
    <w:p w14:paraId="6401DE59" w14:textId="68B88F80" w:rsidR="006E6CFF" w:rsidRPr="00234514" w:rsidRDefault="006E6CFF" w:rsidP="00582882">
      <w:pPr>
        <w:numPr>
          <w:ilvl w:val="1"/>
          <w:numId w:val="33"/>
        </w:numPr>
        <w:tabs>
          <w:tab w:val="num" w:pos="284"/>
        </w:tabs>
        <w:spacing w:after="240"/>
        <w:ind w:left="1077" w:hanging="357"/>
        <w:rPr>
          <w:rFonts w:cs="Arial"/>
          <w:szCs w:val="24"/>
        </w:rPr>
      </w:pPr>
      <w:r w:rsidRPr="00234514">
        <w:rPr>
          <w:rFonts w:cs="Arial"/>
          <w:szCs w:val="24"/>
        </w:rPr>
        <w:t>The Performance Committee - To consider reports and make recommendations on all aspects of performance management</w:t>
      </w:r>
      <w:r w:rsidR="000A40E3" w:rsidRPr="00234514">
        <w:rPr>
          <w:rFonts w:cs="Arial"/>
          <w:szCs w:val="24"/>
        </w:rPr>
        <w:t>.</w:t>
      </w:r>
    </w:p>
    <w:p w14:paraId="36BBE9A7" w14:textId="66253F36" w:rsidR="006E6CFF" w:rsidRPr="00234514" w:rsidRDefault="006E6CFF" w:rsidP="00582882">
      <w:pPr>
        <w:numPr>
          <w:ilvl w:val="1"/>
          <w:numId w:val="33"/>
        </w:numPr>
        <w:tabs>
          <w:tab w:val="num" w:pos="284"/>
        </w:tabs>
        <w:spacing w:after="240"/>
        <w:ind w:left="1077" w:hanging="357"/>
        <w:rPr>
          <w:rFonts w:cs="Arial"/>
          <w:szCs w:val="24"/>
        </w:rPr>
      </w:pPr>
      <w:r w:rsidRPr="00234514">
        <w:rPr>
          <w:rFonts w:cs="Arial"/>
          <w:szCs w:val="24"/>
        </w:rPr>
        <w:t>The Appeals Committee -</w:t>
      </w:r>
      <w:r w:rsidR="000A40E3" w:rsidRPr="00234514">
        <w:rPr>
          <w:rFonts w:cs="Arial"/>
          <w:szCs w:val="24"/>
        </w:rPr>
        <w:t xml:space="preserve"> </w:t>
      </w:r>
      <w:r w:rsidRPr="00234514">
        <w:rPr>
          <w:rFonts w:cs="Arial"/>
          <w:szCs w:val="24"/>
        </w:rPr>
        <w:t xml:space="preserve">To hear relevant appeals, </w:t>
      </w:r>
      <w:proofErr w:type="gramStart"/>
      <w:r w:rsidRPr="00234514">
        <w:rPr>
          <w:rFonts w:cs="Arial"/>
          <w:szCs w:val="24"/>
        </w:rPr>
        <w:t>grievances</w:t>
      </w:r>
      <w:proofErr w:type="gramEnd"/>
      <w:r w:rsidRPr="00234514">
        <w:rPr>
          <w:rFonts w:cs="Arial"/>
          <w:szCs w:val="24"/>
        </w:rPr>
        <w:t xml:space="preserve"> and complaints</w:t>
      </w:r>
      <w:r w:rsidR="000A40E3" w:rsidRPr="00234514">
        <w:rPr>
          <w:rFonts w:cs="Arial"/>
          <w:szCs w:val="24"/>
        </w:rPr>
        <w:t>.</w:t>
      </w:r>
    </w:p>
    <w:p w14:paraId="61FF8608" w14:textId="77777777" w:rsidR="006E6CFF" w:rsidRPr="00234514" w:rsidRDefault="006E6CFF" w:rsidP="00582882">
      <w:pPr>
        <w:numPr>
          <w:ilvl w:val="0"/>
          <w:numId w:val="33"/>
        </w:numPr>
        <w:tabs>
          <w:tab w:val="clear" w:pos="360"/>
          <w:tab w:val="num" w:pos="284"/>
        </w:tabs>
        <w:ind w:left="284" w:hanging="284"/>
        <w:rPr>
          <w:rFonts w:cs="Arial"/>
          <w:szCs w:val="24"/>
        </w:rPr>
      </w:pPr>
      <w:r w:rsidRPr="00234514">
        <w:rPr>
          <w:rFonts w:cs="Arial"/>
          <w:szCs w:val="24"/>
        </w:rPr>
        <w:t xml:space="preserve">Clear management structure within the Service. The Executive Board, comprising the Chief Fire Officer (head of paid service), and 4 Executive Directors, is responsible for determining policy, monitoring performance and developing service plans in line with the Authority’s overall strategic objectives and is assisted in this process by the Service Management </w:t>
      </w:r>
      <w:proofErr w:type="gramStart"/>
      <w:r w:rsidRPr="00234514">
        <w:rPr>
          <w:rFonts w:cs="Arial"/>
          <w:szCs w:val="24"/>
        </w:rPr>
        <w:t>Team;</w:t>
      </w:r>
      <w:proofErr w:type="gramEnd"/>
    </w:p>
    <w:p w14:paraId="22C5BCFF" w14:textId="77777777" w:rsidR="006E6CFF" w:rsidRPr="00234514" w:rsidRDefault="006E6CFF" w:rsidP="00582882">
      <w:pPr>
        <w:rPr>
          <w:rFonts w:cs="Arial"/>
          <w:szCs w:val="24"/>
        </w:rPr>
      </w:pPr>
    </w:p>
    <w:p w14:paraId="16F03F2E" w14:textId="77777777" w:rsidR="006E6CFF" w:rsidRPr="00234514" w:rsidRDefault="006E6CFF" w:rsidP="00582882">
      <w:pPr>
        <w:numPr>
          <w:ilvl w:val="0"/>
          <w:numId w:val="33"/>
        </w:numPr>
        <w:tabs>
          <w:tab w:val="clear" w:pos="360"/>
          <w:tab w:val="num" w:pos="284"/>
        </w:tabs>
        <w:ind w:left="284" w:hanging="284"/>
        <w:rPr>
          <w:rFonts w:cs="Arial"/>
          <w:szCs w:val="24"/>
        </w:rPr>
      </w:pPr>
      <w:r w:rsidRPr="00234514">
        <w:rPr>
          <w:rFonts w:cs="Arial"/>
          <w:szCs w:val="24"/>
        </w:rPr>
        <w:t xml:space="preserve">The Combination Scheme Order, Standing Orders, Terms of Reference of individual Committees, Scheme of Delegation and Financial Regulations establish overall arrangements for policy setting and decision making and the delegation of powers to members and </w:t>
      </w:r>
      <w:proofErr w:type="gramStart"/>
      <w:r w:rsidRPr="00234514">
        <w:rPr>
          <w:rFonts w:cs="Arial"/>
          <w:szCs w:val="24"/>
        </w:rPr>
        <w:t>officers;</w:t>
      </w:r>
      <w:proofErr w:type="gramEnd"/>
    </w:p>
    <w:p w14:paraId="19B49890" w14:textId="77777777" w:rsidR="006E6CFF" w:rsidRPr="00234514" w:rsidRDefault="006E6CFF" w:rsidP="00582882">
      <w:pPr>
        <w:rPr>
          <w:rFonts w:cs="Arial"/>
          <w:szCs w:val="24"/>
        </w:rPr>
      </w:pPr>
    </w:p>
    <w:p w14:paraId="404D7F6A" w14:textId="77777777" w:rsidR="006E6CFF" w:rsidRPr="00234514" w:rsidRDefault="006E6CFF" w:rsidP="00582882">
      <w:pPr>
        <w:numPr>
          <w:ilvl w:val="0"/>
          <w:numId w:val="33"/>
        </w:numPr>
        <w:tabs>
          <w:tab w:val="clear" w:pos="360"/>
          <w:tab w:val="num" w:pos="284"/>
        </w:tabs>
        <w:ind w:left="284" w:hanging="284"/>
        <w:rPr>
          <w:rFonts w:cs="Arial"/>
          <w:szCs w:val="24"/>
        </w:rPr>
      </w:pPr>
      <w:r w:rsidRPr="00234514">
        <w:rPr>
          <w:rFonts w:cs="Arial"/>
          <w:szCs w:val="24"/>
        </w:rPr>
        <w:t xml:space="preserve">Comprehensive suite of strategies and policies in place and regularly </w:t>
      </w:r>
      <w:proofErr w:type="gramStart"/>
      <w:r w:rsidRPr="00234514">
        <w:rPr>
          <w:rFonts w:cs="Arial"/>
          <w:szCs w:val="24"/>
        </w:rPr>
        <w:t>reviewed;</w:t>
      </w:r>
      <w:proofErr w:type="gramEnd"/>
    </w:p>
    <w:p w14:paraId="781DDAB3" w14:textId="77777777" w:rsidR="006E6CFF" w:rsidRPr="00234514" w:rsidRDefault="006E6CFF" w:rsidP="00582882">
      <w:pPr>
        <w:rPr>
          <w:rFonts w:cs="Arial"/>
          <w:szCs w:val="24"/>
        </w:rPr>
      </w:pPr>
    </w:p>
    <w:p w14:paraId="2C5BF306" w14:textId="77777777" w:rsidR="006E6CFF" w:rsidRPr="00234514" w:rsidRDefault="006E6CFF" w:rsidP="00582882">
      <w:pPr>
        <w:numPr>
          <w:ilvl w:val="0"/>
          <w:numId w:val="33"/>
        </w:numPr>
        <w:tabs>
          <w:tab w:val="clear" w:pos="360"/>
          <w:tab w:val="num" w:pos="284"/>
        </w:tabs>
        <w:ind w:left="284" w:hanging="284"/>
        <w:rPr>
          <w:rFonts w:cs="Arial"/>
          <w:szCs w:val="24"/>
        </w:rPr>
      </w:pPr>
      <w:r w:rsidRPr="00234514">
        <w:rPr>
          <w:rFonts w:cs="Arial"/>
          <w:szCs w:val="24"/>
        </w:rPr>
        <w:t xml:space="preserve">Codes of Conduct for members and officers, and member/officer protocol, which set out clear expectations for standards of </w:t>
      </w:r>
      <w:proofErr w:type="gramStart"/>
      <w:r w:rsidRPr="00234514">
        <w:rPr>
          <w:rFonts w:cs="Arial"/>
          <w:szCs w:val="24"/>
        </w:rPr>
        <w:t>behaviour;</w:t>
      </w:r>
      <w:proofErr w:type="gramEnd"/>
    </w:p>
    <w:p w14:paraId="5E86F988" w14:textId="77777777" w:rsidR="006E6CFF" w:rsidRPr="00234514" w:rsidRDefault="006E6CFF" w:rsidP="00582882">
      <w:pPr>
        <w:rPr>
          <w:rFonts w:cs="Arial"/>
          <w:szCs w:val="24"/>
        </w:rPr>
      </w:pPr>
    </w:p>
    <w:p w14:paraId="7B1FB3C3" w14:textId="77777777" w:rsidR="006E6CFF" w:rsidRPr="00234514" w:rsidRDefault="006E6CFF" w:rsidP="00582882">
      <w:pPr>
        <w:numPr>
          <w:ilvl w:val="0"/>
          <w:numId w:val="33"/>
        </w:numPr>
        <w:tabs>
          <w:tab w:val="clear" w:pos="360"/>
          <w:tab w:val="num" w:pos="284"/>
        </w:tabs>
        <w:ind w:left="284" w:hanging="284"/>
        <w:rPr>
          <w:rFonts w:cs="Arial"/>
          <w:szCs w:val="24"/>
        </w:rPr>
      </w:pPr>
      <w:r w:rsidRPr="00234514">
        <w:rPr>
          <w:rFonts w:cs="Arial"/>
          <w:szCs w:val="24"/>
        </w:rPr>
        <w:t xml:space="preserve">Both the Monitoring Officer and Treasurer are involved in the Authority’s decision-making process, and ensure compliance with established policies, procedures, laws and regulations; All Authority reports are considered for human resource, financial, business risk, environmental and equality and diversity implications in order to identify key </w:t>
      </w:r>
      <w:proofErr w:type="gramStart"/>
      <w:r w:rsidRPr="00234514">
        <w:rPr>
          <w:rFonts w:cs="Arial"/>
          <w:szCs w:val="24"/>
        </w:rPr>
        <w:t>issues;</w:t>
      </w:r>
      <w:proofErr w:type="gramEnd"/>
    </w:p>
    <w:p w14:paraId="0A404C7C" w14:textId="77777777" w:rsidR="006E6CFF" w:rsidRPr="00234514" w:rsidRDefault="006E6CFF" w:rsidP="00582882">
      <w:pPr>
        <w:rPr>
          <w:rFonts w:cs="Arial"/>
          <w:szCs w:val="24"/>
        </w:rPr>
      </w:pPr>
    </w:p>
    <w:p w14:paraId="5FC2E246" w14:textId="77777777" w:rsidR="006E6CFF" w:rsidRPr="00234514" w:rsidRDefault="006E6CFF" w:rsidP="00582882">
      <w:pPr>
        <w:numPr>
          <w:ilvl w:val="0"/>
          <w:numId w:val="33"/>
        </w:numPr>
        <w:tabs>
          <w:tab w:val="clear" w:pos="360"/>
          <w:tab w:val="num" w:pos="284"/>
        </w:tabs>
        <w:ind w:left="284" w:hanging="284"/>
        <w:rPr>
          <w:rFonts w:cs="Arial"/>
          <w:szCs w:val="24"/>
        </w:rPr>
      </w:pPr>
      <w:r w:rsidRPr="00234514">
        <w:rPr>
          <w:rFonts w:cs="Arial"/>
          <w:szCs w:val="24"/>
        </w:rPr>
        <w:t xml:space="preserve">The Treasurer’s role and financial management arrangements align with requirements set out in CIPFAs Statement on the Role of the Chief Financial Officer in Local Government and CIPFAs Financial Management </w:t>
      </w:r>
      <w:proofErr w:type="gramStart"/>
      <w:r w:rsidRPr="00234514">
        <w:rPr>
          <w:rFonts w:cs="Arial"/>
          <w:szCs w:val="24"/>
        </w:rPr>
        <w:t>Code;</w:t>
      </w:r>
      <w:proofErr w:type="gramEnd"/>
    </w:p>
    <w:p w14:paraId="526F7E3B" w14:textId="77777777" w:rsidR="006E6CFF" w:rsidRPr="00234514" w:rsidRDefault="006E6CFF" w:rsidP="00582882">
      <w:pPr>
        <w:rPr>
          <w:rFonts w:cs="Arial"/>
          <w:szCs w:val="24"/>
        </w:rPr>
      </w:pPr>
    </w:p>
    <w:p w14:paraId="1A4A7F5E" w14:textId="77777777" w:rsidR="006E6CFF" w:rsidRPr="00234514" w:rsidRDefault="006E6CFF" w:rsidP="00582882">
      <w:pPr>
        <w:numPr>
          <w:ilvl w:val="0"/>
          <w:numId w:val="33"/>
        </w:numPr>
        <w:tabs>
          <w:tab w:val="clear" w:pos="360"/>
          <w:tab w:val="num" w:pos="284"/>
        </w:tabs>
        <w:ind w:left="284" w:hanging="284"/>
        <w:rPr>
          <w:rFonts w:cs="Arial"/>
          <w:szCs w:val="24"/>
        </w:rPr>
      </w:pPr>
      <w:r w:rsidRPr="00234514">
        <w:rPr>
          <w:rFonts w:cs="Arial"/>
          <w:szCs w:val="24"/>
        </w:rPr>
        <w:t xml:space="preserve">Well publicised arrangements for dealing with complaints and whistleblowing, and for combating fraud and </w:t>
      </w:r>
      <w:proofErr w:type="gramStart"/>
      <w:r w:rsidRPr="00234514">
        <w:rPr>
          <w:rFonts w:cs="Arial"/>
          <w:szCs w:val="24"/>
        </w:rPr>
        <w:t>corruption;</w:t>
      </w:r>
      <w:proofErr w:type="gramEnd"/>
      <w:r w:rsidRPr="00234514">
        <w:rPr>
          <w:rFonts w:cs="Arial"/>
          <w:szCs w:val="24"/>
        </w:rPr>
        <w:t xml:space="preserve"> </w:t>
      </w:r>
    </w:p>
    <w:p w14:paraId="3704FC23" w14:textId="77777777" w:rsidR="006E6CFF" w:rsidRPr="00234514" w:rsidRDefault="006E6CFF" w:rsidP="00582882">
      <w:pPr>
        <w:rPr>
          <w:rFonts w:cs="Arial"/>
          <w:szCs w:val="24"/>
        </w:rPr>
      </w:pPr>
    </w:p>
    <w:p w14:paraId="55498D07" w14:textId="77777777" w:rsidR="006E6CFF" w:rsidRPr="00234514" w:rsidRDefault="006E6CFF" w:rsidP="00582882">
      <w:pPr>
        <w:numPr>
          <w:ilvl w:val="0"/>
          <w:numId w:val="33"/>
        </w:numPr>
        <w:tabs>
          <w:tab w:val="clear" w:pos="360"/>
          <w:tab w:val="num" w:pos="284"/>
        </w:tabs>
        <w:ind w:left="284" w:hanging="284"/>
        <w:rPr>
          <w:rFonts w:cs="Arial"/>
          <w:szCs w:val="24"/>
        </w:rPr>
      </w:pPr>
      <w:r w:rsidRPr="00234514">
        <w:rPr>
          <w:rFonts w:cs="Arial"/>
          <w:szCs w:val="24"/>
        </w:rPr>
        <w:lastRenderedPageBreak/>
        <w:t xml:space="preserve">A Risk Management Strategy and framework which ensures that risks to the Service’s objectives are identified and appropriately </w:t>
      </w:r>
      <w:proofErr w:type="gramStart"/>
      <w:r w:rsidRPr="00234514">
        <w:rPr>
          <w:rFonts w:cs="Arial"/>
          <w:szCs w:val="24"/>
        </w:rPr>
        <w:t>managed;</w:t>
      </w:r>
      <w:proofErr w:type="gramEnd"/>
    </w:p>
    <w:p w14:paraId="01B415DF" w14:textId="77777777" w:rsidR="006E6CFF" w:rsidRPr="00234514" w:rsidRDefault="006E6CFF" w:rsidP="00582882">
      <w:pPr>
        <w:rPr>
          <w:rFonts w:cs="Arial"/>
          <w:szCs w:val="24"/>
        </w:rPr>
      </w:pPr>
    </w:p>
    <w:p w14:paraId="74B7B4B2" w14:textId="77777777" w:rsidR="006E6CFF" w:rsidRPr="00234514" w:rsidRDefault="006E6CFF" w:rsidP="00582882">
      <w:pPr>
        <w:numPr>
          <w:ilvl w:val="0"/>
          <w:numId w:val="33"/>
        </w:numPr>
        <w:tabs>
          <w:tab w:val="clear" w:pos="360"/>
          <w:tab w:val="num" w:pos="284"/>
        </w:tabs>
        <w:ind w:left="284" w:hanging="284"/>
        <w:rPr>
          <w:rFonts w:cs="Arial"/>
          <w:szCs w:val="24"/>
        </w:rPr>
      </w:pPr>
      <w:r w:rsidRPr="00234514">
        <w:rPr>
          <w:rFonts w:cs="Arial"/>
          <w:szCs w:val="24"/>
        </w:rPr>
        <w:t xml:space="preserve">Comprehensive Business Continuity arrangements in place, and tested on a regular </w:t>
      </w:r>
      <w:proofErr w:type="gramStart"/>
      <w:r w:rsidRPr="00234514">
        <w:rPr>
          <w:rFonts w:cs="Arial"/>
          <w:szCs w:val="24"/>
        </w:rPr>
        <w:t>basis;</w:t>
      </w:r>
      <w:proofErr w:type="gramEnd"/>
    </w:p>
    <w:p w14:paraId="469C02B5" w14:textId="77777777" w:rsidR="006E6CFF" w:rsidRPr="00234514" w:rsidRDefault="006E6CFF" w:rsidP="00582882">
      <w:pPr>
        <w:rPr>
          <w:rFonts w:cs="Arial"/>
          <w:szCs w:val="24"/>
        </w:rPr>
      </w:pPr>
    </w:p>
    <w:p w14:paraId="6A20B5D7" w14:textId="77777777" w:rsidR="006E6CFF" w:rsidRPr="00234514" w:rsidRDefault="006E6CFF" w:rsidP="00582882">
      <w:pPr>
        <w:numPr>
          <w:ilvl w:val="0"/>
          <w:numId w:val="33"/>
        </w:numPr>
        <w:tabs>
          <w:tab w:val="clear" w:pos="360"/>
          <w:tab w:val="num" w:pos="284"/>
        </w:tabs>
        <w:ind w:left="284" w:hanging="284"/>
        <w:rPr>
          <w:rFonts w:cs="Arial"/>
          <w:szCs w:val="24"/>
        </w:rPr>
      </w:pPr>
      <w:r w:rsidRPr="00234514">
        <w:rPr>
          <w:rFonts w:cs="Arial"/>
          <w:szCs w:val="24"/>
        </w:rPr>
        <w:t xml:space="preserve">A framework to review potential partnership arrangements utilising set criteria prior to entering into such </w:t>
      </w:r>
      <w:proofErr w:type="gramStart"/>
      <w:r w:rsidRPr="00234514">
        <w:rPr>
          <w:rFonts w:cs="Arial"/>
          <w:szCs w:val="24"/>
        </w:rPr>
        <w:t>arrangements;</w:t>
      </w:r>
      <w:proofErr w:type="gramEnd"/>
    </w:p>
    <w:p w14:paraId="03ECDC04" w14:textId="77777777" w:rsidR="006E6CFF" w:rsidRPr="00234514" w:rsidRDefault="006E6CFF" w:rsidP="00582882">
      <w:pPr>
        <w:rPr>
          <w:rFonts w:cs="Arial"/>
          <w:szCs w:val="24"/>
        </w:rPr>
      </w:pPr>
    </w:p>
    <w:p w14:paraId="30C12FF0" w14:textId="77777777" w:rsidR="006E6CFF" w:rsidRPr="00234514" w:rsidRDefault="006E6CFF" w:rsidP="00582882">
      <w:pPr>
        <w:numPr>
          <w:ilvl w:val="0"/>
          <w:numId w:val="33"/>
        </w:numPr>
        <w:tabs>
          <w:tab w:val="clear" w:pos="360"/>
          <w:tab w:val="num" w:pos="284"/>
        </w:tabs>
        <w:ind w:left="284" w:hanging="284"/>
        <w:rPr>
          <w:rFonts w:cs="Arial"/>
          <w:szCs w:val="24"/>
        </w:rPr>
      </w:pPr>
      <w:r w:rsidRPr="00234514">
        <w:rPr>
          <w:rFonts w:cs="Arial"/>
          <w:szCs w:val="24"/>
        </w:rPr>
        <w:t xml:space="preserve">Compliance with data transparency requirements, including publication of all key documents, committee agenda and minutes, pay policy and publication scheme on the </w:t>
      </w:r>
      <w:proofErr w:type="gramStart"/>
      <w:r w:rsidRPr="00234514">
        <w:rPr>
          <w:rFonts w:cs="Arial"/>
          <w:szCs w:val="24"/>
        </w:rPr>
        <w:t>internet;</w:t>
      </w:r>
      <w:proofErr w:type="gramEnd"/>
    </w:p>
    <w:p w14:paraId="7E58E3A6" w14:textId="77777777" w:rsidR="006E6CFF" w:rsidRPr="00234514" w:rsidRDefault="006E6CFF" w:rsidP="00582882">
      <w:pPr>
        <w:rPr>
          <w:rFonts w:cs="Arial"/>
          <w:szCs w:val="24"/>
        </w:rPr>
      </w:pPr>
    </w:p>
    <w:p w14:paraId="332252DD" w14:textId="77777777" w:rsidR="006E6CFF" w:rsidRPr="00234514" w:rsidRDefault="006E6CFF" w:rsidP="00582882">
      <w:pPr>
        <w:numPr>
          <w:ilvl w:val="0"/>
          <w:numId w:val="33"/>
        </w:numPr>
        <w:tabs>
          <w:tab w:val="clear" w:pos="360"/>
          <w:tab w:val="num" w:pos="284"/>
        </w:tabs>
        <w:ind w:left="284" w:hanging="284"/>
        <w:rPr>
          <w:rFonts w:cs="Arial"/>
          <w:szCs w:val="24"/>
        </w:rPr>
      </w:pPr>
      <w:r w:rsidRPr="00234514">
        <w:rPr>
          <w:rFonts w:cs="Arial"/>
          <w:szCs w:val="24"/>
        </w:rPr>
        <w:t>Regular assessment of training &amp; development needs of both members and officers, including appropriate appraisal system. Sufficient budget to meet relevant training requirements; and</w:t>
      </w:r>
    </w:p>
    <w:p w14:paraId="46D1AFFE" w14:textId="77777777" w:rsidR="006E6CFF" w:rsidRPr="00234514" w:rsidRDefault="006E6CFF" w:rsidP="00582882">
      <w:pPr>
        <w:rPr>
          <w:rFonts w:cs="Arial"/>
          <w:szCs w:val="24"/>
        </w:rPr>
      </w:pPr>
    </w:p>
    <w:p w14:paraId="75597697" w14:textId="77777777" w:rsidR="006E6CFF" w:rsidRPr="00234514" w:rsidRDefault="006E6CFF" w:rsidP="00582882">
      <w:pPr>
        <w:numPr>
          <w:ilvl w:val="0"/>
          <w:numId w:val="33"/>
        </w:numPr>
        <w:tabs>
          <w:tab w:val="clear" w:pos="360"/>
          <w:tab w:val="num" w:pos="284"/>
        </w:tabs>
        <w:ind w:left="284" w:hanging="284"/>
        <w:rPr>
          <w:rFonts w:cs="Arial"/>
          <w:szCs w:val="24"/>
        </w:rPr>
      </w:pPr>
      <w:r w:rsidRPr="00234514">
        <w:rPr>
          <w:rFonts w:cs="Arial"/>
          <w:szCs w:val="24"/>
        </w:rPr>
        <w:t>Comprehensive service review process in place, comprising external views in the form of HMICFRS Inspection review, External Audit reviews, Internal Audit reviews and internal reviews undertaken by our own staff. Ultimately these culminate in the production, and publication, of an Annual Assurance Statement.</w:t>
      </w:r>
    </w:p>
    <w:p w14:paraId="6815407D" w14:textId="77777777" w:rsidR="00654C0D" w:rsidRPr="00A2103A" w:rsidRDefault="00654C0D" w:rsidP="00582882">
      <w:pPr>
        <w:rPr>
          <w:b/>
          <w:bCs/>
          <w:szCs w:val="24"/>
        </w:rPr>
      </w:pPr>
    </w:p>
    <w:p w14:paraId="7A2B353A" w14:textId="6EB849FD" w:rsidR="006E6CFF" w:rsidRPr="005C1944" w:rsidRDefault="006E6CFF" w:rsidP="005C1944">
      <w:pPr>
        <w:rPr>
          <w:b/>
          <w:bCs/>
        </w:rPr>
      </w:pPr>
      <w:r w:rsidRPr="005C1944">
        <w:rPr>
          <w:b/>
          <w:bCs/>
        </w:rPr>
        <w:t xml:space="preserve">Review of </w:t>
      </w:r>
      <w:r w:rsidR="00234514" w:rsidRPr="005C1944">
        <w:rPr>
          <w:b/>
          <w:bCs/>
        </w:rPr>
        <w:t>E</w:t>
      </w:r>
      <w:r w:rsidRPr="005C1944">
        <w:rPr>
          <w:b/>
          <w:bCs/>
        </w:rPr>
        <w:t>ffectiveness</w:t>
      </w:r>
    </w:p>
    <w:p w14:paraId="66A5F365" w14:textId="77777777" w:rsidR="006E6CFF" w:rsidRPr="00A2103A" w:rsidRDefault="006E6CFF" w:rsidP="00582882">
      <w:pPr>
        <w:rPr>
          <w:szCs w:val="24"/>
        </w:rPr>
      </w:pPr>
    </w:p>
    <w:p w14:paraId="07775751" w14:textId="78109DAA" w:rsidR="006E6CFF" w:rsidRPr="00234514" w:rsidRDefault="006E6CFF" w:rsidP="00582882">
      <w:pPr>
        <w:autoSpaceDE w:val="0"/>
        <w:autoSpaceDN w:val="0"/>
        <w:adjustRightInd w:val="0"/>
        <w:rPr>
          <w:rFonts w:cs="Arial"/>
          <w:szCs w:val="24"/>
        </w:rPr>
      </w:pPr>
      <w:r w:rsidRPr="00234514">
        <w:rPr>
          <w:rFonts w:cs="Arial"/>
          <w:szCs w:val="24"/>
        </w:rPr>
        <w:t xml:space="preserve">The Authority has responsibility for conducting, at least annually, a review of the effectiveness of its governance framework including the system of internal control. The review of effectiveness is informed by the work of the executive managers within the Authority who have responsibility for the development and maintenance of the governance environment, the Internal Auditors annual report, </w:t>
      </w:r>
      <w:r w:rsidR="000209B1" w:rsidRPr="00234514">
        <w:rPr>
          <w:rFonts w:cs="Arial"/>
          <w:szCs w:val="24"/>
        </w:rPr>
        <w:t>and</w:t>
      </w:r>
      <w:r w:rsidRPr="00234514">
        <w:rPr>
          <w:rFonts w:cs="Arial"/>
          <w:szCs w:val="24"/>
        </w:rPr>
        <w:t xml:space="preserve"> by comments made by the external auditors and other review agencies and inspectorates. </w:t>
      </w:r>
    </w:p>
    <w:p w14:paraId="085D67F1" w14:textId="77777777" w:rsidR="006E6CFF" w:rsidRPr="00234514" w:rsidRDefault="006E6CFF" w:rsidP="00582882">
      <w:pPr>
        <w:autoSpaceDE w:val="0"/>
        <w:autoSpaceDN w:val="0"/>
        <w:adjustRightInd w:val="0"/>
        <w:rPr>
          <w:rFonts w:cs="Arial"/>
          <w:szCs w:val="24"/>
        </w:rPr>
      </w:pPr>
    </w:p>
    <w:p w14:paraId="02692DCB" w14:textId="68C84634" w:rsidR="006E6CFF" w:rsidRPr="00234514" w:rsidRDefault="006E6CFF" w:rsidP="00582882">
      <w:pPr>
        <w:autoSpaceDE w:val="0"/>
        <w:autoSpaceDN w:val="0"/>
        <w:adjustRightInd w:val="0"/>
        <w:rPr>
          <w:rFonts w:cs="Arial"/>
          <w:szCs w:val="24"/>
        </w:rPr>
      </w:pPr>
      <w:r w:rsidRPr="00234514">
        <w:rPr>
          <w:rFonts w:cs="Arial"/>
          <w:szCs w:val="24"/>
        </w:rPr>
        <w:t xml:space="preserve">A statement of assurance was approved by the Authority in December 2022, it sets out the effectiveness of the governance arrangements for which it is responsible, including the system of internal control. The statement of assurance covers all the principles set out in the Authority’s Code of Corporate Governance. The statement of assurance reveals no areas of weakness in the Authority’s corporate governance arrangements; the arrangements are in all cases at least adequate and in </w:t>
      </w:r>
      <w:r w:rsidR="005436A9" w:rsidRPr="00234514">
        <w:rPr>
          <w:rFonts w:cs="Arial"/>
          <w:szCs w:val="24"/>
        </w:rPr>
        <w:t>most</w:t>
      </w:r>
      <w:r w:rsidRPr="00234514">
        <w:rPr>
          <w:rFonts w:cs="Arial"/>
          <w:szCs w:val="24"/>
        </w:rPr>
        <w:t xml:space="preserve"> areas good.</w:t>
      </w:r>
    </w:p>
    <w:p w14:paraId="180E82CA" w14:textId="77777777" w:rsidR="006E6CFF" w:rsidRPr="00234514" w:rsidRDefault="006E6CFF" w:rsidP="00582882">
      <w:pPr>
        <w:autoSpaceDE w:val="0"/>
        <w:autoSpaceDN w:val="0"/>
        <w:adjustRightInd w:val="0"/>
        <w:rPr>
          <w:rFonts w:cs="Arial"/>
          <w:szCs w:val="24"/>
        </w:rPr>
      </w:pPr>
    </w:p>
    <w:p w14:paraId="7FBC4225" w14:textId="77777777" w:rsidR="006E6CFF" w:rsidRPr="00234514" w:rsidRDefault="006E6CFF" w:rsidP="00582882">
      <w:pPr>
        <w:rPr>
          <w:rFonts w:cs="Arial"/>
          <w:szCs w:val="24"/>
        </w:rPr>
      </w:pPr>
      <w:r w:rsidRPr="00234514">
        <w:rPr>
          <w:rFonts w:cs="Arial"/>
          <w:szCs w:val="24"/>
        </w:rPr>
        <w:t xml:space="preserve">In maintaining and reviewing the effectiveness of the Authority’s governance arrangements the following have been </w:t>
      </w:r>
      <w:proofErr w:type="gramStart"/>
      <w:r w:rsidRPr="00234514">
        <w:rPr>
          <w:rFonts w:cs="Arial"/>
          <w:szCs w:val="24"/>
        </w:rPr>
        <w:t>considered:-</w:t>
      </w:r>
      <w:proofErr w:type="gramEnd"/>
      <w:r w:rsidRPr="00234514">
        <w:rPr>
          <w:rFonts w:cs="Arial"/>
          <w:szCs w:val="24"/>
        </w:rPr>
        <w:t xml:space="preserve"> </w:t>
      </w:r>
    </w:p>
    <w:p w14:paraId="74427036" w14:textId="77777777" w:rsidR="006E6CFF" w:rsidRPr="00234514" w:rsidRDefault="006E6CFF" w:rsidP="00582882">
      <w:pPr>
        <w:rPr>
          <w:rFonts w:cs="Arial"/>
          <w:szCs w:val="24"/>
        </w:rPr>
      </w:pPr>
    </w:p>
    <w:p w14:paraId="33D7C1AD" w14:textId="77777777" w:rsidR="006E6CFF" w:rsidRPr="00234514" w:rsidRDefault="006E6CFF" w:rsidP="00582882">
      <w:pPr>
        <w:numPr>
          <w:ilvl w:val="0"/>
          <w:numId w:val="33"/>
        </w:numPr>
        <w:rPr>
          <w:rFonts w:cs="Arial"/>
          <w:szCs w:val="24"/>
        </w:rPr>
      </w:pPr>
      <w:r w:rsidRPr="00234514">
        <w:rPr>
          <w:rFonts w:cs="Arial"/>
          <w:szCs w:val="24"/>
        </w:rPr>
        <w:t>A review of minutes of the Executive Board, Audit Committee and Authority to ensure that periodic monitoring and reviews are being reported appropriately and governance issues are addressed.</w:t>
      </w:r>
    </w:p>
    <w:p w14:paraId="772DDFA3" w14:textId="77777777" w:rsidR="006E6CFF" w:rsidRPr="00234514" w:rsidRDefault="006E6CFF" w:rsidP="00582882">
      <w:pPr>
        <w:ind w:left="360"/>
        <w:rPr>
          <w:rFonts w:cs="Arial"/>
          <w:szCs w:val="24"/>
        </w:rPr>
      </w:pPr>
    </w:p>
    <w:p w14:paraId="35E96F98" w14:textId="4B60C10E" w:rsidR="006E6CFF" w:rsidRPr="00234514" w:rsidRDefault="006E6CFF" w:rsidP="00582882">
      <w:pPr>
        <w:numPr>
          <w:ilvl w:val="0"/>
          <w:numId w:val="33"/>
        </w:numPr>
        <w:tabs>
          <w:tab w:val="clear" w:pos="360"/>
          <w:tab w:val="num" w:pos="284"/>
        </w:tabs>
        <w:ind w:left="284" w:hanging="284"/>
        <w:rPr>
          <w:rFonts w:cs="Arial"/>
          <w:szCs w:val="24"/>
        </w:rPr>
      </w:pPr>
      <w:r w:rsidRPr="00234514">
        <w:rPr>
          <w:rFonts w:cs="Arial"/>
          <w:szCs w:val="24"/>
        </w:rPr>
        <w:t>We updated our Strategic Assessment of Risk that underpins our Community Risk Management Plan (CRMP) by ensuring that risk management drives decision-making within Lancashire.</w:t>
      </w:r>
      <w:r w:rsidR="000209B1" w:rsidRPr="00234514">
        <w:rPr>
          <w:rFonts w:cs="Arial"/>
          <w:szCs w:val="24"/>
        </w:rPr>
        <w:t xml:space="preserve"> </w:t>
      </w:r>
      <w:r w:rsidRPr="00234514">
        <w:rPr>
          <w:rFonts w:cs="Arial"/>
          <w:szCs w:val="24"/>
        </w:rPr>
        <w:t>We undertook an emergency cover review (ECR) to ensure that its emergency response remains effective and efficient, and that the Service is well equipped to respond to future challenges.</w:t>
      </w:r>
    </w:p>
    <w:p w14:paraId="3BEB4317" w14:textId="77777777" w:rsidR="006E6CFF" w:rsidRPr="00234514" w:rsidRDefault="006E6CFF" w:rsidP="00582882">
      <w:pPr>
        <w:rPr>
          <w:rFonts w:cs="Arial"/>
          <w:szCs w:val="24"/>
        </w:rPr>
      </w:pPr>
    </w:p>
    <w:p w14:paraId="4B799376" w14:textId="77777777" w:rsidR="006E6CFF" w:rsidRPr="00234514" w:rsidRDefault="006E6CFF" w:rsidP="00582882">
      <w:pPr>
        <w:numPr>
          <w:ilvl w:val="0"/>
          <w:numId w:val="33"/>
        </w:numPr>
        <w:tabs>
          <w:tab w:val="clear" w:pos="360"/>
          <w:tab w:val="num" w:pos="284"/>
        </w:tabs>
        <w:ind w:left="284" w:hanging="284"/>
        <w:rPr>
          <w:rFonts w:cs="Arial"/>
          <w:szCs w:val="24"/>
        </w:rPr>
      </w:pPr>
      <w:r w:rsidRPr="00234514">
        <w:rPr>
          <w:rFonts w:cs="Arial"/>
          <w:szCs w:val="24"/>
        </w:rPr>
        <w:lastRenderedPageBreak/>
        <w:t>Her Majesty’s Inspectorate of Constabulary and Fire &amp; Rescue Services</w:t>
      </w:r>
      <w:r w:rsidRPr="00234514" w:rsidDel="00A27581">
        <w:rPr>
          <w:rFonts w:cs="Arial"/>
          <w:szCs w:val="24"/>
        </w:rPr>
        <w:t xml:space="preserve"> </w:t>
      </w:r>
      <w:r w:rsidRPr="00234514">
        <w:rPr>
          <w:rFonts w:cs="Arial"/>
          <w:szCs w:val="24"/>
        </w:rPr>
        <w:t>(HMICFRS) reported the outcome of their second full inspection in July 2022; the focus was on the service they provide to the public, and the way they use the resources available. The HMICFRS reported that the Service is performing exceptionally well and has been recognised as ‘outstanding’ for promoting values and culture. As well as being rated ‘outstanding’ for culture and values, the service was rated as ‘good’ in the other 10 categories and there were no areas that ‘require improvement.’ The results mirror those of the service’s first full inspection in 2018, with the new report highlighting that the service has improved in almost all areas since then.</w:t>
      </w:r>
    </w:p>
    <w:p w14:paraId="121AE1FF" w14:textId="77777777" w:rsidR="006E6CFF" w:rsidRPr="00234514" w:rsidRDefault="006E6CFF" w:rsidP="00582882">
      <w:pPr>
        <w:ind w:left="284"/>
        <w:rPr>
          <w:rFonts w:cs="Arial"/>
          <w:szCs w:val="24"/>
        </w:rPr>
      </w:pPr>
    </w:p>
    <w:p w14:paraId="2C5CBC18" w14:textId="3EBA0825" w:rsidR="006E6CFF" w:rsidRPr="00234514" w:rsidRDefault="006E6CFF" w:rsidP="00582882">
      <w:pPr>
        <w:numPr>
          <w:ilvl w:val="0"/>
          <w:numId w:val="33"/>
        </w:numPr>
        <w:tabs>
          <w:tab w:val="clear" w:pos="360"/>
          <w:tab w:val="num" w:pos="284"/>
        </w:tabs>
        <w:ind w:left="284" w:hanging="284"/>
        <w:rPr>
          <w:rFonts w:cs="Arial"/>
          <w:szCs w:val="24"/>
        </w:rPr>
      </w:pPr>
      <w:r w:rsidRPr="00234514">
        <w:rPr>
          <w:rFonts w:cs="Arial"/>
          <w:szCs w:val="24"/>
        </w:rPr>
        <w:t xml:space="preserve">A new Annual Service Plan has been published, providing clarity, both internally and externally, on our priorities set out in the CRMP and describes what our ambitions are for each priority, as well as setting out the projects and actions that will be delivered, </w:t>
      </w:r>
      <w:r w:rsidR="000F28B4" w:rsidRPr="00234514">
        <w:rPr>
          <w:rFonts w:cs="Arial"/>
          <w:szCs w:val="24"/>
        </w:rPr>
        <w:t>developed,</w:t>
      </w:r>
      <w:r w:rsidRPr="00234514">
        <w:rPr>
          <w:rFonts w:cs="Arial"/>
          <w:szCs w:val="24"/>
        </w:rPr>
        <w:t xml:space="preserve"> or reviewed during the coming year against each of our priorities. This is supported by Local Delivery Plans.</w:t>
      </w:r>
    </w:p>
    <w:p w14:paraId="7CA8B0FE" w14:textId="77777777" w:rsidR="006E6CFF" w:rsidRPr="00234514" w:rsidRDefault="006E6CFF" w:rsidP="00582882">
      <w:pPr>
        <w:pStyle w:val="ListParagraph"/>
        <w:rPr>
          <w:rFonts w:cs="Arial"/>
          <w:szCs w:val="24"/>
        </w:rPr>
      </w:pPr>
    </w:p>
    <w:p w14:paraId="6E9AFD07" w14:textId="69688555" w:rsidR="006E6CFF" w:rsidRPr="00234514" w:rsidRDefault="006E6CFF" w:rsidP="00582882">
      <w:pPr>
        <w:numPr>
          <w:ilvl w:val="0"/>
          <w:numId w:val="33"/>
        </w:numPr>
        <w:tabs>
          <w:tab w:val="clear" w:pos="360"/>
          <w:tab w:val="num" w:pos="284"/>
        </w:tabs>
        <w:ind w:left="284" w:hanging="284"/>
        <w:rPr>
          <w:rFonts w:cs="Arial"/>
          <w:szCs w:val="24"/>
        </w:rPr>
      </w:pPr>
      <w:r w:rsidRPr="00234514">
        <w:rPr>
          <w:rFonts w:cs="Arial"/>
          <w:szCs w:val="24"/>
        </w:rPr>
        <w:t xml:space="preserve">Statement of Intent: Enhanced Collaboration agreed between LFRS, Lancashire Constabulary and </w:t>
      </w:r>
      <w:proofErr w:type="gramStart"/>
      <w:r w:rsidRPr="00234514">
        <w:rPr>
          <w:rFonts w:cs="Arial"/>
          <w:szCs w:val="24"/>
        </w:rPr>
        <w:t>North</w:t>
      </w:r>
      <w:r w:rsidR="005436A9" w:rsidRPr="00234514">
        <w:rPr>
          <w:rFonts w:cs="Arial"/>
          <w:szCs w:val="24"/>
        </w:rPr>
        <w:t xml:space="preserve"> </w:t>
      </w:r>
      <w:r w:rsidRPr="00234514">
        <w:rPr>
          <w:rFonts w:cs="Arial"/>
          <w:szCs w:val="24"/>
        </w:rPr>
        <w:t>West</w:t>
      </w:r>
      <w:proofErr w:type="gramEnd"/>
      <w:r w:rsidRPr="00234514">
        <w:rPr>
          <w:rFonts w:cs="Arial"/>
          <w:szCs w:val="24"/>
        </w:rPr>
        <w:t xml:space="preserve"> Ambulance Services. Collaboration group established with regular reports to Members.</w:t>
      </w:r>
    </w:p>
    <w:p w14:paraId="4AE9E004" w14:textId="77777777" w:rsidR="006E6CFF" w:rsidRPr="00234514" w:rsidRDefault="006E6CFF" w:rsidP="00582882">
      <w:pPr>
        <w:rPr>
          <w:rFonts w:cs="Arial"/>
          <w:szCs w:val="24"/>
        </w:rPr>
      </w:pPr>
    </w:p>
    <w:p w14:paraId="0943D7A4" w14:textId="745CFF84" w:rsidR="006E6CFF" w:rsidRPr="00234514" w:rsidRDefault="006E6CFF" w:rsidP="00582882">
      <w:pPr>
        <w:numPr>
          <w:ilvl w:val="0"/>
          <w:numId w:val="33"/>
        </w:numPr>
        <w:tabs>
          <w:tab w:val="clear" w:pos="360"/>
          <w:tab w:val="num" w:pos="284"/>
        </w:tabs>
        <w:ind w:left="284" w:hanging="284"/>
        <w:rPr>
          <w:rFonts w:cs="Arial"/>
          <w:szCs w:val="24"/>
        </w:rPr>
      </w:pPr>
      <w:bookmarkStart w:id="5" w:name="_Hlk137559488"/>
      <w:r w:rsidRPr="00234514">
        <w:rPr>
          <w:rFonts w:cs="Arial"/>
          <w:szCs w:val="24"/>
        </w:rPr>
        <w:t xml:space="preserve">An Operational Assurance Team. The newly formed Organisational Assurance team under Planning, Performance and Assurance, will now have a broader reference than just a focus on operational assurance. The team has the responsibility for HMICFRS liaison, operational preparedness and will undertake internal audits/ assurance across the whole organisation based on trends, </w:t>
      </w:r>
      <w:r w:rsidR="000209B1" w:rsidRPr="00234514">
        <w:rPr>
          <w:rFonts w:cs="Arial"/>
          <w:szCs w:val="24"/>
        </w:rPr>
        <w:t>themes,</w:t>
      </w:r>
      <w:r w:rsidRPr="00234514">
        <w:rPr>
          <w:rFonts w:cs="Arial"/>
          <w:szCs w:val="24"/>
        </w:rPr>
        <w:t xml:space="preserve"> and emerging needs. The team will identify and share good practice as well as areas for improvement, items will be tracked through to completion. The Organisational Assurance team will work closely with the Operational Assurance team (under Training and Operational Review) who have the responsibility for operational learning and response. The Operational Assurance team will continue to create the operational assurance performance summary which is published quarterly. A programme of preparedness visits will be managed by the Organisational Assurance team which has expanded on the operational audits undertaken previously. </w:t>
      </w:r>
    </w:p>
    <w:bookmarkEnd w:id="5"/>
    <w:p w14:paraId="0AB46E6C" w14:textId="77777777" w:rsidR="006E6CFF" w:rsidRPr="00234514" w:rsidRDefault="006E6CFF" w:rsidP="00582882">
      <w:pPr>
        <w:rPr>
          <w:rFonts w:cs="Arial"/>
          <w:szCs w:val="24"/>
        </w:rPr>
      </w:pPr>
    </w:p>
    <w:p w14:paraId="46FCCF6B" w14:textId="77777777" w:rsidR="006E6CFF" w:rsidRPr="00234514" w:rsidRDefault="006E6CFF" w:rsidP="00582882">
      <w:pPr>
        <w:numPr>
          <w:ilvl w:val="0"/>
          <w:numId w:val="33"/>
        </w:numPr>
        <w:tabs>
          <w:tab w:val="clear" w:pos="360"/>
          <w:tab w:val="num" w:pos="284"/>
        </w:tabs>
        <w:ind w:left="284" w:hanging="284"/>
        <w:rPr>
          <w:rFonts w:cs="Arial"/>
          <w:szCs w:val="24"/>
        </w:rPr>
      </w:pPr>
      <w:r w:rsidRPr="00234514">
        <w:rPr>
          <w:rFonts w:cs="Arial"/>
          <w:szCs w:val="24"/>
        </w:rPr>
        <w:t>Performance appraisal incorporating values is undertaken throughout the Service.</w:t>
      </w:r>
    </w:p>
    <w:p w14:paraId="6BAE1FD3" w14:textId="77777777" w:rsidR="006E6CFF" w:rsidRPr="00234514" w:rsidRDefault="006E6CFF" w:rsidP="00582882">
      <w:pPr>
        <w:pStyle w:val="ListParagraph"/>
        <w:rPr>
          <w:rFonts w:cs="Arial"/>
          <w:szCs w:val="24"/>
        </w:rPr>
      </w:pPr>
    </w:p>
    <w:p w14:paraId="1207C755" w14:textId="3D4942FB" w:rsidR="006E6CFF" w:rsidRPr="00234514" w:rsidRDefault="006E6CFF" w:rsidP="00582882">
      <w:pPr>
        <w:numPr>
          <w:ilvl w:val="0"/>
          <w:numId w:val="33"/>
        </w:numPr>
        <w:tabs>
          <w:tab w:val="clear" w:pos="360"/>
          <w:tab w:val="num" w:pos="284"/>
          <w:tab w:val="num" w:pos="880"/>
        </w:tabs>
        <w:ind w:left="284" w:hanging="284"/>
        <w:rPr>
          <w:rFonts w:cs="Arial"/>
          <w:szCs w:val="24"/>
        </w:rPr>
      </w:pPr>
      <w:r w:rsidRPr="00234514">
        <w:rPr>
          <w:rFonts w:cs="Arial"/>
          <w:szCs w:val="24"/>
        </w:rPr>
        <w:t xml:space="preserve">Internal Audit services were provided by Lancashire County Council, who comply with CIPFA’s Code of Internal Audit Practice. The service is designed to give assurance that the Authority maintains adequate systems of internal control and to make recommendations on ways to enhance these </w:t>
      </w:r>
      <w:r w:rsidR="000F28B4" w:rsidRPr="00234514">
        <w:rPr>
          <w:rFonts w:cs="Arial"/>
          <w:szCs w:val="24"/>
        </w:rPr>
        <w:t>were</w:t>
      </w:r>
      <w:r w:rsidRPr="00234514">
        <w:rPr>
          <w:rFonts w:cs="Arial"/>
          <w:szCs w:val="24"/>
        </w:rPr>
        <w:t xml:space="preserve"> felt necessary. The Assurance mapping exercise, with our Internal Auditors, has confirmed that a strong assurance framework is in place. As part of the 2022/23 internal audit plan the auditors undertook various reviews and gave the overall opinion that they can “</w:t>
      </w:r>
      <w:r w:rsidRPr="00234514">
        <w:rPr>
          <w:rFonts w:cs="Arial"/>
          <w:i/>
          <w:szCs w:val="24"/>
          <w:lang w:eastAsia="en-GB"/>
        </w:rPr>
        <w:t>provide substantial assurance regarding the adequacy of design and effectiveness in operation of the organisation's frameworks of governance, risk management and control</w:t>
      </w:r>
      <w:r w:rsidRPr="00234514">
        <w:rPr>
          <w:rFonts w:cs="Arial"/>
          <w:szCs w:val="24"/>
        </w:rPr>
        <w:t>.”</w:t>
      </w:r>
    </w:p>
    <w:p w14:paraId="4F76CE16" w14:textId="77777777" w:rsidR="006E6CFF" w:rsidRPr="00234514" w:rsidRDefault="006E6CFF" w:rsidP="00582882">
      <w:pPr>
        <w:pStyle w:val="ListParagraph"/>
        <w:rPr>
          <w:rFonts w:cs="Arial"/>
          <w:szCs w:val="24"/>
        </w:rPr>
      </w:pPr>
    </w:p>
    <w:p w14:paraId="1BCD0367" w14:textId="4B86FEEA" w:rsidR="006E6CFF" w:rsidRPr="00234514" w:rsidRDefault="006E6CFF" w:rsidP="00582882">
      <w:pPr>
        <w:numPr>
          <w:ilvl w:val="0"/>
          <w:numId w:val="33"/>
        </w:numPr>
        <w:tabs>
          <w:tab w:val="clear" w:pos="360"/>
          <w:tab w:val="num" w:pos="284"/>
        </w:tabs>
        <w:ind w:left="284" w:hanging="284"/>
        <w:rPr>
          <w:rFonts w:cs="Arial"/>
          <w:szCs w:val="24"/>
        </w:rPr>
      </w:pPr>
      <w:r w:rsidRPr="00234514">
        <w:rPr>
          <w:rFonts w:cs="Arial"/>
          <w:szCs w:val="24"/>
        </w:rPr>
        <w:t xml:space="preserve">The Authority’s external auditors are Grant Thornton, they are required to consider whether the service has put in place proper arrangements to secure economy, </w:t>
      </w:r>
      <w:r w:rsidR="000209B1" w:rsidRPr="00234514">
        <w:rPr>
          <w:rFonts w:cs="Arial"/>
          <w:szCs w:val="24"/>
        </w:rPr>
        <w:t>efficiency,</w:t>
      </w:r>
      <w:r w:rsidRPr="00234514">
        <w:rPr>
          <w:rFonts w:cs="Arial"/>
          <w:szCs w:val="24"/>
        </w:rPr>
        <w:t xml:space="preserve"> and effectiveness in is use of resources. Their conclusions</w:t>
      </w:r>
      <w:r w:rsidR="00022FEF">
        <w:rPr>
          <w:rFonts w:cs="Arial"/>
          <w:szCs w:val="24"/>
        </w:rPr>
        <w:t xml:space="preserve"> for financial year 2021/22</w:t>
      </w:r>
      <w:r w:rsidRPr="00234514">
        <w:rPr>
          <w:rFonts w:cs="Arial"/>
          <w:szCs w:val="24"/>
        </w:rPr>
        <w:t xml:space="preserve"> are set out below:</w:t>
      </w:r>
    </w:p>
    <w:p w14:paraId="23083EFE" w14:textId="77777777" w:rsidR="006E6CFF" w:rsidRPr="00234514" w:rsidRDefault="006E6CFF" w:rsidP="00582882">
      <w:pPr>
        <w:pStyle w:val="ListParagraph"/>
        <w:rPr>
          <w:rFonts w:cs="Arial"/>
          <w:szCs w:val="24"/>
        </w:rPr>
      </w:pPr>
    </w:p>
    <w:p w14:paraId="0E654F13" w14:textId="00843FD9" w:rsidR="006E6CFF" w:rsidRPr="00234514" w:rsidRDefault="006E6CFF" w:rsidP="00582882">
      <w:pPr>
        <w:numPr>
          <w:ilvl w:val="1"/>
          <w:numId w:val="33"/>
        </w:numPr>
        <w:tabs>
          <w:tab w:val="num" w:pos="284"/>
        </w:tabs>
        <w:spacing w:after="240"/>
        <w:ind w:left="1077" w:hanging="357"/>
        <w:rPr>
          <w:rFonts w:cs="Arial"/>
          <w:szCs w:val="24"/>
        </w:rPr>
      </w:pPr>
      <w:r w:rsidRPr="00234514">
        <w:rPr>
          <w:rFonts w:cs="Arial"/>
          <w:szCs w:val="24"/>
        </w:rPr>
        <w:lastRenderedPageBreak/>
        <w:t xml:space="preserve">Financial Sustainability – “No significant weaknesses in arrangements identified but two improvement recommendations </w:t>
      </w:r>
      <w:r w:rsidR="000E606D" w:rsidRPr="00234514">
        <w:rPr>
          <w:rFonts w:cs="Arial"/>
          <w:szCs w:val="24"/>
        </w:rPr>
        <w:t>made”.</w:t>
      </w:r>
    </w:p>
    <w:p w14:paraId="5F97333D" w14:textId="14FE465D" w:rsidR="006E6CFF" w:rsidRPr="00234514" w:rsidRDefault="006E6CFF" w:rsidP="00582882">
      <w:pPr>
        <w:numPr>
          <w:ilvl w:val="1"/>
          <w:numId w:val="33"/>
        </w:numPr>
        <w:tabs>
          <w:tab w:val="num" w:pos="284"/>
        </w:tabs>
        <w:spacing w:after="240"/>
        <w:ind w:left="1077" w:hanging="357"/>
        <w:rPr>
          <w:rFonts w:cs="Arial"/>
          <w:szCs w:val="24"/>
        </w:rPr>
      </w:pPr>
      <w:r w:rsidRPr="00234514">
        <w:rPr>
          <w:rFonts w:cs="Arial"/>
          <w:szCs w:val="24"/>
        </w:rPr>
        <w:t xml:space="preserve">Governance – “No significant weaknesses in arrangements </w:t>
      </w:r>
      <w:r w:rsidR="000E606D" w:rsidRPr="00234514">
        <w:rPr>
          <w:rFonts w:cs="Arial"/>
          <w:szCs w:val="24"/>
        </w:rPr>
        <w:t>identified”.</w:t>
      </w:r>
    </w:p>
    <w:p w14:paraId="469592DC" w14:textId="3DF6DCC6" w:rsidR="006E6CFF" w:rsidRPr="00234514" w:rsidRDefault="006E6CFF" w:rsidP="00582882">
      <w:pPr>
        <w:numPr>
          <w:ilvl w:val="1"/>
          <w:numId w:val="33"/>
        </w:numPr>
        <w:tabs>
          <w:tab w:val="num" w:pos="284"/>
        </w:tabs>
        <w:spacing w:after="240"/>
        <w:ind w:left="1077" w:hanging="357"/>
        <w:rPr>
          <w:rFonts w:cs="Arial"/>
          <w:szCs w:val="24"/>
        </w:rPr>
      </w:pPr>
      <w:r w:rsidRPr="00234514">
        <w:rPr>
          <w:rFonts w:cs="Arial"/>
          <w:szCs w:val="24"/>
        </w:rPr>
        <w:t xml:space="preserve">Improving economy, </w:t>
      </w:r>
      <w:r w:rsidR="000E606D" w:rsidRPr="00234514">
        <w:rPr>
          <w:rFonts w:cs="Arial"/>
          <w:szCs w:val="24"/>
        </w:rPr>
        <w:t>efficiency,</w:t>
      </w:r>
      <w:r w:rsidRPr="00234514">
        <w:rPr>
          <w:rFonts w:cs="Arial"/>
          <w:szCs w:val="24"/>
        </w:rPr>
        <w:t xml:space="preserve"> and effectiveness - “No significant weaknesses in arrangements identified”</w:t>
      </w:r>
      <w:r w:rsidR="000A40E3" w:rsidRPr="00234514">
        <w:rPr>
          <w:rFonts w:cs="Arial"/>
          <w:szCs w:val="24"/>
        </w:rPr>
        <w:t>.</w:t>
      </w:r>
    </w:p>
    <w:p w14:paraId="45B678A7" w14:textId="77777777" w:rsidR="00234514" w:rsidRDefault="006E6CFF" w:rsidP="00582882">
      <w:pPr>
        <w:numPr>
          <w:ilvl w:val="0"/>
          <w:numId w:val="33"/>
        </w:numPr>
        <w:tabs>
          <w:tab w:val="clear" w:pos="360"/>
          <w:tab w:val="num" w:pos="284"/>
        </w:tabs>
        <w:ind w:left="284" w:hanging="284"/>
        <w:rPr>
          <w:rFonts w:cs="Arial"/>
          <w:sz w:val="22"/>
          <w:szCs w:val="22"/>
        </w:rPr>
      </w:pPr>
      <w:r w:rsidRPr="00234514">
        <w:rPr>
          <w:rFonts w:cs="Arial"/>
          <w:szCs w:val="24"/>
        </w:rPr>
        <w:t>On 30 November 2022 Grant Thornton gave an unqualified opinion on the Authority’s finance statements ended 31 March 2022.</w:t>
      </w:r>
      <w:r>
        <w:rPr>
          <w:rFonts w:cs="Arial"/>
          <w:sz w:val="22"/>
          <w:szCs w:val="22"/>
        </w:rPr>
        <w:t xml:space="preserve"> </w:t>
      </w:r>
    </w:p>
    <w:p w14:paraId="61667D79" w14:textId="77777777" w:rsidR="00234514" w:rsidRPr="00234514" w:rsidRDefault="00234514" w:rsidP="00B10A2A">
      <w:pPr>
        <w:rPr>
          <w:rFonts w:cs="Arial"/>
          <w:sz w:val="22"/>
          <w:szCs w:val="22"/>
        </w:rPr>
      </w:pPr>
    </w:p>
    <w:p w14:paraId="532A46B4" w14:textId="018C4490" w:rsidR="006E6CFF" w:rsidRPr="004F0E19" w:rsidRDefault="006E6CFF" w:rsidP="00B10A2A">
      <w:pPr>
        <w:rPr>
          <w:rFonts w:cs="Arial"/>
          <w:szCs w:val="24"/>
        </w:rPr>
      </w:pPr>
      <w:r w:rsidRPr="004F0E19">
        <w:rPr>
          <w:rFonts w:cs="Arial"/>
          <w:szCs w:val="24"/>
        </w:rPr>
        <w:t xml:space="preserve">Last year’s Annual Governance Statement identified </w:t>
      </w:r>
      <w:r w:rsidR="000209B1" w:rsidRPr="004F0E19">
        <w:rPr>
          <w:rFonts w:cs="Arial"/>
          <w:szCs w:val="24"/>
        </w:rPr>
        <w:t>several</w:t>
      </w:r>
      <w:r w:rsidRPr="004F0E19">
        <w:rPr>
          <w:rFonts w:cs="Arial"/>
          <w:szCs w:val="24"/>
        </w:rPr>
        <w:t xml:space="preserve"> areas for improvement, and progress against these are set out below:</w:t>
      </w:r>
    </w:p>
    <w:p w14:paraId="17E7437B" w14:textId="77777777" w:rsidR="006E6CFF" w:rsidRPr="0009320B" w:rsidRDefault="006E6CFF" w:rsidP="006E6CFF">
      <w:pPr>
        <w:jc w:val="both"/>
        <w:rPr>
          <w:rFonts w:cs="Arial"/>
          <w:sz w:val="22"/>
          <w:szCs w:val="22"/>
        </w:rPr>
      </w:pPr>
    </w:p>
    <w:tbl>
      <w:tblPr>
        <w:tblW w:w="529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4613"/>
        <w:gridCol w:w="1377"/>
        <w:gridCol w:w="1617"/>
      </w:tblGrid>
      <w:tr w:rsidR="006E6CFF" w:rsidRPr="0009320B" w14:paraId="3A7DDBA4" w14:textId="77777777" w:rsidTr="00BD79B2">
        <w:trPr>
          <w:tblHeader/>
        </w:trPr>
        <w:tc>
          <w:tcPr>
            <w:tcW w:w="1374" w:type="pct"/>
            <w:tcBorders>
              <w:top w:val="single" w:sz="4" w:space="0" w:color="auto"/>
              <w:left w:val="single" w:sz="4" w:space="0" w:color="auto"/>
              <w:bottom w:val="single" w:sz="4" w:space="0" w:color="auto"/>
              <w:right w:val="single" w:sz="4" w:space="0" w:color="auto"/>
            </w:tcBorders>
            <w:shd w:val="clear" w:color="auto" w:fill="BD2716"/>
            <w:vAlign w:val="center"/>
            <w:hideMark/>
          </w:tcPr>
          <w:p w14:paraId="1E14823A" w14:textId="77777777" w:rsidR="006E6CFF" w:rsidRPr="00BD79B2" w:rsidRDefault="006E6CFF" w:rsidP="00BD79B2">
            <w:pPr>
              <w:rPr>
                <w:rFonts w:cs="Arial"/>
                <w:b/>
                <w:bCs/>
                <w:color w:val="FFFFFF" w:themeColor="background1"/>
                <w:szCs w:val="24"/>
              </w:rPr>
            </w:pPr>
            <w:bookmarkStart w:id="6" w:name="_Hlk138150169"/>
            <w:r w:rsidRPr="00BD79B2">
              <w:rPr>
                <w:rFonts w:cs="Arial"/>
                <w:b/>
                <w:bCs/>
                <w:color w:val="FFFFFF" w:themeColor="background1"/>
                <w:szCs w:val="24"/>
              </w:rPr>
              <w:t>Area for Improvement</w:t>
            </w:r>
          </w:p>
        </w:tc>
        <w:tc>
          <w:tcPr>
            <w:tcW w:w="2199" w:type="pct"/>
            <w:tcBorders>
              <w:top w:val="single" w:sz="4" w:space="0" w:color="auto"/>
              <w:left w:val="single" w:sz="4" w:space="0" w:color="auto"/>
              <w:bottom w:val="single" w:sz="4" w:space="0" w:color="auto"/>
              <w:right w:val="single" w:sz="4" w:space="0" w:color="auto"/>
            </w:tcBorders>
            <w:shd w:val="clear" w:color="auto" w:fill="BD2716"/>
            <w:vAlign w:val="center"/>
            <w:hideMark/>
          </w:tcPr>
          <w:p w14:paraId="13D4BBEC" w14:textId="77777777" w:rsidR="006E6CFF" w:rsidRPr="00BD79B2" w:rsidRDefault="006E6CFF" w:rsidP="00BD79B2">
            <w:pPr>
              <w:rPr>
                <w:rFonts w:cs="Arial"/>
                <w:b/>
                <w:bCs/>
                <w:color w:val="FFFFFF" w:themeColor="background1"/>
                <w:szCs w:val="24"/>
              </w:rPr>
            </w:pPr>
            <w:r w:rsidRPr="00BD79B2">
              <w:rPr>
                <w:rFonts w:cs="Arial"/>
                <w:b/>
                <w:bCs/>
                <w:color w:val="FFFFFF" w:themeColor="background1"/>
                <w:szCs w:val="24"/>
              </w:rPr>
              <w:t>Action to date</w:t>
            </w:r>
          </w:p>
        </w:tc>
        <w:tc>
          <w:tcPr>
            <w:tcW w:w="656" w:type="pct"/>
            <w:tcBorders>
              <w:top w:val="single" w:sz="4" w:space="0" w:color="auto"/>
              <w:left w:val="single" w:sz="4" w:space="0" w:color="auto"/>
              <w:bottom w:val="single" w:sz="4" w:space="0" w:color="auto"/>
              <w:right w:val="single" w:sz="4" w:space="0" w:color="auto"/>
            </w:tcBorders>
            <w:shd w:val="clear" w:color="auto" w:fill="BD2716"/>
            <w:vAlign w:val="center"/>
            <w:hideMark/>
          </w:tcPr>
          <w:p w14:paraId="6339FFD5" w14:textId="77777777" w:rsidR="006E6CFF" w:rsidRPr="00BD79B2" w:rsidRDefault="006E6CFF" w:rsidP="00BD79B2">
            <w:pPr>
              <w:rPr>
                <w:rFonts w:cs="Arial"/>
                <w:b/>
                <w:bCs/>
                <w:color w:val="FFFFFF" w:themeColor="background1"/>
                <w:szCs w:val="24"/>
              </w:rPr>
            </w:pPr>
            <w:r w:rsidRPr="00BD79B2">
              <w:rPr>
                <w:rFonts w:cs="Arial"/>
                <w:b/>
                <w:bCs/>
                <w:color w:val="FFFFFF" w:themeColor="background1"/>
                <w:szCs w:val="24"/>
              </w:rPr>
              <w:t>Complete/</w:t>
            </w:r>
          </w:p>
          <w:p w14:paraId="431889F0" w14:textId="77777777" w:rsidR="006E6CFF" w:rsidRPr="00BD79B2" w:rsidRDefault="006E6CFF" w:rsidP="00BD79B2">
            <w:pPr>
              <w:rPr>
                <w:rFonts w:cs="Arial"/>
                <w:b/>
                <w:bCs/>
                <w:color w:val="FFFFFF" w:themeColor="background1"/>
                <w:szCs w:val="24"/>
              </w:rPr>
            </w:pPr>
            <w:r w:rsidRPr="00BD79B2">
              <w:rPr>
                <w:rFonts w:cs="Arial"/>
                <w:b/>
                <w:bCs/>
                <w:color w:val="FFFFFF" w:themeColor="background1"/>
                <w:szCs w:val="24"/>
              </w:rPr>
              <w:t>On-going</w:t>
            </w:r>
          </w:p>
        </w:tc>
        <w:tc>
          <w:tcPr>
            <w:tcW w:w="771" w:type="pct"/>
            <w:tcBorders>
              <w:top w:val="single" w:sz="4" w:space="0" w:color="auto"/>
              <w:left w:val="single" w:sz="4" w:space="0" w:color="auto"/>
              <w:bottom w:val="single" w:sz="4" w:space="0" w:color="auto"/>
              <w:right w:val="single" w:sz="4" w:space="0" w:color="auto"/>
            </w:tcBorders>
            <w:shd w:val="clear" w:color="auto" w:fill="BD2716"/>
            <w:vAlign w:val="center"/>
            <w:hideMark/>
          </w:tcPr>
          <w:p w14:paraId="1F7083D2" w14:textId="77777777" w:rsidR="006E6CFF" w:rsidRPr="00BD79B2" w:rsidRDefault="006E6CFF" w:rsidP="00BD79B2">
            <w:pPr>
              <w:rPr>
                <w:rFonts w:cs="Arial"/>
                <w:b/>
                <w:bCs/>
                <w:color w:val="FFFFFF" w:themeColor="background1"/>
                <w:szCs w:val="24"/>
              </w:rPr>
            </w:pPr>
            <w:r w:rsidRPr="00BD79B2">
              <w:rPr>
                <w:rFonts w:cs="Arial"/>
                <w:b/>
                <w:bCs/>
                <w:color w:val="FFFFFF" w:themeColor="background1"/>
                <w:szCs w:val="24"/>
              </w:rPr>
              <w:t>Owner</w:t>
            </w:r>
          </w:p>
        </w:tc>
      </w:tr>
      <w:tr w:rsidR="006E6CFF" w:rsidRPr="0009320B" w14:paraId="0F1780AB" w14:textId="77777777" w:rsidTr="00A34D16">
        <w:trPr>
          <w:trHeight w:val="1070"/>
        </w:trPr>
        <w:tc>
          <w:tcPr>
            <w:tcW w:w="1374" w:type="pct"/>
            <w:tcBorders>
              <w:top w:val="single" w:sz="4" w:space="0" w:color="auto"/>
              <w:left w:val="single" w:sz="4" w:space="0" w:color="auto"/>
              <w:bottom w:val="single" w:sz="4" w:space="0" w:color="auto"/>
              <w:right w:val="single" w:sz="4" w:space="0" w:color="auto"/>
            </w:tcBorders>
          </w:tcPr>
          <w:p w14:paraId="095FFFF1" w14:textId="77777777" w:rsidR="006E6CFF" w:rsidRPr="004F0E19" w:rsidRDefault="006E6CFF" w:rsidP="007461FD">
            <w:pPr>
              <w:rPr>
                <w:rFonts w:cs="Arial"/>
                <w:szCs w:val="24"/>
              </w:rPr>
            </w:pPr>
            <w:r w:rsidRPr="004F0E19">
              <w:rPr>
                <w:rFonts w:cs="Arial"/>
                <w:szCs w:val="24"/>
              </w:rPr>
              <w:t>A project to replace the existing Performance Management System will commence</w:t>
            </w:r>
          </w:p>
        </w:tc>
        <w:tc>
          <w:tcPr>
            <w:tcW w:w="2199" w:type="pct"/>
            <w:tcBorders>
              <w:top w:val="single" w:sz="4" w:space="0" w:color="auto"/>
              <w:left w:val="single" w:sz="4" w:space="0" w:color="auto"/>
              <w:bottom w:val="single" w:sz="4" w:space="0" w:color="auto"/>
              <w:right w:val="single" w:sz="4" w:space="0" w:color="auto"/>
            </w:tcBorders>
          </w:tcPr>
          <w:p w14:paraId="42EA8077" w14:textId="00EEB500" w:rsidR="006E6CFF" w:rsidRPr="004F0E19" w:rsidRDefault="006E6CFF" w:rsidP="007461FD">
            <w:pPr>
              <w:rPr>
                <w:rFonts w:cs="Arial"/>
                <w:szCs w:val="24"/>
              </w:rPr>
            </w:pPr>
            <w:r w:rsidRPr="004F0E19">
              <w:rPr>
                <w:rFonts w:cs="Arial"/>
                <w:szCs w:val="24"/>
              </w:rPr>
              <w:t xml:space="preserve">Two projects have been initiated which will replace our data warehouse and performance reporting dashboards. A new data warehouse has been built and the first three service level KPI’s have been delivered including a </w:t>
            </w:r>
            <w:r w:rsidR="00FF4100" w:rsidRPr="004F0E19">
              <w:rPr>
                <w:rFonts w:cs="Arial"/>
                <w:szCs w:val="24"/>
              </w:rPr>
              <w:t>front-end</w:t>
            </w:r>
            <w:r w:rsidRPr="004F0E19">
              <w:rPr>
                <w:rFonts w:cs="Arial"/>
                <w:szCs w:val="24"/>
              </w:rPr>
              <w:t xml:space="preserve"> Power</w:t>
            </w:r>
            <w:r w:rsidR="00FF4100">
              <w:rPr>
                <w:rFonts w:cs="Arial"/>
                <w:szCs w:val="24"/>
              </w:rPr>
              <w:t xml:space="preserve"> </w:t>
            </w:r>
            <w:r w:rsidRPr="004F0E19">
              <w:rPr>
                <w:rFonts w:cs="Arial"/>
                <w:szCs w:val="24"/>
              </w:rPr>
              <w:t>B</w:t>
            </w:r>
            <w:r w:rsidR="00FF4100">
              <w:rPr>
                <w:rFonts w:cs="Arial"/>
                <w:szCs w:val="24"/>
              </w:rPr>
              <w:t>I</w:t>
            </w:r>
            <w:r w:rsidRPr="004F0E19">
              <w:rPr>
                <w:rFonts w:cs="Arial"/>
                <w:szCs w:val="24"/>
              </w:rPr>
              <w:t xml:space="preserve"> reporting dashboard. A scoping exercise is underway to determine the requirements for the wider performance management dashboards with a focus on service delivery performance reporting initially.</w:t>
            </w:r>
          </w:p>
          <w:p w14:paraId="394F2CBF" w14:textId="77777777" w:rsidR="006E6CFF" w:rsidRPr="004F0E19" w:rsidRDefault="006E6CFF" w:rsidP="007461FD">
            <w:pPr>
              <w:rPr>
                <w:rFonts w:cs="Arial"/>
                <w:szCs w:val="24"/>
              </w:rPr>
            </w:pPr>
          </w:p>
        </w:tc>
        <w:tc>
          <w:tcPr>
            <w:tcW w:w="656" w:type="pct"/>
            <w:tcBorders>
              <w:top w:val="single" w:sz="4" w:space="0" w:color="auto"/>
              <w:left w:val="single" w:sz="4" w:space="0" w:color="auto"/>
              <w:bottom w:val="single" w:sz="4" w:space="0" w:color="auto"/>
              <w:right w:val="single" w:sz="4" w:space="0" w:color="auto"/>
            </w:tcBorders>
          </w:tcPr>
          <w:p w14:paraId="2D747B39" w14:textId="273E2E2B" w:rsidR="006E6CFF" w:rsidRPr="004F0E19" w:rsidRDefault="006E6CFF" w:rsidP="007461FD">
            <w:pPr>
              <w:rPr>
                <w:rFonts w:cs="Arial"/>
                <w:color w:val="000000"/>
                <w:szCs w:val="24"/>
              </w:rPr>
            </w:pPr>
            <w:r w:rsidRPr="004F0E19">
              <w:rPr>
                <w:szCs w:val="24"/>
              </w:rPr>
              <w:t>On-going</w:t>
            </w:r>
            <w:r w:rsidR="00025A15" w:rsidRPr="004F0E19">
              <w:rPr>
                <w:szCs w:val="24"/>
              </w:rPr>
              <w:t>. Due to complete March 2024</w:t>
            </w:r>
          </w:p>
        </w:tc>
        <w:tc>
          <w:tcPr>
            <w:tcW w:w="771" w:type="pct"/>
            <w:tcBorders>
              <w:top w:val="single" w:sz="4" w:space="0" w:color="auto"/>
              <w:left w:val="single" w:sz="4" w:space="0" w:color="auto"/>
              <w:bottom w:val="single" w:sz="4" w:space="0" w:color="auto"/>
              <w:right w:val="single" w:sz="4" w:space="0" w:color="auto"/>
            </w:tcBorders>
            <w:hideMark/>
          </w:tcPr>
          <w:p w14:paraId="68A7F965" w14:textId="77777777" w:rsidR="006E6CFF" w:rsidRPr="004F0E19" w:rsidRDefault="006E6CFF" w:rsidP="007461FD">
            <w:pPr>
              <w:rPr>
                <w:rFonts w:cs="Arial"/>
                <w:color w:val="000000"/>
                <w:szCs w:val="24"/>
              </w:rPr>
            </w:pPr>
            <w:r w:rsidRPr="004F0E19">
              <w:rPr>
                <w:rFonts w:cs="Arial"/>
                <w:color w:val="000000"/>
                <w:szCs w:val="24"/>
              </w:rPr>
              <w:t>Head of Service Improvement</w:t>
            </w:r>
          </w:p>
        </w:tc>
      </w:tr>
      <w:tr w:rsidR="006E6CFF" w:rsidRPr="0009320B" w14:paraId="2B661D99" w14:textId="77777777" w:rsidTr="00A34D16">
        <w:trPr>
          <w:trHeight w:val="274"/>
        </w:trPr>
        <w:tc>
          <w:tcPr>
            <w:tcW w:w="1374" w:type="pct"/>
            <w:tcBorders>
              <w:top w:val="single" w:sz="4" w:space="0" w:color="auto"/>
              <w:left w:val="single" w:sz="4" w:space="0" w:color="auto"/>
              <w:bottom w:val="single" w:sz="4" w:space="0" w:color="auto"/>
              <w:right w:val="single" w:sz="4" w:space="0" w:color="auto"/>
            </w:tcBorders>
          </w:tcPr>
          <w:p w14:paraId="13AFE5F5" w14:textId="77777777" w:rsidR="006E6CFF" w:rsidRPr="004F0E19" w:rsidRDefault="006E6CFF" w:rsidP="007461FD">
            <w:pPr>
              <w:rPr>
                <w:rFonts w:cs="Arial"/>
                <w:szCs w:val="24"/>
              </w:rPr>
            </w:pPr>
            <w:r w:rsidRPr="004F0E19">
              <w:rPr>
                <w:rFonts w:cs="Arial"/>
                <w:szCs w:val="24"/>
              </w:rPr>
              <w:t>An upgraded Finance system will be implemented in April 2022, as part of that we will review and implement improvements to the monthly budget monitoring process, making greater use of additional functionality provided.</w:t>
            </w:r>
          </w:p>
          <w:p w14:paraId="5E15A691" w14:textId="77777777" w:rsidR="006E6CFF" w:rsidRPr="004F0E19" w:rsidRDefault="006E6CFF" w:rsidP="007461FD">
            <w:pPr>
              <w:rPr>
                <w:rFonts w:cs="Arial"/>
                <w:szCs w:val="24"/>
              </w:rPr>
            </w:pPr>
          </w:p>
        </w:tc>
        <w:tc>
          <w:tcPr>
            <w:tcW w:w="2199" w:type="pct"/>
            <w:tcBorders>
              <w:top w:val="single" w:sz="4" w:space="0" w:color="auto"/>
              <w:left w:val="single" w:sz="4" w:space="0" w:color="auto"/>
              <w:bottom w:val="single" w:sz="4" w:space="0" w:color="auto"/>
              <w:right w:val="single" w:sz="4" w:space="0" w:color="auto"/>
            </w:tcBorders>
          </w:tcPr>
          <w:p w14:paraId="7FA3FC36" w14:textId="77777777" w:rsidR="006E6CFF" w:rsidRPr="004F0E19" w:rsidRDefault="006E6CFF" w:rsidP="007461FD">
            <w:pPr>
              <w:rPr>
                <w:rFonts w:cs="Arial"/>
                <w:szCs w:val="24"/>
              </w:rPr>
            </w:pPr>
            <w:r w:rsidRPr="004F0E19">
              <w:rPr>
                <w:rFonts w:cs="Arial"/>
                <w:szCs w:val="24"/>
              </w:rPr>
              <w:t>The upgraded Finance System was implemented in 2022/23. Improvements to the monthly budget monitoring processes is taking place in 2023 and further development work to improve functionality is also taking place in 2023.</w:t>
            </w:r>
          </w:p>
        </w:tc>
        <w:tc>
          <w:tcPr>
            <w:tcW w:w="656" w:type="pct"/>
            <w:tcBorders>
              <w:top w:val="single" w:sz="4" w:space="0" w:color="auto"/>
              <w:left w:val="single" w:sz="4" w:space="0" w:color="auto"/>
              <w:bottom w:val="single" w:sz="4" w:space="0" w:color="auto"/>
              <w:right w:val="single" w:sz="4" w:space="0" w:color="auto"/>
            </w:tcBorders>
          </w:tcPr>
          <w:p w14:paraId="57EE1ED5" w14:textId="77777777" w:rsidR="00025A15" w:rsidRPr="004F0E19" w:rsidRDefault="006E6CFF" w:rsidP="007461FD">
            <w:pPr>
              <w:rPr>
                <w:rFonts w:cs="Arial"/>
                <w:color w:val="000000"/>
                <w:szCs w:val="24"/>
              </w:rPr>
            </w:pPr>
            <w:r w:rsidRPr="004F0E19">
              <w:rPr>
                <w:rFonts w:cs="Arial"/>
                <w:color w:val="000000"/>
                <w:szCs w:val="24"/>
              </w:rPr>
              <w:t>On-Going</w:t>
            </w:r>
            <w:r w:rsidR="00025A15" w:rsidRPr="004F0E19">
              <w:rPr>
                <w:rFonts w:cs="Arial"/>
                <w:color w:val="000000"/>
                <w:szCs w:val="24"/>
              </w:rPr>
              <w:t xml:space="preserve">. </w:t>
            </w:r>
          </w:p>
          <w:p w14:paraId="36FEAEED" w14:textId="77777777" w:rsidR="00025A15" w:rsidRPr="004F0E19" w:rsidRDefault="00025A15" w:rsidP="007461FD">
            <w:pPr>
              <w:rPr>
                <w:rFonts w:cs="Arial"/>
                <w:color w:val="000000"/>
                <w:szCs w:val="24"/>
              </w:rPr>
            </w:pPr>
          </w:p>
          <w:p w14:paraId="510FA744" w14:textId="4383EBED" w:rsidR="006E6CFF" w:rsidRPr="004F0E19" w:rsidRDefault="00025A15" w:rsidP="007461FD">
            <w:pPr>
              <w:rPr>
                <w:rFonts w:cs="Arial"/>
                <w:color w:val="000000"/>
                <w:szCs w:val="24"/>
              </w:rPr>
            </w:pPr>
            <w:r w:rsidRPr="004F0E19">
              <w:rPr>
                <w:rFonts w:cs="Arial"/>
                <w:color w:val="000000"/>
                <w:szCs w:val="24"/>
              </w:rPr>
              <w:t>Due to complete March 2024.</w:t>
            </w:r>
          </w:p>
        </w:tc>
        <w:tc>
          <w:tcPr>
            <w:tcW w:w="771" w:type="pct"/>
            <w:tcBorders>
              <w:top w:val="single" w:sz="4" w:space="0" w:color="auto"/>
              <w:left w:val="single" w:sz="4" w:space="0" w:color="auto"/>
              <w:bottom w:val="single" w:sz="4" w:space="0" w:color="auto"/>
              <w:right w:val="single" w:sz="4" w:space="0" w:color="auto"/>
            </w:tcBorders>
            <w:hideMark/>
          </w:tcPr>
          <w:p w14:paraId="6090BB16" w14:textId="77777777" w:rsidR="006E6CFF" w:rsidRPr="004F0E19" w:rsidRDefault="006E6CFF" w:rsidP="007461FD">
            <w:pPr>
              <w:rPr>
                <w:rFonts w:cs="Arial"/>
                <w:color w:val="000000"/>
                <w:szCs w:val="24"/>
              </w:rPr>
            </w:pPr>
            <w:r w:rsidRPr="004F0E19">
              <w:rPr>
                <w:rFonts w:cs="Arial"/>
                <w:color w:val="000000"/>
                <w:szCs w:val="24"/>
              </w:rPr>
              <w:t>Head of Finance</w:t>
            </w:r>
          </w:p>
        </w:tc>
      </w:tr>
      <w:tr w:rsidR="006E6CFF" w:rsidRPr="0009320B" w14:paraId="3F67A5E2" w14:textId="77777777" w:rsidTr="00A34D16">
        <w:trPr>
          <w:trHeight w:val="1128"/>
        </w:trPr>
        <w:tc>
          <w:tcPr>
            <w:tcW w:w="1374" w:type="pct"/>
            <w:tcBorders>
              <w:top w:val="single" w:sz="4" w:space="0" w:color="auto"/>
              <w:left w:val="single" w:sz="4" w:space="0" w:color="auto"/>
              <w:bottom w:val="single" w:sz="4" w:space="0" w:color="auto"/>
              <w:right w:val="single" w:sz="4" w:space="0" w:color="auto"/>
            </w:tcBorders>
          </w:tcPr>
          <w:p w14:paraId="078A51EC" w14:textId="77777777" w:rsidR="006E6CFF" w:rsidRPr="004F0E19" w:rsidRDefault="006E6CFF" w:rsidP="007461FD">
            <w:pPr>
              <w:rPr>
                <w:rFonts w:cs="Arial"/>
                <w:szCs w:val="24"/>
              </w:rPr>
            </w:pPr>
            <w:r w:rsidRPr="004F0E19">
              <w:rPr>
                <w:rFonts w:cs="Arial"/>
                <w:szCs w:val="24"/>
              </w:rPr>
              <w:t>Embed the Core Code of Ethics into our corporate policy, and recruitment and promotion process</w:t>
            </w:r>
          </w:p>
        </w:tc>
        <w:tc>
          <w:tcPr>
            <w:tcW w:w="2199" w:type="pct"/>
            <w:tcBorders>
              <w:top w:val="single" w:sz="4" w:space="0" w:color="auto"/>
              <w:left w:val="single" w:sz="4" w:space="0" w:color="auto"/>
              <w:bottom w:val="single" w:sz="4" w:space="0" w:color="auto"/>
              <w:right w:val="single" w:sz="4" w:space="0" w:color="auto"/>
            </w:tcBorders>
          </w:tcPr>
          <w:p w14:paraId="60758E51" w14:textId="77777777" w:rsidR="006E6CFF" w:rsidRPr="004F0E19" w:rsidRDefault="006E6CFF" w:rsidP="007461FD">
            <w:pPr>
              <w:rPr>
                <w:rFonts w:cs="Arial"/>
                <w:szCs w:val="24"/>
              </w:rPr>
            </w:pPr>
            <w:r w:rsidRPr="004F0E19">
              <w:rPr>
                <w:rFonts w:cs="Arial"/>
                <w:szCs w:val="24"/>
              </w:rPr>
              <w:t>The ethical principles in the national Code of Ethics have been built into the Services corporate policies, human resources policies and job descriptions.</w:t>
            </w:r>
          </w:p>
          <w:p w14:paraId="18E1B37D" w14:textId="77777777" w:rsidR="006E6CFF" w:rsidRPr="004F0E19" w:rsidRDefault="006E6CFF" w:rsidP="007461FD">
            <w:pPr>
              <w:rPr>
                <w:rFonts w:cs="Arial"/>
                <w:szCs w:val="24"/>
              </w:rPr>
            </w:pPr>
            <w:r w:rsidRPr="004F0E19">
              <w:rPr>
                <w:rFonts w:cs="Arial"/>
                <w:szCs w:val="24"/>
              </w:rPr>
              <w:t>Recruitment and promotion assessment of candidates incorporates the Services values and the Code of Ethics.</w:t>
            </w:r>
          </w:p>
          <w:p w14:paraId="25AF71C4" w14:textId="77777777" w:rsidR="006E6CFF" w:rsidRPr="004F0E19" w:rsidRDefault="006E6CFF" w:rsidP="007461FD">
            <w:pPr>
              <w:rPr>
                <w:rFonts w:cs="Arial"/>
                <w:szCs w:val="24"/>
              </w:rPr>
            </w:pPr>
          </w:p>
        </w:tc>
        <w:tc>
          <w:tcPr>
            <w:tcW w:w="656" w:type="pct"/>
            <w:tcBorders>
              <w:top w:val="single" w:sz="4" w:space="0" w:color="auto"/>
              <w:left w:val="single" w:sz="4" w:space="0" w:color="auto"/>
              <w:bottom w:val="single" w:sz="4" w:space="0" w:color="auto"/>
              <w:right w:val="single" w:sz="4" w:space="0" w:color="auto"/>
            </w:tcBorders>
          </w:tcPr>
          <w:p w14:paraId="56AC3E40" w14:textId="77777777" w:rsidR="006E6CFF" w:rsidRPr="004F0E19" w:rsidRDefault="006E6CFF" w:rsidP="007461FD">
            <w:pPr>
              <w:rPr>
                <w:rFonts w:cs="Arial"/>
                <w:color w:val="000000"/>
                <w:szCs w:val="24"/>
              </w:rPr>
            </w:pPr>
            <w:r w:rsidRPr="004F0E19">
              <w:rPr>
                <w:rFonts w:cs="Arial"/>
                <w:color w:val="000000"/>
                <w:szCs w:val="24"/>
              </w:rPr>
              <w:t>Complete</w:t>
            </w:r>
          </w:p>
        </w:tc>
        <w:tc>
          <w:tcPr>
            <w:tcW w:w="771" w:type="pct"/>
            <w:tcBorders>
              <w:top w:val="single" w:sz="4" w:space="0" w:color="auto"/>
              <w:left w:val="single" w:sz="4" w:space="0" w:color="auto"/>
              <w:bottom w:val="single" w:sz="4" w:space="0" w:color="auto"/>
              <w:right w:val="single" w:sz="4" w:space="0" w:color="auto"/>
            </w:tcBorders>
          </w:tcPr>
          <w:p w14:paraId="28DCF31F" w14:textId="77777777" w:rsidR="006E6CFF" w:rsidRPr="004F0E19" w:rsidRDefault="006E6CFF" w:rsidP="007461FD">
            <w:pPr>
              <w:rPr>
                <w:rFonts w:cs="Arial"/>
                <w:color w:val="000000"/>
                <w:szCs w:val="24"/>
              </w:rPr>
            </w:pPr>
          </w:p>
        </w:tc>
      </w:tr>
      <w:bookmarkEnd w:id="6"/>
    </w:tbl>
    <w:p w14:paraId="5412053D" w14:textId="77777777" w:rsidR="00A805B9" w:rsidRPr="002A4D26" w:rsidRDefault="00A805B9" w:rsidP="002A4D26">
      <w:pPr>
        <w:rPr>
          <w:b/>
          <w:bCs/>
          <w:sz w:val="22"/>
          <w:szCs w:val="22"/>
        </w:rPr>
      </w:pPr>
    </w:p>
    <w:p w14:paraId="1C9520F3" w14:textId="7D2EEA54" w:rsidR="00234514" w:rsidRDefault="00234514" w:rsidP="002A4D26">
      <w:pPr>
        <w:rPr>
          <w:b/>
          <w:bCs/>
          <w:sz w:val="22"/>
          <w:szCs w:val="22"/>
        </w:rPr>
      </w:pPr>
    </w:p>
    <w:p w14:paraId="1B37B2EC" w14:textId="7F8B9146" w:rsidR="006E6CFF" w:rsidRPr="005C1944" w:rsidRDefault="006E6CFF" w:rsidP="005C1944">
      <w:pPr>
        <w:rPr>
          <w:b/>
          <w:bCs/>
        </w:rPr>
      </w:pPr>
      <w:r w:rsidRPr="005C1944">
        <w:rPr>
          <w:b/>
          <w:bCs/>
        </w:rPr>
        <w:lastRenderedPageBreak/>
        <w:t xml:space="preserve">Significant </w:t>
      </w:r>
      <w:r w:rsidR="00234514" w:rsidRPr="005C1944">
        <w:rPr>
          <w:b/>
          <w:bCs/>
        </w:rPr>
        <w:t>G</w:t>
      </w:r>
      <w:r w:rsidRPr="005C1944">
        <w:rPr>
          <w:b/>
          <w:bCs/>
        </w:rPr>
        <w:t xml:space="preserve">overnance </w:t>
      </w:r>
      <w:r w:rsidR="00234514" w:rsidRPr="005C1944">
        <w:rPr>
          <w:b/>
          <w:bCs/>
        </w:rPr>
        <w:t>I</w:t>
      </w:r>
      <w:r w:rsidRPr="005C1944">
        <w:rPr>
          <w:b/>
          <w:bCs/>
        </w:rPr>
        <w:t>ssues</w:t>
      </w:r>
    </w:p>
    <w:p w14:paraId="42D7BF42" w14:textId="77777777" w:rsidR="006E6CFF" w:rsidRPr="002A4D26" w:rsidRDefault="006E6CFF" w:rsidP="007461FD">
      <w:pPr>
        <w:rPr>
          <w:sz w:val="22"/>
          <w:szCs w:val="22"/>
        </w:rPr>
      </w:pPr>
    </w:p>
    <w:p w14:paraId="69D1114E" w14:textId="73E174B1" w:rsidR="006E6CFF" w:rsidRPr="00234514" w:rsidRDefault="000A40E3" w:rsidP="007461FD">
      <w:pPr>
        <w:rPr>
          <w:rFonts w:cs="Arial"/>
          <w:szCs w:val="24"/>
        </w:rPr>
      </w:pPr>
      <w:r w:rsidRPr="00234514">
        <w:rPr>
          <w:rFonts w:cs="Arial"/>
          <w:szCs w:val="24"/>
        </w:rPr>
        <w:t>Based on</w:t>
      </w:r>
      <w:r w:rsidR="006E6CFF" w:rsidRPr="00234514">
        <w:rPr>
          <w:rFonts w:cs="Arial"/>
          <w:szCs w:val="24"/>
        </w:rPr>
        <w:t xml:space="preserve"> the review of the sources of assurance set out in this statement, we are satisfied that Lancashire Combined Fire Authority and Lancashire Fire and Rescue Service has in place a satisfactory system of internal control which facilitates the effective exercise of its </w:t>
      </w:r>
      <w:r w:rsidR="000F28B4" w:rsidRPr="00234514">
        <w:rPr>
          <w:rFonts w:cs="Arial"/>
          <w:szCs w:val="24"/>
        </w:rPr>
        <w:t>functions,</w:t>
      </w:r>
      <w:r w:rsidR="006E6CFF" w:rsidRPr="00234514">
        <w:rPr>
          <w:rFonts w:cs="Arial"/>
          <w:szCs w:val="24"/>
        </w:rPr>
        <w:t xml:space="preserve"> and which includes arrangements for the management of risk.</w:t>
      </w:r>
    </w:p>
    <w:p w14:paraId="1491BE5F" w14:textId="77777777" w:rsidR="006E6CFF" w:rsidRPr="00234514" w:rsidRDefault="006E6CFF" w:rsidP="007461FD">
      <w:pPr>
        <w:rPr>
          <w:rFonts w:cs="Arial"/>
          <w:szCs w:val="24"/>
        </w:rPr>
      </w:pPr>
    </w:p>
    <w:p w14:paraId="3640FE9B" w14:textId="77777777" w:rsidR="006E6CFF" w:rsidRPr="00234514" w:rsidRDefault="006E6CFF" w:rsidP="007461FD">
      <w:pPr>
        <w:rPr>
          <w:rFonts w:cs="Arial"/>
          <w:szCs w:val="24"/>
        </w:rPr>
      </w:pPr>
      <w:r w:rsidRPr="00234514">
        <w:rPr>
          <w:rFonts w:cs="Arial"/>
          <w:szCs w:val="24"/>
        </w:rPr>
        <w:t>Whilst no significant governance issues were identified, the following new areas for improvement, are listed below:</w:t>
      </w:r>
    </w:p>
    <w:p w14:paraId="76744DB5" w14:textId="77777777" w:rsidR="006E6CFF" w:rsidRPr="00234514" w:rsidRDefault="006E6CFF" w:rsidP="007461FD">
      <w:pPr>
        <w:rPr>
          <w:rFonts w:cs="Arial"/>
          <w:szCs w:val="24"/>
        </w:rPr>
      </w:pPr>
    </w:p>
    <w:p w14:paraId="66D60AF1" w14:textId="27C68C02" w:rsidR="006E6CFF" w:rsidRPr="00234514" w:rsidRDefault="006E6CFF" w:rsidP="00FA71D8">
      <w:pPr>
        <w:numPr>
          <w:ilvl w:val="0"/>
          <w:numId w:val="32"/>
        </w:numPr>
        <w:tabs>
          <w:tab w:val="num" w:pos="1920"/>
        </w:tabs>
        <w:rPr>
          <w:rFonts w:cs="Arial"/>
          <w:szCs w:val="24"/>
        </w:rPr>
      </w:pPr>
      <w:r w:rsidRPr="00234514">
        <w:rPr>
          <w:rFonts w:cs="Arial"/>
          <w:szCs w:val="24"/>
        </w:rPr>
        <w:t xml:space="preserve">Identify a mechanism to report to Members of the CFA our response to national recommendations made by the HMICFRS during the year. </w:t>
      </w:r>
      <w:r w:rsidR="00025A15" w:rsidRPr="00234514">
        <w:rPr>
          <w:rFonts w:cs="Arial"/>
          <w:szCs w:val="24"/>
        </w:rPr>
        <w:t>Due to complete March 2024.</w:t>
      </w:r>
    </w:p>
    <w:p w14:paraId="3C6EB8DC" w14:textId="77777777" w:rsidR="006E6CFF" w:rsidRPr="00234514" w:rsidRDefault="006E6CFF" w:rsidP="007461FD">
      <w:pPr>
        <w:tabs>
          <w:tab w:val="num" w:pos="1920"/>
        </w:tabs>
        <w:ind w:left="720"/>
        <w:rPr>
          <w:rFonts w:cs="Arial"/>
          <w:szCs w:val="24"/>
        </w:rPr>
      </w:pPr>
    </w:p>
    <w:p w14:paraId="7EB6ACAE" w14:textId="7C44D79D" w:rsidR="006E6CFF" w:rsidRPr="00234514" w:rsidRDefault="006E6CFF" w:rsidP="007461FD">
      <w:pPr>
        <w:rPr>
          <w:rFonts w:cs="Arial"/>
          <w:szCs w:val="24"/>
        </w:rPr>
      </w:pPr>
      <w:r w:rsidRPr="00234514">
        <w:rPr>
          <w:rFonts w:cs="Arial"/>
          <w:szCs w:val="24"/>
        </w:rPr>
        <w:t>We propose over the coming year to take steps to address the above matter to further enhance our governance arrangements. We are satisfied that these steps will address the need for improvements that were identified in our review of effectiveness and will monitor their implementation and operation as part of our next annual review.</w:t>
      </w:r>
    </w:p>
    <w:p w14:paraId="410B8A78" w14:textId="77777777" w:rsidR="006E6CFF" w:rsidRPr="00234514" w:rsidRDefault="006E6CFF" w:rsidP="007461FD">
      <w:pPr>
        <w:rPr>
          <w:szCs w:val="24"/>
        </w:rPr>
      </w:pPr>
    </w:p>
    <w:p w14:paraId="72CBEFCA" w14:textId="77777777" w:rsidR="006E6CFF" w:rsidRPr="00234514" w:rsidRDefault="006E6CFF" w:rsidP="007461FD">
      <w:pPr>
        <w:rPr>
          <w:szCs w:val="24"/>
        </w:rPr>
      </w:pPr>
      <w:r w:rsidRPr="00234514">
        <w:rPr>
          <w:szCs w:val="24"/>
        </w:rPr>
        <w:t xml:space="preserve">Approved: </w:t>
      </w:r>
    </w:p>
    <w:p w14:paraId="14BAFC31" w14:textId="77777777" w:rsidR="006E6CFF" w:rsidRPr="002A4D26" w:rsidRDefault="006E6CFF" w:rsidP="002A4D26">
      <w:pPr>
        <w:rPr>
          <w:sz w:val="22"/>
          <w:szCs w:val="22"/>
        </w:rPr>
      </w:pPr>
    </w:p>
    <w:tbl>
      <w:tblPr>
        <w:tblW w:w="10031" w:type="dxa"/>
        <w:tblLayout w:type="fixed"/>
        <w:tblLook w:val="0000" w:firstRow="0" w:lastRow="0" w:firstColumn="0" w:lastColumn="0" w:noHBand="0" w:noVBand="0"/>
      </w:tblPr>
      <w:tblGrid>
        <w:gridCol w:w="3369"/>
        <w:gridCol w:w="283"/>
        <w:gridCol w:w="2977"/>
        <w:gridCol w:w="284"/>
        <w:gridCol w:w="3118"/>
      </w:tblGrid>
      <w:tr w:rsidR="006E6CFF" w:rsidRPr="0009320B" w14:paraId="35E8FE04" w14:textId="77777777" w:rsidTr="00533E5D">
        <w:trPr>
          <w:trHeight w:val="1047"/>
        </w:trPr>
        <w:tc>
          <w:tcPr>
            <w:tcW w:w="3369" w:type="dxa"/>
          </w:tcPr>
          <w:p w14:paraId="172E135A" w14:textId="6FA22595" w:rsidR="009B1972" w:rsidRPr="0009320B" w:rsidRDefault="009B1972" w:rsidP="009B1972">
            <w:pPr>
              <w:jc w:val="both"/>
              <w:rPr>
                <w:rFonts w:ascii="Brush Script MT" w:hAnsi="Brush Script MT"/>
                <w:sz w:val="48"/>
                <w:szCs w:val="48"/>
              </w:rPr>
            </w:pPr>
            <w:r>
              <w:rPr>
                <w:rFonts w:ascii="Brush Script MT" w:hAnsi="Brush Script MT"/>
                <w:sz w:val="48"/>
                <w:szCs w:val="48"/>
              </w:rPr>
              <w:t>David O’Toole</w:t>
            </w:r>
          </w:p>
          <w:p w14:paraId="418CD416" w14:textId="77777777" w:rsidR="006E6CFF" w:rsidRPr="0009320B" w:rsidRDefault="006E6CFF" w:rsidP="00654C0D">
            <w:pPr>
              <w:jc w:val="both"/>
              <w:rPr>
                <w:rFonts w:cs="Arial"/>
                <w:sz w:val="22"/>
                <w:szCs w:val="22"/>
              </w:rPr>
            </w:pPr>
          </w:p>
        </w:tc>
        <w:tc>
          <w:tcPr>
            <w:tcW w:w="283" w:type="dxa"/>
          </w:tcPr>
          <w:p w14:paraId="52B129AE" w14:textId="77777777" w:rsidR="006E6CFF" w:rsidRPr="0009320B" w:rsidRDefault="006E6CFF" w:rsidP="00533E5D">
            <w:pPr>
              <w:rPr>
                <w:rFonts w:cs="Arial"/>
                <w:sz w:val="22"/>
                <w:szCs w:val="22"/>
              </w:rPr>
            </w:pPr>
          </w:p>
        </w:tc>
        <w:tc>
          <w:tcPr>
            <w:tcW w:w="2977" w:type="dxa"/>
          </w:tcPr>
          <w:p w14:paraId="6C0F048A" w14:textId="78152A41" w:rsidR="009B1972" w:rsidRPr="0009320B" w:rsidRDefault="009B1972" w:rsidP="009B1972">
            <w:pPr>
              <w:jc w:val="both"/>
              <w:rPr>
                <w:rFonts w:ascii="Brush Script MT" w:hAnsi="Brush Script MT"/>
                <w:sz w:val="48"/>
                <w:szCs w:val="48"/>
              </w:rPr>
            </w:pPr>
            <w:r>
              <w:rPr>
                <w:rFonts w:ascii="Brush Script MT" w:hAnsi="Brush Script MT"/>
                <w:sz w:val="48"/>
                <w:szCs w:val="48"/>
              </w:rPr>
              <w:t>Justin Johnston</w:t>
            </w:r>
          </w:p>
          <w:p w14:paraId="112ED255" w14:textId="77777777" w:rsidR="006E6CFF" w:rsidRPr="0009320B" w:rsidRDefault="006E6CFF" w:rsidP="00654C0D">
            <w:pPr>
              <w:jc w:val="both"/>
              <w:rPr>
                <w:rFonts w:cs="Arial"/>
                <w:sz w:val="22"/>
                <w:szCs w:val="22"/>
              </w:rPr>
            </w:pPr>
          </w:p>
        </w:tc>
        <w:tc>
          <w:tcPr>
            <w:tcW w:w="284" w:type="dxa"/>
          </w:tcPr>
          <w:p w14:paraId="4C47D46E" w14:textId="77777777" w:rsidR="006E6CFF" w:rsidRPr="0009320B" w:rsidRDefault="006E6CFF" w:rsidP="00533E5D">
            <w:pPr>
              <w:rPr>
                <w:rFonts w:cs="Arial"/>
                <w:sz w:val="22"/>
                <w:szCs w:val="22"/>
              </w:rPr>
            </w:pPr>
          </w:p>
        </w:tc>
        <w:tc>
          <w:tcPr>
            <w:tcW w:w="3118" w:type="dxa"/>
          </w:tcPr>
          <w:p w14:paraId="7AAD59B9" w14:textId="77777777" w:rsidR="006E6CFF" w:rsidRPr="0009320B" w:rsidRDefault="006E6CFF" w:rsidP="00533E5D">
            <w:pPr>
              <w:jc w:val="both"/>
              <w:rPr>
                <w:rFonts w:ascii="Brush Script MT" w:hAnsi="Brush Script MT"/>
                <w:sz w:val="48"/>
                <w:szCs w:val="48"/>
              </w:rPr>
            </w:pPr>
            <w:r>
              <w:rPr>
                <w:rFonts w:ascii="Brush Script MT" w:hAnsi="Brush Script MT"/>
                <w:sz w:val="48"/>
                <w:szCs w:val="48"/>
              </w:rPr>
              <w:t>Steven Brown</w:t>
            </w:r>
          </w:p>
          <w:p w14:paraId="6757FF46" w14:textId="77777777" w:rsidR="006E6CFF" w:rsidRPr="0009320B" w:rsidRDefault="006E6CFF" w:rsidP="00533E5D">
            <w:pPr>
              <w:rPr>
                <w:rFonts w:cs="Arial"/>
                <w:sz w:val="22"/>
                <w:szCs w:val="22"/>
              </w:rPr>
            </w:pPr>
          </w:p>
        </w:tc>
      </w:tr>
      <w:tr w:rsidR="006E6CFF" w:rsidRPr="00AF3DCD" w14:paraId="19037124" w14:textId="77777777" w:rsidTr="00533E5D">
        <w:trPr>
          <w:trHeight w:val="1477"/>
        </w:trPr>
        <w:tc>
          <w:tcPr>
            <w:tcW w:w="3369" w:type="dxa"/>
          </w:tcPr>
          <w:p w14:paraId="4665B446" w14:textId="77777777" w:rsidR="006E6CFF" w:rsidRPr="00234514" w:rsidRDefault="006E6CFF" w:rsidP="00533E5D">
            <w:pPr>
              <w:rPr>
                <w:rFonts w:cs="Arial"/>
                <w:szCs w:val="24"/>
              </w:rPr>
            </w:pPr>
            <w:r w:rsidRPr="00234514">
              <w:rPr>
                <w:rFonts w:cs="Arial"/>
                <w:szCs w:val="24"/>
              </w:rPr>
              <w:t>County Councillor D O’Toole, Chairman,</w:t>
            </w:r>
          </w:p>
          <w:p w14:paraId="46C1AC95" w14:textId="77777777" w:rsidR="006E6CFF" w:rsidRPr="00234514" w:rsidRDefault="006E6CFF" w:rsidP="00533E5D">
            <w:pPr>
              <w:rPr>
                <w:rFonts w:cs="Arial"/>
                <w:szCs w:val="24"/>
              </w:rPr>
            </w:pPr>
            <w:r w:rsidRPr="00234514">
              <w:rPr>
                <w:rFonts w:cs="Arial"/>
                <w:szCs w:val="24"/>
              </w:rPr>
              <w:t>Lancashire Combined Fire Authority</w:t>
            </w:r>
          </w:p>
          <w:p w14:paraId="0F06B117" w14:textId="1DADE261" w:rsidR="006E6CFF" w:rsidRPr="00234514" w:rsidRDefault="009B1972" w:rsidP="00533E5D">
            <w:pPr>
              <w:rPr>
                <w:rFonts w:cs="Arial"/>
                <w:szCs w:val="24"/>
              </w:rPr>
            </w:pPr>
            <w:r>
              <w:rPr>
                <w:rFonts w:cs="Arial"/>
                <w:szCs w:val="24"/>
              </w:rPr>
              <w:t>28</w:t>
            </w:r>
            <w:r w:rsidRPr="009B1972">
              <w:rPr>
                <w:rFonts w:cs="Arial"/>
                <w:szCs w:val="24"/>
                <w:vertAlign w:val="superscript"/>
              </w:rPr>
              <w:t>th</w:t>
            </w:r>
            <w:r>
              <w:rPr>
                <w:rFonts w:cs="Arial"/>
                <w:szCs w:val="24"/>
              </w:rPr>
              <w:t xml:space="preserve"> March 2024</w:t>
            </w:r>
          </w:p>
        </w:tc>
        <w:tc>
          <w:tcPr>
            <w:tcW w:w="283" w:type="dxa"/>
          </w:tcPr>
          <w:p w14:paraId="0EC4747C" w14:textId="77777777" w:rsidR="006E6CFF" w:rsidRPr="00234514" w:rsidRDefault="006E6CFF" w:rsidP="00533E5D">
            <w:pPr>
              <w:rPr>
                <w:rFonts w:cs="Arial"/>
                <w:szCs w:val="24"/>
              </w:rPr>
            </w:pPr>
          </w:p>
        </w:tc>
        <w:tc>
          <w:tcPr>
            <w:tcW w:w="2977" w:type="dxa"/>
          </w:tcPr>
          <w:p w14:paraId="21B56435" w14:textId="77777777" w:rsidR="006E6CFF" w:rsidRPr="00234514" w:rsidRDefault="006E6CFF" w:rsidP="00533E5D">
            <w:pPr>
              <w:rPr>
                <w:rFonts w:cs="Arial"/>
                <w:szCs w:val="24"/>
              </w:rPr>
            </w:pPr>
            <w:r w:rsidRPr="00234514">
              <w:rPr>
                <w:rFonts w:cs="Arial"/>
                <w:szCs w:val="24"/>
              </w:rPr>
              <w:t>J Johnston,</w:t>
            </w:r>
          </w:p>
          <w:p w14:paraId="46D210B5" w14:textId="77777777" w:rsidR="006E6CFF" w:rsidRPr="00234514" w:rsidRDefault="006E6CFF" w:rsidP="00533E5D">
            <w:pPr>
              <w:rPr>
                <w:rFonts w:cs="Arial"/>
                <w:szCs w:val="24"/>
              </w:rPr>
            </w:pPr>
            <w:r w:rsidRPr="00234514">
              <w:rPr>
                <w:rFonts w:cs="Arial"/>
                <w:szCs w:val="24"/>
              </w:rPr>
              <w:t>Chief Fire Officer, Lancashire Fire and Rescue Service</w:t>
            </w:r>
          </w:p>
          <w:p w14:paraId="03D7C63A" w14:textId="685216EE" w:rsidR="006E6CFF" w:rsidRPr="00234514" w:rsidRDefault="009B1972" w:rsidP="00533E5D">
            <w:pPr>
              <w:rPr>
                <w:rFonts w:cs="Arial"/>
                <w:szCs w:val="24"/>
              </w:rPr>
            </w:pPr>
            <w:r>
              <w:rPr>
                <w:rFonts w:cs="Arial"/>
                <w:szCs w:val="24"/>
              </w:rPr>
              <w:t>28</w:t>
            </w:r>
            <w:r w:rsidRPr="009B1972">
              <w:rPr>
                <w:rFonts w:cs="Arial"/>
                <w:szCs w:val="24"/>
                <w:vertAlign w:val="superscript"/>
              </w:rPr>
              <w:t>th</w:t>
            </w:r>
            <w:r>
              <w:rPr>
                <w:rFonts w:cs="Arial"/>
                <w:szCs w:val="24"/>
              </w:rPr>
              <w:t xml:space="preserve"> March 2024</w:t>
            </w:r>
          </w:p>
        </w:tc>
        <w:tc>
          <w:tcPr>
            <w:tcW w:w="284" w:type="dxa"/>
          </w:tcPr>
          <w:p w14:paraId="07DC43B7" w14:textId="77777777" w:rsidR="006E6CFF" w:rsidRPr="00234514" w:rsidRDefault="006E6CFF" w:rsidP="00533E5D">
            <w:pPr>
              <w:rPr>
                <w:rFonts w:cs="Arial"/>
                <w:szCs w:val="24"/>
              </w:rPr>
            </w:pPr>
          </w:p>
        </w:tc>
        <w:tc>
          <w:tcPr>
            <w:tcW w:w="3118" w:type="dxa"/>
          </w:tcPr>
          <w:p w14:paraId="281E7024" w14:textId="77777777" w:rsidR="006E6CFF" w:rsidRPr="00234514" w:rsidRDefault="006E6CFF" w:rsidP="00533E5D">
            <w:pPr>
              <w:rPr>
                <w:rFonts w:cs="Arial"/>
                <w:szCs w:val="24"/>
              </w:rPr>
            </w:pPr>
            <w:r w:rsidRPr="00234514">
              <w:rPr>
                <w:rFonts w:cs="Arial"/>
                <w:szCs w:val="24"/>
              </w:rPr>
              <w:t>S Brown,</w:t>
            </w:r>
          </w:p>
          <w:p w14:paraId="32C0D272" w14:textId="77777777" w:rsidR="006E6CFF" w:rsidRPr="00234514" w:rsidRDefault="006E6CFF" w:rsidP="00533E5D">
            <w:pPr>
              <w:rPr>
                <w:rFonts w:cs="Arial"/>
                <w:szCs w:val="24"/>
              </w:rPr>
            </w:pPr>
            <w:r w:rsidRPr="00234514">
              <w:rPr>
                <w:rFonts w:cs="Arial"/>
                <w:szCs w:val="24"/>
              </w:rPr>
              <w:t xml:space="preserve">Treasurer, </w:t>
            </w:r>
          </w:p>
          <w:p w14:paraId="2A563030" w14:textId="77777777" w:rsidR="006E6CFF" w:rsidRPr="00234514" w:rsidRDefault="006E6CFF" w:rsidP="00533E5D">
            <w:pPr>
              <w:rPr>
                <w:rFonts w:cs="Arial"/>
                <w:szCs w:val="24"/>
              </w:rPr>
            </w:pPr>
            <w:r w:rsidRPr="00234514">
              <w:rPr>
                <w:rFonts w:cs="Arial"/>
                <w:szCs w:val="24"/>
              </w:rPr>
              <w:t>Lancashire Combined Fire Authority</w:t>
            </w:r>
          </w:p>
          <w:p w14:paraId="478373EF" w14:textId="663D3C4C" w:rsidR="006E6CFF" w:rsidRPr="00234514" w:rsidRDefault="009B1972" w:rsidP="00533E5D">
            <w:pPr>
              <w:rPr>
                <w:rFonts w:cs="Arial"/>
                <w:szCs w:val="24"/>
              </w:rPr>
            </w:pPr>
            <w:r>
              <w:rPr>
                <w:rFonts w:cs="Arial"/>
                <w:szCs w:val="24"/>
              </w:rPr>
              <w:t>28</w:t>
            </w:r>
            <w:r w:rsidRPr="009B1972">
              <w:rPr>
                <w:rFonts w:cs="Arial"/>
                <w:szCs w:val="24"/>
                <w:vertAlign w:val="superscript"/>
              </w:rPr>
              <w:t>th</w:t>
            </w:r>
            <w:r>
              <w:rPr>
                <w:rFonts w:cs="Arial"/>
                <w:szCs w:val="24"/>
              </w:rPr>
              <w:t xml:space="preserve"> March 2024</w:t>
            </w:r>
          </w:p>
        </w:tc>
      </w:tr>
    </w:tbl>
    <w:p w14:paraId="1BC30CB5" w14:textId="77777777" w:rsidR="00234514" w:rsidRDefault="00234514" w:rsidP="005A3C76">
      <w:pPr>
        <w:pStyle w:val="Heading1"/>
        <w:rPr>
          <w:sz w:val="22"/>
          <w:szCs w:val="22"/>
        </w:rPr>
      </w:pPr>
      <w:bookmarkStart w:id="7" w:name="Audit"/>
      <w:bookmarkEnd w:id="7"/>
      <w:r>
        <w:rPr>
          <w:sz w:val="22"/>
          <w:szCs w:val="22"/>
        </w:rPr>
        <w:br w:type="page"/>
      </w:r>
    </w:p>
    <w:p w14:paraId="2A847C09" w14:textId="1F641D20" w:rsidR="006B4BE1" w:rsidRDefault="00234514" w:rsidP="005A3C76">
      <w:pPr>
        <w:pStyle w:val="Heading1"/>
        <w:rPr>
          <w:szCs w:val="24"/>
        </w:rPr>
      </w:pPr>
      <w:bookmarkStart w:id="8" w:name="_Toc166761525"/>
      <w:r w:rsidRPr="007461FD">
        <w:rPr>
          <w:szCs w:val="24"/>
        </w:rPr>
        <w:lastRenderedPageBreak/>
        <w:t>Independent Auditor’s Report to the Members of Lancashire Combined Fire Authority</w:t>
      </w:r>
      <w:bookmarkEnd w:id="8"/>
    </w:p>
    <w:p w14:paraId="4B9AD8B0" w14:textId="77777777" w:rsidR="00A2103A" w:rsidRDefault="00A2103A" w:rsidP="00A2103A"/>
    <w:p w14:paraId="7D2AF0A1" w14:textId="77777777" w:rsidR="00B307D2" w:rsidRDefault="00B307D2" w:rsidP="00B307D2">
      <w:pPr>
        <w:autoSpaceDE w:val="0"/>
        <w:autoSpaceDN w:val="0"/>
        <w:adjustRightInd w:val="0"/>
        <w:rPr>
          <w:rFonts w:cs="Arial"/>
          <w:b/>
          <w:bCs/>
          <w:szCs w:val="24"/>
        </w:rPr>
      </w:pPr>
      <w:r w:rsidRPr="002B20D6">
        <w:rPr>
          <w:rFonts w:cs="Arial"/>
          <w:b/>
          <w:bCs/>
          <w:szCs w:val="24"/>
        </w:rPr>
        <w:t xml:space="preserve">Report on the audit of the financial </w:t>
      </w:r>
      <w:proofErr w:type="gramStart"/>
      <w:r w:rsidRPr="002B20D6">
        <w:rPr>
          <w:rFonts w:cs="Arial"/>
          <w:b/>
          <w:bCs/>
          <w:szCs w:val="24"/>
        </w:rPr>
        <w:t>statements</w:t>
      </w:r>
      <w:proofErr w:type="gramEnd"/>
    </w:p>
    <w:p w14:paraId="735E38A3" w14:textId="77777777" w:rsidR="00B307D2" w:rsidRPr="002B20D6" w:rsidRDefault="00B307D2" w:rsidP="00B307D2">
      <w:pPr>
        <w:autoSpaceDE w:val="0"/>
        <w:autoSpaceDN w:val="0"/>
        <w:adjustRightInd w:val="0"/>
        <w:rPr>
          <w:rFonts w:cs="Arial"/>
          <w:b/>
          <w:bCs/>
          <w:szCs w:val="24"/>
        </w:rPr>
      </w:pPr>
    </w:p>
    <w:p w14:paraId="00AFB1A4" w14:textId="77777777" w:rsidR="00B307D2" w:rsidRPr="002B20D6" w:rsidRDefault="00B307D2" w:rsidP="00B307D2">
      <w:pPr>
        <w:autoSpaceDE w:val="0"/>
        <w:autoSpaceDN w:val="0"/>
        <w:adjustRightInd w:val="0"/>
        <w:rPr>
          <w:rFonts w:cs="Arial"/>
          <w:b/>
          <w:bCs/>
          <w:szCs w:val="24"/>
        </w:rPr>
      </w:pPr>
      <w:r w:rsidRPr="002B20D6">
        <w:rPr>
          <w:rFonts w:cs="Arial"/>
          <w:b/>
          <w:bCs/>
          <w:szCs w:val="24"/>
        </w:rPr>
        <w:t>Opinion on financial statements</w:t>
      </w:r>
    </w:p>
    <w:p w14:paraId="6F3E8DC2" w14:textId="77777777" w:rsidR="00B307D2" w:rsidRPr="00F017CC" w:rsidRDefault="00B307D2" w:rsidP="00B307D2">
      <w:pPr>
        <w:autoSpaceDE w:val="0"/>
        <w:autoSpaceDN w:val="0"/>
        <w:adjustRightInd w:val="0"/>
        <w:rPr>
          <w:rFonts w:cs="Arial"/>
          <w:szCs w:val="24"/>
        </w:rPr>
      </w:pPr>
    </w:p>
    <w:p w14:paraId="4DD1399F" w14:textId="77777777" w:rsidR="00B307D2" w:rsidRPr="00F017CC" w:rsidRDefault="00B307D2" w:rsidP="00B307D2">
      <w:pPr>
        <w:autoSpaceDE w:val="0"/>
        <w:autoSpaceDN w:val="0"/>
        <w:adjustRightInd w:val="0"/>
        <w:rPr>
          <w:rFonts w:cs="Arial"/>
          <w:szCs w:val="24"/>
        </w:rPr>
      </w:pPr>
      <w:r w:rsidRPr="00F017CC">
        <w:rPr>
          <w:rFonts w:cs="Arial"/>
          <w:szCs w:val="24"/>
        </w:rPr>
        <w:t>We have audited the financial statements of Lancashire Combined Fire Authority (the ‘Authority’) for the year ended 31 March 2023, which comprise the Comprehensive Income and Expenditure Statement, Movement in Reserves Statement, the Balance Sheet, the Cash Flow Statement, notes to the financial statements including a summary of significant accounting policies, the firefighters' pension fund financial statements comprising the Fund Account, Net Assets Statement and firefighter’s pension fund notes. The financial reporting framework that has been applied in their preparation is applicable law and the CIPFA/LASAAC Code of Practice on Local Authority Accounting in the United Kingdom 2022/23.</w:t>
      </w:r>
    </w:p>
    <w:p w14:paraId="6E9C6E96" w14:textId="77777777" w:rsidR="00B307D2" w:rsidRDefault="00B307D2" w:rsidP="00B307D2">
      <w:pPr>
        <w:autoSpaceDE w:val="0"/>
        <w:autoSpaceDN w:val="0"/>
        <w:adjustRightInd w:val="0"/>
        <w:rPr>
          <w:rFonts w:cs="Arial"/>
          <w:szCs w:val="24"/>
        </w:rPr>
      </w:pPr>
    </w:p>
    <w:p w14:paraId="024B6AEE" w14:textId="77777777" w:rsidR="00B307D2" w:rsidRDefault="00B307D2" w:rsidP="00B307D2">
      <w:pPr>
        <w:autoSpaceDE w:val="0"/>
        <w:autoSpaceDN w:val="0"/>
        <w:adjustRightInd w:val="0"/>
        <w:rPr>
          <w:rFonts w:cs="Arial"/>
          <w:szCs w:val="24"/>
        </w:rPr>
      </w:pPr>
      <w:r w:rsidRPr="00F017CC">
        <w:rPr>
          <w:rFonts w:cs="Arial"/>
          <w:szCs w:val="24"/>
        </w:rPr>
        <w:t>In our opinion, the financial statements:</w:t>
      </w:r>
    </w:p>
    <w:p w14:paraId="2251D872" w14:textId="77777777" w:rsidR="00B307D2" w:rsidRPr="00F017CC" w:rsidRDefault="00B307D2" w:rsidP="00B307D2">
      <w:pPr>
        <w:autoSpaceDE w:val="0"/>
        <w:autoSpaceDN w:val="0"/>
        <w:adjustRightInd w:val="0"/>
        <w:rPr>
          <w:rFonts w:cs="Arial"/>
          <w:szCs w:val="24"/>
        </w:rPr>
      </w:pPr>
    </w:p>
    <w:p w14:paraId="38E958CC" w14:textId="77777777" w:rsidR="00B307D2" w:rsidRPr="00F017CC" w:rsidRDefault="00B307D2" w:rsidP="00B307D2">
      <w:pPr>
        <w:autoSpaceDE w:val="0"/>
        <w:autoSpaceDN w:val="0"/>
        <w:adjustRightInd w:val="0"/>
        <w:spacing w:after="240"/>
        <w:rPr>
          <w:rFonts w:cs="Arial"/>
          <w:szCs w:val="24"/>
        </w:rPr>
      </w:pPr>
      <w:r w:rsidRPr="00F017CC">
        <w:rPr>
          <w:rFonts w:cs="Arial"/>
          <w:szCs w:val="24"/>
        </w:rPr>
        <w:t xml:space="preserve">• give a true and fair view of the financial position of the Authority as </w:t>
      </w:r>
      <w:proofErr w:type="gramStart"/>
      <w:r w:rsidRPr="00F017CC">
        <w:rPr>
          <w:rFonts w:cs="Arial"/>
          <w:szCs w:val="24"/>
        </w:rPr>
        <w:t>at</w:t>
      </w:r>
      <w:proofErr w:type="gramEnd"/>
      <w:r w:rsidRPr="00F017CC">
        <w:rPr>
          <w:rFonts w:cs="Arial"/>
          <w:szCs w:val="24"/>
        </w:rPr>
        <w:t xml:space="preserve"> 31 March 2023 and of its expenditure and income for the year then ended;</w:t>
      </w:r>
    </w:p>
    <w:p w14:paraId="6B004A3F" w14:textId="77777777" w:rsidR="00B307D2" w:rsidRPr="00F017CC" w:rsidRDefault="00B307D2" w:rsidP="00B307D2">
      <w:pPr>
        <w:autoSpaceDE w:val="0"/>
        <w:autoSpaceDN w:val="0"/>
        <w:adjustRightInd w:val="0"/>
        <w:spacing w:after="240"/>
        <w:rPr>
          <w:rFonts w:cs="Arial"/>
          <w:szCs w:val="24"/>
        </w:rPr>
      </w:pPr>
      <w:r w:rsidRPr="00F017CC">
        <w:rPr>
          <w:rFonts w:cs="Arial"/>
          <w:szCs w:val="24"/>
        </w:rPr>
        <w:t>• have been properly prepared in accordance with the CIPFA/LASAAC Code of Practice on Local Authority Accounting in the United Kingdom 2022/23; and</w:t>
      </w:r>
    </w:p>
    <w:p w14:paraId="33E28D3F" w14:textId="2BA33BB1" w:rsidR="00B307D2" w:rsidRPr="00F017CC" w:rsidRDefault="00B307D2" w:rsidP="00B307D2">
      <w:pPr>
        <w:autoSpaceDE w:val="0"/>
        <w:autoSpaceDN w:val="0"/>
        <w:adjustRightInd w:val="0"/>
        <w:spacing w:after="240"/>
        <w:rPr>
          <w:rFonts w:cs="Arial"/>
          <w:szCs w:val="24"/>
        </w:rPr>
      </w:pPr>
      <w:r w:rsidRPr="00F017CC">
        <w:rPr>
          <w:rFonts w:cs="Arial"/>
          <w:szCs w:val="24"/>
        </w:rPr>
        <w:t>• have been prepared in accordance with the requirements of the Local Audit and Accountability Act 2014.</w:t>
      </w:r>
    </w:p>
    <w:p w14:paraId="155171AC" w14:textId="77777777" w:rsidR="00B307D2" w:rsidRPr="002B20D6" w:rsidRDefault="00B307D2" w:rsidP="00B307D2">
      <w:pPr>
        <w:autoSpaceDE w:val="0"/>
        <w:autoSpaceDN w:val="0"/>
        <w:adjustRightInd w:val="0"/>
        <w:rPr>
          <w:rFonts w:cs="Arial"/>
          <w:b/>
          <w:bCs/>
          <w:szCs w:val="24"/>
        </w:rPr>
      </w:pPr>
      <w:r w:rsidRPr="002B20D6">
        <w:rPr>
          <w:rFonts w:cs="Arial"/>
          <w:b/>
          <w:bCs/>
          <w:szCs w:val="24"/>
        </w:rPr>
        <w:t>Basis for opinion</w:t>
      </w:r>
    </w:p>
    <w:p w14:paraId="70828768" w14:textId="77777777" w:rsidR="00B307D2" w:rsidRPr="00F017CC" w:rsidRDefault="00B307D2" w:rsidP="00B307D2">
      <w:pPr>
        <w:autoSpaceDE w:val="0"/>
        <w:autoSpaceDN w:val="0"/>
        <w:adjustRightInd w:val="0"/>
        <w:rPr>
          <w:rFonts w:cs="Arial"/>
          <w:szCs w:val="24"/>
        </w:rPr>
      </w:pPr>
    </w:p>
    <w:p w14:paraId="5A919C43" w14:textId="77777777" w:rsidR="00B307D2" w:rsidRDefault="00B307D2" w:rsidP="00B307D2">
      <w:pPr>
        <w:autoSpaceDE w:val="0"/>
        <w:autoSpaceDN w:val="0"/>
        <w:adjustRightInd w:val="0"/>
        <w:rPr>
          <w:rFonts w:cs="Arial"/>
          <w:szCs w:val="24"/>
        </w:rPr>
      </w:pPr>
      <w:r w:rsidRPr="00F017CC">
        <w:rPr>
          <w:rFonts w:cs="Arial"/>
          <w:szCs w:val="24"/>
        </w:rPr>
        <w:t>We conducted our audit in accordance with International Standards on Auditing (UK) (ISAs (UK)) and applicable law, as required by the Code of Audit Practice (2020) (“the Code of Audit Practice”) approved by the Comptroller and Auditor General. Our responsibilities under those standards are further described in the ‘Auditor’s responsibilities for the audit of the financial statements’ section of our report. We are independent of the Authority in accordance with the ethical requirements that are relevant to our audit of the financial statements in the UK, including the FRC’s Ethical Standard, and we have fulfilled our other ethical responsibilities in accordance with these requirements. We believe that the audit evidence we have obtained is sufficient and appropriate to provide a basis for our opinion.</w:t>
      </w:r>
    </w:p>
    <w:p w14:paraId="1F249D5E" w14:textId="77777777" w:rsidR="00B307D2" w:rsidRPr="00F017CC" w:rsidRDefault="00B307D2" w:rsidP="00B307D2">
      <w:pPr>
        <w:autoSpaceDE w:val="0"/>
        <w:autoSpaceDN w:val="0"/>
        <w:adjustRightInd w:val="0"/>
        <w:rPr>
          <w:rFonts w:cs="Arial"/>
          <w:szCs w:val="24"/>
        </w:rPr>
      </w:pPr>
    </w:p>
    <w:p w14:paraId="5AB5EF9F" w14:textId="77777777" w:rsidR="00B307D2" w:rsidRPr="002B20D6" w:rsidRDefault="00B307D2" w:rsidP="00B307D2">
      <w:pPr>
        <w:autoSpaceDE w:val="0"/>
        <w:autoSpaceDN w:val="0"/>
        <w:adjustRightInd w:val="0"/>
        <w:rPr>
          <w:rFonts w:cs="Arial"/>
          <w:b/>
          <w:bCs/>
          <w:szCs w:val="24"/>
        </w:rPr>
      </w:pPr>
      <w:r w:rsidRPr="002B20D6">
        <w:rPr>
          <w:rFonts w:cs="Arial"/>
          <w:b/>
          <w:bCs/>
          <w:szCs w:val="24"/>
        </w:rPr>
        <w:t xml:space="preserve">Conclusions relating to going </w:t>
      </w:r>
      <w:proofErr w:type="gramStart"/>
      <w:r w:rsidRPr="002B20D6">
        <w:rPr>
          <w:rFonts w:cs="Arial"/>
          <w:b/>
          <w:bCs/>
          <w:szCs w:val="24"/>
        </w:rPr>
        <w:t>concern</w:t>
      </w:r>
      <w:proofErr w:type="gramEnd"/>
    </w:p>
    <w:p w14:paraId="10B683C0" w14:textId="77777777" w:rsidR="00B307D2" w:rsidRPr="00F017CC" w:rsidRDefault="00B307D2" w:rsidP="00B307D2">
      <w:pPr>
        <w:autoSpaceDE w:val="0"/>
        <w:autoSpaceDN w:val="0"/>
        <w:adjustRightInd w:val="0"/>
        <w:rPr>
          <w:rFonts w:cs="Arial"/>
          <w:szCs w:val="24"/>
        </w:rPr>
      </w:pPr>
    </w:p>
    <w:p w14:paraId="44E9202F" w14:textId="77777777" w:rsidR="00B307D2" w:rsidRDefault="00B307D2" w:rsidP="00B307D2">
      <w:pPr>
        <w:autoSpaceDE w:val="0"/>
        <w:autoSpaceDN w:val="0"/>
        <w:adjustRightInd w:val="0"/>
        <w:rPr>
          <w:rFonts w:cs="Arial"/>
          <w:szCs w:val="24"/>
        </w:rPr>
      </w:pPr>
      <w:r w:rsidRPr="00F017CC">
        <w:rPr>
          <w:rFonts w:cs="Arial"/>
          <w:szCs w:val="24"/>
        </w:rPr>
        <w:t>We are responsible for concluding on the appropriateness of the Treasurer to the Combined Fire Authority’s use of the going concern basis of accounting and, based on the audit evidence obtained, whether a material uncertainty exists related to events or conditions that may cast significant doubt on the Authority’s ability to continue as a going concern. If we conclude that a material uncertainty exists, we are required to draw attention in our report to the related disclosures in the financial statements or, if such disclosures are inadequate, to modify the auditor’s opinion. Our conclusions are based on the audit evidence obtained up to the date of our report. However, future events or conditions may cause the Authority to cease to continue as a going concern.</w:t>
      </w:r>
    </w:p>
    <w:p w14:paraId="230B3886" w14:textId="77777777" w:rsidR="00A2103A" w:rsidRDefault="00A2103A" w:rsidP="00A2103A"/>
    <w:p w14:paraId="78F0E593" w14:textId="77777777" w:rsidR="00B307D2" w:rsidRDefault="00B307D2" w:rsidP="00B307D2">
      <w:pPr>
        <w:autoSpaceDE w:val="0"/>
        <w:autoSpaceDN w:val="0"/>
        <w:adjustRightInd w:val="0"/>
        <w:rPr>
          <w:rFonts w:cs="Arial"/>
          <w:szCs w:val="24"/>
        </w:rPr>
      </w:pPr>
      <w:r w:rsidRPr="00F017CC">
        <w:rPr>
          <w:rFonts w:cs="Arial"/>
          <w:szCs w:val="24"/>
        </w:rPr>
        <w:lastRenderedPageBreak/>
        <w:t>In our evaluation of the Treasurer to the Combined Fire Authority’s conclusions, and in accordance with the expectation set out within the CIPFA/LASAAC Code of Practice on Local Authority Accounting in the United Kingdom 2022/23 that the Authority’s financial statements shall be prepared on a going concern basis, we considered the inherent risks associated with the continuation of services provided by the Authority. In doing so we had regard to the guidance provided in Practice Note 10 Audit of financial statements and regularity of public sector bodies in the United Kingdom (Revised 2022) on the application of ISA (UK) 570 Going Concern to public sector entities. We assessed the reasonableness of the basis of preparation used by the Authority and the Authority’s disclosures over the going concern period.</w:t>
      </w:r>
    </w:p>
    <w:p w14:paraId="4CA42A25" w14:textId="77777777" w:rsidR="00B307D2" w:rsidRPr="00F017CC" w:rsidRDefault="00B307D2" w:rsidP="00B307D2">
      <w:pPr>
        <w:autoSpaceDE w:val="0"/>
        <w:autoSpaceDN w:val="0"/>
        <w:adjustRightInd w:val="0"/>
        <w:rPr>
          <w:rFonts w:cs="Arial"/>
          <w:szCs w:val="24"/>
        </w:rPr>
      </w:pPr>
    </w:p>
    <w:p w14:paraId="50F19D17" w14:textId="77777777" w:rsidR="00B307D2" w:rsidRDefault="00B307D2" w:rsidP="00B307D2">
      <w:pPr>
        <w:autoSpaceDE w:val="0"/>
        <w:autoSpaceDN w:val="0"/>
        <w:adjustRightInd w:val="0"/>
        <w:rPr>
          <w:rFonts w:cs="Arial"/>
          <w:szCs w:val="24"/>
        </w:rPr>
      </w:pPr>
      <w:r w:rsidRPr="00F017CC">
        <w:rPr>
          <w:rFonts w:cs="Arial"/>
          <w:szCs w:val="24"/>
        </w:rPr>
        <w:t>In auditing the financial statements, we have concluded that the Treasurer to the Combined Fire Authority’s use of the going concern basis of accounting in the preparation of the financial statements is appropriate.</w:t>
      </w:r>
    </w:p>
    <w:p w14:paraId="6024586A" w14:textId="77777777" w:rsidR="00B307D2" w:rsidRPr="00F017CC" w:rsidRDefault="00B307D2" w:rsidP="00B307D2">
      <w:pPr>
        <w:autoSpaceDE w:val="0"/>
        <w:autoSpaceDN w:val="0"/>
        <w:adjustRightInd w:val="0"/>
        <w:rPr>
          <w:rFonts w:cs="Arial"/>
          <w:szCs w:val="24"/>
        </w:rPr>
      </w:pPr>
    </w:p>
    <w:p w14:paraId="6D60CB46" w14:textId="77777777" w:rsidR="00B307D2" w:rsidRDefault="00B307D2" w:rsidP="00B307D2">
      <w:pPr>
        <w:autoSpaceDE w:val="0"/>
        <w:autoSpaceDN w:val="0"/>
        <w:adjustRightInd w:val="0"/>
        <w:rPr>
          <w:rFonts w:cs="Arial"/>
          <w:szCs w:val="24"/>
        </w:rPr>
      </w:pPr>
      <w:r w:rsidRPr="00F017CC">
        <w:rPr>
          <w:rFonts w:cs="Arial"/>
          <w:szCs w:val="24"/>
        </w:rPr>
        <w:t>Based on the work we have performed, we have not identified any material uncertainties relating to events or conditions that, individually or collectively, may cast significant doubt on the Authority’s ability to continue as a going concern for a period of at least twelve months from when the financial statements are authorised for issue.</w:t>
      </w:r>
    </w:p>
    <w:p w14:paraId="3563246E" w14:textId="77777777" w:rsidR="00B307D2" w:rsidRPr="00F017CC" w:rsidRDefault="00B307D2" w:rsidP="00B307D2">
      <w:pPr>
        <w:autoSpaceDE w:val="0"/>
        <w:autoSpaceDN w:val="0"/>
        <w:adjustRightInd w:val="0"/>
        <w:rPr>
          <w:rFonts w:cs="Arial"/>
          <w:szCs w:val="24"/>
        </w:rPr>
      </w:pPr>
    </w:p>
    <w:p w14:paraId="37796E4C" w14:textId="77777777" w:rsidR="00B307D2" w:rsidRDefault="00B307D2" w:rsidP="00B307D2">
      <w:pPr>
        <w:autoSpaceDE w:val="0"/>
        <w:autoSpaceDN w:val="0"/>
        <w:adjustRightInd w:val="0"/>
        <w:rPr>
          <w:rFonts w:cs="Arial"/>
          <w:szCs w:val="24"/>
        </w:rPr>
      </w:pPr>
      <w:r w:rsidRPr="00F017CC">
        <w:rPr>
          <w:rFonts w:cs="Arial"/>
          <w:szCs w:val="24"/>
        </w:rPr>
        <w:t>Our responsibilities and the responsibilities of the Treasurer to the Combined Fire Authority with respect to going concern are described in the relevant sections of this report.</w:t>
      </w:r>
    </w:p>
    <w:p w14:paraId="48892762" w14:textId="77777777" w:rsidR="00B307D2" w:rsidRPr="00F017CC" w:rsidRDefault="00B307D2" w:rsidP="00B307D2">
      <w:pPr>
        <w:autoSpaceDE w:val="0"/>
        <w:autoSpaceDN w:val="0"/>
        <w:adjustRightInd w:val="0"/>
        <w:rPr>
          <w:rFonts w:cs="Arial"/>
          <w:szCs w:val="24"/>
        </w:rPr>
      </w:pPr>
    </w:p>
    <w:p w14:paraId="50B8C945" w14:textId="77777777" w:rsidR="00B307D2" w:rsidRPr="002B20D6" w:rsidRDefault="00B307D2" w:rsidP="00B307D2">
      <w:pPr>
        <w:autoSpaceDE w:val="0"/>
        <w:autoSpaceDN w:val="0"/>
        <w:adjustRightInd w:val="0"/>
        <w:rPr>
          <w:rFonts w:cs="Arial"/>
          <w:b/>
          <w:bCs/>
          <w:szCs w:val="24"/>
        </w:rPr>
      </w:pPr>
      <w:r w:rsidRPr="002B20D6">
        <w:rPr>
          <w:rFonts w:cs="Arial"/>
          <w:b/>
          <w:bCs/>
          <w:szCs w:val="24"/>
        </w:rPr>
        <w:t>Other information</w:t>
      </w:r>
    </w:p>
    <w:p w14:paraId="5C0E40C5" w14:textId="77777777" w:rsidR="00B307D2" w:rsidRPr="00F017CC" w:rsidRDefault="00B307D2" w:rsidP="00B307D2">
      <w:pPr>
        <w:autoSpaceDE w:val="0"/>
        <w:autoSpaceDN w:val="0"/>
        <w:adjustRightInd w:val="0"/>
        <w:rPr>
          <w:rFonts w:cs="Arial"/>
          <w:szCs w:val="24"/>
        </w:rPr>
      </w:pPr>
    </w:p>
    <w:p w14:paraId="29D7A434" w14:textId="77777777" w:rsidR="00B307D2" w:rsidRDefault="00B307D2" w:rsidP="00B307D2">
      <w:pPr>
        <w:autoSpaceDE w:val="0"/>
        <w:autoSpaceDN w:val="0"/>
        <w:adjustRightInd w:val="0"/>
        <w:rPr>
          <w:rFonts w:cs="Arial"/>
          <w:szCs w:val="24"/>
        </w:rPr>
      </w:pPr>
      <w:r w:rsidRPr="00F017CC">
        <w:rPr>
          <w:rFonts w:cs="Arial"/>
          <w:szCs w:val="24"/>
        </w:rPr>
        <w:t>The other information comprises the information included in the Statement of Accounts, other than the financial statements and our auditor’s report thereon. The Treasurer to the Combined Fire Authority is responsible for the other information. Our opinion on the financial statements does not cover the other information and, except to the extent otherwise explicitly stated in our report, we do not express any form of assurance conclusion thereon.</w:t>
      </w:r>
    </w:p>
    <w:p w14:paraId="50C3222D" w14:textId="77777777" w:rsidR="00B307D2" w:rsidRPr="00F017CC" w:rsidRDefault="00B307D2" w:rsidP="00B307D2">
      <w:pPr>
        <w:autoSpaceDE w:val="0"/>
        <w:autoSpaceDN w:val="0"/>
        <w:adjustRightInd w:val="0"/>
        <w:rPr>
          <w:rFonts w:cs="Arial"/>
          <w:szCs w:val="24"/>
        </w:rPr>
      </w:pPr>
    </w:p>
    <w:p w14:paraId="6902F688" w14:textId="278B0390" w:rsidR="00B307D2" w:rsidRDefault="00B307D2" w:rsidP="00B307D2">
      <w:pPr>
        <w:autoSpaceDE w:val="0"/>
        <w:autoSpaceDN w:val="0"/>
        <w:adjustRightInd w:val="0"/>
        <w:rPr>
          <w:rFonts w:cs="Arial"/>
          <w:szCs w:val="24"/>
        </w:rPr>
      </w:pPr>
      <w:r w:rsidRPr="00F017CC">
        <w:rPr>
          <w:rFonts w:cs="Arial"/>
          <w:szCs w:val="24"/>
        </w:rPr>
        <w:t>Our responsibility is to read the other information and, in doing so, consider whether the other information is materially inconsistent with the financial statements, or our knowledge obtained in the audit or otherwise appears to be materially misstated. If we identify such material inconsistencies or apparent material misstatements, we are required to determine whether there is a material misstatement in the financial statements themselves. If, based on the work we have performed, we conclude that there is a material misstatement of this other information, we are required to report that fact.</w:t>
      </w:r>
    </w:p>
    <w:p w14:paraId="31B8A59C" w14:textId="77777777" w:rsidR="00B307D2" w:rsidRDefault="00B307D2" w:rsidP="00B307D2">
      <w:pPr>
        <w:autoSpaceDE w:val="0"/>
        <w:autoSpaceDN w:val="0"/>
        <w:adjustRightInd w:val="0"/>
        <w:rPr>
          <w:rFonts w:cs="Arial"/>
          <w:szCs w:val="24"/>
        </w:rPr>
      </w:pPr>
    </w:p>
    <w:p w14:paraId="13B62239" w14:textId="77777777" w:rsidR="00B307D2" w:rsidRDefault="00B307D2" w:rsidP="00B307D2">
      <w:pPr>
        <w:autoSpaceDE w:val="0"/>
        <w:autoSpaceDN w:val="0"/>
        <w:adjustRightInd w:val="0"/>
        <w:rPr>
          <w:rFonts w:cs="Arial"/>
          <w:szCs w:val="24"/>
        </w:rPr>
      </w:pPr>
      <w:r w:rsidRPr="00F017CC">
        <w:rPr>
          <w:rFonts w:cs="Arial"/>
          <w:szCs w:val="24"/>
        </w:rPr>
        <w:t>We have nothing to report in this regard.</w:t>
      </w:r>
    </w:p>
    <w:p w14:paraId="4D4BA24C" w14:textId="77777777" w:rsidR="00B307D2" w:rsidRDefault="00B307D2" w:rsidP="00B307D2">
      <w:pPr>
        <w:autoSpaceDE w:val="0"/>
        <w:autoSpaceDN w:val="0"/>
        <w:adjustRightInd w:val="0"/>
        <w:rPr>
          <w:rFonts w:cs="Arial"/>
          <w:szCs w:val="24"/>
        </w:rPr>
      </w:pPr>
    </w:p>
    <w:p w14:paraId="699E2349" w14:textId="77777777" w:rsidR="00B307D2" w:rsidRPr="002B20D6" w:rsidRDefault="00B307D2" w:rsidP="00B307D2">
      <w:pPr>
        <w:autoSpaceDE w:val="0"/>
        <w:autoSpaceDN w:val="0"/>
        <w:adjustRightInd w:val="0"/>
        <w:rPr>
          <w:rFonts w:cs="Arial"/>
          <w:b/>
          <w:bCs/>
          <w:szCs w:val="24"/>
        </w:rPr>
      </w:pPr>
      <w:r w:rsidRPr="002B20D6">
        <w:rPr>
          <w:rFonts w:cs="Arial"/>
          <w:b/>
          <w:bCs/>
          <w:szCs w:val="24"/>
        </w:rPr>
        <w:t>Other information we are required to report on by exception under the Code of Audit Practice</w:t>
      </w:r>
    </w:p>
    <w:p w14:paraId="72BC9403" w14:textId="77777777" w:rsidR="00B307D2" w:rsidRDefault="00B307D2" w:rsidP="00B307D2">
      <w:pPr>
        <w:autoSpaceDE w:val="0"/>
        <w:autoSpaceDN w:val="0"/>
        <w:adjustRightInd w:val="0"/>
        <w:rPr>
          <w:rFonts w:cs="Arial"/>
          <w:szCs w:val="24"/>
        </w:rPr>
      </w:pPr>
    </w:p>
    <w:p w14:paraId="47BB5677" w14:textId="41B554B1" w:rsidR="00B307D2" w:rsidRPr="00A2103A" w:rsidRDefault="00B307D2" w:rsidP="00B307D2">
      <w:r w:rsidRPr="00F017CC">
        <w:rPr>
          <w:rFonts w:cs="Arial"/>
          <w:szCs w:val="24"/>
        </w:rPr>
        <w:t>Under the Code of Audit Practice published by the National Audit Office in April 2020 on behalf of the Comptroller and Auditor General (the Code of Audit Practice) we are</w:t>
      </w:r>
      <w:r>
        <w:rPr>
          <w:rFonts w:cs="Arial"/>
          <w:szCs w:val="24"/>
        </w:rPr>
        <w:t xml:space="preserve"> </w:t>
      </w:r>
      <w:r w:rsidRPr="00F017CC">
        <w:rPr>
          <w:rFonts w:cs="Arial"/>
          <w:szCs w:val="24"/>
        </w:rPr>
        <w:t>required to consider whether the Statement on Annual Governance Arrangements does not comply with ‘Delivering Good Governance in Local Government Framework 2016 Edition’ published by CIPFA and SOLACE</w:t>
      </w:r>
      <w:r>
        <w:rPr>
          <w:rFonts w:cs="Arial"/>
          <w:szCs w:val="24"/>
        </w:rPr>
        <w:t xml:space="preserve"> or</w:t>
      </w:r>
      <w:r w:rsidRPr="00F017CC">
        <w:rPr>
          <w:rFonts w:cs="Arial"/>
          <w:szCs w:val="24"/>
        </w:rPr>
        <w:t xml:space="preserve"> is misleading or inconsistent with the information of which we are aware from our audit. We are not required to consider whether the Statement on Annual Governance Arrangements addresses all risks and controls or that risks are satisfactorily addressed by internal controls.</w:t>
      </w:r>
    </w:p>
    <w:p w14:paraId="5872F659" w14:textId="77777777" w:rsidR="00B307D2" w:rsidRDefault="00B307D2" w:rsidP="00B307D2">
      <w:pPr>
        <w:autoSpaceDE w:val="0"/>
        <w:autoSpaceDN w:val="0"/>
        <w:adjustRightInd w:val="0"/>
        <w:rPr>
          <w:rFonts w:cs="Arial"/>
          <w:szCs w:val="24"/>
        </w:rPr>
      </w:pPr>
      <w:r w:rsidRPr="00F017CC">
        <w:rPr>
          <w:rFonts w:cs="Arial"/>
          <w:szCs w:val="24"/>
        </w:rPr>
        <w:lastRenderedPageBreak/>
        <w:t>We have nothing to report in this regard.</w:t>
      </w:r>
    </w:p>
    <w:p w14:paraId="4D61937E" w14:textId="77777777" w:rsidR="00B307D2" w:rsidRPr="00F017CC" w:rsidRDefault="00B307D2" w:rsidP="00B307D2">
      <w:pPr>
        <w:autoSpaceDE w:val="0"/>
        <w:autoSpaceDN w:val="0"/>
        <w:adjustRightInd w:val="0"/>
        <w:rPr>
          <w:rFonts w:cs="Arial"/>
          <w:szCs w:val="24"/>
        </w:rPr>
      </w:pPr>
    </w:p>
    <w:p w14:paraId="3364167A" w14:textId="77777777" w:rsidR="00B307D2" w:rsidRPr="002B20D6" w:rsidRDefault="00B307D2" w:rsidP="00B307D2">
      <w:pPr>
        <w:autoSpaceDE w:val="0"/>
        <w:autoSpaceDN w:val="0"/>
        <w:adjustRightInd w:val="0"/>
        <w:rPr>
          <w:rFonts w:cs="Arial"/>
          <w:b/>
          <w:bCs/>
          <w:szCs w:val="24"/>
        </w:rPr>
      </w:pPr>
      <w:r w:rsidRPr="002B20D6">
        <w:rPr>
          <w:rFonts w:cs="Arial"/>
          <w:b/>
          <w:bCs/>
          <w:szCs w:val="24"/>
        </w:rPr>
        <w:t>Opinion on other matters required by the Code of Audit Practice</w:t>
      </w:r>
    </w:p>
    <w:p w14:paraId="21BF07A9" w14:textId="77777777" w:rsidR="00B307D2" w:rsidRPr="00F017CC" w:rsidRDefault="00B307D2" w:rsidP="00B307D2">
      <w:pPr>
        <w:autoSpaceDE w:val="0"/>
        <w:autoSpaceDN w:val="0"/>
        <w:adjustRightInd w:val="0"/>
        <w:rPr>
          <w:rFonts w:cs="Arial"/>
          <w:szCs w:val="24"/>
        </w:rPr>
      </w:pPr>
    </w:p>
    <w:p w14:paraId="3895A0DB" w14:textId="77777777" w:rsidR="00B307D2" w:rsidRDefault="00B307D2" w:rsidP="00B307D2">
      <w:pPr>
        <w:autoSpaceDE w:val="0"/>
        <w:autoSpaceDN w:val="0"/>
        <w:adjustRightInd w:val="0"/>
        <w:rPr>
          <w:rFonts w:cs="Arial"/>
          <w:szCs w:val="24"/>
        </w:rPr>
      </w:pPr>
      <w:r w:rsidRPr="00F017CC">
        <w:rPr>
          <w:rFonts w:cs="Arial"/>
          <w:szCs w:val="24"/>
        </w:rPr>
        <w:t xml:space="preserve">In our opinion, based on the work undertaken </w:t>
      </w:r>
      <w:proofErr w:type="gramStart"/>
      <w:r w:rsidRPr="00F017CC">
        <w:rPr>
          <w:rFonts w:cs="Arial"/>
          <w:szCs w:val="24"/>
        </w:rPr>
        <w:t>in the course of</w:t>
      </w:r>
      <w:proofErr w:type="gramEnd"/>
      <w:r w:rsidRPr="00F017CC">
        <w:rPr>
          <w:rFonts w:cs="Arial"/>
          <w:szCs w:val="24"/>
        </w:rPr>
        <w:t xml:space="preserve"> the audit of the financial statements, the other information published together with the financial statements in the Statement of Accounts for the financial year for which the financial statements are prepared is consistent with the financial statements.</w:t>
      </w:r>
    </w:p>
    <w:p w14:paraId="5F48CFD1" w14:textId="77777777" w:rsidR="00B307D2" w:rsidRPr="00F017CC" w:rsidRDefault="00B307D2" w:rsidP="00B307D2">
      <w:pPr>
        <w:autoSpaceDE w:val="0"/>
        <w:autoSpaceDN w:val="0"/>
        <w:adjustRightInd w:val="0"/>
        <w:rPr>
          <w:rFonts w:cs="Arial"/>
          <w:szCs w:val="24"/>
        </w:rPr>
      </w:pPr>
    </w:p>
    <w:p w14:paraId="0759721A" w14:textId="77777777" w:rsidR="00B307D2" w:rsidRPr="002B20D6" w:rsidRDefault="00B307D2" w:rsidP="00B307D2">
      <w:pPr>
        <w:autoSpaceDE w:val="0"/>
        <w:autoSpaceDN w:val="0"/>
        <w:adjustRightInd w:val="0"/>
        <w:rPr>
          <w:rFonts w:cs="Arial"/>
          <w:b/>
          <w:bCs/>
          <w:szCs w:val="24"/>
        </w:rPr>
      </w:pPr>
      <w:r w:rsidRPr="002B20D6">
        <w:rPr>
          <w:rFonts w:cs="Arial"/>
          <w:b/>
          <w:bCs/>
          <w:szCs w:val="24"/>
        </w:rPr>
        <w:t xml:space="preserve">Matters on which we are required to report by </w:t>
      </w:r>
      <w:proofErr w:type="gramStart"/>
      <w:r w:rsidRPr="002B20D6">
        <w:rPr>
          <w:rFonts w:cs="Arial"/>
          <w:b/>
          <w:bCs/>
          <w:szCs w:val="24"/>
        </w:rPr>
        <w:t>exception</w:t>
      </w:r>
      <w:proofErr w:type="gramEnd"/>
    </w:p>
    <w:p w14:paraId="0D7AF583" w14:textId="77777777" w:rsidR="00B307D2" w:rsidRPr="00F017CC" w:rsidRDefault="00B307D2" w:rsidP="00B307D2">
      <w:pPr>
        <w:autoSpaceDE w:val="0"/>
        <w:autoSpaceDN w:val="0"/>
        <w:adjustRightInd w:val="0"/>
        <w:rPr>
          <w:rFonts w:cs="Arial"/>
          <w:szCs w:val="24"/>
        </w:rPr>
      </w:pPr>
    </w:p>
    <w:p w14:paraId="4129608E" w14:textId="77777777" w:rsidR="00B307D2" w:rsidRDefault="00B307D2" w:rsidP="00B307D2">
      <w:pPr>
        <w:autoSpaceDE w:val="0"/>
        <w:autoSpaceDN w:val="0"/>
        <w:adjustRightInd w:val="0"/>
        <w:rPr>
          <w:rFonts w:cs="Arial"/>
          <w:szCs w:val="24"/>
        </w:rPr>
      </w:pPr>
      <w:r w:rsidRPr="00F017CC">
        <w:rPr>
          <w:rFonts w:cs="Arial"/>
          <w:szCs w:val="24"/>
        </w:rPr>
        <w:t>Under the Code of Audit Practice, we are required to report to you if:</w:t>
      </w:r>
    </w:p>
    <w:p w14:paraId="6B6A09BD" w14:textId="77777777" w:rsidR="00B307D2" w:rsidRPr="00F017CC" w:rsidRDefault="00B307D2" w:rsidP="00B307D2">
      <w:pPr>
        <w:autoSpaceDE w:val="0"/>
        <w:autoSpaceDN w:val="0"/>
        <w:adjustRightInd w:val="0"/>
        <w:rPr>
          <w:rFonts w:cs="Arial"/>
          <w:szCs w:val="24"/>
        </w:rPr>
      </w:pPr>
    </w:p>
    <w:p w14:paraId="5E0495EA" w14:textId="77777777" w:rsidR="00B307D2" w:rsidRPr="00F017CC" w:rsidRDefault="00B307D2" w:rsidP="00B307D2">
      <w:pPr>
        <w:autoSpaceDE w:val="0"/>
        <w:autoSpaceDN w:val="0"/>
        <w:adjustRightInd w:val="0"/>
        <w:spacing w:after="240"/>
        <w:rPr>
          <w:rFonts w:cs="Arial"/>
          <w:szCs w:val="24"/>
        </w:rPr>
      </w:pPr>
      <w:r w:rsidRPr="00F017CC">
        <w:rPr>
          <w:rFonts w:cs="Arial"/>
          <w:szCs w:val="24"/>
        </w:rPr>
        <w:t xml:space="preserve">• we issue a report in the public interest under section 24 of the Local Audit and Accountability Act 2014 </w:t>
      </w:r>
      <w:proofErr w:type="gramStart"/>
      <w:r w:rsidRPr="00F017CC">
        <w:rPr>
          <w:rFonts w:cs="Arial"/>
          <w:szCs w:val="24"/>
        </w:rPr>
        <w:t>in the course of</w:t>
      </w:r>
      <w:proofErr w:type="gramEnd"/>
      <w:r w:rsidRPr="00F017CC">
        <w:rPr>
          <w:rFonts w:cs="Arial"/>
          <w:szCs w:val="24"/>
        </w:rPr>
        <w:t>, or at the conclusion of the audit; or</w:t>
      </w:r>
    </w:p>
    <w:p w14:paraId="70F80E64" w14:textId="77777777" w:rsidR="00B307D2" w:rsidRPr="00F017CC" w:rsidRDefault="00B307D2" w:rsidP="00B307D2">
      <w:pPr>
        <w:autoSpaceDE w:val="0"/>
        <w:autoSpaceDN w:val="0"/>
        <w:adjustRightInd w:val="0"/>
        <w:spacing w:after="240"/>
        <w:rPr>
          <w:rFonts w:cs="Arial"/>
          <w:szCs w:val="24"/>
        </w:rPr>
      </w:pPr>
      <w:r w:rsidRPr="00F017CC">
        <w:rPr>
          <w:rFonts w:cs="Arial"/>
          <w:szCs w:val="24"/>
        </w:rPr>
        <w:t xml:space="preserve">• we make a written recommendation to the Authority under section 24 of the Local Audit and Accountability Act 2014 </w:t>
      </w:r>
      <w:proofErr w:type="gramStart"/>
      <w:r w:rsidRPr="00F017CC">
        <w:rPr>
          <w:rFonts w:cs="Arial"/>
          <w:szCs w:val="24"/>
        </w:rPr>
        <w:t>in the course of</w:t>
      </w:r>
      <w:proofErr w:type="gramEnd"/>
      <w:r w:rsidRPr="00F017CC">
        <w:rPr>
          <w:rFonts w:cs="Arial"/>
          <w:szCs w:val="24"/>
        </w:rPr>
        <w:t>, or at the conclusion of the audit; or</w:t>
      </w:r>
    </w:p>
    <w:p w14:paraId="774D111B" w14:textId="77777777" w:rsidR="00B307D2" w:rsidRPr="00F017CC" w:rsidRDefault="00B307D2" w:rsidP="00B307D2">
      <w:pPr>
        <w:autoSpaceDE w:val="0"/>
        <w:autoSpaceDN w:val="0"/>
        <w:adjustRightInd w:val="0"/>
        <w:spacing w:after="240"/>
        <w:rPr>
          <w:rFonts w:cs="Arial"/>
          <w:szCs w:val="24"/>
        </w:rPr>
      </w:pPr>
      <w:r w:rsidRPr="00F017CC">
        <w:rPr>
          <w:rFonts w:cs="Arial"/>
          <w:szCs w:val="24"/>
        </w:rPr>
        <w:t xml:space="preserve">• we make an application to the court for a declaration that an item of account is contrary to law under Section 28 of the Local Audit and Accountability Act 2014 in the course of, or at the conclusion of the audit; </w:t>
      </w:r>
      <w:proofErr w:type="gramStart"/>
      <w:r w:rsidRPr="00F017CC">
        <w:rPr>
          <w:rFonts w:cs="Arial"/>
          <w:szCs w:val="24"/>
        </w:rPr>
        <w:t>or;</w:t>
      </w:r>
      <w:proofErr w:type="gramEnd"/>
    </w:p>
    <w:p w14:paraId="62961F89" w14:textId="77777777" w:rsidR="00B307D2" w:rsidRPr="00F017CC" w:rsidRDefault="00B307D2" w:rsidP="00B307D2">
      <w:pPr>
        <w:autoSpaceDE w:val="0"/>
        <w:autoSpaceDN w:val="0"/>
        <w:adjustRightInd w:val="0"/>
        <w:spacing w:after="240"/>
        <w:rPr>
          <w:rFonts w:cs="Arial"/>
          <w:szCs w:val="24"/>
        </w:rPr>
      </w:pPr>
      <w:r w:rsidRPr="00F017CC">
        <w:rPr>
          <w:rFonts w:cs="Arial"/>
          <w:szCs w:val="24"/>
        </w:rPr>
        <w:t xml:space="preserve">• we issue an advisory notice under Section 29 of the Local Audit and Accountability Act 2014 </w:t>
      </w:r>
      <w:proofErr w:type="gramStart"/>
      <w:r w:rsidRPr="00F017CC">
        <w:rPr>
          <w:rFonts w:cs="Arial"/>
          <w:szCs w:val="24"/>
        </w:rPr>
        <w:t>in the course of</w:t>
      </w:r>
      <w:proofErr w:type="gramEnd"/>
      <w:r w:rsidRPr="00F017CC">
        <w:rPr>
          <w:rFonts w:cs="Arial"/>
          <w:szCs w:val="24"/>
        </w:rPr>
        <w:t>, or at the conclusion of the audit; or</w:t>
      </w:r>
    </w:p>
    <w:p w14:paraId="3444A5CF" w14:textId="77777777" w:rsidR="00B307D2" w:rsidRDefault="00B307D2" w:rsidP="00B307D2">
      <w:pPr>
        <w:autoSpaceDE w:val="0"/>
        <w:autoSpaceDN w:val="0"/>
        <w:adjustRightInd w:val="0"/>
        <w:spacing w:after="240"/>
        <w:rPr>
          <w:rFonts w:cs="Arial"/>
          <w:szCs w:val="24"/>
        </w:rPr>
      </w:pPr>
      <w:r w:rsidRPr="00F017CC">
        <w:rPr>
          <w:rFonts w:cs="Arial"/>
          <w:szCs w:val="24"/>
        </w:rPr>
        <w:t xml:space="preserve">• we make an application for judicial review under Section 31 of the Local Audit and Accountability Act 2014, </w:t>
      </w:r>
      <w:proofErr w:type="gramStart"/>
      <w:r w:rsidRPr="00F017CC">
        <w:rPr>
          <w:rFonts w:cs="Arial"/>
          <w:szCs w:val="24"/>
        </w:rPr>
        <w:t>in the course of</w:t>
      </w:r>
      <w:proofErr w:type="gramEnd"/>
      <w:r w:rsidRPr="00F017CC">
        <w:rPr>
          <w:rFonts w:cs="Arial"/>
          <w:szCs w:val="24"/>
        </w:rPr>
        <w:t>, or at the conclusion of the audit.</w:t>
      </w:r>
    </w:p>
    <w:p w14:paraId="4E0B959C" w14:textId="77777777" w:rsidR="00B307D2" w:rsidRDefault="00B307D2" w:rsidP="00B307D2">
      <w:pPr>
        <w:autoSpaceDE w:val="0"/>
        <w:autoSpaceDN w:val="0"/>
        <w:adjustRightInd w:val="0"/>
        <w:rPr>
          <w:rFonts w:cs="Arial"/>
          <w:szCs w:val="24"/>
        </w:rPr>
      </w:pPr>
      <w:r w:rsidRPr="00F017CC">
        <w:rPr>
          <w:rFonts w:cs="Arial"/>
          <w:szCs w:val="24"/>
        </w:rPr>
        <w:t>We have nothing to report in respect of the above matters.</w:t>
      </w:r>
    </w:p>
    <w:p w14:paraId="2D7755E5" w14:textId="77777777" w:rsidR="00B307D2" w:rsidRPr="00F017CC" w:rsidRDefault="00B307D2" w:rsidP="00B307D2">
      <w:pPr>
        <w:autoSpaceDE w:val="0"/>
        <w:autoSpaceDN w:val="0"/>
        <w:adjustRightInd w:val="0"/>
        <w:rPr>
          <w:rFonts w:cs="Arial"/>
          <w:szCs w:val="24"/>
        </w:rPr>
      </w:pPr>
    </w:p>
    <w:p w14:paraId="5626EBF6" w14:textId="77777777" w:rsidR="00B307D2" w:rsidRPr="002B20D6" w:rsidRDefault="00B307D2" w:rsidP="00B307D2">
      <w:pPr>
        <w:autoSpaceDE w:val="0"/>
        <w:autoSpaceDN w:val="0"/>
        <w:adjustRightInd w:val="0"/>
        <w:rPr>
          <w:rFonts w:cs="Arial"/>
          <w:b/>
          <w:bCs/>
          <w:szCs w:val="24"/>
        </w:rPr>
      </w:pPr>
      <w:r w:rsidRPr="002B20D6">
        <w:rPr>
          <w:rFonts w:cs="Arial"/>
          <w:b/>
          <w:bCs/>
          <w:szCs w:val="24"/>
        </w:rPr>
        <w:t>Responsibilities of the Authority and the Treasurer to the Combined Fire Authority</w:t>
      </w:r>
    </w:p>
    <w:p w14:paraId="2E3717EE" w14:textId="77777777" w:rsidR="00B307D2" w:rsidRDefault="00B307D2" w:rsidP="00B307D2">
      <w:pPr>
        <w:autoSpaceDE w:val="0"/>
        <w:autoSpaceDN w:val="0"/>
        <w:adjustRightInd w:val="0"/>
        <w:rPr>
          <w:rFonts w:cs="Arial"/>
          <w:szCs w:val="24"/>
        </w:rPr>
      </w:pPr>
    </w:p>
    <w:p w14:paraId="5B6139AF" w14:textId="77777777" w:rsidR="00B307D2" w:rsidRDefault="00B307D2" w:rsidP="00B307D2">
      <w:pPr>
        <w:autoSpaceDE w:val="0"/>
        <w:autoSpaceDN w:val="0"/>
        <w:adjustRightInd w:val="0"/>
        <w:rPr>
          <w:rFonts w:cs="Arial"/>
          <w:szCs w:val="24"/>
        </w:rPr>
      </w:pPr>
      <w:r w:rsidRPr="00F017CC">
        <w:rPr>
          <w:rFonts w:cs="Arial"/>
          <w:szCs w:val="24"/>
        </w:rPr>
        <w:t xml:space="preserve">As explained more fully in the Statement of Responsibilities the Authority is required to </w:t>
      </w:r>
      <w:proofErr w:type="gramStart"/>
      <w:r w:rsidRPr="00F017CC">
        <w:rPr>
          <w:rFonts w:cs="Arial"/>
          <w:szCs w:val="24"/>
        </w:rPr>
        <w:t>make arrangements</w:t>
      </w:r>
      <w:proofErr w:type="gramEnd"/>
      <w:r w:rsidRPr="00F017CC">
        <w:rPr>
          <w:rFonts w:cs="Arial"/>
          <w:szCs w:val="24"/>
        </w:rPr>
        <w:t xml:space="preserve"> for the proper administration of its financial affairs and to secure that one of its officers has the responsibility for the administration of those affairs. In this authority, that officer is the Treasurer to the Combined Fire Authority. The Treasurer to the Combined Fire Authority is responsible for the preparation of the Statement of Accounts, which includes the financial statements, in accordance with proper practices as set out in the CIPFA/LASAAC Code of Practice on Local Authority Accounting in the United Kingdom 2022/23, for being satisfied that they give a true and fair view, and for such internal control as the Treasurer to the</w:t>
      </w:r>
      <w:r>
        <w:rPr>
          <w:rFonts w:cs="Arial"/>
          <w:szCs w:val="24"/>
        </w:rPr>
        <w:t xml:space="preserve"> </w:t>
      </w:r>
      <w:r w:rsidRPr="00F017CC">
        <w:rPr>
          <w:rFonts w:cs="Arial"/>
          <w:szCs w:val="24"/>
        </w:rPr>
        <w:t>Combined Fire Authority determines is necessary to enable the preparation of financial statements that are free from material misstatement, whether due to fraud or error.</w:t>
      </w:r>
    </w:p>
    <w:p w14:paraId="3BEECB30" w14:textId="77777777" w:rsidR="00B307D2" w:rsidRPr="00F017CC" w:rsidRDefault="00B307D2" w:rsidP="00B307D2">
      <w:pPr>
        <w:autoSpaceDE w:val="0"/>
        <w:autoSpaceDN w:val="0"/>
        <w:adjustRightInd w:val="0"/>
        <w:rPr>
          <w:rFonts w:cs="Arial"/>
          <w:szCs w:val="24"/>
        </w:rPr>
      </w:pPr>
    </w:p>
    <w:p w14:paraId="39E089D4" w14:textId="77777777" w:rsidR="00B307D2" w:rsidRDefault="00B307D2" w:rsidP="00B307D2">
      <w:pPr>
        <w:autoSpaceDE w:val="0"/>
        <w:autoSpaceDN w:val="0"/>
        <w:adjustRightInd w:val="0"/>
        <w:rPr>
          <w:rFonts w:cs="Arial"/>
          <w:szCs w:val="24"/>
        </w:rPr>
      </w:pPr>
      <w:r w:rsidRPr="00F017CC">
        <w:rPr>
          <w:rFonts w:cs="Arial"/>
          <w:szCs w:val="24"/>
        </w:rPr>
        <w:t>In preparing the financial statements, the Treasurer to the Combined Fire Authority is responsible for assessing the Authority’s ability to continue as a going concern, disclosing, as applicable, matters related to going concern and using the going concern basis of accounting unless they have been informed by the relevant national body of the intention to dissolve the Authority without the transfer of its services to another public sector entity.</w:t>
      </w:r>
    </w:p>
    <w:p w14:paraId="07FF91F5" w14:textId="77777777" w:rsidR="00B307D2" w:rsidRDefault="00B307D2">
      <w:pPr>
        <w:rPr>
          <w:rFonts w:cs="Arial"/>
          <w:szCs w:val="24"/>
        </w:rPr>
      </w:pPr>
      <w:r>
        <w:rPr>
          <w:rFonts w:cs="Arial"/>
          <w:szCs w:val="24"/>
        </w:rPr>
        <w:br w:type="page"/>
      </w:r>
    </w:p>
    <w:p w14:paraId="2FCF8D2D" w14:textId="761468A6" w:rsidR="00B307D2" w:rsidRPr="00B307D2" w:rsidRDefault="00B307D2" w:rsidP="00B307D2">
      <w:pPr>
        <w:autoSpaceDE w:val="0"/>
        <w:autoSpaceDN w:val="0"/>
        <w:adjustRightInd w:val="0"/>
        <w:rPr>
          <w:rFonts w:cs="Arial"/>
          <w:szCs w:val="24"/>
        </w:rPr>
      </w:pPr>
      <w:r w:rsidRPr="00125D7D">
        <w:rPr>
          <w:rFonts w:cs="Arial"/>
          <w:b/>
          <w:bCs/>
          <w:szCs w:val="24"/>
        </w:rPr>
        <w:lastRenderedPageBreak/>
        <w:t>Auditor’s responsibilities for the audit of the financial statements</w:t>
      </w:r>
    </w:p>
    <w:p w14:paraId="4867B3E4" w14:textId="77777777" w:rsidR="00B307D2" w:rsidRPr="00F017CC" w:rsidRDefault="00B307D2" w:rsidP="00B307D2">
      <w:pPr>
        <w:autoSpaceDE w:val="0"/>
        <w:autoSpaceDN w:val="0"/>
        <w:adjustRightInd w:val="0"/>
        <w:rPr>
          <w:rFonts w:cs="Arial"/>
          <w:szCs w:val="24"/>
        </w:rPr>
      </w:pPr>
    </w:p>
    <w:p w14:paraId="4D6D02AD" w14:textId="77777777" w:rsidR="00B307D2" w:rsidRDefault="00B307D2" w:rsidP="00B307D2">
      <w:pPr>
        <w:autoSpaceDE w:val="0"/>
        <w:autoSpaceDN w:val="0"/>
        <w:adjustRightInd w:val="0"/>
        <w:rPr>
          <w:rFonts w:cs="Arial"/>
          <w:szCs w:val="24"/>
        </w:rPr>
      </w:pPr>
      <w:r w:rsidRPr="00F017CC">
        <w:rPr>
          <w:rFonts w:cs="Arial"/>
          <w:szCs w:val="24"/>
        </w:rPr>
        <w:t xml:space="preserve">Our objectives are to obtain reasonable assurance about whether the financial statements </w:t>
      </w:r>
      <w:proofErr w:type="gramStart"/>
      <w:r w:rsidRPr="00F017CC">
        <w:rPr>
          <w:rFonts w:cs="Arial"/>
          <w:szCs w:val="24"/>
        </w:rPr>
        <w:t>as a whole are</w:t>
      </w:r>
      <w:proofErr w:type="gramEnd"/>
      <w:r w:rsidRPr="00F017CC">
        <w:rPr>
          <w:rFonts w:cs="Arial"/>
          <w:szCs w:val="24"/>
        </w:rPr>
        <w:t xml:space="preserv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w:t>
      </w:r>
    </w:p>
    <w:p w14:paraId="6A0C804F" w14:textId="77777777" w:rsidR="00B307D2" w:rsidRPr="00F017CC" w:rsidRDefault="00B307D2" w:rsidP="00B307D2">
      <w:pPr>
        <w:autoSpaceDE w:val="0"/>
        <w:autoSpaceDN w:val="0"/>
        <w:adjustRightInd w:val="0"/>
        <w:rPr>
          <w:rFonts w:cs="Arial"/>
          <w:szCs w:val="24"/>
        </w:rPr>
      </w:pPr>
    </w:p>
    <w:p w14:paraId="7CA35241" w14:textId="77777777" w:rsidR="00B307D2" w:rsidRDefault="00B307D2" w:rsidP="00B307D2">
      <w:pPr>
        <w:autoSpaceDE w:val="0"/>
        <w:autoSpaceDN w:val="0"/>
        <w:adjustRightInd w:val="0"/>
        <w:rPr>
          <w:rFonts w:cs="Arial"/>
          <w:szCs w:val="24"/>
        </w:rPr>
      </w:pPr>
      <w:r w:rsidRPr="00F017CC">
        <w:rPr>
          <w:rFonts w:cs="Arial"/>
          <w:szCs w:val="24"/>
        </w:rPr>
        <w:t xml:space="preserve">Misstatements can arise from fraud or error and are considered material if, individually or in the aggregate, they could reasonably be expected to influence the economic decisions of users taken </w:t>
      </w:r>
      <w:proofErr w:type="gramStart"/>
      <w:r w:rsidRPr="00F017CC">
        <w:rPr>
          <w:rFonts w:cs="Arial"/>
          <w:szCs w:val="24"/>
        </w:rPr>
        <w:t>on the basis of</w:t>
      </w:r>
      <w:proofErr w:type="gramEnd"/>
      <w:r w:rsidRPr="00F017CC">
        <w:rPr>
          <w:rFonts w:cs="Arial"/>
          <w:szCs w:val="24"/>
        </w:rPr>
        <w:t xml:space="preserve"> these financial statements. Irregularities, including fraud, are instances of non-compliance with laws and regulations. The extent to which our procedures </w:t>
      </w:r>
      <w:proofErr w:type="gramStart"/>
      <w:r w:rsidRPr="00F017CC">
        <w:rPr>
          <w:rFonts w:cs="Arial"/>
          <w:szCs w:val="24"/>
        </w:rPr>
        <w:t>are capable of detecting</w:t>
      </w:r>
      <w:proofErr w:type="gramEnd"/>
      <w:r w:rsidRPr="00F017CC">
        <w:rPr>
          <w:rFonts w:cs="Arial"/>
          <w:szCs w:val="24"/>
        </w:rPr>
        <w:t xml:space="preserve"> irregularities, including fraud, is detailed below.</w:t>
      </w:r>
    </w:p>
    <w:p w14:paraId="2097759C" w14:textId="77777777" w:rsidR="00B307D2" w:rsidRPr="00F017CC" w:rsidRDefault="00B307D2" w:rsidP="00B307D2">
      <w:pPr>
        <w:autoSpaceDE w:val="0"/>
        <w:autoSpaceDN w:val="0"/>
        <w:adjustRightInd w:val="0"/>
        <w:rPr>
          <w:rFonts w:cs="Arial"/>
          <w:szCs w:val="24"/>
        </w:rPr>
      </w:pPr>
    </w:p>
    <w:p w14:paraId="6D87AE05" w14:textId="77777777" w:rsidR="00B307D2" w:rsidRDefault="00B307D2" w:rsidP="00B307D2">
      <w:pPr>
        <w:autoSpaceDE w:val="0"/>
        <w:autoSpaceDN w:val="0"/>
        <w:adjustRightInd w:val="0"/>
        <w:rPr>
          <w:rFonts w:cs="Arial"/>
          <w:szCs w:val="24"/>
        </w:rPr>
      </w:pPr>
      <w:r w:rsidRPr="00F017CC">
        <w:rPr>
          <w:rFonts w:cs="Arial"/>
          <w:szCs w:val="24"/>
        </w:rPr>
        <w:t>We obtained an understanding of the legal and regulatory frameworks that are applicable to the Authority and determined that the most significant which are directly relevant to specific assertions in the financial statements are those related to the reporting frameworks (the CIPFA/LASAAC Code of Practice on Local Authority Accounting in the United Kingdom 2022/23, the Local Audit and Accountability Act 2014, the Accounts and Audit Regulations 2015, the Local Government Act 2003, the Fire and Rescue Services Act 2004, Public Service Pension Act 2013, Firefighters’ Pension Scheme (England) Regulations 2014 and Firefighters Pension Scheme (England) Order 2006).</w:t>
      </w:r>
    </w:p>
    <w:p w14:paraId="092BF98B" w14:textId="77777777" w:rsidR="00B307D2" w:rsidRPr="00F017CC" w:rsidRDefault="00B307D2" w:rsidP="00B307D2">
      <w:pPr>
        <w:autoSpaceDE w:val="0"/>
        <w:autoSpaceDN w:val="0"/>
        <w:adjustRightInd w:val="0"/>
        <w:rPr>
          <w:rFonts w:cs="Arial"/>
          <w:szCs w:val="24"/>
        </w:rPr>
      </w:pPr>
    </w:p>
    <w:p w14:paraId="7711098F" w14:textId="77777777" w:rsidR="00B307D2" w:rsidRDefault="00B307D2" w:rsidP="00B307D2">
      <w:pPr>
        <w:autoSpaceDE w:val="0"/>
        <w:autoSpaceDN w:val="0"/>
        <w:adjustRightInd w:val="0"/>
        <w:rPr>
          <w:rFonts w:cs="Arial"/>
          <w:szCs w:val="24"/>
        </w:rPr>
      </w:pPr>
      <w:r w:rsidRPr="00F017CC">
        <w:rPr>
          <w:rFonts w:cs="Arial"/>
          <w:szCs w:val="24"/>
        </w:rPr>
        <w:t>We enquired of management and the audit committee, concerning the Authority’s policies and procedures relating to:</w:t>
      </w:r>
    </w:p>
    <w:p w14:paraId="63A89866" w14:textId="77777777" w:rsidR="00B307D2" w:rsidRPr="00F017CC" w:rsidRDefault="00B307D2" w:rsidP="00B307D2">
      <w:pPr>
        <w:autoSpaceDE w:val="0"/>
        <w:autoSpaceDN w:val="0"/>
        <w:adjustRightInd w:val="0"/>
        <w:rPr>
          <w:rFonts w:cs="Arial"/>
          <w:szCs w:val="24"/>
        </w:rPr>
      </w:pPr>
    </w:p>
    <w:p w14:paraId="55EB7F28" w14:textId="77777777" w:rsidR="00B307D2" w:rsidRPr="00F017CC" w:rsidRDefault="00B307D2" w:rsidP="00B307D2">
      <w:pPr>
        <w:autoSpaceDE w:val="0"/>
        <w:autoSpaceDN w:val="0"/>
        <w:adjustRightInd w:val="0"/>
        <w:spacing w:after="240"/>
        <w:rPr>
          <w:rFonts w:cs="Arial"/>
          <w:szCs w:val="24"/>
        </w:rPr>
      </w:pPr>
      <w:r w:rsidRPr="00F017CC">
        <w:rPr>
          <w:rFonts w:cs="Arial"/>
          <w:szCs w:val="24"/>
        </w:rPr>
        <w:t xml:space="preserve">• the identification, evaluation and compliance with laws and </w:t>
      </w:r>
      <w:proofErr w:type="gramStart"/>
      <w:r w:rsidRPr="00F017CC">
        <w:rPr>
          <w:rFonts w:cs="Arial"/>
          <w:szCs w:val="24"/>
        </w:rPr>
        <w:t>regulations;</w:t>
      </w:r>
      <w:proofErr w:type="gramEnd"/>
    </w:p>
    <w:p w14:paraId="467A1645" w14:textId="77777777" w:rsidR="00B307D2" w:rsidRPr="00F017CC" w:rsidRDefault="00B307D2" w:rsidP="00B307D2">
      <w:pPr>
        <w:autoSpaceDE w:val="0"/>
        <w:autoSpaceDN w:val="0"/>
        <w:adjustRightInd w:val="0"/>
        <w:spacing w:after="240"/>
        <w:rPr>
          <w:rFonts w:cs="Arial"/>
          <w:szCs w:val="24"/>
        </w:rPr>
      </w:pPr>
      <w:r w:rsidRPr="00F017CC">
        <w:rPr>
          <w:rFonts w:cs="Arial"/>
          <w:szCs w:val="24"/>
        </w:rPr>
        <w:t>• the detection and response to the risks of fraud; and</w:t>
      </w:r>
    </w:p>
    <w:p w14:paraId="54B52EC1" w14:textId="77777777" w:rsidR="00B307D2" w:rsidRPr="00F017CC" w:rsidRDefault="00B307D2" w:rsidP="00B307D2">
      <w:pPr>
        <w:autoSpaceDE w:val="0"/>
        <w:autoSpaceDN w:val="0"/>
        <w:adjustRightInd w:val="0"/>
        <w:spacing w:after="240"/>
        <w:rPr>
          <w:rFonts w:cs="Arial"/>
          <w:szCs w:val="24"/>
        </w:rPr>
      </w:pPr>
      <w:r w:rsidRPr="00F017CC">
        <w:rPr>
          <w:rFonts w:cs="Arial"/>
          <w:szCs w:val="24"/>
        </w:rPr>
        <w:t>• the establishment of internal controls to mitigate risks related to fraud or non-compliance with laws and regulations.</w:t>
      </w:r>
    </w:p>
    <w:p w14:paraId="45CF8C36" w14:textId="77777777" w:rsidR="00B307D2" w:rsidRDefault="00B307D2" w:rsidP="00B307D2">
      <w:pPr>
        <w:autoSpaceDE w:val="0"/>
        <w:autoSpaceDN w:val="0"/>
        <w:adjustRightInd w:val="0"/>
        <w:rPr>
          <w:rFonts w:cs="Arial"/>
          <w:szCs w:val="24"/>
        </w:rPr>
      </w:pPr>
      <w:r w:rsidRPr="00F017CC">
        <w:rPr>
          <w:rFonts w:cs="Arial"/>
          <w:szCs w:val="24"/>
        </w:rPr>
        <w:t xml:space="preserve">We enquired of management, internal </w:t>
      </w:r>
      <w:proofErr w:type="gramStart"/>
      <w:r w:rsidRPr="00F017CC">
        <w:rPr>
          <w:rFonts w:cs="Arial"/>
          <w:szCs w:val="24"/>
        </w:rPr>
        <w:t>audit</w:t>
      </w:r>
      <w:proofErr w:type="gramEnd"/>
      <w:r w:rsidRPr="00F017CC">
        <w:rPr>
          <w:rFonts w:cs="Arial"/>
          <w:szCs w:val="24"/>
        </w:rPr>
        <w:t xml:space="preserve"> and the audit committee, whether they were aware of any instances of non-compliance with laws and regulations or whether they had any knowledge of actual, suspected or alleged fraud.</w:t>
      </w:r>
    </w:p>
    <w:p w14:paraId="37973D3C" w14:textId="4642D540" w:rsidR="006B4BE1" w:rsidRDefault="006B4BE1" w:rsidP="00B307D2">
      <w:pPr>
        <w:rPr>
          <w:szCs w:val="24"/>
        </w:rPr>
      </w:pPr>
    </w:p>
    <w:p w14:paraId="687D2880" w14:textId="77777777" w:rsidR="00B307D2" w:rsidRDefault="00B307D2" w:rsidP="00B307D2">
      <w:pPr>
        <w:autoSpaceDE w:val="0"/>
        <w:autoSpaceDN w:val="0"/>
        <w:adjustRightInd w:val="0"/>
        <w:rPr>
          <w:rFonts w:cs="Arial"/>
          <w:szCs w:val="24"/>
        </w:rPr>
      </w:pPr>
      <w:r w:rsidRPr="00F017CC">
        <w:rPr>
          <w:rFonts w:cs="Arial"/>
          <w:szCs w:val="24"/>
        </w:rPr>
        <w:t>We assessed the susceptibility of the Authority’s financial statements to material misstatement, including how fraud might occur, by evaluating management’s incentives and opportunities for manipulation of the financial statements. This included the evaluation of the risk of potential management bias in determining accounting estimates for the valuation of land and buildings and the pension liability/asset, and management override of controls. We determined that the principal risks were in relation to processing of inappropriate journals. Our audit procedures involved:</w:t>
      </w:r>
    </w:p>
    <w:p w14:paraId="2487B2E2" w14:textId="77777777" w:rsidR="00B307D2" w:rsidRPr="00F017CC" w:rsidRDefault="00B307D2" w:rsidP="00B307D2">
      <w:pPr>
        <w:autoSpaceDE w:val="0"/>
        <w:autoSpaceDN w:val="0"/>
        <w:adjustRightInd w:val="0"/>
        <w:rPr>
          <w:rFonts w:cs="Arial"/>
          <w:szCs w:val="24"/>
        </w:rPr>
      </w:pPr>
    </w:p>
    <w:p w14:paraId="04E64FA9" w14:textId="77777777" w:rsidR="00B307D2" w:rsidRPr="00F017CC" w:rsidRDefault="00B307D2" w:rsidP="00127BBA">
      <w:pPr>
        <w:autoSpaceDE w:val="0"/>
        <w:autoSpaceDN w:val="0"/>
        <w:adjustRightInd w:val="0"/>
        <w:spacing w:after="240"/>
        <w:rPr>
          <w:rFonts w:cs="Arial"/>
          <w:szCs w:val="24"/>
        </w:rPr>
      </w:pPr>
      <w:r w:rsidRPr="00F017CC">
        <w:rPr>
          <w:rFonts w:cs="Arial"/>
          <w:szCs w:val="24"/>
        </w:rPr>
        <w:t>• evaluation of the design effectiveness of controls that management has in place to prevent and detect fraud,</w:t>
      </w:r>
    </w:p>
    <w:p w14:paraId="128ACBC8" w14:textId="77777777" w:rsidR="00B307D2" w:rsidRPr="00F017CC" w:rsidRDefault="00B307D2" w:rsidP="00127BBA">
      <w:pPr>
        <w:autoSpaceDE w:val="0"/>
        <w:autoSpaceDN w:val="0"/>
        <w:adjustRightInd w:val="0"/>
        <w:spacing w:after="240"/>
        <w:rPr>
          <w:rFonts w:cs="Arial"/>
          <w:szCs w:val="24"/>
        </w:rPr>
      </w:pPr>
      <w:r w:rsidRPr="00F017CC">
        <w:rPr>
          <w:rFonts w:cs="Arial"/>
          <w:szCs w:val="24"/>
        </w:rPr>
        <w:t xml:space="preserve">• journal entry testing, with a focus on material closing entry journals, journals which involved a credit to expenditure codes, unusual manual debtor journals, unusual manual creditor journals and a random selection of journals throughout the period including manual journals with </w:t>
      </w:r>
      <w:proofErr w:type="gramStart"/>
      <w:r w:rsidRPr="00F017CC">
        <w:rPr>
          <w:rFonts w:cs="Arial"/>
          <w:szCs w:val="24"/>
        </w:rPr>
        <w:t>high risk</w:t>
      </w:r>
      <w:proofErr w:type="gramEnd"/>
      <w:r w:rsidRPr="00F017CC">
        <w:rPr>
          <w:rFonts w:cs="Arial"/>
          <w:szCs w:val="24"/>
        </w:rPr>
        <w:t xml:space="preserve"> characteristics,</w:t>
      </w:r>
    </w:p>
    <w:p w14:paraId="71B872C6" w14:textId="77777777" w:rsidR="00B307D2" w:rsidRPr="00F017CC" w:rsidRDefault="00B307D2" w:rsidP="00127BBA">
      <w:pPr>
        <w:autoSpaceDE w:val="0"/>
        <w:autoSpaceDN w:val="0"/>
        <w:adjustRightInd w:val="0"/>
        <w:spacing w:after="240"/>
        <w:rPr>
          <w:rFonts w:cs="Arial"/>
          <w:szCs w:val="24"/>
        </w:rPr>
      </w:pPr>
      <w:r w:rsidRPr="00F017CC">
        <w:rPr>
          <w:rFonts w:cs="Arial"/>
          <w:szCs w:val="24"/>
        </w:rPr>
        <w:lastRenderedPageBreak/>
        <w:t>• challenging assumptions and judgements made by management in its significant accounting estimates in respect of land and building valuations and pension liability/asset valuations, and</w:t>
      </w:r>
    </w:p>
    <w:p w14:paraId="4C17FBD5" w14:textId="77777777" w:rsidR="00B307D2" w:rsidRPr="00F017CC" w:rsidRDefault="00B307D2" w:rsidP="00127BBA">
      <w:pPr>
        <w:autoSpaceDE w:val="0"/>
        <w:autoSpaceDN w:val="0"/>
        <w:adjustRightInd w:val="0"/>
        <w:spacing w:after="240"/>
        <w:rPr>
          <w:rFonts w:cs="Arial"/>
          <w:szCs w:val="24"/>
        </w:rPr>
      </w:pPr>
      <w:r w:rsidRPr="00F017CC">
        <w:rPr>
          <w:rFonts w:cs="Arial"/>
          <w:szCs w:val="24"/>
        </w:rPr>
        <w:t>• assessing the extent of compliance with the relevant laws and regulations as part of our procedures on the related financial statement item.</w:t>
      </w:r>
    </w:p>
    <w:p w14:paraId="4F24F56B" w14:textId="77777777" w:rsidR="00B307D2" w:rsidRDefault="00B307D2" w:rsidP="00B307D2">
      <w:pPr>
        <w:autoSpaceDE w:val="0"/>
        <w:autoSpaceDN w:val="0"/>
        <w:adjustRightInd w:val="0"/>
        <w:rPr>
          <w:rFonts w:cs="Arial"/>
          <w:szCs w:val="24"/>
        </w:rPr>
      </w:pPr>
      <w:r w:rsidRPr="00F017CC">
        <w:rPr>
          <w:rFonts w:cs="Arial"/>
          <w:szCs w:val="24"/>
        </w:rPr>
        <w:t xml:space="preserve">These audit procedures were designed to provide reasonable assurance that the financial statements were free from fraud or error. The risk of not detecting a material misstatement due to fraud is higher than the risk of not detecting one resulting from error and detecting irregularities that result from fraud is inherently more difficult than detecting those that result from error, as fraud may involve collusion, deliberate concealment, </w:t>
      </w:r>
      <w:proofErr w:type="gramStart"/>
      <w:r w:rsidRPr="00F017CC">
        <w:rPr>
          <w:rFonts w:cs="Arial"/>
          <w:szCs w:val="24"/>
        </w:rPr>
        <w:t>forgery</w:t>
      </w:r>
      <w:proofErr w:type="gramEnd"/>
      <w:r w:rsidRPr="00F017CC">
        <w:rPr>
          <w:rFonts w:cs="Arial"/>
          <w:szCs w:val="24"/>
        </w:rPr>
        <w:t xml:space="preserve"> or intentional misrepresentations. Also, the further removed non-compliance with laws and regulations is from events and transactions reflected in the financial statements, the less likely we would become aware of it.</w:t>
      </w:r>
    </w:p>
    <w:p w14:paraId="57E7D7F2" w14:textId="77777777" w:rsidR="00B307D2" w:rsidRPr="00F017CC" w:rsidRDefault="00B307D2" w:rsidP="00B307D2">
      <w:pPr>
        <w:autoSpaceDE w:val="0"/>
        <w:autoSpaceDN w:val="0"/>
        <w:adjustRightInd w:val="0"/>
        <w:rPr>
          <w:rFonts w:cs="Arial"/>
          <w:szCs w:val="24"/>
        </w:rPr>
      </w:pPr>
    </w:p>
    <w:p w14:paraId="74544317" w14:textId="77777777" w:rsidR="00B307D2" w:rsidRDefault="00B307D2" w:rsidP="00B307D2">
      <w:pPr>
        <w:autoSpaceDE w:val="0"/>
        <w:autoSpaceDN w:val="0"/>
        <w:adjustRightInd w:val="0"/>
        <w:rPr>
          <w:rFonts w:cs="Arial"/>
          <w:szCs w:val="24"/>
        </w:rPr>
      </w:pPr>
      <w:r w:rsidRPr="00F017CC">
        <w:rPr>
          <w:rFonts w:cs="Arial"/>
          <w:szCs w:val="24"/>
        </w:rPr>
        <w:t>We communicated relevant laws and regulations and potential fraud risks to all engagement team members, including significant accounting estimates related to land and buildings and pension liability/asset. We remained alert to any indications of non-compliance with laws and regulations, including fraud, throughout the audit.</w:t>
      </w:r>
    </w:p>
    <w:p w14:paraId="5F9EC3F0" w14:textId="77777777" w:rsidR="00B307D2" w:rsidRPr="00F017CC" w:rsidRDefault="00B307D2" w:rsidP="00B307D2">
      <w:pPr>
        <w:autoSpaceDE w:val="0"/>
        <w:autoSpaceDN w:val="0"/>
        <w:adjustRightInd w:val="0"/>
        <w:rPr>
          <w:rFonts w:cs="Arial"/>
          <w:szCs w:val="24"/>
        </w:rPr>
      </w:pPr>
    </w:p>
    <w:p w14:paraId="68CFAE51" w14:textId="77777777" w:rsidR="00B307D2" w:rsidRDefault="00B307D2" w:rsidP="00B307D2">
      <w:pPr>
        <w:autoSpaceDE w:val="0"/>
        <w:autoSpaceDN w:val="0"/>
        <w:adjustRightInd w:val="0"/>
        <w:rPr>
          <w:rFonts w:cs="Arial"/>
          <w:szCs w:val="24"/>
        </w:rPr>
      </w:pPr>
      <w:r w:rsidRPr="00F017CC">
        <w:rPr>
          <w:rFonts w:cs="Arial"/>
          <w:szCs w:val="24"/>
        </w:rPr>
        <w:t>Our assessment of the appropriateness of the collective competence and capabilities of the engagement team included consideration of the engagement team's.</w:t>
      </w:r>
    </w:p>
    <w:p w14:paraId="025F5B5B" w14:textId="77777777" w:rsidR="00B307D2" w:rsidRPr="00F017CC" w:rsidRDefault="00B307D2" w:rsidP="00B307D2">
      <w:pPr>
        <w:autoSpaceDE w:val="0"/>
        <w:autoSpaceDN w:val="0"/>
        <w:adjustRightInd w:val="0"/>
        <w:rPr>
          <w:rFonts w:cs="Arial"/>
          <w:szCs w:val="24"/>
        </w:rPr>
      </w:pPr>
    </w:p>
    <w:p w14:paraId="1F406430" w14:textId="77777777" w:rsidR="00B307D2" w:rsidRPr="00F017CC" w:rsidRDefault="00B307D2" w:rsidP="00127BBA">
      <w:pPr>
        <w:autoSpaceDE w:val="0"/>
        <w:autoSpaceDN w:val="0"/>
        <w:adjustRightInd w:val="0"/>
        <w:spacing w:after="240"/>
        <w:rPr>
          <w:rFonts w:cs="Arial"/>
          <w:szCs w:val="24"/>
        </w:rPr>
      </w:pPr>
      <w:r w:rsidRPr="00F017CC">
        <w:rPr>
          <w:rFonts w:cs="Arial"/>
          <w:szCs w:val="24"/>
        </w:rPr>
        <w:t>• understanding of, and practical experience with audit engagements of a similar nature and complexity through appropriate training and participation</w:t>
      </w:r>
    </w:p>
    <w:p w14:paraId="04504CC7" w14:textId="77777777" w:rsidR="00B307D2" w:rsidRPr="00F017CC" w:rsidRDefault="00B307D2" w:rsidP="00127BBA">
      <w:pPr>
        <w:autoSpaceDE w:val="0"/>
        <w:autoSpaceDN w:val="0"/>
        <w:adjustRightInd w:val="0"/>
        <w:spacing w:after="240"/>
        <w:rPr>
          <w:rFonts w:cs="Arial"/>
          <w:szCs w:val="24"/>
        </w:rPr>
      </w:pPr>
      <w:r w:rsidRPr="00F017CC">
        <w:rPr>
          <w:rFonts w:cs="Arial"/>
          <w:szCs w:val="24"/>
        </w:rPr>
        <w:t>• knowledge of the local government sector</w:t>
      </w:r>
    </w:p>
    <w:p w14:paraId="179E0F6A" w14:textId="77777777" w:rsidR="00B307D2" w:rsidRPr="00F017CC" w:rsidRDefault="00B307D2" w:rsidP="00127BBA">
      <w:pPr>
        <w:autoSpaceDE w:val="0"/>
        <w:autoSpaceDN w:val="0"/>
        <w:adjustRightInd w:val="0"/>
        <w:spacing w:after="240"/>
        <w:rPr>
          <w:rFonts w:cs="Arial"/>
          <w:szCs w:val="24"/>
        </w:rPr>
      </w:pPr>
      <w:r w:rsidRPr="00F017CC">
        <w:rPr>
          <w:rFonts w:cs="Arial"/>
          <w:szCs w:val="24"/>
        </w:rPr>
        <w:t>• understanding of the legal and regulatory requirements specific to the Authority including:</w:t>
      </w:r>
    </w:p>
    <w:p w14:paraId="2896D9F5" w14:textId="77777777" w:rsidR="00127BBA" w:rsidRDefault="00127BBA" w:rsidP="00127BBA">
      <w:pPr>
        <w:pStyle w:val="ListParagraph"/>
        <w:numPr>
          <w:ilvl w:val="0"/>
          <w:numId w:val="43"/>
        </w:numPr>
        <w:autoSpaceDE w:val="0"/>
        <w:autoSpaceDN w:val="0"/>
        <w:adjustRightInd w:val="0"/>
        <w:spacing w:after="160"/>
        <w:rPr>
          <w:rFonts w:eastAsia="Times New Roman" w:cs="Arial"/>
          <w:szCs w:val="24"/>
        </w:rPr>
      </w:pPr>
      <w:r w:rsidRPr="00125D7D">
        <w:rPr>
          <w:rFonts w:eastAsia="Times New Roman" w:cs="Arial"/>
          <w:szCs w:val="24"/>
        </w:rPr>
        <w:t xml:space="preserve">the provisions of the applicable legislation </w:t>
      </w:r>
    </w:p>
    <w:p w14:paraId="3E344925" w14:textId="77777777" w:rsidR="00127BBA" w:rsidRDefault="00127BBA" w:rsidP="00127BBA">
      <w:pPr>
        <w:pStyle w:val="ListParagraph"/>
        <w:autoSpaceDE w:val="0"/>
        <w:autoSpaceDN w:val="0"/>
        <w:adjustRightInd w:val="0"/>
        <w:ind w:left="1080"/>
        <w:rPr>
          <w:rFonts w:eastAsia="Times New Roman" w:cs="Arial"/>
          <w:szCs w:val="24"/>
        </w:rPr>
      </w:pPr>
    </w:p>
    <w:p w14:paraId="76E6F2AB" w14:textId="77777777" w:rsidR="00127BBA" w:rsidRDefault="00127BBA" w:rsidP="00127BBA">
      <w:pPr>
        <w:pStyle w:val="ListParagraph"/>
        <w:numPr>
          <w:ilvl w:val="0"/>
          <w:numId w:val="43"/>
        </w:numPr>
        <w:autoSpaceDE w:val="0"/>
        <w:autoSpaceDN w:val="0"/>
        <w:adjustRightInd w:val="0"/>
        <w:spacing w:after="160"/>
        <w:rPr>
          <w:rFonts w:eastAsia="Times New Roman" w:cs="Arial"/>
          <w:szCs w:val="24"/>
        </w:rPr>
      </w:pPr>
      <w:r w:rsidRPr="00125D7D">
        <w:rPr>
          <w:rFonts w:eastAsia="Times New Roman" w:cs="Arial"/>
          <w:szCs w:val="24"/>
        </w:rPr>
        <w:t>guidance issued by CIPFA/LASAAC and SOLACE</w:t>
      </w:r>
    </w:p>
    <w:p w14:paraId="1E9FFB50" w14:textId="77777777" w:rsidR="00127BBA" w:rsidRPr="00125D7D" w:rsidRDefault="00127BBA" w:rsidP="00127BBA">
      <w:pPr>
        <w:pStyle w:val="ListParagraph"/>
        <w:autoSpaceDE w:val="0"/>
        <w:autoSpaceDN w:val="0"/>
        <w:adjustRightInd w:val="0"/>
        <w:ind w:left="1080"/>
        <w:rPr>
          <w:rFonts w:eastAsia="Times New Roman" w:cs="Arial"/>
          <w:szCs w:val="24"/>
        </w:rPr>
      </w:pPr>
    </w:p>
    <w:p w14:paraId="7A78E574" w14:textId="77777777" w:rsidR="00127BBA" w:rsidRPr="00125D7D" w:rsidRDefault="00127BBA" w:rsidP="00127BBA">
      <w:pPr>
        <w:pStyle w:val="ListParagraph"/>
        <w:numPr>
          <w:ilvl w:val="0"/>
          <w:numId w:val="43"/>
        </w:numPr>
        <w:autoSpaceDE w:val="0"/>
        <w:autoSpaceDN w:val="0"/>
        <w:adjustRightInd w:val="0"/>
        <w:spacing w:after="160"/>
        <w:rPr>
          <w:rFonts w:eastAsia="Times New Roman" w:cs="Arial"/>
          <w:szCs w:val="24"/>
        </w:rPr>
      </w:pPr>
      <w:r w:rsidRPr="00125D7D">
        <w:rPr>
          <w:rFonts w:eastAsia="Times New Roman" w:cs="Arial"/>
          <w:szCs w:val="24"/>
        </w:rPr>
        <w:t>the applicable statutory provisions.</w:t>
      </w:r>
    </w:p>
    <w:p w14:paraId="0B079897" w14:textId="77777777" w:rsidR="00127BBA" w:rsidRDefault="00127BBA" w:rsidP="00127BBA">
      <w:pPr>
        <w:autoSpaceDE w:val="0"/>
        <w:autoSpaceDN w:val="0"/>
        <w:adjustRightInd w:val="0"/>
        <w:rPr>
          <w:rFonts w:cs="Arial"/>
          <w:szCs w:val="24"/>
        </w:rPr>
      </w:pPr>
      <w:r w:rsidRPr="00F017CC">
        <w:rPr>
          <w:rFonts w:cs="Arial"/>
          <w:szCs w:val="24"/>
        </w:rPr>
        <w:t>In assessing the potential risks of material misstatement, we obtained an understanding of:</w:t>
      </w:r>
    </w:p>
    <w:p w14:paraId="196916AE" w14:textId="77777777" w:rsidR="00B307D2" w:rsidRPr="007461FD" w:rsidRDefault="00B307D2" w:rsidP="002A4D26">
      <w:pPr>
        <w:rPr>
          <w:szCs w:val="24"/>
        </w:rPr>
      </w:pPr>
    </w:p>
    <w:p w14:paraId="2756B67C" w14:textId="77777777" w:rsidR="00127BBA" w:rsidRPr="00F017CC" w:rsidRDefault="00127BBA" w:rsidP="00127BBA">
      <w:pPr>
        <w:autoSpaceDE w:val="0"/>
        <w:autoSpaceDN w:val="0"/>
        <w:adjustRightInd w:val="0"/>
        <w:spacing w:after="240"/>
        <w:rPr>
          <w:rFonts w:cs="Arial"/>
          <w:szCs w:val="24"/>
        </w:rPr>
      </w:pPr>
      <w:r w:rsidRPr="00F017CC">
        <w:rPr>
          <w:rFonts w:cs="Arial"/>
          <w:szCs w:val="24"/>
        </w:rPr>
        <w:t>• the Authority’s operations, including the nature of its income and expenditure and its services and of its objectives and strategies to understand the classes of transactions, account balances, expected financial statement disclosures and business risks that may result in risks of material misstatement.</w:t>
      </w:r>
    </w:p>
    <w:p w14:paraId="44A38325" w14:textId="77777777" w:rsidR="00127BBA" w:rsidRDefault="00127BBA" w:rsidP="00127BBA">
      <w:pPr>
        <w:autoSpaceDE w:val="0"/>
        <w:autoSpaceDN w:val="0"/>
        <w:adjustRightInd w:val="0"/>
        <w:spacing w:after="240"/>
        <w:rPr>
          <w:rFonts w:cs="Arial"/>
          <w:szCs w:val="24"/>
        </w:rPr>
      </w:pPr>
      <w:r w:rsidRPr="00F017CC">
        <w:rPr>
          <w:rFonts w:cs="Arial"/>
          <w:szCs w:val="24"/>
        </w:rPr>
        <w:t>• the Authority's control environment, including the policies and procedures implemented by the Authority to ensure compliance with the requirements of the financial reporting framework.</w:t>
      </w:r>
    </w:p>
    <w:p w14:paraId="15D89D00" w14:textId="55B497DE" w:rsidR="00127BBA" w:rsidRDefault="00127BBA" w:rsidP="00127BBA">
      <w:pPr>
        <w:autoSpaceDE w:val="0"/>
        <w:autoSpaceDN w:val="0"/>
        <w:adjustRightInd w:val="0"/>
        <w:rPr>
          <w:rFonts w:cs="Arial"/>
          <w:szCs w:val="24"/>
        </w:rPr>
      </w:pPr>
      <w:r w:rsidRPr="00F017CC">
        <w:rPr>
          <w:rFonts w:cs="Arial"/>
          <w:szCs w:val="24"/>
        </w:rPr>
        <w:t xml:space="preserve">A further description of our responsibilities for the audit of the financial statements is located on the Financial Reporting Council’s website at: </w:t>
      </w:r>
      <w:hyperlink r:id="rId19" w:history="1">
        <w:r w:rsidRPr="00543280">
          <w:rPr>
            <w:rStyle w:val="Hyperlink"/>
            <w:rFonts w:cs="Arial"/>
            <w:szCs w:val="24"/>
          </w:rPr>
          <w:t>www.frc.org.uk/auditorsresponsibilities</w:t>
        </w:r>
      </w:hyperlink>
      <w:r w:rsidRPr="00F017CC">
        <w:rPr>
          <w:rFonts w:cs="Arial"/>
          <w:szCs w:val="24"/>
        </w:rPr>
        <w:t>. This description forms part of our auditor’s report.</w:t>
      </w:r>
    </w:p>
    <w:p w14:paraId="320BB6DB" w14:textId="77777777" w:rsidR="00127BBA" w:rsidRPr="00F017CC" w:rsidRDefault="00127BBA" w:rsidP="00127BBA">
      <w:pPr>
        <w:autoSpaceDE w:val="0"/>
        <w:autoSpaceDN w:val="0"/>
        <w:adjustRightInd w:val="0"/>
        <w:rPr>
          <w:rFonts w:cs="Arial"/>
          <w:szCs w:val="24"/>
        </w:rPr>
      </w:pPr>
    </w:p>
    <w:p w14:paraId="0672CFB2" w14:textId="77777777" w:rsidR="00127BBA" w:rsidRPr="00543280" w:rsidRDefault="00127BBA" w:rsidP="00127BBA">
      <w:pPr>
        <w:autoSpaceDE w:val="0"/>
        <w:autoSpaceDN w:val="0"/>
        <w:adjustRightInd w:val="0"/>
        <w:rPr>
          <w:rFonts w:cs="Arial"/>
          <w:b/>
          <w:bCs/>
          <w:szCs w:val="24"/>
        </w:rPr>
      </w:pPr>
      <w:r w:rsidRPr="00543280">
        <w:rPr>
          <w:rFonts w:cs="Arial"/>
          <w:b/>
          <w:bCs/>
          <w:szCs w:val="24"/>
        </w:rPr>
        <w:lastRenderedPageBreak/>
        <w:t xml:space="preserve">Report on other legal and regulatory requirements – the Authority’s arrangements for securing economy, efficiency and effectiveness in its use of </w:t>
      </w:r>
      <w:proofErr w:type="gramStart"/>
      <w:r w:rsidRPr="00543280">
        <w:rPr>
          <w:rFonts w:cs="Arial"/>
          <w:b/>
          <w:bCs/>
          <w:szCs w:val="24"/>
        </w:rPr>
        <w:t>resources</w:t>
      </w:r>
      <w:proofErr w:type="gramEnd"/>
    </w:p>
    <w:p w14:paraId="7D9694DC" w14:textId="77777777" w:rsidR="00127BBA" w:rsidRPr="00F017CC" w:rsidRDefault="00127BBA" w:rsidP="00127BBA">
      <w:pPr>
        <w:autoSpaceDE w:val="0"/>
        <w:autoSpaceDN w:val="0"/>
        <w:adjustRightInd w:val="0"/>
        <w:rPr>
          <w:rFonts w:cs="Arial"/>
          <w:szCs w:val="24"/>
        </w:rPr>
      </w:pPr>
    </w:p>
    <w:p w14:paraId="14D9BAC7" w14:textId="77777777" w:rsidR="00127BBA" w:rsidRPr="00543280" w:rsidRDefault="00127BBA" w:rsidP="00127BBA">
      <w:pPr>
        <w:autoSpaceDE w:val="0"/>
        <w:autoSpaceDN w:val="0"/>
        <w:adjustRightInd w:val="0"/>
        <w:rPr>
          <w:rFonts w:cs="Arial"/>
          <w:b/>
          <w:bCs/>
          <w:szCs w:val="24"/>
        </w:rPr>
      </w:pPr>
      <w:r w:rsidRPr="00543280">
        <w:rPr>
          <w:rFonts w:cs="Arial"/>
          <w:b/>
          <w:bCs/>
          <w:szCs w:val="24"/>
        </w:rPr>
        <w:t xml:space="preserve">Matter on which we are required to report by exception – the Authority’s arrangements for securing economy, efficiency and effectiveness in its use of </w:t>
      </w:r>
      <w:proofErr w:type="gramStart"/>
      <w:r w:rsidRPr="00543280">
        <w:rPr>
          <w:rFonts w:cs="Arial"/>
          <w:b/>
          <w:bCs/>
          <w:szCs w:val="24"/>
        </w:rPr>
        <w:t>resources</w:t>
      </w:r>
      <w:proofErr w:type="gramEnd"/>
    </w:p>
    <w:p w14:paraId="7FDF2BB2" w14:textId="77777777" w:rsidR="00127BBA" w:rsidRPr="00F017CC" w:rsidRDefault="00127BBA" w:rsidP="00127BBA">
      <w:pPr>
        <w:autoSpaceDE w:val="0"/>
        <w:autoSpaceDN w:val="0"/>
        <w:adjustRightInd w:val="0"/>
        <w:rPr>
          <w:rFonts w:cs="Arial"/>
          <w:szCs w:val="24"/>
        </w:rPr>
      </w:pPr>
    </w:p>
    <w:p w14:paraId="2F9C4FD7" w14:textId="77777777" w:rsidR="00127BBA" w:rsidRDefault="00127BBA" w:rsidP="00127BBA">
      <w:pPr>
        <w:autoSpaceDE w:val="0"/>
        <w:autoSpaceDN w:val="0"/>
        <w:adjustRightInd w:val="0"/>
        <w:rPr>
          <w:rFonts w:cs="Arial"/>
          <w:szCs w:val="24"/>
        </w:rPr>
      </w:pPr>
      <w:r w:rsidRPr="00F017CC">
        <w:rPr>
          <w:rFonts w:cs="Arial"/>
          <w:szCs w:val="24"/>
        </w:rPr>
        <w:t>Under the Code of Audit Practice, we are required to report to you if, in our opinion, we have not been able to satisfy ourselves that the Authority has made proper arrangements for securing economy, efficiency and effectiveness in its use of resources for the year ended 31 March 2023.</w:t>
      </w:r>
    </w:p>
    <w:p w14:paraId="1AAFAE78" w14:textId="77777777" w:rsidR="00127BBA" w:rsidRPr="00F017CC" w:rsidRDefault="00127BBA" w:rsidP="00127BBA">
      <w:pPr>
        <w:autoSpaceDE w:val="0"/>
        <w:autoSpaceDN w:val="0"/>
        <w:adjustRightInd w:val="0"/>
        <w:rPr>
          <w:rFonts w:cs="Arial"/>
          <w:szCs w:val="24"/>
        </w:rPr>
      </w:pPr>
    </w:p>
    <w:p w14:paraId="60C4F062" w14:textId="77777777" w:rsidR="00127BBA" w:rsidRDefault="00127BBA" w:rsidP="00127BBA">
      <w:pPr>
        <w:autoSpaceDE w:val="0"/>
        <w:autoSpaceDN w:val="0"/>
        <w:adjustRightInd w:val="0"/>
        <w:rPr>
          <w:rFonts w:cs="Arial"/>
          <w:szCs w:val="24"/>
        </w:rPr>
      </w:pPr>
      <w:r w:rsidRPr="00F017CC">
        <w:rPr>
          <w:rFonts w:cs="Arial"/>
          <w:szCs w:val="24"/>
        </w:rPr>
        <w:t>We have nothing to report in respect of the above matter except that on 28 March 2024 we identified a significant weakness in how the Authority plans and manages its resources to ensure it can continue to deliver its services. This was in relation to the Authority ensuring it maintains a robust framework of financial governance to ensure risks to financial resilience and sustainability are adequately monitored and controlled. We recommended that the Authority:</w:t>
      </w:r>
    </w:p>
    <w:p w14:paraId="7E46C1AE" w14:textId="77777777" w:rsidR="00127BBA" w:rsidRPr="00F017CC" w:rsidRDefault="00127BBA" w:rsidP="00127BBA">
      <w:pPr>
        <w:autoSpaceDE w:val="0"/>
        <w:autoSpaceDN w:val="0"/>
        <w:adjustRightInd w:val="0"/>
        <w:rPr>
          <w:rFonts w:cs="Arial"/>
          <w:szCs w:val="24"/>
        </w:rPr>
      </w:pPr>
    </w:p>
    <w:p w14:paraId="7B81277E" w14:textId="77777777" w:rsidR="00127BBA" w:rsidRPr="00F017CC" w:rsidRDefault="00127BBA" w:rsidP="00127BBA">
      <w:pPr>
        <w:autoSpaceDE w:val="0"/>
        <w:autoSpaceDN w:val="0"/>
        <w:adjustRightInd w:val="0"/>
        <w:spacing w:after="240"/>
        <w:rPr>
          <w:rFonts w:cs="Arial"/>
          <w:szCs w:val="24"/>
        </w:rPr>
      </w:pPr>
      <w:r w:rsidRPr="00F017CC">
        <w:rPr>
          <w:rFonts w:cs="Arial"/>
          <w:szCs w:val="24"/>
        </w:rPr>
        <w:t>• develop a plan to address its general reserves position and its current use of reserves to balance its financial position. It needs to set out how its General Fund will be brought to a level that mitigates the risk to future financial sustainability and continue to take steps to contain expenditure and deliver sustainable savings.</w:t>
      </w:r>
    </w:p>
    <w:p w14:paraId="33CCC985" w14:textId="50755E4E" w:rsidR="00127BBA" w:rsidRPr="00F017CC" w:rsidRDefault="00127BBA" w:rsidP="00127BBA">
      <w:pPr>
        <w:autoSpaceDE w:val="0"/>
        <w:autoSpaceDN w:val="0"/>
        <w:adjustRightInd w:val="0"/>
        <w:spacing w:after="240"/>
        <w:rPr>
          <w:rFonts w:cs="Arial"/>
          <w:szCs w:val="24"/>
        </w:rPr>
      </w:pPr>
      <w:r w:rsidRPr="00F017CC">
        <w:rPr>
          <w:rFonts w:cs="Arial"/>
          <w:szCs w:val="24"/>
        </w:rPr>
        <w:t>• continue to take steps to contain expenditure and deliver sustainable savings.</w:t>
      </w:r>
    </w:p>
    <w:p w14:paraId="1D5C9930" w14:textId="77777777" w:rsidR="00127BBA" w:rsidRPr="00543280" w:rsidRDefault="00127BBA" w:rsidP="00127BBA">
      <w:pPr>
        <w:autoSpaceDE w:val="0"/>
        <w:autoSpaceDN w:val="0"/>
        <w:adjustRightInd w:val="0"/>
        <w:rPr>
          <w:rFonts w:cs="Arial"/>
          <w:b/>
          <w:bCs/>
          <w:szCs w:val="24"/>
        </w:rPr>
      </w:pPr>
      <w:r w:rsidRPr="00543280">
        <w:rPr>
          <w:rFonts w:cs="Arial"/>
          <w:b/>
          <w:bCs/>
          <w:szCs w:val="24"/>
        </w:rPr>
        <w:t>Responsibilities of the Authority</w:t>
      </w:r>
    </w:p>
    <w:p w14:paraId="046D956A" w14:textId="77777777" w:rsidR="00127BBA" w:rsidRPr="00F017CC" w:rsidRDefault="00127BBA" w:rsidP="00127BBA">
      <w:pPr>
        <w:autoSpaceDE w:val="0"/>
        <w:autoSpaceDN w:val="0"/>
        <w:adjustRightInd w:val="0"/>
        <w:rPr>
          <w:rFonts w:cs="Arial"/>
          <w:szCs w:val="24"/>
        </w:rPr>
      </w:pPr>
    </w:p>
    <w:p w14:paraId="7B09C837" w14:textId="4C45F571" w:rsidR="00127BBA" w:rsidRDefault="00127BBA" w:rsidP="00127BBA">
      <w:pPr>
        <w:autoSpaceDE w:val="0"/>
        <w:autoSpaceDN w:val="0"/>
        <w:adjustRightInd w:val="0"/>
        <w:rPr>
          <w:rFonts w:cs="Arial"/>
          <w:szCs w:val="24"/>
        </w:rPr>
      </w:pPr>
      <w:r w:rsidRPr="00F017CC">
        <w:rPr>
          <w:rFonts w:cs="Arial"/>
          <w:szCs w:val="24"/>
        </w:rPr>
        <w:t>The Authority is responsible for putting in place proper arrangements for securing economy, efficiency</w:t>
      </w:r>
      <w:r>
        <w:rPr>
          <w:rFonts w:cs="Arial"/>
          <w:szCs w:val="24"/>
        </w:rPr>
        <w:t>,</w:t>
      </w:r>
      <w:r w:rsidRPr="00F017CC">
        <w:rPr>
          <w:rFonts w:cs="Arial"/>
          <w:szCs w:val="24"/>
        </w:rPr>
        <w:t xml:space="preserve"> and effectiveness in its use of resources.</w:t>
      </w:r>
    </w:p>
    <w:p w14:paraId="7FF6A51D" w14:textId="77777777" w:rsidR="00127BBA" w:rsidRDefault="00127BBA" w:rsidP="00127BBA">
      <w:pPr>
        <w:autoSpaceDE w:val="0"/>
        <w:autoSpaceDN w:val="0"/>
        <w:adjustRightInd w:val="0"/>
        <w:rPr>
          <w:rFonts w:cs="Arial"/>
          <w:szCs w:val="24"/>
        </w:rPr>
      </w:pPr>
    </w:p>
    <w:p w14:paraId="6AC40BFC" w14:textId="50FE3D6C" w:rsidR="00127BBA" w:rsidRDefault="00127BBA" w:rsidP="00127BBA">
      <w:pPr>
        <w:autoSpaceDE w:val="0"/>
        <w:autoSpaceDN w:val="0"/>
        <w:adjustRightInd w:val="0"/>
        <w:rPr>
          <w:rFonts w:cs="Arial"/>
          <w:b/>
          <w:bCs/>
          <w:szCs w:val="24"/>
        </w:rPr>
      </w:pPr>
      <w:r w:rsidRPr="00543280">
        <w:rPr>
          <w:rFonts w:cs="Arial"/>
          <w:b/>
          <w:bCs/>
          <w:szCs w:val="24"/>
        </w:rPr>
        <w:t>Auditor’s responsibilities for the review of the Authority’s arrangements for securing economy, efficiency</w:t>
      </w:r>
      <w:r>
        <w:rPr>
          <w:rFonts w:cs="Arial"/>
          <w:b/>
          <w:bCs/>
          <w:szCs w:val="24"/>
        </w:rPr>
        <w:t>,</w:t>
      </w:r>
      <w:r w:rsidRPr="00543280">
        <w:rPr>
          <w:rFonts w:cs="Arial"/>
          <w:b/>
          <w:bCs/>
          <w:szCs w:val="24"/>
        </w:rPr>
        <w:t xml:space="preserve"> and effectiveness in its use of resources</w:t>
      </w:r>
    </w:p>
    <w:p w14:paraId="16DA5511" w14:textId="77777777" w:rsidR="00127BBA" w:rsidRPr="00543280" w:rsidRDefault="00127BBA" w:rsidP="00127BBA">
      <w:pPr>
        <w:autoSpaceDE w:val="0"/>
        <w:autoSpaceDN w:val="0"/>
        <w:adjustRightInd w:val="0"/>
        <w:rPr>
          <w:rFonts w:cs="Arial"/>
          <w:b/>
          <w:bCs/>
          <w:szCs w:val="24"/>
        </w:rPr>
      </w:pPr>
    </w:p>
    <w:p w14:paraId="7E0CB2DC" w14:textId="14AF5103" w:rsidR="00127BBA" w:rsidRDefault="00127BBA" w:rsidP="00127BBA">
      <w:pPr>
        <w:autoSpaceDE w:val="0"/>
        <w:autoSpaceDN w:val="0"/>
        <w:adjustRightInd w:val="0"/>
        <w:rPr>
          <w:rFonts w:cs="Arial"/>
          <w:szCs w:val="24"/>
        </w:rPr>
      </w:pPr>
      <w:r w:rsidRPr="00F017CC">
        <w:rPr>
          <w:rFonts w:cs="Arial"/>
          <w:szCs w:val="24"/>
        </w:rPr>
        <w:t>We are required under Section 20(1)(c) of the Local Audit and Accountability Act 2014 to be satisfied that the Authority has made proper arrangements for securing economy, efficiency</w:t>
      </w:r>
      <w:r>
        <w:rPr>
          <w:rFonts w:cs="Arial"/>
          <w:szCs w:val="24"/>
        </w:rPr>
        <w:t>,</w:t>
      </w:r>
      <w:r w:rsidRPr="00F017CC">
        <w:rPr>
          <w:rFonts w:cs="Arial"/>
          <w:szCs w:val="24"/>
        </w:rPr>
        <w:t xml:space="preserve"> and effectiveness in its use of resources. We are not required to consider, nor have we considered, whether all aspects of the Authority's arrangements for securing economy, efficiency</w:t>
      </w:r>
      <w:r>
        <w:rPr>
          <w:rFonts w:cs="Arial"/>
          <w:szCs w:val="24"/>
        </w:rPr>
        <w:t>,</w:t>
      </w:r>
      <w:r w:rsidRPr="00F017CC">
        <w:rPr>
          <w:rFonts w:cs="Arial"/>
          <w:szCs w:val="24"/>
        </w:rPr>
        <w:t xml:space="preserve"> and effectiveness in its use of resources are operating effectively.</w:t>
      </w:r>
    </w:p>
    <w:p w14:paraId="4836ACD7" w14:textId="77777777" w:rsidR="00127BBA" w:rsidRPr="00F017CC" w:rsidRDefault="00127BBA" w:rsidP="00127BBA">
      <w:pPr>
        <w:autoSpaceDE w:val="0"/>
        <w:autoSpaceDN w:val="0"/>
        <w:adjustRightInd w:val="0"/>
        <w:rPr>
          <w:rFonts w:cs="Arial"/>
          <w:szCs w:val="24"/>
        </w:rPr>
      </w:pPr>
    </w:p>
    <w:p w14:paraId="749184F3" w14:textId="77777777" w:rsidR="00127BBA" w:rsidRDefault="00127BBA" w:rsidP="00127BBA">
      <w:pPr>
        <w:autoSpaceDE w:val="0"/>
        <w:autoSpaceDN w:val="0"/>
        <w:adjustRightInd w:val="0"/>
        <w:rPr>
          <w:rFonts w:cs="Arial"/>
          <w:szCs w:val="24"/>
        </w:rPr>
      </w:pPr>
      <w:r w:rsidRPr="00F017CC">
        <w:rPr>
          <w:rFonts w:cs="Arial"/>
          <w:szCs w:val="24"/>
        </w:rPr>
        <w:t xml:space="preserve">We undertake our review in accordance with the Code of Audit Practice, having regard to the guidance issued by the Comptroller and Auditor General in January 2023. This guidance sets out the arrangements that fall within the scope of ‘proper </w:t>
      </w:r>
      <w:proofErr w:type="gramStart"/>
      <w:r w:rsidRPr="00F017CC">
        <w:rPr>
          <w:rFonts w:cs="Arial"/>
          <w:szCs w:val="24"/>
        </w:rPr>
        <w:t>arrangements’</w:t>
      </w:r>
      <w:proofErr w:type="gramEnd"/>
      <w:r w:rsidRPr="00F017CC">
        <w:rPr>
          <w:rFonts w:cs="Arial"/>
          <w:szCs w:val="24"/>
        </w:rPr>
        <w:t>. When reporting on these arrangements, the Code of Audit Practice requires auditors to structure their commentary on arrangements under three specified reporting criteria:</w:t>
      </w:r>
    </w:p>
    <w:p w14:paraId="0DA65E1C" w14:textId="77777777" w:rsidR="00127BBA" w:rsidRPr="00F017CC" w:rsidRDefault="00127BBA" w:rsidP="00127BBA">
      <w:pPr>
        <w:autoSpaceDE w:val="0"/>
        <w:autoSpaceDN w:val="0"/>
        <w:adjustRightInd w:val="0"/>
        <w:rPr>
          <w:rFonts w:cs="Arial"/>
          <w:szCs w:val="24"/>
        </w:rPr>
      </w:pPr>
    </w:p>
    <w:p w14:paraId="42750727" w14:textId="77777777" w:rsidR="00127BBA" w:rsidRPr="00F017CC" w:rsidRDefault="00127BBA" w:rsidP="00127BBA">
      <w:pPr>
        <w:autoSpaceDE w:val="0"/>
        <w:autoSpaceDN w:val="0"/>
        <w:adjustRightInd w:val="0"/>
        <w:spacing w:after="240"/>
        <w:rPr>
          <w:rFonts w:cs="Arial"/>
          <w:szCs w:val="24"/>
        </w:rPr>
      </w:pPr>
      <w:r w:rsidRPr="00F017CC">
        <w:rPr>
          <w:rFonts w:cs="Arial"/>
          <w:szCs w:val="24"/>
        </w:rPr>
        <w:t xml:space="preserve">• Financial sustainability: how the Authority plans and manages its resources to ensure it can continue to deliver its </w:t>
      </w:r>
      <w:proofErr w:type="gramStart"/>
      <w:r w:rsidRPr="00F017CC">
        <w:rPr>
          <w:rFonts w:cs="Arial"/>
          <w:szCs w:val="24"/>
        </w:rPr>
        <w:t>services;</w:t>
      </w:r>
      <w:proofErr w:type="gramEnd"/>
    </w:p>
    <w:p w14:paraId="1EA038BD" w14:textId="77777777" w:rsidR="00127BBA" w:rsidRPr="00F017CC" w:rsidRDefault="00127BBA" w:rsidP="00127BBA">
      <w:pPr>
        <w:autoSpaceDE w:val="0"/>
        <w:autoSpaceDN w:val="0"/>
        <w:adjustRightInd w:val="0"/>
        <w:spacing w:after="240"/>
        <w:rPr>
          <w:rFonts w:cs="Arial"/>
          <w:szCs w:val="24"/>
        </w:rPr>
      </w:pPr>
      <w:r w:rsidRPr="00F017CC">
        <w:rPr>
          <w:rFonts w:cs="Arial"/>
          <w:szCs w:val="24"/>
        </w:rPr>
        <w:t>• Governance: how the Authority ensures that it makes informed decisions and properly manages its risks; and</w:t>
      </w:r>
    </w:p>
    <w:p w14:paraId="03AD6EC6" w14:textId="5DC42472" w:rsidR="00127BBA" w:rsidRPr="00F017CC" w:rsidRDefault="00127BBA" w:rsidP="00127BBA">
      <w:pPr>
        <w:autoSpaceDE w:val="0"/>
        <w:autoSpaceDN w:val="0"/>
        <w:adjustRightInd w:val="0"/>
        <w:spacing w:after="240"/>
        <w:rPr>
          <w:rFonts w:cs="Arial"/>
          <w:szCs w:val="24"/>
        </w:rPr>
      </w:pPr>
      <w:r w:rsidRPr="00F017CC">
        <w:rPr>
          <w:rFonts w:cs="Arial"/>
          <w:szCs w:val="24"/>
        </w:rPr>
        <w:lastRenderedPageBreak/>
        <w:t>• Improving economy, efficiency</w:t>
      </w:r>
      <w:r>
        <w:rPr>
          <w:rFonts w:cs="Arial"/>
          <w:szCs w:val="24"/>
        </w:rPr>
        <w:t>,</w:t>
      </w:r>
      <w:r w:rsidRPr="00F017CC">
        <w:rPr>
          <w:rFonts w:cs="Arial"/>
          <w:szCs w:val="24"/>
        </w:rPr>
        <w:t xml:space="preserve"> and effectiveness: how the Authority uses information about its costs and performance to improve the way it manages and delivers its services.</w:t>
      </w:r>
    </w:p>
    <w:p w14:paraId="2F7F59AD" w14:textId="77777777" w:rsidR="00127BBA" w:rsidRDefault="00127BBA" w:rsidP="00127BBA">
      <w:pPr>
        <w:autoSpaceDE w:val="0"/>
        <w:autoSpaceDN w:val="0"/>
        <w:adjustRightInd w:val="0"/>
        <w:rPr>
          <w:rFonts w:cs="Arial"/>
          <w:szCs w:val="24"/>
        </w:rPr>
      </w:pPr>
      <w:r w:rsidRPr="00F017CC">
        <w:rPr>
          <w:rFonts w:cs="Arial"/>
          <w:szCs w:val="24"/>
        </w:rPr>
        <w:t>We document our understanding of the arrangements the Authority has in place for each of these three specified reporting criteria, gathering sufficient evidence to support our risk assessment and commentary in our Auditor’s Annual Report. In undertaking our work, we consider whether there is evidence to suggest that there are significant weaknesses in arrangements.</w:t>
      </w:r>
    </w:p>
    <w:p w14:paraId="43A02115" w14:textId="77777777" w:rsidR="00127BBA" w:rsidRPr="00F017CC" w:rsidRDefault="00127BBA" w:rsidP="00127BBA">
      <w:pPr>
        <w:autoSpaceDE w:val="0"/>
        <w:autoSpaceDN w:val="0"/>
        <w:adjustRightInd w:val="0"/>
        <w:rPr>
          <w:rFonts w:cs="Arial"/>
          <w:szCs w:val="24"/>
        </w:rPr>
      </w:pPr>
    </w:p>
    <w:p w14:paraId="7121F74C" w14:textId="77777777" w:rsidR="00127BBA" w:rsidRPr="00543280" w:rsidRDefault="00127BBA" w:rsidP="00127BBA">
      <w:pPr>
        <w:autoSpaceDE w:val="0"/>
        <w:autoSpaceDN w:val="0"/>
        <w:adjustRightInd w:val="0"/>
        <w:rPr>
          <w:rFonts w:cs="Arial"/>
          <w:b/>
          <w:bCs/>
          <w:szCs w:val="24"/>
        </w:rPr>
      </w:pPr>
      <w:r w:rsidRPr="00543280">
        <w:rPr>
          <w:rFonts w:cs="Arial"/>
          <w:b/>
          <w:bCs/>
          <w:szCs w:val="24"/>
        </w:rPr>
        <w:t xml:space="preserve">Report on other legal and regulatory requirements – Audit </w:t>
      </w:r>
      <w:proofErr w:type="gramStart"/>
      <w:r w:rsidRPr="00543280">
        <w:rPr>
          <w:rFonts w:cs="Arial"/>
          <w:b/>
          <w:bCs/>
          <w:szCs w:val="24"/>
        </w:rPr>
        <w:t>certificate</w:t>
      </w:r>
      <w:proofErr w:type="gramEnd"/>
    </w:p>
    <w:p w14:paraId="3F190231" w14:textId="77777777" w:rsidR="00127BBA" w:rsidRPr="00F017CC" w:rsidRDefault="00127BBA" w:rsidP="00127BBA">
      <w:pPr>
        <w:autoSpaceDE w:val="0"/>
        <w:autoSpaceDN w:val="0"/>
        <w:adjustRightInd w:val="0"/>
        <w:rPr>
          <w:rFonts w:cs="Arial"/>
          <w:szCs w:val="24"/>
        </w:rPr>
      </w:pPr>
    </w:p>
    <w:p w14:paraId="3D75D4B6" w14:textId="77777777" w:rsidR="00127BBA" w:rsidRDefault="00127BBA" w:rsidP="00127BBA">
      <w:pPr>
        <w:autoSpaceDE w:val="0"/>
        <w:autoSpaceDN w:val="0"/>
        <w:adjustRightInd w:val="0"/>
        <w:rPr>
          <w:rFonts w:cs="Arial"/>
          <w:szCs w:val="24"/>
        </w:rPr>
      </w:pPr>
      <w:r w:rsidRPr="00F017CC">
        <w:rPr>
          <w:rFonts w:cs="Arial"/>
          <w:szCs w:val="24"/>
        </w:rPr>
        <w:t>We certify that we have completed the audit of Lancashire Combined Fire Authority for the year ended 31 March 2023 in accordance with the requirements of the Local Audit and Accountability Act 2014 and the Code of Audit Practice.</w:t>
      </w:r>
    </w:p>
    <w:p w14:paraId="6C6E2BD2" w14:textId="77777777" w:rsidR="00127BBA" w:rsidRPr="00F017CC" w:rsidRDefault="00127BBA" w:rsidP="00127BBA">
      <w:pPr>
        <w:autoSpaceDE w:val="0"/>
        <w:autoSpaceDN w:val="0"/>
        <w:adjustRightInd w:val="0"/>
        <w:rPr>
          <w:rFonts w:cs="Arial"/>
          <w:szCs w:val="24"/>
        </w:rPr>
      </w:pPr>
    </w:p>
    <w:p w14:paraId="59941218" w14:textId="77777777" w:rsidR="00127BBA" w:rsidRDefault="00127BBA" w:rsidP="00127BBA">
      <w:pPr>
        <w:autoSpaceDE w:val="0"/>
        <w:autoSpaceDN w:val="0"/>
        <w:adjustRightInd w:val="0"/>
        <w:rPr>
          <w:rFonts w:cs="Arial"/>
          <w:b/>
          <w:bCs/>
          <w:szCs w:val="24"/>
        </w:rPr>
      </w:pPr>
      <w:r w:rsidRPr="00543280">
        <w:rPr>
          <w:rFonts w:cs="Arial"/>
          <w:b/>
          <w:bCs/>
          <w:szCs w:val="24"/>
        </w:rPr>
        <w:t>Use of our report</w:t>
      </w:r>
    </w:p>
    <w:p w14:paraId="208717D5" w14:textId="77777777" w:rsidR="00127BBA" w:rsidRPr="00543280" w:rsidRDefault="00127BBA" w:rsidP="00127BBA">
      <w:pPr>
        <w:autoSpaceDE w:val="0"/>
        <w:autoSpaceDN w:val="0"/>
        <w:adjustRightInd w:val="0"/>
        <w:rPr>
          <w:rFonts w:cs="Arial"/>
          <w:b/>
          <w:bCs/>
          <w:szCs w:val="24"/>
        </w:rPr>
      </w:pPr>
    </w:p>
    <w:p w14:paraId="6828BF92" w14:textId="24679520" w:rsidR="00127BBA" w:rsidRPr="00F017CC" w:rsidRDefault="00127BBA" w:rsidP="00127BBA">
      <w:pPr>
        <w:autoSpaceDE w:val="0"/>
        <w:autoSpaceDN w:val="0"/>
        <w:adjustRightInd w:val="0"/>
        <w:rPr>
          <w:rFonts w:cs="Arial"/>
          <w:szCs w:val="24"/>
        </w:rPr>
      </w:pPr>
      <w:r w:rsidRPr="00F017CC">
        <w:rPr>
          <w:rFonts w:cs="Arial"/>
          <w:szCs w:val="24"/>
        </w:rPr>
        <w:t>This report is made solely to the members of the Authority, as a body, in accordance with Part 5 of the Local Audit and Accountability Act 2014 [and as set out in paragraph 44 of the Statement of Responsibilities of Auditors and Audited Bodies published by Public Sector Audit Appointments Limited]. Our audit work has been undertaken so that we might state to the Authority’s members those matters we are required to state to them in an auditor's report and for no other purpose. To the fullest extent permitted by law, we do not accept or assume responsibility to anyone other than the Authority and the Authority's members as a body, for our audit work, for this report, or for the opinions we have formed.</w:t>
      </w:r>
    </w:p>
    <w:p w14:paraId="7E4A2B5D" w14:textId="5BE54AE3" w:rsidR="00127BBA" w:rsidRDefault="00127BBA" w:rsidP="00127BBA">
      <w:pPr>
        <w:autoSpaceDE w:val="0"/>
        <w:autoSpaceDN w:val="0"/>
        <w:adjustRightInd w:val="0"/>
        <w:rPr>
          <w:rFonts w:cs="Arial"/>
          <w:szCs w:val="24"/>
        </w:rPr>
      </w:pPr>
    </w:p>
    <w:p w14:paraId="296EC179" w14:textId="435A1EFF" w:rsidR="00927115" w:rsidRPr="00E25141" w:rsidRDefault="00927115" w:rsidP="00927115">
      <w:pPr>
        <w:jc w:val="both"/>
        <w:rPr>
          <w:rFonts w:ascii="Brush Script MT" w:hAnsi="Brush Script MT"/>
          <w:sz w:val="48"/>
          <w:szCs w:val="48"/>
        </w:rPr>
      </w:pPr>
      <w:r>
        <w:rPr>
          <w:rFonts w:ascii="Brush Script MT" w:hAnsi="Brush Script MT"/>
          <w:sz w:val="48"/>
          <w:szCs w:val="48"/>
        </w:rPr>
        <w:t>Georgia Jones</w:t>
      </w:r>
    </w:p>
    <w:p w14:paraId="1603F344" w14:textId="77777777" w:rsidR="00927115" w:rsidRPr="00F017CC" w:rsidRDefault="00927115" w:rsidP="00127BBA">
      <w:pPr>
        <w:autoSpaceDE w:val="0"/>
        <w:autoSpaceDN w:val="0"/>
        <w:adjustRightInd w:val="0"/>
        <w:rPr>
          <w:rFonts w:cs="Arial"/>
          <w:szCs w:val="24"/>
        </w:rPr>
      </w:pPr>
    </w:p>
    <w:p w14:paraId="7E6E7B21" w14:textId="77777777" w:rsidR="00127BBA" w:rsidRPr="00F017CC" w:rsidRDefault="00127BBA" w:rsidP="00127BBA">
      <w:pPr>
        <w:autoSpaceDE w:val="0"/>
        <w:autoSpaceDN w:val="0"/>
        <w:adjustRightInd w:val="0"/>
        <w:rPr>
          <w:rFonts w:cs="Arial"/>
          <w:szCs w:val="24"/>
        </w:rPr>
      </w:pPr>
      <w:r w:rsidRPr="00F017CC">
        <w:rPr>
          <w:rFonts w:cs="Arial"/>
          <w:szCs w:val="24"/>
        </w:rPr>
        <w:t>Georgia Jones, Key Audit Partner</w:t>
      </w:r>
    </w:p>
    <w:p w14:paraId="6F769400" w14:textId="77777777" w:rsidR="00127BBA" w:rsidRPr="00F017CC" w:rsidRDefault="00127BBA" w:rsidP="00127BBA">
      <w:pPr>
        <w:autoSpaceDE w:val="0"/>
        <w:autoSpaceDN w:val="0"/>
        <w:adjustRightInd w:val="0"/>
        <w:rPr>
          <w:rFonts w:cs="Arial"/>
          <w:szCs w:val="24"/>
        </w:rPr>
      </w:pPr>
      <w:r w:rsidRPr="00F017CC">
        <w:rPr>
          <w:rFonts w:cs="Arial"/>
          <w:szCs w:val="24"/>
        </w:rPr>
        <w:t>for and on behalf of Grant Thornton UK LLP, Local Auditor</w:t>
      </w:r>
    </w:p>
    <w:p w14:paraId="3318BD4F" w14:textId="77777777" w:rsidR="00127BBA" w:rsidRPr="00F017CC" w:rsidRDefault="00127BBA" w:rsidP="00127BBA">
      <w:pPr>
        <w:autoSpaceDE w:val="0"/>
        <w:autoSpaceDN w:val="0"/>
        <w:adjustRightInd w:val="0"/>
        <w:rPr>
          <w:rFonts w:cs="Arial"/>
          <w:szCs w:val="24"/>
        </w:rPr>
      </w:pPr>
      <w:r w:rsidRPr="00F017CC">
        <w:rPr>
          <w:rFonts w:cs="Arial"/>
          <w:szCs w:val="24"/>
        </w:rPr>
        <w:t>Liverpool</w:t>
      </w:r>
    </w:p>
    <w:p w14:paraId="7BF87BBC" w14:textId="77777777" w:rsidR="00A71AC5" w:rsidRDefault="00127BBA" w:rsidP="00127BBA">
      <w:pPr>
        <w:autoSpaceDE w:val="0"/>
        <w:autoSpaceDN w:val="0"/>
        <w:adjustRightInd w:val="0"/>
        <w:rPr>
          <w:rFonts w:cs="Arial"/>
          <w:szCs w:val="24"/>
        </w:rPr>
      </w:pPr>
      <w:r w:rsidRPr="00F017CC">
        <w:rPr>
          <w:rFonts w:cs="Arial"/>
          <w:szCs w:val="24"/>
        </w:rPr>
        <w:t>3 April 2024</w:t>
      </w:r>
    </w:p>
    <w:p w14:paraId="24A9C20F" w14:textId="77777777" w:rsidR="00A71AC5" w:rsidRDefault="00A71AC5">
      <w:pPr>
        <w:rPr>
          <w:rFonts w:cs="Arial"/>
          <w:szCs w:val="24"/>
        </w:rPr>
      </w:pPr>
      <w:r>
        <w:rPr>
          <w:rFonts w:cs="Arial"/>
          <w:szCs w:val="24"/>
        </w:rPr>
        <w:br w:type="page"/>
      </w:r>
    </w:p>
    <w:p w14:paraId="3BC975BB" w14:textId="77777777" w:rsidR="00A5777A" w:rsidRPr="00234514" w:rsidRDefault="00A5777A" w:rsidP="00A5777A">
      <w:pPr>
        <w:pStyle w:val="Heading1"/>
        <w:rPr>
          <w:rFonts w:cs="Arial"/>
          <w:iCs/>
          <w:szCs w:val="24"/>
          <w:lang w:eastAsia="en-GB"/>
        </w:rPr>
      </w:pPr>
      <w:bookmarkStart w:id="9" w:name="_Toc166761526"/>
      <w:r w:rsidRPr="00234514">
        <w:rPr>
          <w:szCs w:val="24"/>
        </w:rPr>
        <w:lastRenderedPageBreak/>
        <w:t>Statement of Responsibilities for the Statement of Accounts</w:t>
      </w:r>
      <w:bookmarkEnd w:id="9"/>
    </w:p>
    <w:p w14:paraId="3AB6650B" w14:textId="77777777" w:rsidR="00A5777A" w:rsidRPr="00234514" w:rsidRDefault="00A5777A" w:rsidP="00A5777A">
      <w:pPr>
        <w:rPr>
          <w:szCs w:val="24"/>
        </w:rPr>
      </w:pPr>
    </w:p>
    <w:p w14:paraId="024F363C" w14:textId="77777777" w:rsidR="00A5777A" w:rsidRPr="005C1944" w:rsidRDefault="00A5777A" w:rsidP="00A5777A">
      <w:pPr>
        <w:rPr>
          <w:b/>
          <w:bCs/>
        </w:rPr>
      </w:pPr>
      <w:r w:rsidRPr="005C1944">
        <w:rPr>
          <w:b/>
          <w:bCs/>
        </w:rPr>
        <w:t>The Authority’s Responsibilities</w:t>
      </w:r>
    </w:p>
    <w:p w14:paraId="33E04A1B" w14:textId="77777777" w:rsidR="00A5777A" w:rsidRPr="00234514" w:rsidRDefault="00A5777A" w:rsidP="00A5777A">
      <w:pPr>
        <w:rPr>
          <w:szCs w:val="24"/>
        </w:rPr>
      </w:pPr>
    </w:p>
    <w:p w14:paraId="3E87AB07" w14:textId="77777777" w:rsidR="00A5777A" w:rsidRPr="00234514" w:rsidRDefault="00A5777A" w:rsidP="00A5777A">
      <w:pPr>
        <w:rPr>
          <w:szCs w:val="24"/>
        </w:rPr>
      </w:pPr>
      <w:r w:rsidRPr="00234514">
        <w:rPr>
          <w:szCs w:val="24"/>
        </w:rPr>
        <w:t>The Authority is required:</w:t>
      </w:r>
    </w:p>
    <w:p w14:paraId="75B90561" w14:textId="77777777" w:rsidR="00A5777A" w:rsidRPr="00234514" w:rsidRDefault="00A5777A" w:rsidP="00A5777A">
      <w:pPr>
        <w:rPr>
          <w:szCs w:val="24"/>
        </w:rPr>
      </w:pPr>
    </w:p>
    <w:p w14:paraId="56105246" w14:textId="77777777" w:rsidR="00A5777A" w:rsidRPr="00234514" w:rsidRDefault="00A5777A" w:rsidP="00A5777A">
      <w:pPr>
        <w:numPr>
          <w:ilvl w:val="0"/>
          <w:numId w:val="29"/>
        </w:numPr>
        <w:rPr>
          <w:szCs w:val="24"/>
        </w:rPr>
      </w:pPr>
      <w:r w:rsidRPr="00234514">
        <w:rPr>
          <w:szCs w:val="24"/>
        </w:rPr>
        <w:t xml:space="preserve">To </w:t>
      </w:r>
      <w:proofErr w:type="gramStart"/>
      <w:r w:rsidRPr="00234514">
        <w:rPr>
          <w:szCs w:val="24"/>
        </w:rPr>
        <w:t>make arrangements</w:t>
      </w:r>
      <w:proofErr w:type="gramEnd"/>
      <w:r w:rsidRPr="00234514">
        <w:rPr>
          <w:szCs w:val="24"/>
        </w:rPr>
        <w:t xml:space="preserve"> for the proper administration of the financial affairs and to secure that one of its officers has the responsibility for the administration of those affairs. In this Authority that officer is the Treasurer to the Fire Authority.</w:t>
      </w:r>
    </w:p>
    <w:p w14:paraId="4B3120F8" w14:textId="77777777" w:rsidR="00A5777A" w:rsidRPr="00234514" w:rsidRDefault="00A5777A" w:rsidP="00A5777A">
      <w:pPr>
        <w:rPr>
          <w:szCs w:val="24"/>
        </w:rPr>
      </w:pPr>
    </w:p>
    <w:p w14:paraId="36CAA642" w14:textId="77777777" w:rsidR="00A5777A" w:rsidRPr="00234514" w:rsidRDefault="00A5777A" w:rsidP="00A5777A">
      <w:pPr>
        <w:numPr>
          <w:ilvl w:val="0"/>
          <w:numId w:val="29"/>
        </w:numPr>
        <w:rPr>
          <w:szCs w:val="24"/>
        </w:rPr>
      </w:pPr>
      <w:r w:rsidRPr="00234514">
        <w:rPr>
          <w:szCs w:val="24"/>
        </w:rPr>
        <w:t>To manage its affairs to secure economic, efficient, and effective use of resources and safeguard its assets.</w:t>
      </w:r>
    </w:p>
    <w:p w14:paraId="1758F57D" w14:textId="77777777" w:rsidR="00A5777A" w:rsidRPr="00234514" w:rsidRDefault="00A5777A" w:rsidP="00A5777A">
      <w:pPr>
        <w:rPr>
          <w:szCs w:val="24"/>
        </w:rPr>
      </w:pPr>
    </w:p>
    <w:p w14:paraId="4ACE8923" w14:textId="77777777" w:rsidR="00A5777A" w:rsidRPr="00234514" w:rsidRDefault="00A5777A" w:rsidP="00A5777A">
      <w:pPr>
        <w:numPr>
          <w:ilvl w:val="0"/>
          <w:numId w:val="29"/>
        </w:numPr>
        <w:rPr>
          <w:szCs w:val="24"/>
        </w:rPr>
      </w:pPr>
      <w:r w:rsidRPr="00234514">
        <w:rPr>
          <w:szCs w:val="24"/>
        </w:rPr>
        <w:t>To approve the Statement of Accounts.</w:t>
      </w:r>
    </w:p>
    <w:p w14:paraId="706FDD8D" w14:textId="77777777" w:rsidR="00A5777A" w:rsidRPr="00234514" w:rsidRDefault="00A5777A" w:rsidP="00A5777A">
      <w:pPr>
        <w:ind w:hanging="562"/>
        <w:rPr>
          <w:szCs w:val="24"/>
        </w:rPr>
      </w:pPr>
    </w:p>
    <w:p w14:paraId="0E936243" w14:textId="77777777" w:rsidR="00A5777A" w:rsidRPr="005C1944" w:rsidRDefault="00A5777A" w:rsidP="00A5777A">
      <w:pPr>
        <w:rPr>
          <w:b/>
          <w:bCs/>
        </w:rPr>
      </w:pPr>
      <w:r w:rsidRPr="005C1944">
        <w:rPr>
          <w:b/>
          <w:bCs/>
        </w:rPr>
        <w:t>The Treasurer’s Responsibilities</w:t>
      </w:r>
    </w:p>
    <w:p w14:paraId="472D5784" w14:textId="77777777" w:rsidR="00A5777A" w:rsidRPr="00234514" w:rsidRDefault="00A5777A" w:rsidP="00A5777A">
      <w:pPr>
        <w:ind w:hanging="562"/>
        <w:rPr>
          <w:b/>
          <w:szCs w:val="24"/>
        </w:rPr>
      </w:pPr>
    </w:p>
    <w:p w14:paraId="31833F1E" w14:textId="77777777" w:rsidR="00A5777A" w:rsidRPr="00234514" w:rsidRDefault="00A5777A" w:rsidP="00A5777A">
      <w:pPr>
        <w:tabs>
          <w:tab w:val="left" w:pos="1418"/>
        </w:tabs>
        <w:rPr>
          <w:szCs w:val="24"/>
        </w:rPr>
      </w:pPr>
      <w:r w:rsidRPr="00234514">
        <w:rPr>
          <w:szCs w:val="24"/>
        </w:rPr>
        <w:t xml:space="preserve">The Treasurer is responsible for the preparation of the Authority’s Statement of Accounts which, in terms of the CIPFA/LASAAC Code of Practice on Local Authority Accounting (‘the Code’), is required to present </w:t>
      </w:r>
      <w:r w:rsidRPr="00234514">
        <w:rPr>
          <w:rFonts w:cs="Arial"/>
          <w:szCs w:val="24"/>
        </w:rPr>
        <w:t>a true and fair view</w:t>
      </w:r>
      <w:r w:rsidRPr="00234514">
        <w:rPr>
          <w:szCs w:val="24"/>
        </w:rPr>
        <w:t xml:space="preserve"> of the financial position of the Authority at the accounting date and its income and expenditure for the year ended 31 March 2023.</w:t>
      </w:r>
    </w:p>
    <w:p w14:paraId="13192569" w14:textId="77777777" w:rsidR="00A5777A" w:rsidRPr="00234514" w:rsidRDefault="00A5777A" w:rsidP="00A5777A">
      <w:pPr>
        <w:rPr>
          <w:szCs w:val="24"/>
        </w:rPr>
      </w:pPr>
    </w:p>
    <w:p w14:paraId="46BCF9DF" w14:textId="77777777" w:rsidR="00A5777A" w:rsidRPr="00234514" w:rsidRDefault="00A5777A" w:rsidP="00A5777A">
      <w:pPr>
        <w:rPr>
          <w:szCs w:val="24"/>
        </w:rPr>
      </w:pPr>
      <w:r w:rsidRPr="00234514">
        <w:rPr>
          <w:szCs w:val="24"/>
        </w:rPr>
        <w:t>In preparing this Statement of Accounts, the Treasurer has:</w:t>
      </w:r>
    </w:p>
    <w:p w14:paraId="5ACAB9D9" w14:textId="77777777" w:rsidR="00A5777A" w:rsidRPr="00234514" w:rsidRDefault="00A5777A" w:rsidP="00A5777A">
      <w:pPr>
        <w:rPr>
          <w:szCs w:val="24"/>
        </w:rPr>
      </w:pPr>
    </w:p>
    <w:p w14:paraId="2E48B1DE" w14:textId="77777777" w:rsidR="00A5777A" w:rsidRPr="00234514" w:rsidRDefault="00A5777A" w:rsidP="00A5777A">
      <w:pPr>
        <w:numPr>
          <w:ilvl w:val="0"/>
          <w:numId w:val="29"/>
        </w:numPr>
        <w:rPr>
          <w:szCs w:val="24"/>
        </w:rPr>
      </w:pPr>
      <w:r w:rsidRPr="00234514">
        <w:rPr>
          <w:szCs w:val="24"/>
        </w:rPr>
        <w:t xml:space="preserve">Selected suitable accounting policies and then applied them </w:t>
      </w:r>
      <w:proofErr w:type="gramStart"/>
      <w:r w:rsidRPr="00234514">
        <w:rPr>
          <w:szCs w:val="24"/>
        </w:rPr>
        <w:t>consistently;</w:t>
      </w:r>
      <w:proofErr w:type="gramEnd"/>
    </w:p>
    <w:p w14:paraId="35DC6B0A" w14:textId="77777777" w:rsidR="00A5777A" w:rsidRPr="00234514" w:rsidRDefault="00A5777A" w:rsidP="00A5777A">
      <w:pPr>
        <w:numPr>
          <w:ilvl w:val="0"/>
          <w:numId w:val="29"/>
        </w:numPr>
        <w:rPr>
          <w:szCs w:val="24"/>
        </w:rPr>
      </w:pPr>
      <w:r w:rsidRPr="00234514">
        <w:rPr>
          <w:szCs w:val="24"/>
        </w:rPr>
        <w:t xml:space="preserve">Made judgements and estimates that were reasonable and </w:t>
      </w:r>
      <w:proofErr w:type="gramStart"/>
      <w:r w:rsidRPr="00234514">
        <w:rPr>
          <w:szCs w:val="24"/>
        </w:rPr>
        <w:t>prudent;</w:t>
      </w:r>
      <w:proofErr w:type="gramEnd"/>
    </w:p>
    <w:p w14:paraId="64032CDB" w14:textId="77777777" w:rsidR="00A5777A" w:rsidRPr="00234514" w:rsidRDefault="00A5777A" w:rsidP="00A5777A">
      <w:pPr>
        <w:numPr>
          <w:ilvl w:val="0"/>
          <w:numId w:val="29"/>
        </w:numPr>
        <w:rPr>
          <w:szCs w:val="24"/>
        </w:rPr>
      </w:pPr>
      <w:r w:rsidRPr="00234514">
        <w:rPr>
          <w:szCs w:val="24"/>
        </w:rPr>
        <w:t>Complied with the Code.</w:t>
      </w:r>
    </w:p>
    <w:p w14:paraId="68DCBFAC" w14:textId="77777777" w:rsidR="00A5777A" w:rsidRPr="00234514" w:rsidRDefault="00A5777A" w:rsidP="00A5777A">
      <w:pPr>
        <w:rPr>
          <w:szCs w:val="24"/>
        </w:rPr>
      </w:pPr>
    </w:p>
    <w:p w14:paraId="77B21BD2" w14:textId="77777777" w:rsidR="00A5777A" w:rsidRPr="00234514" w:rsidRDefault="00A5777A" w:rsidP="00A5777A">
      <w:pPr>
        <w:rPr>
          <w:szCs w:val="24"/>
        </w:rPr>
      </w:pPr>
      <w:r w:rsidRPr="00234514">
        <w:rPr>
          <w:szCs w:val="24"/>
        </w:rPr>
        <w:t>The Treasurer has also:</w:t>
      </w:r>
    </w:p>
    <w:p w14:paraId="06E24E8A" w14:textId="77777777" w:rsidR="00A5777A" w:rsidRPr="00234514" w:rsidRDefault="00A5777A" w:rsidP="00A5777A">
      <w:pPr>
        <w:rPr>
          <w:szCs w:val="24"/>
        </w:rPr>
      </w:pPr>
    </w:p>
    <w:p w14:paraId="32EBB25D" w14:textId="77777777" w:rsidR="00A5777A" w:rsidRPr="00234514" w:rsidRDefault="00A5777A" w:rsidP="00A5777A">
      <w:pPr>
        <w:numPr>
          <w:ilvl w:val="0"/>
          <w:numId w:val="29"/>
        </w:numPr>
        <w:rPr>
          <w:szCs w:val="24"/>
        </w:rPr>
      </w:pPr>
      <w:r w:rsidRPr="00234514">
        <w:rPr>
          <w:szCs w:val="24"/>
        </w:rPr>
        <w:t xml:space="preserve">Kept proper accounting records which were </w:t>
      </w:r>
      <w:proofErr w:type="gramStart"/>
      <w:r w:rsidRPr="00234514">
        <w:rPr>
          <w:szCs w:val="24"/>
        </w:rPr>
        <w:t>up-to-date;</w:t>
      </w:r>
      <w:proofErr w:type="gramEnd"/>
    </w:p>
    <w:p w14:paraId="17267666" w14:textId="77777777" w:rsidR="00A5777A" w:rsidRPr="00234514" w:rsidRDefault="00A5777A" w:rsidP="00A5777A">
      <w:pPr>
        <w:numPr>
          <w:ilvl w:val="0"/>
          <w:numId w:val="29"/>
        </w:numPr>
        <w:rPr>
          <w:szCs w:val="24"/>
        </w:rPr>
      </w:pPr>
      <w:r w:rsidRPr="00234514">
        <w:rPr>
          <w:szCs w:val="24"/>
        </w:rPr>
        <w:t>Taken reasonable steps for the prevention and detection of fraud and other irregularities.</w:t>
      </w:r>
    </w:p>
    <w:p w14:paraId="3998EE03" w14:textId="77777777" w:rsidR="00A5777A" w:rsidRPr="00AF3DCD" w:rsidRDefault="00A5777A" w:rsidP="00A5777A">
      <w:pPr>
        <w:jc w:val="both"/>
        <w:rPr>
          <w:sz w:val="22"/>
        </w:rPr>
      </w:pPr>
    </w:p>
    <w:tbl>
      <w:tblPr>
        <w:tblW w:w="0" w:type="auto"/>
        <w:tblLayout w:type="fixed"/>
        <w:tblLook w:val="0000" w:firstRow="0" w:lastRow="0" w:firstColumn="0" w:lastColumn="0" w:noHBand="0" w:noVBand="0"/>
      </w:tblPr>
      <w:tblGrid>
        <w:gridCol w:w="4621"/>
        <w:gridCol w:w="4621"/>
      </w:tblGrid>
      <w:tr w:rsidR="00A5777A" w:rsidRPr="00AF3DCD" w14:paraId="08A61897" w14:textId="77777777" w:rsidTr="0084741F">
        <w:trPr>
          <w:trHeight w:val="702"/>
        </w:trPr>
        <w:tc>
          <w:tcPr>
            <w:tcW w:w="4621" w:type="dxa"/>
          </w:tcPr>
          <w:p w14:paraId="3AEFC374" w14:textId="77777777" w:rsidR="00A5777A" w:rsidRPr="00E25141" w:rsidRDefault="00A5777A" w:rsidP="0084741F">
            <w:pPr>
              <w:jc w:val="both"/>
              <w:rPr>
                <w:rFonts w:ascii="Brush Script MT" w:hAnsi="Brush Script MT"/>
                <w:sz w:val="48"/>
                <w:szCs w:val="48"/>
              </w:rPr>
            </w:pPr>
            <w:r w:rsidRPr="00E25141">
              <w:rPr>
                <w:rFonts w:ascii="Brush Script MT" w:hAnsi="Brush Script MT"/>
                <w:sz w:val="48"/>
                <w:szCs w:val="48"/>
              </w:rPr>
              <w:t>Steven Brown</w:t>
            </w:r>
          </w:p>
          <w:p w14:paraId="1B2A153B" w14:textId="77777777" w:rsidR="00A5777A" w:rsidRPr="00E25141" w:rsidRDefault="00A5777A" w:rsidP="0084741F">
            <w:pPr>
              <w:jc w:val="both"/>
              <w:rPr>
                <w:sz w:val="22"/>
              </w:rPr>
            </w:pPr>
          </w:p>
        </w:tc>
        <w:tc>
          <w:tcPr>
            <w:tcW w:w="4621" w:type="dxa"/>
          </w:tcPr>
          <w:p w14:paraId="387D34FA" w14:textId="77777777" w:rsidR="00A5777A" w:rsidRPr="00E25141" w:rsidRDefault="00A5777A" w:rsidP="0084741F">
            <w:pPr>
              <w:jc w:val="both"/>
              <w:rPr>
                <w:rFonts w:ascii="Brush Script MT" w:hAnsi="Brush Script MT"/>
                <w:sz w:val="48"/>
                <w:szCs w:val="48"/>
              </w:rPr>
            </w:pPr>
            <w:r>
              <w:rPr>
                <w:rFonts w:ascii="Brush Script MT" w:hAnsi="Brush Script MT"/>
                <w:sz w:val="48"/>
                <w:szCs w:val="48"/>
              </w:rPr>
              <w:t>John Shedwick</w:t>
            </w:r>
          </w:p>
          <w:p w14:paraId="36662BAB" w14:textId="77777777" w:rsidR="00A5777A" w:rsidRPr="00E25141" w:rsidRDefault="00A5777A" w:rsidP="0084741F">
            <w:pPr>
              <w:jc w:val="both"/>
              <w:rPr>
                <w:sz w:val="22"/>
                <w:highlight w:val="yellow"/>
              </w:rPr>
            </w:pPr>
          </w:p>
        </w:tc>
      </w:tr>
      <w:tr w:rsidR="00A5777A" w:rsidRPr="002618EE" w14:paraId="3AF5C2F8" w14:textId="77777777" w:rsidTr="0084741F">
        <w:trPr>
          <w:trHeight w:val="702"/>
        </w:trPr>
        <w:tc>
          <w:tcPr>
            <w:tcW w:w="4621" w:type="dxa"/>
          </w:tcPr>
          <w:p w14:paraId="670A07AF" w14:textId="77777777" w:rsidR="00A5777A" w:rsidRPr="002618EE" w:rsidRDefault="00A5777A" w:rsidP="0084741F">
            <w:pPr>
              <w:rPr>
                <w:szCs w:val="24"/>
              </w:rPr>
            </w:pPr>
            <w:r w:rsidRPr="002618EE">
              <w:rPr>
                <w:szCs w:val="24"/>
              </w:rPr>
              <w:t>Steven Brown CGMA</w:t>
            </w:r>
          </w:p>
          <w:p w14:paraId="06D5B293" w14:textId="77777777" w:rsidR="00A5777A" w:rsidRPr="002618EE" w:rsidRDefault="00A5777A" w:rsidP="0084741F">
            <w:pPr>
              <w:pStyle w:val="00-Normal-BB"/>
              <w:jc w:val="left"/>
              <w:rPr>
                <w:rFonts w:eastAsia="Times New Roman"/>
                <w:sz w:val="24"/>
                <w:szCs w:val="24"/>
              </w:rPr>
            </w:pPr>
            <w:r w:rsidRPr="002618EE">
              <w:rPr>
                <w:rFonts w:eastAsia="Times New Roman"/>
                <w:sz w:val="24"/>
                <w:szCs w:val="24"/>
              </w:rPr>
              <w:t>Treasurer to the Combined Fire Authority</w:t>
            </w:r>
          </w:p>
          <w:p w14:paraId="4F305764" w14:textId="77777777" w:rsidR="00A5777A" w:rsidRPr="002618EE" w:rsidRDefault="00A5777A" w:rsidP="0084741F">
            <w:pPr>
              <w:pStyle w:val="00-Normal-BB"/>
              <w:jc w:val="left"/>
              <w:rPr>
                <w:sz w:val="24"/>
                <w:szCs w:val="24"/>
              </w:rPr>
            </w:pPr>
            <w:r>
              <w:rPr>
                <w:sz w:val="24"/>
                <w:szCs w:val="24"/>
              </w:rPr>
              <w:t>28</w:t>
            </w:r>
            <w:r w:rsidRPr="001D0456">
              <w:rPr>
                <w:sz w:val="24"/>
                <w:szCs w:val="24"/>
                <w:vertAlign w:val="superscript"/>
              </w:rPr>
              <w:t>th</w:t>
            </w:r>
            <w:r>
              <w:rPr>
                <w:sz w:val="24"/>
                <w:szCs w:val="24"/>
              </w:rPr>
              <w:t xml:space="preserve"> March 2024</w:t>
            </w:r>
          </w:p>
        </w:tc>
        <w:tc>
          <w:tcPr>
            <w:tcW w:w="4621" w:type="dxa"/>
          </w:tcPr>
          <w:p w14:paraId="0C9574B1" w14:textId="77777777" w:rsidR="00A5777A" w:rsidRPr="002618EE" w:rsidRDefault="00A5777A" w:rsidP="0084741F">
            <w:pPr>
              <w:rPr>
                <w:szCs w:val="24"/>
              </w:rPr>
            </w:pPr>
            <w:r w:rsidRPr="002618EE">
              <w:rPr>
                <w:szCs w:val="24"/>
              </w:rPr>
              <w:t>John Shedwick</w:t>
            </w:r>
          </w:p>
          <w:p w14:paraId="5CAA6A37" w14:textId="77777777" w:rsidR="00A5777A" w:rsidRPr="002618EE" w:rsidRDefault="00A5777A" w:rsidP="0084741F">
            <w:pPr>
              <w:rPr>
                <w:szCs w:val="24"/>
              </w:rPr>
            </w:pPr>
            <w:r w:rsidRPr="002618EE">
              <w:rPr>
                <w:szCs w:val="24"/>
              </w:rPr>
              <w:t>Chair of Audit Committee</w:t>
            </w:r>
          </w:p>
          <w:p w14:paraId="10B99780" w14:textId="77777777" w:rsidR="00A5777A" w:rsidRPr="002618EE" w:rsidRDefault="00A5777A" w:rsidP="0084741F">
            <w:pPr>
              <w:rPr>
                <w:szCs w:val="24"/>
                <w:highlight w:val="yellow"/>
              </w:rPr>
            </w:pPr>
            <w:r>
              <w:rPr>
                <w:szCs w:val="24"/>
              </w:rPr>
              <w:t>28</w:t>
            </w:r>
            <w:r w:rsidRPr="001D0456">
              <w:rPr>
                <w:szCs w:val="24"/>
                <w:vertAlign w:val="superscript"/>
              </w:rPr>
              <w:t>th</w:t>
            </w:r>
            <w:r>
              <w:rPr>
                <w:szCs w:val="24"/>
              </w:rPr>
              <w:t xml:space="preserve"> March 2024</w:t>
            </w:r>
          </w:p>
        </w:tc>
      </w:tr>
    </w:tbl>
    <w:p w14:paraId="09E55D4F" w14:textId="06AFE325" w:rsidR="0077530B" w:rsidRPr="00127BBA" w:rsidRDefault="00234514" w:rsidP="00127BBA">
      <w:pPr>
        <w:autoSpaceDE w:val="0"/>
        <w:autoSpaceDN w:val="0"/>
        <w:adjustRightInd w:val="0"/>
        <w:rPr>
          <w:rFonts w:cs="Arial"/>
          <w:szCs w:val="24"/>
        </w:rPr>
      </w:pPr>
      <w:r>
        <w:rPr>
          <w:iCs/>
          <w:sz w:val="22"/>
          <w:szCs w:val="22"/>
          <w:lang w:eastAsia="en-GB"/>
        </w:rPr>
        <w:br w:type="page"/>
      </w:r>
    </w:p>
    <w:p w14:paraId="09BB1810" w14:textId="4CD4B8F8" w:rsidR="006B4BE1" w:rsidRPr="00234514" w:rsidRDefault="00490917" w:rsidP="007461FD">
      <w:pPr>
        <w:pStyle w:val="Heading1"/>
        <w:rPr>
          <w:rFonts w:cs="Arial"/>
          <w:iCs/>
          <w:szCs w:val="24"/>
          <w:lang w:eastAsia="en-GB"/>
        </w:rPr>
      </w:pPr>
      <w:bookmarkStart w:id="10" w:name="Responsibilities"/>
      <w:bookmarkStart w:id="11" w:name="_Toc166761527"/>
      <w:bookmarkEnd w:id="10"/>
      <w:r>
        <w:rPr>
          <w:szCs w:val="24"/>
        </w:rPr>
        <w:lastRenderedPageBreak/>
        <w:t>Explanation of Financial Statements</w:t>
      </w:r>
      <w:bookmarkEnd w:id="11"/>
    </w:p>
    <w:p w14:paraId="5A1013BE" w14:textId="77777777" w:rsidR="006B4BE1" w:rsidRPr="00234514" w:rsidRDefault="006B4BE1" w:rsidP="007461FD">
      <w:pPr>
        <w:rPr>
          <w:szCs w:val="24"/>
        </w:rPr>
      </w:pPr>
    </w:p>
    <w:p w14:paraId="2ED691DF" w14:textId="7CD0FE6C" w:rsidR="006B4BE1" w:rsidRPr="00234514" w:rsidRDefault="00490917" w:rsidP="00A5777A">
      <w:pPr>
        <w:rPr>
          <w:szCs w:val="24"/>
        </w:rPr>
      </w:pPr>
      <w:r>
        <w:rPr>
          <w:szCs w:val="24"/>
        </w:rPr>
        <w:t>Comprehensive Income and Expenditure Statement</w:t>
      </w:r>
    </w:p>
    <w:p w14:paraId="78A6E496" w14:textId="77777777" w:rsidR="006B4BE1" w:rsidRPr="00AF3DCD" w:rsidRDefault="006B4BE1" w:rsidP="006B4BE1">
      <w:pPr>
        <w:jc w:val="both"/>
        <w:rPr>
          <w:sz w:val="22"/>
        </w:rPr>
      </w:pPr>
    </w:p>
    <w:p w14:paraId="2974E6F3" w14:textId="77777777" w:rsidR="00490917" w:rsidRDefault="00490917" w:rsidP="00490917">
      <w:pPr>
        <w:rPr>
          <w:szCs w:val="24"/>
        </w:rPr>
      </w:pPr>
      <w:r w:rsidRPr="002618EE">
        <w:rPr>
          <w:szCs w:val="24"/>
        </w:rPr>
        <w:t>This statement shows the accounting cost in the year of providing services in accordance with generally accepted accounting practices, rather than the amount funded from taxation. Authorities raise taxation to cover expenditure in accordance with regulations; this may be different from the accounting cost. The taxation position is shown in both the Expenditure and Funding Analysis and the Movement in Reserves Statement</w:t>
      </w:r>
      <w:r>
        <w:rPr>
          <w:szCs w:val="24"/>
        </w:rPr>
        <w:t>.</w:t>
      </w:r>
      <w:r w:rsidRPr="00490917">
        <w:rPr>
          <w:szCs w:val="24"/>
        </w:rPr>
        <w:t xml:space="preserve"> </w:t>
      </w:r>
    </w:p>
    <w:p w14:paraId="3FBFA4EB" w14:textId="77777777" w:rsidR="00490917" w:rsidRDefault="00490917" w:rsidP="00490917">
      <w:pPr>
        <w:rPr>
          <w:szCs w:val="24"/>
        </w:rPr>
      </w:pPr>
    </w:p>
    <w:p w14:paraId="07B79A45" w14:textId="572ED2B9" w:rsidR="00490917" w:rsidRDefault="00490917" w:rsidP="00490917">
      <w:pPr>
        <w:rPr>
          <w:szCs w:val="24"/>
        </w:rPr>
      </w:pPr>
      <w:r>
        <w:rPr>
          <w:szCs w:val="24"/>
        </w:rPr>
        <w:t>Movement in Reserves Statement</w:t>
      </w:r>
    </w:p>
    <w:p w14:paraId="5D67B02E" w14:textId="77777777" w:rsidR="00490917" w:rsidRDefault="00490917" w:rsidP="00490917">
      <w:pPr>
        <w:rPr>
          <w:szCs w:val="24"/>
        </w:rPr>
      </w:pPr>
    </w:p>
    <w:p w14:paraId="0F959B18" w14:textId="77777777" w:rsidR="00490917" w:rsidRPr="002618EE" w:rsidRDefault="00490917" w:rsidP="00490917">
      <w:pPr>
        <w:ind w:right="-341"/>
        <w:rPr>
          <w:szCs w:val="24"/>
        </w:rPr>
      </w:pPr>
      <w:r w:rsidRPr="002618EE">
        <w:rPr>
          <w:szCs w:val="24"/>
        </w:rPr>
        <w:t>This statement shows the movement in the year on the different reserves held by the Authority, analysed into ‘Usable Reserves’ (</w:t>
      </w:r>
      <w:proofErr w:type="spellStart"/>
      <w:r w:rsidRPr="002618EE">
        <w:rPr>
          <w:szCs w:val="24"/>
        </w:rPr>
        <w:t>ie</w:t>
      </w:r>
      <w:proofErr w:type="spellEnd"/>
      <w:r w:rsidRPr="002618EE">
        <w:rPr>
          <w:szCs w:val="24"/>
        </w:rPr>
        <w:t xml:space="preserve"> those that can be applied to fund expenditure or reduce local taxation) and other reserves. The Surplus or (Deficit) on the provision of services line shows the true economic cost of providing the Authority’s services, more details of which are shown in the Comprehensive Income and Expenditure Statement. These are different from the statutory amounts required to be charged to the General Fund Balance and the Comprehensive Income and Expenditure Statement for council tax setting purposes. The Net Increase/Decrease before Transfers to Earmarked Reserves line shows the statutory General Fund Balance before any discretionary transfers to or from Earmarked Reserves undertaken by the Authority. </w:t>
      </w:r>
    </w:p>
    <w:p w14:paraId="12EF47FE" w14:textId="77777777" w:rsidR="00490917" w:rsidRDefault="00490917" w:rsidP="00490917">
      <w:pPr>
        <w:rPr>
          <w:szCs w:val="24"/>
        </w:rPr>
      </w:pPr>
    </w:p>
    <w:p w14:paraId="0534DDA6" w14:textId="53BB7093" w:rsidR="00490917" w:rsidRDefault="00490917" w:rsidP="00490917">
      <w:pPr>
        <w:rPr>
          <w:szCs w:val="24"/>
        </w:rPr>
      </w:pPr>
      <w:r>
        <w:rPr>
          <w:szCs w:val="24"/>
        </w:rPr>
        <w:t>Balance Sheet</w:t>
      </w:r>
    </w:p>
    <w:p w14:paraId="0BA14997" w14:textId="77777777" w:rsidR="00490917" w:rsidRDefault="00490917" w:rsidP="00490917">
      <w:pPr>
        <w:rPr>
          <w:szCs w:val="24"/>
        </w:rPr>
      </w:pPr>
    </w:p>
    <w:p w14:paraId="655DB25B" w14:textId="7B8CA20D" w:rsidR="00490917" w:rsidRPr="005D04CB" w:rsidRDefault="00490917" w:rsidP="00490917">
      <w:pPr>
        <w:pStyle w:val="BalloonText"/>
        <w:rPr>
          <w:rFonts w:ascii="Arial" w:hAnsi="Arial"/>
          <w:sz w:val="24"/>
          <w:szCs w:val="24"/>
        </w:rPr>
      </w:pPr>
      <w:r w:rsidRPr="005D04CB">
        <w:rPr>
          <w:rFonts w:ascii="Arial" w:hAnsi="Arial"/>
          <w:sz w:val="24"/>
          <w:szCs w:val="24"/>
        </w:rPr>
        <w:t xml:space="preserve">The Balance Sheet shows the value as at the Balance Sheet date of the assets and liabilities recognised by the Authority. The net assets of the Authority (assets less liabilities) are matched by the reserves held by the Authority. Reserves are reported in two categories, usable reserves are those that the Authority may use to provide services, subject to the need to maintain a prudent level of reserves and any statutory limitations on their use (for example capital receipts may only be used to fund capital expenditure). The second category is unusable </w:t>
      </w:r>
      <w:r w:rsidR="00B66D51" w:rsidRPr="005D04CB">
        <w:rPr>
          <w:rFonts w:ascii="Arial" w:hAnsi="Arial"/>
          <w:sz w:val="24"/>
          <w:szCs w:val="24"/>
        </w:rPr>
        <w:t>reserves and</w:t>
      </w:r>
      <w:r w:rsidRPr="005D04CB">
        <w:rPr>
          <w:rFonts w:ascii="Arial" w:hAnsi="Arial"/>
          <w:sz w:val="24"/>
          <w:szCs w:val="24"/>
        </w:rPr>
        <w:t xml:space="preserve"> includes reserves that hold unrealised gains and losses (</w:t>
      </w:r>
      <w:proofErr w:type="spellStart"/>
      <w:r w:rsidRPr="005D04CB">
        <w:rPr>
          <w:rFonts w:ascii="Arial" w:hAnsi="Arial"/>
          <w:sz w:val="24"/>
          <w:szCs w:val="24"/>
        </w:rPr>
        <w:t>eg</w:t>
      </w:r>
      <w:proofErr w:type="spellEnd"/>
      <w:r w:rsidRPr="005D04CB">
        <w:rPr>
          <w:rFonts w:ascii="Arial" w:hAnsi="Arial"/>
          <w:sz w:val="24"/>
          <w:szCs w:val="24"/>
        </w:rPr>
        <w:t xml:space="preserve"> the revaluation reserve), where amounts would only become available to provide services if the assets are sold; and reserves that hold timing differences shown in the Movement in Reserves Statement line ‘Adjustments between accounting basis and funding basis under </w:t>
      </w:r>
      <w:proofErr w:type="gramStart"/>
      <w:r w:rsidRPr="005D04CB">
        <w:rPr>
          <w:rFonts w:ascii="Arial" w:hAnsi="Arial"/>
          <w:sz w:val="24"/>
          <w:szCs w:val="24"/>
        </w:rPr>
        <w:t>regulations’</w:t>
      </w:r>
      <w:proofErr w:type="gramEnd"/>
      <w:r w:rsidRPr="005D04CB">
        <w:rPr>
          <w:rFonts w:ascii="Arial" w:hAnsi="Arial"/>
          <w:sz w:val="24"/>
          <w:szCs w:val="24"/>
        </w:rPr>
        <w:t>.</w:t>
      </w:r>
    </w:p>
    <w:p w14:paraId="5EBAFCE6" w14:textId="77777777" w:rsidR="00490917" w:rsidRDefault="00490917" w:rsidP="00490917">
      <w:pPr>
        <w:rPr>
          <w:szCs w:val="24"/>
        </w:rPr>
      </w:pPr>
    </w:p>
    <w:p w14:paraId="30D3355E" w14:textId="046424AE" w:rsidR="00490917" w:rsidRPr="001C1966" w:rsidRDefault="00490917" w:rsidP="00490917">
      <w:pPr>
        <w:rPr>
          <w:szCs w:val="24"/>
        </w:rPr>
        <w:sectPr w:rsidR="00490917" w:rsidRPr="001C1966" w:rsidSect="0050229D">
          <w:headerReference w:type="even" r:id="rId20"/>
          <w:headerReference w:type="default" r:id="rId21"/>
          <w:footerReference w:type="default" r:id="rId22"/>
          <w:headerReference w:type="first" r:id="rId23"/>
          <w:pgSz w:w="11907" w:h="16840" w:code="9"/>
          <w:pgMar w:top="851" w:right="851" w:bottom="737" w:left="1134" w:header="720" w:footer="720" w:gutter="0"/>
          <w:pgNumType w:start="1"/>
          <w:cols w:space="720"/>
        </w:sectPr>
      </w:pPr>
    </w:p>
    <w:p w14:paraId="46B3D8AE" w14:textId="2F93E239" w:rsidR="003601D2" w:rsidRPr="002618EE" w:rsidRDefault="002618EE" w:rsidP="007461FD">
      <w:pPr>
        <w:pStyle w:val="Heading1"/>
        <w:rPr>
          <w:szCs w:val="24"/>
        </w:rPr>
      </w:pPr>
      <w:bookmarkStart w:id="12" w:name="CIES"/>
      <w:bookmarkStart w:id="13" w:name="_Toc166761528"/>
      <w:bookmarkEnd w:id="12"/>
      <w:r w:rsidRPr="002618EE">
        <w:rPr>
          <w:szCs w:val="24"/>
        </w:rPr>
        <w:lastRenderedPageBreak/>
        <w:t>Comprehensive Income and Expenditure Statement</w:t>
      </w:r>
      <w:bookmarkEnd w:id="13"/>
    </w:p>
    <w:p w14:paraId="2F66E868" w14:textId="34F0AFB0" w:rsidR="003601D2" w:rsidRPr="002618EE" w:rsidRDefault="003601D2" w:rsidP="007461FD">
      <w:pPr>
        <w:rPr>
          <w:szCs w:val="24"/>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5"/>
        <w:gridCol w:w="1100"/>
        <w:gridCol w:w="1497"/>
        <w:gridCol w:w="1298"/>
        <w:gridCol w:w="1497"/>
        <w:gridCol w:w="1497"/>
        <w:gridCol w:w="1298"/>
        <w:gridCol w:w="1497"/>
      </w:tblGrid>
      <w:tr w:rsidR="00BD79B2" w:rsidRPr="0096022A" w14:paraId="6FE25F9C" w14:textId="77777777" w:rsidTr="00BD79B2">
        <w:trPr>
          <w:tblHeader/>
        </w:trPr>
        <w:tc>
          <w:tcPr>
            <w:tcW w:w="2184" w:type="pct"/>
            <w:gridSpan w:val="2"/>
            <w:shd w:val="clear" w:color="auto" w:fill="BD2716"/>
          </w:tcPr>
          <w:p w14:paraId="11BEC3C7" w14:textId="77777777" w:rsidR="00BD79B2" w:rsidRPr="00036C34" w:rsidRDefault="00BD79B2" w:rsidP="0070773E">
            <w:pPr>
              <w:jc w:val="center"/>
              <w:rPr>
                <w:rFonts w:cs="Arial"/>
                <w:color w:val="FFFFFF" w:themeColor="background1"/>
                <w:szCs w:val="24"/>
              </w:rPr>
            </w:pPr>
          </w:p>
        </w:tc>
        <w:tc>
          <w:tcPr>
            <w:tcW w:w="491" w:type="pct"/>
            <w:shd w:val="clear" w:color="auto" w:fill="BD2716"/>
            <w:vAlign w:val="center"/>
          </w:tcPr>
          <w:p w14:paraId="42DD9532" w14:textId="62ED7A57" w:rsidR="00BD79B2" w:rsidRPr="00036C34" w:rsidRDefault="00BD79B2" w:rsidP="00611673">
            <w:pPr>
              <w:jc w:val="center"/>
              <w:rPr>
                <w:rFonts w:cs="Arial"/>
                <w:color w:val="FFFFFF" w:themeColor="background1"/>
                <w:szCs w:val="24"/>
              </w:rPr>
            </w:pPr>
            <w:r w:rsidRPr="00036C34">
              <w:rPr>
                <w:rFonts w:cs="Arial"/>
                <w:color w:val="FFFFFF" w:themeColor="background1"/>
                <w:szCs w:val="24"/>
              </w:rPr>
              <w:t>2022/23</w:t>
            </w:r>
          </w:p>
        </w:tc>
        <w:tc>
          <w:tcPr>
            <w:tcW w:w="426" w:type="pct"/>
            <w:shd w:val="clear" w:color="auto" w:fill="BD2716"/>
            <w:vAlign w:val="center"/>
          </w:tcPr>
          <w:p w14:paraId="49B17448" w14:textId="2FC59171" w:rsidR="00BD79B2" w:rsidRPr="00036C34" w:rsidRDefault="00BD79B2" w:rsidP="00611673">
            <w:pPr>
              <w:jc w:val="center"/>
              <w:rPr>
                <w:rFonts w:cs="Arial"/>
                <w:color w:val="FFFFFF" w:themeColor="background1"/>
                <w:szCs w:val="24"/>
              </w:rPr>
            </w:pPr>
            <w:r w:rsidRPr="00036C34">
              <w:rPr>
                <w:rFonts w:cs="Arial"/>
                <w:color w:val="FFFFFF" w:themeColor="background1"/>
                <w:szCs w:val="24"/>
              </w:rPr>
              <w:t>2022/23</w:t>
            </w:r>
          </w:p>
        </w:tc>
        <w:tc>
          <w:tcPr>
            <w:tcW w:w="491" w:type="pct"/>
            <w:shd w:val="clear" w:color="auto" w:fill="BD2716"/>
            <w:vAlign w:val="center"/>
          </w:tcPr>
          <w:p w14:paraId="37C6D52F" w14:textId="49697211" w:rsidR="00BD79B2" w:rsidRPr="00036C34" w:rsidRDefault="00BD79B2" w:rsidP="00611673">
            <w:pPr>
              <w:jc w:val="center"/>
              <w:rPr>
                <w:rFonts w:cs="Arial"/>
                <w:color w:val="FFFFFF" w:themeColor="background1"/>
                <w:szCs w:val="24"/>
              </w:rPr>
            </w:pPr>
            <w:r w:rsidRPr="00036C34">
              <w:rPr>
                <w:rFonts w:cs="Arial"/>
                <w:color w:val="FFFFFF" w:themeColor="background1"/>
                <w:szCs w:val="24"/>
              </w:rPr>
              <w:t>2022/23</w:t>
            </w:r>
          </w:p>
        </w:tc>
        <w:tc>
          <w:tcPr>
            <w:tcW w:w="491" w:type="pct"/>
            <w:shd w:val="clear" w:color="auto" w:fill="BD2716"/>
            <w:vAlign w:val="center"/>
          </w:tcPr>
          <w:p w14:paraId="6538A3D8" w14:textId="7A1A70C4" w:rsidR="00BD79B2" w:rsidRPr="00036C34" w:rsidRDefault="00BD79B2" w:rsidP="00611673">
            <w:pPr>
              <w:jc w:val="center"/>
              <w:rPr>
                <w:rFonts w:cs="Arial"/>
                <w:color w:val="FFFFFF" w:themeColor="background1"/>
                <w:szCs w:val="24"/>
              </w:rPr>
            </w:pPr>
            <w:r w:rsidRPr="00036C34">
              <w:rPr>
                <w:rFonts w:cs="Arial"/>
                <w:color w:val="FFFFFF" w:themeColor="background1"/>
                <w:szCs w:val="24"/>
              </w:rPr>
              <w:t>2021/22</w:t>
            </w:r>
          </w:p>
        </w:tc>
        <w:tc>
          <w:tcPr>
            <w:tcW w:w="426" w:type="pct"/>
            <w:shd w:val="clear" w:color="auto" w:fill="BD2716"/>
            <w:vAlign w:val="center"/>
          </w:tcPr>
          <w:p w14:paraId="48F27F44" w14:textId="4459F9A6" w:rsidR="00BD79B2" w:rsidRPr="00036C34" w:rsidRDefault="00BD79B2" w:rsidP="00611673">
            <w:pPr>
              <w:jc w:val="center"/>
              <w:rPr>
                <w:rFonts w:cs="Arial"/>
                <w:color w:val="FFFFFF" w:themeColor="background1"/>
                <w:szCs w:val="24"/>
              </w:rPr>
            </w:pPr>
            <w:r w:rsidRPr="00036C34">
              <w:rPr>
                <w:rFonts w:cs="Arial"/>
                <w:color w:val="FFFFFF" w:themeColor="background1"/>
                <w:szCs w:val="24"/>
              </w:rPr>
              <w:t>2021/22</w:t>
            </w:r>
          </w:p>
        </w:tc>
        <w:tc>
          <w:tcPr>
            <w:tcW w:w="491" w:type="pct"/>
            <w:shd w:val="clear" w:color="auto" w:fill="BD2716"/>
            <w:vAlign w:val="center"/>
          </w:tcPr>
          <w:p w14:paraId="1A093FD4" w14:textId="4ACB1BD0" w:rsidR="00BD79B2" w:rsidRPr="00036C34" w:rsidRDefault="00BD79B2" w:rsidP="00611673">
            <w:pPr>
              <w:jc w:val="center"/>
              <w:rPr>
                <w:rFonts w:cs="Arial"/>
                <w:color w:val="FFFFFF" w:themeColor="background1"/>
                <w:szCs w:val="24"/>
              </w:rPr>
            </w:pPr>
            <w:r w:rsidRPr="00036C34">
              <w:rPr>
                <w:rFonts w:cs="Arial"/>
                <w:color w:val="FFFFFF" w:themeColor="background1"/>
                <w:szCs w:val="24"/>
              </w:rPr>
              <w:t>2021/22</w:t>
            </w:r>
          </w:p>
        </w:tc>
      </w:tr>
      <w:tr w:rsidR="0070773E" w:rsidRPr="0096022A" w14:paraId="19EE22C3" w14:textId="77777777" w:rsidTr="00611673">
        <w:trPr>
          <w:tblHeader/>
        </w:trPr>
        <w:tc>
          <w:tcPr>
            <w:tcW w:w="1823" w:type="pct"/>
            <w:shd w:val="clear" w:color="auto" w:fill="BD2716"/>
            <w:vAlign w:val="bottom"/>
          </w:tcPr>
          <w:p w14:paraId="6D2765AD" w14:textId="7B43C593" w:rsidR="0070773E" w:rsidRPr="00036C34" w:rsidRDefault="0070773E" w:rsidP="0070773E">
            <w:pPr>
              <w:rPr>
                <w:rFonts w:cs="Arial"/>
                <w:color w:val="FFFFFF" w:themeColor="background1"/>
                <w:szCs w:val="24"/>
              </w:rPr>
            </w:pPr>
          </w:p>
        </w:tc>
        <w:tc>
          <w:tcPr>
            <w:tcW w:w="361" w:type="pct"/>
            <w:shd w:val="clear" w:color="auto" w:fill="BD2716"/>
            <w:vAlign w:val="center"/>
          </w:tcPr>
          <w:p w14:paraId="0B3E2190" w14:textId="417DF9EF" w:rsidR="0070773E" w:rsidRPr="00036C34" w:rsidRDefault="0070773E" w:rsidP="00611673">
            <w:pPr>
              <w:rPr>
                <w:rFonts w:cs="Arial"/>
                <w:color w:val="FFFFFF" w:themeColor="background1"/>
                <w:szCs w:val="24"/>
              </w:rPr>
            </w:pPr>
            <w:r w:rsidRPr="00036C34">
              <w:rPr>
                <w:rFonts w:cs="Arial"/>
                <w:color w:val="FFFFFF" w:themeColor="background1"/>
                <w:szCs w:val="24"/>
              </w:rPr>
              <w:t>Notes</w:t>
            </w:r>
          </w:p>
        </w:tc>
        <w:tc>
          <w:tcPr>
            <w:tcW w:w="491" w:type="pct"/>
            <w:shd w:val="clear" w:color="auto" w:fill="BD2716"/>
            <w:vAlign w:val="center"/>
          </w:tcPr>
          <w:p w14:paraId="1B747E6F" w14:textId="5156813B" w:rsidR="0070773E" w:rsidRPr="00036C34" w:rsidRDefault="0070773E" w:rsidP="00611673">
            <w:pPr>
              <w:jc w:val="right"/>
              <w:rPr>
                <w:rFonts w:cs="Arial"/>
                <w:color w:val="FFFFFF" w:themeColor="background1"/>
                <w:szCs w:val="24"/>
              </w:rPr>
            </w:pPr>
            <w:r w:rsidRPr="00036C34">
              <w:rPr>
                <w:rFonts w:cs="Arial"/>
                <w:color w:val="FFFFFF" w:themeColor="background1"/>
                <w:szCs w:val="24"/>
              </w:rPr>
              <w:t>Gross</w:t>
            </w:r>
          </w:p>
          <w:p w14:paraId="32D3F751" w14:textId="77777777" w:rsidR="0070773E" w:rsidRPr="00036C34" w:rsidRDefault="0070773E" w:rsidP="00611673">
            <w:pPr>
              <w:jc w:val="right"/>
              <w:rPr>
                <w:rFonts w:cs="Arial"/>
                <w:color w:val="FFFFFF" w:themeColor="background1"/>
                <w:szCs w:val="24"/>
              </w:rPr>
            </w:pPr>
            <w:r w:rsidRPr="00036C34">
              <w:rPr>
                <w:rFonts w:cs="Arial"/>
                <w:color w:val="FFFFFF" w:themeColor="background1"/>
                <w:szCs w:val="24"/>
              </w:rPr>
              <w:t>Expenditure</w:t>
            </w:r>
          </w:p>
          <w:p w14:paraId="5F23210B" w14:textId="250C403B" w:rsidR="0070773E" w:rsidRPr="00036C34" w:rsidRDefault="0070773E" w:rsidP="00611673">
            <w:pPr>
              <w:jc w:val="right"/>
              <w:rPr>
                <w:rFonts w:cs="Arial"/>
                <w:color w:val="FFFFFF" w:themeColor="background1"/>
                <w:szCs w:val="24"/>
              </w:rPr>
            </w:pPr>
            <w:r w:rsidRPr="00036C34">
              <w:rPr>
                <w:rFonts w:cs="Arial"/>
                <w:color w:val="FFFFFF" w:themeColor="background1"/>
                <w:szCs w:val="24"/>
              </w:rPr>
              <w:t>£000</w:t>
            </w:r>
          </w:p>
        </w:tc>
        <w:tc>
          <w:tcPr>
            <w:tcW w:w="426" w:type="pct"/>
            <w:shd w:val="clear" w:color="auto" w:fill="BD2716"/>
            <w:vAlign w:val="center"/>
          </w:tcPr>
          <w:p w14:paraId="61B79017" w14:textId="26DD162A" w:rsidR="0070773E" w:rsidRPr="00036C34" w:rsidRDefault="0070773E" w:rsidP="00611673">
            <w:pPr>
              <w:jc w:val="right"/>
              <w:rPr>
                <w:rFonts w:cs="Arial"/>
                <w:color w:val="FFFFFF" w:themeColor="background1"/>
                <w:szCs w:val="24"/>
              </w:rPr>
            </w:pPr>
            <w:r w:rsidRPr="00036C34">
              <w:rPr>
                <w:rFonts w:cs="Arial"/>
                <w:color w:val="FFFFFF" w:themeColor="background1"/>
                <w:szCs w:val="24"/>
              </w:rPr>
              <w:t>Gross</w:t>
            </w:r>
          </w:p>
          <w:p w14:paraId="2F441DD1" w14:textId="77777777" w:rsidR="0070773E" w:rsidRPr="00036C34" w:rsidRDefault="0070773E" w:rsidP="00611673">
            <w:pPr>
              <w:jc w:val="right"/>
              <w:rPr>
                <w:rFonts w:cs="Arial"/>
                <w:color w:val="FFFFFF" w:themeColor="background1"/>
                <w:szCs w:val="24"/>
              </w:rPr>
            </w:pPr>
            <w:r w:rsidRPr="00036C34">
              <w:rPr>
                <w:rFonts w:cs="Arial"/>
                <w:color w:val="FFFFFF" w:themeColor="background1"/>
                <w:szCs w:val="24"/>
              </w:rPr>
              <w:t>Income</w:t>
            </w:r>
          </w:p>
          <w:p w14:paraId="5A1FAE2D" w14:textId="773E8F26" w:rsidR="0070773E" w:rsidRPr="00036C34" w:rsidRDefault="0070773E" w:rsidP="00611673">
            <w:pPr>
              <w:jc w:val="right"/>
              <w:rPr>
                <w:rFonts w:cs="Arial"/>
                <w:color w:val="FFFFFF" w:themeColor="background1"/>
                <w:szCs w:val="24"/>
              </w:rPr>
            </w:pPr>
            <w:r w:rsidRPr="00036C34">
              <w:rPr>
                <w:rFonts w:cs="Arial"/>
                <w:color w:val="FFFFFF" w:themeColor="background1"/>
                <w:szCs w:val="24"/>
              </w:rPr>
              <w:t>£000</w:t>
            </w:r>
          </w:p>
        </w:tc>
        <w:tc>
          <w:tcPr>
            <w:tcW w:w="491" w:type="pct"/>
            <w:shd w:val="clear" w:color="auto" w:fill="BD2716"/>
            <w:vAlign w:val="center"/>
          </w:tcPr>
          <w:p w14:paraId="0C69DCCD" w14:textId="77247FAF" w:rsidR="0070773E" w:rsidRPr="00036C34" w:rsidRDefault="0070773E" w:rsidP="00611673">
            <w:pPr>
              <w:jc w:val="right"/>
              <w:rPr>
                <w:rFonts w:cs="Arial"/>
                <w:color w:val="FFFFFF" w:themeColor="background1"/>
                <w:szCs w:val="24"/>
              </w:rPr>
            </w:pPr>
            <w:r w:rsidRPr="00036C34">
              <w:rPr>
                <w:rFonts w:cs="Arial"/>
                <w:color w:val="FFFFFF" w:themeColor="background1"/>
                <w:szCs w:val="24"/>
              </w:rPr>
              <w:t>Net</w:t>
            </w:r>
          </w:p>
          <w:p w14:paraId="2B98FCCE" w14:textId="77777777" w:rsidR="0070773E" w:rsidRPr="00036C34" w:rsidRDefault="0070773E" w:rsidP="00611673">
            <w:pPr>
              <w:jc w:val="right"/>
              <w:rPr>
                <w:rFonts w:cs="Arial"/>
                <w:color w:val="FFFFFF" w:themeColor="background1"/>
                <w:szCs w:val="24"/>
              </w:rPr>
            </w:pPr>
            <w:r w:rsidRPr="00036C34">
              <w:rPr>
                <w:rFonts w:cs="Arial"/>
                <w:color w:val="FFFFFF" w:themeColor="background1"/>
                <w:szCs w:val="24"/>
              </w:rPr>
              <w:t>Expenditure</w:t>
            </w:r>
          </w:p>
          <w:p w14:paraId="54485FE4" w14:textId="740103C9" w:rsidR="0070773E" w:rsidRPr="00036C34" w:rsidRDefault="0070773E" w:rsidP="00611673">
            <w:pPr>
              <w:jc w:val="right"/>
              <w:rPr>
                <w:rFonts w:cs="Arial"/>
                <w:color w:val="FFFFFF" w:themeColor="background1"/>
                <w:szCs w:val="24"/>
              </w:rPr>
            </w:pPr>
            <w:r w:rsidRPr="00036C34">
              <w:rPr>
                <w:rFonts w:cs="Arial"/>
                <w:color w:val="FFFFFF" w:themeColor="background1"/>
                <w:szCs w:val="24"/>
              </w:rPr>
              <w:t>£000</w:t>
            </w:r>
          </w:p>
        </w:tc>
        <w:tc>
          <w:tcPr>
            <w:tcW w:w="491" w:type="pct"/>
            <w:shd w:val="clear" w:color="auto" w:fill="BD2716"/>
            <w:vAlign w:val="center"/>
          </w:tcPr>
          <w:p w14:paraId="613363D4" w14:textId="1D02F69D" w:rsidR="0070773E" w:rsidRPr="00036C34" w:rsidRDefault="0070773E" w:rsidP="00611673">
            <w:pPr>
              <w:jc w:val="right"/>
              <w:rPr>
                <w:rFonts w:cs="Arial"/>
                <w:color w:val="FFFFFF" w:themeColor="background1"/>
                <w:szCs w:val="24"/>
              </w:rPr>
            </w:pPr>
            <w:r w:rsidRPr="00036C34">
              <w:rPr>
                <w:rFonts w:cs="Arial"/>
                <w:color w:val="FFFFFF" w:themeColor="background1"/>
                <w:szCs w:val="24"/>
              </w:rPr>
              <w:t>Gross</w:t>
            </w:r>
          </w:p>
          <w:p w14:paraId="014F58D4" w14:textId="77777777" w:rsidR="0070773E" w:rsidRPr="00036C34" w:rsidRDefault="0070773E" w:rsidP="00611673">
            <w:pPr>
              <w:jc w:val="right"/>
              <w:rPr>
                <w:rFonts w:cs="Arial"/>
                <w:color w:val="FFFFFF" w:themeColor="background1"/>
                <w:szCs w:val="24"/>
              </w:rPr>
            </w:pPr>
            <w:r w:rsidRPr="00036C34">
              <w:rPr>
                <w:rFonts w:cs="Arial"/>
                <w:color w:val="FFFFFF" w:themeColor="background1"/>
                <w:szCs w:val="24"/>
              </w:rPr>
              <w:t>Expenditure</w:t>
            </w:r>
          </w:p>
          <w:p w14:paraId="7204DA13" w14:textId="4F36B197" w:rsidR="0070773E" w:rsidRPr="00036C34" w:rsidRDefault="0070773E" w:rsidP="00611673">
            <w:pPr>
              <w:jc w:val="right"/>
              <w:rPr>
                <w:rFonts w:cs="Arial"/>
                <w:color w:val="FFFFFF" w:themeColor="background1"/>
                <w:szCs w:val="24"/>
              </w:rPr>
            </w:pPr>
            <w:r w:rsidRPr="00036C34">
              <w:rPr>
                <w:rFonts w:cs="Arial"/>
                <w:color w:val="FFFFFF" w:themeColor="background1"/>
                <w:szCs w:val="24"/>
              </w:rPr>
              <w:t>£000</w:t>
            </w:r>
          </w:p>
        </w:tc>
        <w:tc>
          <w:tcPr>
            <w:tcW w:w="426" w:type="pct"/>
            <w:shd w:val="clear" w:color="auto" w:fill="BD2716"/>
            <w:vAlign w:val="center"/>
          </w:tcPr>
          <w:p w14:paraId="1D583F8D" w14:textId="062A92A3" w:rsidR="0070773E" w:rsidRPr="00036C34" w:rsidRDefault="0070773E" w:rsidP="00611673">
            <w:pPr>
              <w:jc w:val="right"/>
              <w:rPr>
                <w:rFonts w:cs="Arial"/>
                <w:color w:val="FFFFFF" w:themeColor="background1"/>
                <w:szCs w:val="24"/>
              </w:rPr>
            </w:pPr>
            <w:r w:rsidRPr="00036C34">
              <w:rPr>
                <w:rFonts w:cs="Arial"/>
                <w:color w:val="FFFFFF" w:themeColor="background1"/>
                <w:szCs w:val="24"/>
              </w:rPr>
              <w:t>Gross</w:t>
            </w:r>
          </w:p>
          <w:p w14:paraId="71DDE418" w14:textId="77777777" w:rsidR="0070773E" w:rsidRPr="00036C34" w:rsidRDefault="0070773E" w:rsidP="00611673">
            <w:pPr>
              <w:jc w:val="right"/>
              <w:rPr>
                <w:rFonts w:cs="Arial"/>
                <w:color w:val="FFFFFF" w:themeColor="background1"/>
                <w:szCs w:val="24"/>
              </w:rPr>
            </w:pPr>
            <w:r w:rsidRPr="00036C34">
              <w:rPr>
                <w:rFonts w:cs="Arial"/>
                <w:color w:val="FFFFFF" w:themeColor="background1"/>
                <w:szCs w:val="24"/>
              </w:rPr>
              <w:t>Income</w:t>
            </w:r>
          </w:p>
          <w:p w14:paraId="0942EE26" w14:textId="159FFC1F" w:rsidR="0070773E" w:rsidRPr="00036C34" w:rsidRDefault="0070773E" w:rsidP="00611673">
            <w:pPr>
              <w:jc w:val="right"/>
              <w:rPr>
                <w:rFonts w:cs="Arial"/>
                <w:color w:val="FFFFFF" w:themeColor="background1"/>
                <w:szCs w:val="24"/>
              </w:rPr>
            </w:pPr>
            <w:r w:rsidRPr="00036C34">
              <w:rPr>
                <w:rFonts w:cs="Arial"/>
                <w:color w:val="FFFFFF" w:themeColor="background1"/>
                <w:szCs w:val="24"/>
              </w:rPr>
              <w:t>£000</w:t>
            </w:r>
          </w:p>
        </w:tc>
        <w:tc>
          <w:tcPr>
            <w:tcW w:w="491" w:type="pct"/>
            <w:shd w:val="clear" w:color="auto" w:fill="BD2716"/>
            <w:vAlign w:val="center"/>
          </w:tcPr>
          <w:p w14:paraId="3ABFCFF8" w14:textId="221E1D4B" w:rsidR="0070773E" w:rsidRPr="00036C34" w:rsidRDefault="0070773E" w:rsidP="00611673">
            <w:pPr>
              <w:jc w:val="right"/>
              <w:rPr>
                <w:rFonts w:cs="Arial"/>
                <w:color w:val="FFFFFF" w:themeColor="background1"/>
                <w:szCs w:val="24"/>
              </w:rPr>
            </w:pPr>
            <w:r w:rsidRPr="00036C34">
              <w:rPr>
                <w:rFonts w:cs="Arial"/>
                <w:color w:val="FFFFFF" w:themeColor="background1"/>
                <w:szCs w:val="24"/>
              </w:rPr>
              <w:t>Net</w:t>
            </w:r>
          </w:p>
          <w:p w14:paraId="0BD80481" w14:textId="77777777" w:rsidR="0070773E" w:rsidRPr="00036C34" w:rsidRDefault="0070773E" w:rsidP="00611673">
            <w:pPr>
              <w:jc w:val="right"/>
              <w:rPr>
                <w:rFonts w:cs="Arial"/>
                <w:color w:val="FFFFFF" w:themeColor="background1"/>
                <w:szCs w:val="24"/>
              </w:rPr>
            </w:pPr>
            <w:r w:rsidRPr="00036C34">
              <w:rPr>
                <w:rFonts w:cs="Arial"/>
                <w:color w:val="FFFFFF" w:themeColor="background1"/>
                <w:szCs w:val="24"/>
              </w:rPr>
              <w:t>Expenditure</w:t>
            </w:r>
          </w:p>
          <w:p w14:paraId="6BC25971" w14:textId="46382F62" w:rsidR="0070773E" w:rsidRPr="00036C34" w:rsidRDefault="0070773E" w:rsidP="00611673">
            <w:pPr>
              <w:jc w:val="right"/>
              <w:rPr>
                <w:rFonts w:cs="Arial"/>
                <w:color w:val="FFFFFF" w:themeColor="background1"/>
                <w:szCs w:val="24"/>
              </w:rPr>
            </w:pPr>
            <w:r w:rsidRPr="00036C34">
              <w:rPr>
                <w:rFonts w:cs="Arial"/>
                <w:color w:val="FFFFFF" w:themeColor="background1"/>
                <w:szCs w:val="24"/>
              </w:rPr>
              <w:t>£000</w:t>
            </w:r>
          </w:p>
        </w:tc>
      </w:tr>
      <w:tr w:rsidR="00233A66" w:rsidRPr="005A249B" w14:paraId="1D33EFD1" w14:textId="77777777" w:rsidTr="00036C34">
        <w:tc>
          <w:tcPr>
            <w:tcW w:w="5000" w:type="pct"/>
            <w:gridSpan w:val="8"/>
            <w:shd w:val="clear" w:color="auto" w:fill="D9D9D9" w:themeFill="background1" w:themeFillShade="D9"/>
            <w:vAlign w:val="bottom"/>
          </w:tcPr>
          <w:p w14:paraId="13401A0C" w14:textId="26694FFB" w:rsidR="00233A66" w:rsidRPr="00BD79B2" w:rsidRDefault="00233A66" w:rsidP="00233A66">
            <w:pPr>
              <w:tabs>
                <w:tab w:val="decimal" w:pos="742"/>
              </w:tabs>
              <w:rPr>
                <w:rFonts w:cs="Arial"/>
                <w:b/>
                <w:bCs/>
                <w:szCs w:val="24"/>
              </w:rPr>
            </w:pPr>
            <w:r w:rsidRPr="00BD79B2">
              <w:rPr>
                <w:rFonts w:cs="Arial"/>
                <w:b/>
                <w:bCs/>
                <w:szCs w:val="24"/>
              </w:rPr>
              <w:t>Continuing operations:</w:t>
            </w:r>
          </w:p>
        </w:tc>
      </w:tr>
      <w:tr w:rsidR="0070773E" w:rsidRPr="005A249B" w14:paraId="2B8F9742" w14:textId="77777777" w:rsidTr="00036C34">
        <w:tc>
          <w:tcPr>
            <w:tcW w:w="1823" w:type="pct"/>
          </w:tcPr>
          <w:p w14:paraId="3E08B6ED" w14:textId="77777777" w:rsidR="0070773E" w:rsidRPr="005A249B" w:rsidRDefault="0070773E" w:rsidP="0070773E">
            <w:pPr>
              <w:rPr>
                <w:rFonts w:cs="Arial"/>
                <w:szCs w:val="24"/>
              </w:rPr>
            </w:pPr>
            <w:r w:rsidRPr="005A249B">
              <w:rPr>
                <w:rFonts w:cs="Arial"/>
                <w:szCs w:val="24"/>
              </w:rPr>
              <w:t>Service Delivery</w:t>
            </w:r>
          </w:p>
        </w:tc>
        <w:tc>
          <w:tcPr>
            <w:tcW w:w="361" w:type="pct"/>
            <w:vAlign w:val="center"/>
          </w:tcPr>
          <w:p w14:paraId="651EE92A" w14:textId="18EA2D74" w:rsidR="0070773E" w:rsidRPr="00036C34" w:rsidRDefault="00BD79B2" w:rsidP="00036C34">
            <w:pPr>
              <w:jc w:val="center"/>
              <w:rPr>
                <w:rStyle w:val="Hyperlink"/>
              </w:rPr>
            </w:pPr>
            <w:hyperlink w:anchor="Notes" w:history="1">
              <w:r w:rsidR="0070773E" w:rsidRPr="00036C34">
                <w:rPr>
                  <w:rStyle w:val="Hyperlink"/>
                  <w:szCs w:val="24"/>
                </w:rPr>
                <w:t>1</w:t>
              </w:r>
            </w:hyperlink>
          </w:p>
        </w:tc>
        <w:tc>
          <w:tcPr>
            <w:tcW w:w="491" w:type="pct"/>
            <w:vAlign w:val="center"/>
          </w:tcPr>
          <w:p w14:paraId="6F5E8081" w14:textId="7C56E174" w:rsidR="0070773E" w:rsidRPr="005A249B" w:rsidRDefault="0070773E" w:rsidP="00233A66">
            <w:pPr>
              <w:tabs>
                <w:tab w:val="decimal" w:pos="884"/>
              </w:tabs>
              <w:jc w:val="right"/>
              <w:rPr>
                <w:rFonts w:cs="Arial"/>
                <w:szCs w:val="24"/>
              </w:rPr>
            </w:pPr>
            <w:r w:rsidRPr="005A249B">
              <w:rPr>
                <w:rFonts w:cs="Arial"/>
                <w:szCs w:val="24"/>
              </w:rPr>
              <w:t>33,911</w:t>
            </w:r>
          </w:p>
        </w:tc>
        <w:tc>
          <w:tcPr>
            <w:tcW w:w="426" w:type="pct"/>
            <w:vAlign w:val="center"/>
          </w:tcPr>
          <w:p w14:paraId="1774CFF9" w14:textId="18989BE1" w:rsidR="0070773E" w:rsidRPr="005A249B" w:rsidRDefault="0070773E" w:rsidP="00233A66">
            <w:pPr>
              <w:tabs>
                <w:tab w:val="decimal" w:pos="742"/>
              </w:tabs>
              <w:jc w:val="right"/>
              <w:rPr>
                <w:rFonts w:cs="Arial"/>
                <w:szCs w:val="24"/>
              </w:rPr>
            </w:pPr>
            <w:r w:rsidRPr="005A249B">
              <w:rPr>
                <w:rFonts w:cs="Arial"/>
                <w:szCs w:val="24"/>
              </w:rPr>
              <w:t>(2,110)</w:t>
            </w:r>
          </w:p>
        </w:tc>
        <w:tc>
          <w:tcPr>
            <w:tcW w:w="491" w:type="pct"/>
            <w:vAlign w:val="center"/>
          </w:tcPr>
          <w:p w14:paraId="775B47B7" w14:textId="1C476B5E" w:rsidR="0070773E" w:rsidRPr="005A249B" w:rsidRDefault="0070773E" w:rsidP="00233A66">
            <w:pPr>
              <w:tabs>
                <w:tab w:val="decimal" w:pos="742"/>
              </w:tabs>
              <w:jc w:val="right"/>
              <w:rPr>
                <w:rFonts w:cs="Arial"/>
                <w:szCs w:val="24"/>
              </w:rPr>
            </w:pPr>
            <w:r w:rsidRPr="005A249B">
              <w:rPr>
                <w:rFonts w:cs="Arial"/>
                <w:szCs w:val="24"/>
              </w:rPr>
              <w:t>31,801</w:t>
            </w:r>
          </w:p>
        </w:tc>
        <w:tc>
          <w:tcPr>
            <w:tcW w:w="491" w:type="pct"/>
            <w:vAlign w:val="center"/>
          </w:tcPr>
          <w:p w14:paraId="03DB2388" w14:textId="3085B6C6" w:rsidR="0070773E" w:rsidRPr="005A249B" w:rsidRDefault="0070773E" w:rsidP="00233A66">
            <w:pPr>
              <w:tabs>
                <w:tab w:val="decimal" w:pos="884"/>
              </w:tabs>
              <w:jc w:val="right"/>
              <w:rPr>
                <w:rFonts w:cs="Arial"/>
                <w:szCs w:val="24"/>
              </w:rPr>
            </w:pPr>
            <w:r w:rsidRPr="005A249B">
              <w:rPr>
                <w:rFonts w:cs="Arial"/>
                <w:szCs w:val="24"/>
              </w:rPr>
              <w:t>32,756</w:t>
            </w:r>
          </w:p>
        </w:tc>
        <w:tc>
          <w:tcPr>
            <w:tcW w:w="426" w:type="pct"/>
            <w:vAlign w:val="center"/>
          </w:tcPr>
          <w:p w14:paraId="08EEC930" w14:textId="64B13F51" w:rsidR="0070773E" w:rsidRPr="005A249B" w:rsidRDefault="0070773E" w:rsidP="00233A66">
            <w:pPr>
              <w:tabs>
                <w:tab w:val="decimal" w:pos="742"/>
              </w:tabs>
              <w:jc w:val="right"/>
              <w:rPr>
                <w:rFonts w:cs="Arial"/>
                <w:szCs w:val="24"/>
              </w:rPr>
            </w:pPr>
            <w:r w:rsidRPr="005A249B">
              <w:rPr>
                <w:rFonts w:cs="Arial"/>
                <w:szCs w:val="24"/>
              </w:rPr>
              <w:t>(2,364)</w:t>
            </w:r>
          </w:p>
        </w:tc>
        <w:tc>
          <w:tcPr>
            <w:tcW w:w="491" w:type="pct"/>
            <w:vAlign w:val="center"/>
          </w:tcPr>
          <w:p w14:paraId="4BA8F36E" w14:textId="609B31EE" w:rsidR="0070773E" w:rsidRPr="005A249B" w:rsidRDefault="0070773E" w:rsidP="00233A66">
            <w:pPr>
              <w:tabs>
                <w:tab w:val="decimal" w:pos="742"/>
              </w:tabs>
              <w:jc w:val="right"/>
              <w:rPr>
                <w:rFonts w:cs="Arial"/>
                <w:szCs w:val="24"/>
              </w:rPr>
            </w:pPr>
            <w:r w:rsidRPr="005A249B">
              <w:rPr>
                <w:rFonts w:cs="Arial"/>
                <w:szCs w:val="24"/>
              </w:rPr>
              <w:t>30,391</w:t>
            </w:r>
          </w:p>
        </w:tc>
      </w:tr>
      <w:tr w:rsidR="0070773E" w:rsidRPr="005A249B" w14:paraId="565D8198" w14:textId="77777777" w:rsidTr="00036C34">
        <w:trPr>
          <w:trHeight w:val="246"/>
        </w:trPr>
        <w:tc>
          <w:tcPr>
            <w:tcW w:w="1823" w:type="pct"/>
          </w:tcPr>
          <w:p w14:paraId="2DF266EC" w14:textId="77777777" w:rsidR="0070773E" w:rsidRPr="005A249B" w:rsidRDefault="0070773E" w:rsidP="0070773E">
            <w:pPr>
              <w:rPr>
                <w:rFonts w:cs="Arial"/>
                <w:szCs w:val="24"/>
              </w:rPr>
            </w:pPr>
            <w:r w:rsidRPr="005A249B">
              <w:rPr>
                <w:rFonts w:cs="Arial"/>
                <w:szCs w:val="24"/>
              </w:rPr>
              <w:t>Strategy and Planning</w:t>
            </w:r>
          </w:p>
        </w:tc>
        <w:tc>
          <w:tcPr>
            <w:tcW w:w="361" w:type="pct"/>
            <w:vAlign w:val="center"/>
          </w:tcPr>
          <w:p w14:paraId="5B815C91" w14:textId="6ADE76A2" w:rsidR="0070773E" w:rsidRPr="00036C34" w:rsidRDefault="00BD79B2" w:rsidP="00036C34">
            <w:pPr>
              <w:jc w:val="center"/>
              <w:rPr>
                <w:rStyle w:val="Hyperlink"/>
              </w:rPr>
            </w:pPr>
            <w:hyperlink w:anchor="Notes" w:history="1">
              <w:r w:rsidR="0070773E" w:rsidRPr="00036C34">
                <w:rPr>
                  <w:rStyle w:val="Hyperlink"/>
                  <w:szCs w:val="24"/>
                </w:rPr>
                <w:t>1</w:t>
              </w:r>
            </w:hyperlink>
          </w:p>
        </w:tc>
        <w:tc>
          <w:tcPr>
            <w:tcW w:w="491" w:type="pct"/>
            <w:vAlign w:val="center"/>
          </w:tcPr>
          <w:p w14:paraId="47634499" w14:textId="1914DAF6" w:rsidR="0070773E" w:rsidRPr="005A249B" w:rsidRDefault="0070773E" w:rsidP="00233A66">
            <w:pPr>
              <w:tabs>
                <w:tab w:val="decimal" w:pos="884"/>
              </w:tabs>
              <w:jc w:val="right"/>
              <w:rPr>
                <w:rFonts w:cs="Arial"/>
                <w:szCs w:val="24"/>
              </w:rPr>
            </w:pPr>
            <w:r w:rsidRPr="005A249B">
              <w:rPr>
                <w:rFonts w:cs="Arial"/>
                <w:szCs w:val="24"/>
              </w:rPr>
              <w:t>12,389</w:t>
            </w:r>
          </w:p>
        </w:tc>
        <w:tc>
          <w:tcPr>
            <w:tcW w:w="426" w:type="pct"/>
            <w:vAlign w:val="center"/>
          </w:tcPr>
          <w:p w14:paraId="464B8BC1" w14:textId="7ED9BD1B" w:rsidR="0070773E" w:rsidRPr="005A249B" w:rsidRDefault="0070773E" w:rsidP="00233A66">
            <w:pPr>
              <w:tabs>
                <w:tab w:val="decimal" w:pos="742"/>
              </w:tabs>
              <w:jc w:val="right"/>
              <w:rPr>
                <w:rFonts w:cs="Arial"/>
                <w:szCs w:val="24"/>
              </w:rPr>
            </w:pPr>
            <w:r w:rsidRPr="005A249B">
              <w:rPr>
                <w:rFonts w:cs="Arial"/>
                <w:szCs w:val="24"/>
              </w:rPr>
              <w:t>(847)</w:t>
            </w:r>
          </w:p>
        </w:tc>
        <w:tc>
          <w:tcPr>
            <w:tcW w:w="491" w:type="pct"/>
            <w:vAlign w:val="center"/>
          </w:tcPr>
          <w:p w14:paraId="5B3D53B6" w14:textId="290713B0" w:rsidR="0070773E" w:rsidRPr="005A249B" w:rsidRDefault="0070773E" w:rsidP="00233A66">
            <w:pPr>
              <w:tabs>
                <w:tab w:val="decimal" w:pos="742"/>
              </w:tabs>
              <w:jc w:val="right"/>
              <w:rPr>
                <w:rFonts w:cs="Arial"/>
                <w:szCs w:val="24"/>
              </w:rPr>
            </w:pPr>
            <w:r w:rsidRPr="005A249B">
              <w:rPr>
                <w:rFonts w:cs="Arial"/>
                <w:szCs w:val="24"/>
              </w:rPr>
              <w:t>11,542</w:t>
            </w:r>
          </w:p>
        </w:tc>
        <w:tc>
          <w:tcPr>
            <w:tcW w:w="491" w:type="pct"/>
            <w:vAlign w:val="center"/>
          </w:tcPr>
          <w:p w14:paraId="5AC15CD5" w14:textId="66C5EBDA" w:rsidR="0070773E" w:rsidRPr="005A249B" w:rsidRDefault="0070773E" w:rsidP="00233A66">
            <w:pPr>
              <w:tabs>
                <w:tab w:val="decimal" w:pos="884"/>
              </w:tabs>
              <w:jc w:val="right"/>
              <w:rPr>
                <w:rFonts w:cs="Arial"/>
                <w:szCs w:val="24"/>
              </w:rPr>
            </w:pPr>
            <w:r w:rsidRPr="005A249B">
              <w:rPr>
                <w:rFonts w:cs="Arial"/>
                <w:szCs w:val="24"/>
              </w:rPr>
              <w:t>11,912</w:t>
            </w:r>
          </w:p>
        </w:tc>
        <w:tc>
          <w:tcPr>
            <w:tcW w:w="426" w:type="pct"/>
            <w:vAlign w:val="center"/>
          </w:tcPr>
          <w:p w14:paraId="471350EA" w14:textId="536F7D54" w:rsidR="0070773E" w:rsidRPr="005A249B" w:rsidRDefault="0070773E" w:rsidP="00233A66">
            <w:pPr>
              <w:tabs>
                <w:tab w:val="decimal" w:pos="742"/>
              </w:tabs>
              <w:jc w:val="right"/>
              <w:rPr>
                <w:rFonts w:cs="Arial"/>
                <w:szCs w:val="24"/>
              </w:rPr>
            </w:pPr>
            <w:r w:rsidRPr="005A249B">
              <w:rPr>
                <w:rFonts w:cs="Arial"/>
                <w:szCs w:val="24"/>
              </w:rPr>
              <w:t>(984)</w:t>
            </w:r>
          </w:p>
        </w:tc>
        <w:tc>
          <w:tcPr>
            <w:tcW w:w="491" w:type="pct"/>
            <w:vAlign w:val="center"/>
          </w:tcPr>
          <w:p w14:paraId="4B13EC4F" w14:textId="64563B1E" w:rsidR="0070773E" w:rsidRPr="005A249B" w:rsidRDefault="0070773E" w:rsidP="00233A66">
            <w:pPr>
              <w:tabs>
                <w:tab w:val="decimal" w:pos="742"/>
              </w:tabs>
              <w:jc w:val="right"/>
              <w:rPr>
                <w:rFonts w:cs="Arial"/>
                <w:szCs w:val="24"/>
              </w:rPr>
            </w:pPr>
            <w:r w:rsidRPr="005A249B">
              <w:rPr>
                <w:rFonts w:cs="Arial"/>
                <w:szCs w:val="24"/>
              </w:rPr>
              <w:t>10,928</w:t>
            </w:r>
          </w:p>
        </w:tc>
      </w:tr>
      <w:tr w:rsidR="0070773E" w:rsidRPr="005A249B" w14:paraId="79E29584" w14:textId="77777777" w:rsidTr="00036C34">
        <w:tc>
          <w:tcPr>
            <w:tcW w:w="1823" w:type="pct"/>
          </w:tcPr>
          <w:p w14:paraId="5690E280" w14:textId="77777777" w:rsidR="0070773E" w:rsidRPr="005A249B" w:rsidRDefault="0070773E" w:rsidP="0070773E">
            <w:pPr>
              <w:rPr>
                <w:rFonts w:cs="Arial"/>
                <w:szCs w:val="24"/>
              </w:rPr>
            </w:pPr>
            <w:r w:rsidRPr="005A249B">
              <w:rPr>
                <w:rFonts w:cs="Arial"/>
                <w:szCs w:val="24"/>
              </w:rPr>
              <w:t>People and Development</w:t>
            </w:r>
          </w:p>
        </w:tc>
        <w:tc>
          <w:tcPr>
            <w:tcW w:w="361" w:type="pct"/>
            <w:vAlign w:val="center"/>
          </w:tcPr>
          <w:p w14:paraId="1608DAEC" w14:textId="737A073B" w:rsidR="0070773E" w:rsidRPr="00036C34" w:rsidRDefault="00BD79B2" w:rsidP="00036C34">
            <w:pPr>
              <w:jc w:val="center"/>
              <w:rPr>
                <w:rStyle w:val="Hyperlink"/>
              </w:rPr>
            </w:pPr>
            <w:hyperlink w:anchor="Notes" w:history="1">
              <w:r w:rsidR="0070773E" w:rsidRPr="00036C34">
                <w:rPr>
                  <w:rStyle w:val="Hyperlink"/>
                  <w:szCs w:val="24"/>
                </w:rPr>
                <w:t>1</w:t>
              </w:r>
            </w:hyperlink>
          </w:p>
        </w:tc>
        <w:tc>
          <w:tcPr>
            <w:tcW w:w="491" w:type="pct"/>
            <w:vAlign w:val="center"/>
          </w:tcPr>
          <w:p w14:paraId="0F4E3347" w14:textId="17971F56" w:rsidR="0070773E" w:rsidRPr="005A249B" w:rsidRDefault="0070773E" w:rsidP="00233A66">
            <w:pPr>
              <w:tabs>
                <w:tab w:val="decimal" w:pos="884"/>
              </w:tabs>
              <w:jc w:val="right"/>
              <w:rPr>
                <w:rFonts w:cs="Arial"/>
                <w:szCs w:val="24"/>
              </w:rPr>
            </w:pPr>
            <w:r w:rsidRPr="005A249B">
              <w:rPr>
                <w:rFonts w:cs="Arial"/>
                <w:szCs w:val="24"/>
              </w:rPr>
              <w:t>2,334</w:t>
            </w:r>
          </w:p>
        </w:tc>
        <w:tc>
          <w:tcPr>
            <w:tcW w:w="426" w:type="pct"/>
            <w:vAlign w:val="center"/>
          </w:tcPr>
          <w:p w14:paraId="4611D80D" w14:textId="027C2243" w:rsidR="0070773E" w:rsidRPr="005A249B" w:rsidRDefault="0070773E" w:rsidP="00233A66">
            <w:pPr>
              <w:tabs>
                <w:tab w:val="decimal" w:pos="742"/>
              </w:tabs>
              <w:jc w:val="right"/>
              <w:rPr>
                <w:rFonts w:cs="Arial"/>
                <w:szCs w:val="24"/>
              </w:rPr>
            </w:pPr>
            <w:r w:rsidRPr="005A249B">
              <w:rPr>
                <w:rFonts w:cs="Arial"/>
                <w:szCs w:val="24"/>
              </w:rPr>
              <w:t>-</w:t>
            </w:r>
          </w:p>
        </w:tc>
        <w:tc>
          <w:tcPr>
            <w:tcW w:w="491" w:type="pct"/>
            <w:vAlign w:val="center"/>
          </w:tcPr>
          <w:p w14:paraId="359A3979" w14:textId="6F3B126B" w:rsidR="0070773E" w:rsidRPr="005A249B" w:rsidRDefault="0070773E" w:rsidP="00233A66">
            <w:pPr>
              <w:tabs>
                <w:tab w:val="decimal" w:pos="742"/>
              </w:tabs>
              <w:jc w:val="right"/>
              <w:rPr>
                <w:rFonts w:cs="Arial"/>
                <w:szCs w:val="24"/>
              </w:rPr>
            </w:pPr>
            <w:r w:rsidRPr="005A249B">
              <w:rPr>
                <w:rFonts w:cs="Arial"/>
                <w:szCs w:val="24"/>
              </w:rPr>
              <w:t>2,334</w:t>
            </w:r>
          </w:p>
        </w:tc>
        <w:tc>
          <w:tcPr>
            <w:tcW w:w="491" w:type="pct"/>
            <w:vAlign w:val="center"/>
          </w:tcPr>
          <w:p w14:paraId="789BAD1F" w14:textId="21F0DBEC" w:rsidR="0070773E" w:rsidRPr="005A249B" w:rsidRDefault="0070773E" w:rsidP="00233A66">
            <w:pPr>
              <w:tabs>
                <w:tab w:val="decimal" w:pos="884"/>
              </w:tabs>
              <w:jc w:val="right"/>
              <w:rPr>
                <w:rFonts w:cs="Arial"/>
                <w:szCs w:val="24"/>
              </w:rPr>
            </w:pPr>
            <w:r w:rsidRPr="005A249B">
              <w:rPr>
                <w:rFonts w:cs="Arial"/>
                <w:szCs w:val="24"/>
              </w:rPr>
              <w:t>1,921</w:t>
            </w:r>
          </w:p>
        </w:tc>
        <w:tc>
          <w:tcPr>
            <w:tcW w:w="426" w:type="pct"/>
            <w:vAlign w:val="center"/>
          </w:tcPr>
          <w:p w14:paraId="074D7A1F" w14:textId="67E25CAB" w:rsidR="0070773E" w:rsidRPr="005A249B" w:rsidRDefault="0070773E" w:rsidP="00233A66">
            <w:pPr>
              <w:tabs>
                <w:tab w:val="decimal" w:pos="742"/>
              </w:tabs>
              <w:jc w:val="right"/>
              <w:rPr>
                <w:rFonts w:cs="Arial"/>
                <w:szCs w:val="24"/>
              </w:rPr>
            </w:pPr>
            <w:r w:rsidRPr="005A249B">
              <w:rPr>
                <w:rFonts w:cs="Arial"/>
                <w:szCs w:val="24"/>
              </w:rPr>
              <w:t>(1)</w:t>
            </w:r>
          </w:p>
        </w:tc>
        <w:tc>
          <w:tcPr>
            <w:tcW w:w="491" w:type="pct"/>
            <w:vAlign w:val="center"/>
          </w:tcPr>
          <w:p w14:paraId="4252B47A" w14:textId="0042AB16" w:rsidR="0070773E" w:rsidRPr="005A249B" w:rsidRDefault="0070773E" w:rsidP="00233A66">
            <w:pPr>
              <w:tabs>
                <w:tab w:val="decimal" w:pos="742"/>
              </w:tabs>
              <w:jc w:val="right"/>
              <w:rPr>
                <w:rFonts w:cs="Arial"/>
                <w:szCs w:val="24"/>
              </w:rPr>
            </w:pPr>
            <w:r w:rsidRPr="005A249B">
              <w:rPr>
                <w:rFonts w:cs="Arial"/>
                <w:szCs w:val="24"/>
              </w:rPr>
              <w:t>1,920</w:t>
            </w:r>
          </w:p>
        </w:tc>
      </w:tr>
      <w:tr w:rsidR="0070773E" w:rsidRPr="005A249B" w14:paraId="47C41EE4" w14:textId="77777777" w:rsidTr="00036C34">
        <w:tc>
          <w:tcPr>
            <w:tcW w:w="1823" w:type="pct"/>
          </w:tcPr>
          <w:p w14:paraId="79B5F3B9" w14:textId="77777777" w:rsidR="0070773E" w:rsidRPr="005A249B" w:rsidRDefault="0070773E" w:rsidP="0070773E">
            <w:pPr>
              <w:rPr>
                <w:rFonts w:cs="Arial"/>
                <w:szCs w:val="24"/>
              </w:rPr>
            </w:pPr>
            <w:r w:rsidRPr="005A249B">
              <w:rPr>
                <w:rFonts w:cs="Arial"/>
                <w:szCs w:val="24"/>
              </w:rPr>
              <w:t>Corporate Services</w:t>
            </w:r>
          </w:p>
        </w:tc>
        <w:tc>
          <w:tcPr>
            <w:tcW w:w="361" w:type="pct"/>
            <w:vAlign w:val="center"/>
          </w:tcPr>
          <w:p w14:paraId="1A523C27" w14:textId="2B744F4E" w:rsidR="0070773E" w:rsidRPr="00036C34" w:rsidRDefault="00BD79B2" w:rsidP="00036C34">
            <w:pPr>
              <w:jc w:val="center"/>
              <w:rPr>
                <w:rStyle w:val="Hyperlink"/>
              </w:rPr>
            </w:pPr>
            <w:hyperlink w:anchor="Notes" w:history="1">
              <w:r w:rsidR="0070773E" w:rsidRPr="00036C34">
                <w:rPr>
                  <w:rStyle w:val="Hyperlink"/>
                  <w:szCs w:val="24"/>
                </w:rPr>
                <w:t>1</w:t>
              </w:r>
            </w:hyperlink>
          </w:p>
        </w:tc>
        <w:tc>
          <w:tcPr>
            <w:tcW w:w="491" w:type="pct"/>
            <w:vAlign w:val="center"/>
          </w:tcPr>
          <w:p w14:paraId="5453FBD6" w14:textId="7ABD7CEE" w:rsidR="0070773E" w:rsidRPr="005A249B" w:rsidRDefault="0070773E" w:rsidP="00233A66">
            <w:pPr>
              <w:tabs>
                <w:tab w:val="decimal" w:pos="884"/>
              </w:tabs>
              <w:jc w:val="right"/>
              <w:rPr>
                <w:rFonts w:cs="Arial"/>
                <w:szCs w:val="24"/>
              </w:rPr>
            </w:pPr>
            <w:r w:rsidRPr="005A249B">
              <w:rPr>
                <w:rFonts w:cs="Arial"/>
                <w:szCs w:val="24"/>
              </w:rPr>
              <w:t>6,285</w:t>
            </w:r>
          </w:p>
        </w:tc>
        <w:tc>
          <w:tcPr>
            <w:tcW w:w="426" w:type="pct"/>
            <w:vAlign w:val="center"/>
          </w:tcPr>
          <w:p w14:paraId="34F135DB" w14:textId="6B6DD0F3" w:rsidR="0070773E" w:rsidRPr="005A249B" w:rsidRDefault="0070773E" w:rsidP="00233A66">
            <w:pPr>
              <w:tabs>
                <w:tab w:val="decimal" w:pos="742"/>
              </w:tabs>
              <w:jc w:val="right"/>
              <w:rPr>
                <w:rFonts w:cs="Arial"/>
                <w:szCs w:val="24"/>
              </w:rPr>
            </w:pPr>
            <w:r w:rsidRPr="005A249B">
              <w:rPr>
                <w:rFonts w:cs="Arial"/>
                <w:szCs w:val="24"/>
              </w:rPr>
              <w:t>(65)</w:t>
            </w:r>
          </w:p>
        </w:tc>
        <w:tc>
          <w:tcPr>
            <w:tcW w:w="491" w:type="pct"/>
            <w:vAlign w:val="center"/>
          </w:tcPr>
          <w:p w14:paraId="24ABE8BA" w14:textId="16428BA4" w:rsidR="0070773E" w:rsidRPr="005A249B" w:rsidRDefault="0070773E" w:rsidP="00233A66">
            <w:pPr>
              <w:tabs>
                <w:tab w:val="decimal" w:pos="742"/>
              </w:tabs>
              <w:jc w:val="right"/>
              <w:rPr>
                <w:rFonts w:cs="Arial"/>
                <w:szCs w:val="24"/>
              </w:rPr>
            </w:pPr>
            <w:r w:rsidRPr="005A249B">
              <w:rPr>
                <w:rFonts w:cs="Arial"/>
                <w:szCs w:val="24"/>
              </w:rPr>
              <w:t>6,220</w:t>
            </w:r>
          </w:p>
        </w:tc>
        <w:tc>
          <w:tcPr>
            <w:tcW w:w="491" w:type="pct"/>
            <w:vAlign w:val="center"/>
          </w:tcPr>
          <w:p w14:paraId="720BFD10" w14:textId="52212050" w:rsidR="0070773E" w:rsidRPr="005A249B" w:rsidRDefault="0070773E" w:rsidP="00233A66">
            <w:pPr>
              <w:tabs>
                <w:tab w:val="decimal" w:pos="884"/>
              </w:tabs>
              <w:jc w:val="right"/>
              <w:rPr>
                <w:rFonts w:cs="Arial"/>
                <w:szCs w:val="24"/>
              </w:rPr>
            </w:pPr>
            <w:r w:rsidRPr="005A249B">
              <w:rPr>
                <w:rFonts w:cs="Arial"/>
                <w:szCs w:val="24"/>
              </w:rPr>
              <w:t>4,802</w:t>
            </w:r>
          </w:p>
        </w:tc>
        <w:tc>
          <w:tcPr>
            <w:tcW w:w="426" w:type="pct"/>
            <w:vAlign w:val="center"/>
          </w:tcPr>
          <w:p w14:paraId="50F83251" w14:textId="1A7D1851" w:rsidR="0070773E" w:rsidRPr="005A249B" w:rsidRDefault="0070773E" w:rsidP="00233A66">
            <w:pPr>
              <w:tabs>
                <w:tab w:val="decimal" w:pos="742"/>
              </w:tabs>
              <w:jc w:val="right"/>
              <w:rPr>
                <w:rFonts w:cs="Arial"/>
                <w:szCs w:val="24"/>
              </w:rPr>
            </w:pPr>
            <w:r w:rsidRPr="005A249B">
              <w:rPr>
                <w:rFonts w:cs="Arial"/>
                <w:szCs w:val="24"/>
              </w:rPr>
              <w:t>(149)</w:t>
            </w:r>
          </w:p>
        </w:tc>
        <w:tc>
          <w:tcPr>
            <w:tcW w:w="491" w:type="pct"/>
            <w:vAlign w:val="center"/>
          </w:tcPr>
          <w:p w14:paraId="5CAF2FA8" w14:textId="778C4032" w:rsidR="0070773E" w:rsidRPr="005A249B" w:rsidRDefault="0070773E" w:rsidP="00233A66">
            <w:pPr>
              <w:tabs>
                <w:tab w:val="decimal" w:pos="742"/>
              </w:tabs>
              <w:jc w:val="right"/>
              <w:rPr>
                <w:rFonts w:cs="Arial"/>
                <w:szCs w:val="24"/>
              </w:rPr>
            </w:pPr>
            <w:r w:rsidRPr="005A249B">
              <w:rPr>
                <w:rFonts w:cs="Arial"/>
                <w:szCs w:val="24"/>
              </w:rPr>
              <w:t>4,653</w:t>
            </w:r>
          </w:p>
        </w:tc>
      </w:tr>
      <w:tr w:rsidR="0070773E" w:rsidRPr="005A249B" w14:paraId="72DC2F9D" w14:textId="77777777" w:rsidTr="00036C34">
        <w:tc>
          <w:tcPr>
            <w:tcW w:w="1823" w:type="pct"/>
          </w:tcPr>
          <w:p w14:paraId="7AB536A3" w14:textId="77777777" w:rsidR="0070773E" w:rsidRPr="005A249B" w:rsidRDefault="0070773E" w:rsidP="0070773E">
            <w:pPr>
              <w:rPr>
                <w:rFonts w:cs="Arial"/>
                <w:szCs w:val="24"/>
              </w:rPr>
            </w:pPr>
            <w:r w:rsidRPr="005A249B">
              <w:rPr>
                <w:rFonts w:cs="Arial"/>
                <w:szCs w:val="24"/>
              </w:rPr>
              <w:t>Fire-fighters Pensions</w:t>
            </w:r>
          </w:p>
        </w:tc>
        <w:tc>
          <w:tcPr>
            <w:tcW w:w="361" w:type="pct"/>
            <w:vAlign w:val="center"/>
          </w:tcPr>
          <w:p w14:paraId="599181E2" w14:textId="28133A54" w:rsidR="0070773E" w:rsidRPr="00036C34" w:rsidRDefault="00BD79B2" w:rsidP="00036C34">
            <w:pPr>
              <w:jc w:val="center"/>
              <w:rPr>
                <w:rStyle w:val="Hyperlink"/>
              </w:rPr>
            </w:pPr>
            <w:hyperlink w:anchor="Notes" w:history="1">
              <w:r w:rsidR="0070773E" w:rsidRPr="00036C34">
                <w:rPr>
                  <w:rStyle w:val="Hyperlink"/>
                  <w:szCs w:val="24"/>
                </w:rPr>
                <w:t>1</w:t>
              </w:r>
            </w:hyperlink>
          </w:p>
        </w:tc>
        <w:tc>
          <w:tcPr>
            <w:tcW w:w="491" w:type="pct"/>
            <w:vAlign w:val="center"/>
          </w:tcPr>
          <w:p w14:paraId="14FDF28B" w14:textId="7DCF7927" w:rsidR="0070773E" w:rsidRPr="005A249B" w:rsidRDefault="0070773E" w:rsidP="00233A66">
            <w:pPr>
              <w:tabs>
                <w:tab w:val="decimal" w:pos="884"/>
              </w:tabs>
              <w:jc w:val="right"/>
              <w:rPr>
                <w:rFonts w:cs="Arial"/>
                <w:szCs w:val="24"/>
              </w:rPr>
            </w:pPr>
            <w:r w:rsidRPr="005A249B">
              <w:rPr>
                <w:rFonts w:cs="Arial"/>
                <w:szCs w:val="24"/>
              </w:rPr>
              <w:t>1,141</w:t>
            </w:r>
          </w:p>
        </w:tc>
        <w:tc>
          <w:tcPr>
            <w:tcW w:w="426" w:type="pct"/>
            <w:vAlign w:val="center"/>
          </w:tcPr>
          <w:p w14:paraId="6D4E848D" w14:textId="69249CCE" w:rsidR="0070773E" w:rsidRPr="005A249B" w:rsidRDefault="0070773E" w:rsidP="00233A66">
            <w:pPr>
              <w:tabs>
                <w:tab w:val="decimal" w:pos="742"/>
              </w:tabs>
              <w:jc w:val="right"/>
              <w:rPr>
                <w:rFonts w:cs="Arial"/>
                <w:szCs w:val="24"/>
              </w:rPr>
            </w:pPr>
            <w:r w:rsidRPr="005A249B">
              <w:rPr>
                <w:rFonts w:cs="Arial"/>
                <w:szCs w:val="24"/>
              </w:rPr>
              <w:t>-</w:t>
            </w:r>
          </w:p>
        </w:tc>
        <w:tc>
          <w:tcPr>
            <w:tcW w:w="491" w:type="pct"/>
            <w:vAlign w:val="center"/>
          </w:tcPr>
          <w:p w14:paraId="78400F0E" w14:textId="3CA06905" w:rsidR="0070773E" w:rsidRPr="005A249B" w:rsidRDefault="0070773E" w:rsidP="00233A66">
            <w:pPr>
              <w:tabs>
                <w:tab w:val="decimal" w:pos="742"/>
              </w:tabs>
              <w:jc w:val="right"/>
              <w:rPr>
                <w:rFonts w:cs="Arial"/>
                <w:szCs w:val="24"/>
              </w:rPr>
            </w:pPr>
            <w:r w:rsidRPr="005A249B">
              <w:rPr>
                <w:rFonts w:cs="Arial"/>
                <w:szCs w:val="24"/>
              </w:rPr>
              <w:t>1,141</w:t>
            </w:r>
          </w:p>
        </w:tc>
        <w:tc>
          <w:tcPr>
            <w:tcW w:w="491" w:type="pct"/>
            <w:vAlign w:val="center"/>
          </w:tcPr>
          <w:p w14:paraId="4C8E7369" w14:textId="541E4F5D" w:rsidR="0070773E" w:rsidRPr="005A249B" w:rsidRDefault="0070773E" w:rsidP="00233A66">
            <w:pPr>
              <w:tabs>
                <w:tab w:val="decimal" w:pos="884"/>
              </w:tabs>
              <w:jc w:val="right"/>
              <w:rPr>
                <w:rFonts w:cs="Arial"/>
                <w:szCs w:val="24"/>
              </w:rPr>
            </w:pPr>
            <w:r w:rsidRPr="005A249B">
              <w:rPr>
                <w:rFonts w:cs="Arial"/>
                <w:szCs w:val="24"/>
              </w:rPr>
              <w:t>1,259</w:t>
            </w:r>
          </w:p>
        </w:tc>
        <w:tc>
          <w:tcPr>
            <w:tcW w:w="426" w:type="pct"/>
            <w:vAlign w:val="center"/>
          </w:tcPr>
          <w:p w14:paraId="0FEE6F92" w14:textId="0102E6C3" w:rsidR="0070773E" w:rsidRPr="005A249B" w:rsidRDefault="0070773E" w:rsidP="00233A66">
            <w:pPr>
              <w:tabs>
                <w:tab w:val="decimal" w:pos="742"/>
              </w:tabs>
              <w:jc w:val="right"/>
              <w:rPr>
                <w:rFonts w:cs="Arial"/>
                <w:szCs w:val="24"/>
              </w:rPr>
            </w:pPr>
            <w:r w:rsidRPr="005A249B">
              <w:rPr>
                <w:rFonts w:cs="Arial"/>
                <w:szCs w:val="24"/>
              </w:rPr>
              <w:t>(19)</w:t>
            </w:r>
          </w:p>
        </w:tc>
        <w:tc>
          <w:tcPr>
            <w:tcW w:w="491" w:type="pct"/>
            <w:vAlign w:val="center"/>
          </w:tcPr>
          <w:p w14:paraId="493AE125" w14:textId="4C5BC635" w:rsidR="0070773E" w:rsidRPr="005A249B" w:rsidRDefault="0070773E" w:rsidP="00233A66">
            <w:pPr>
              <w:tabs>
                <w:tab w:val="decimal" w:pos="742"/>
              </w:tabs>
              <w:jc w:val="right"/>
              <w:rPr>
                <w:rFonts w:cs="Arial"/>
                <w:szCs w:val="24"/>
              </w:rPr>
            </w:pPr>
            <w:r w:rsidRPr="005A249B">
              <w:rPr>
                <w:rFonts w:cs="Arial"/>
                <w:szCs w:val="24"/>
              </w:rPr>
              <w:t>1,240</w:t>
            </w:r>
          </w:p>
        </w:tc>
      </w:tr>
      <w:tr w:rsidR="0070773E" w:rsidRPr="005A249B" w14:paraId="2482ECE7" w14:textId="77777777" w:rsidTr="00036C34">
        <w:tc>
          <w:tcPr>
            <w:tcW w:w="1823" w:type="pct"/>
          </w:tcPr>
          <w:p w14:paraId="32A83FF2" w14:textId="77777777" w:rsidR="0070773E" w:rsidRPr="005A249B" w:rsidRDefault="0070773E" w:rsidP="0070773E">
            <w:pPr>
              <w:rPr>
                <w:rFonts w:cs="Arial"/>
                <w:szCs w:val="24"/>
              </w:rPr>
            </w:pPr>
            <w:r w:rsidRPr="005A249B">
              <w:rPr>
                <w:rFonts w:cs="Arial"/>
                <w:szCs w:val="24"/>
              </w:rPr>
              <w:t>Overheads</w:t>
            </w:r>
          </w:p>
        </w:tc>
        <w:tc>
          <w:tcPr>
            <w:tcW w:w="361" w:type="pct"/>
            <w:vAlign w:val="center"/>
          </w:tcPr>
          <w:p w14:paraId="6B91D368" w14:textId="04B17DF0" w:rsidR="0070773E" w:rsidRPr="00036C34" w:rsidRDefault="00BD79B2" w:rsidP="00036C34">
            <w:pPr>
              <w:jc w:val="center"/>
              <w:rPr>
                <w:rStyle w:val="Hyperlink"/>
              </w:rPr>
            </w:pPr>
            <w:hyperlink w:anchor="Notes" w:history="1">
              <w:r w:rsidR="0070773E" w:rsidRPr="00036C34">
                <w:rPr>
                  <w:rStyle w:val="Hyperlink"/>
                  <w:szCs w:val="24"/>
                </w:rPr>
                <w:t>1</w:t>
              </w:r>
            </w:hyperlink>
          </w:p>
        </w:tc>
        <w:tc>
          <w:tcPr>
            <w:tcW w:w="491" w:type="pct"/>
            <w:vAlign w:val="center"/>
          </w:tcPr>
          <w:p w14:paraId="7BA9EB18" w14:textId="76923A9A" w:rsidR="0070773E" w:rsidRPr="005A249B" w:rsidRDefault="0070773E" w:rsidP="00233A66">
            <w:pPr>
              <w:tabs>
                <w:tab w:val="decimal" w:pos="884"/>
              </w:tabs>
              <w:jc w:val="right"/>
              <w:rPr>
                <w:rFonts w:cs="Arial"/>
                <w:szCs w:val="24"/>
              </w:rPr>
            </w:pPr>
            <w:r w:rsidRPr="005A249B">
              <w:rPr>
                <w:rFonts w:cs="Arial"/>
                <w:szCs w:val="24"/>
              </w:rPr>
              <w:t>6,757</w:t>
            </w:r>
          </w:p>
        </w:tc>
        <w:tc>
          <w:tcPr>
            <w:tcW w:w="426" w:type="pct"/>
            <w:vAlign w:val="center"/>
          </w:tcPr>
          <w:p w14:paraId="40AD0329" w14:textId="551A0BAA" w:rsidR="0070773E" w:rsidRPr="005A249B" w:rsidRDefault="0070773E" w:rsidP="00233A66">
            <w:pPr>
              <w:tabs>
                <w:tab w:val="decimal" w:pos="742"/>
              </w:tabs>
              <w:jc w:val="right"/>
              <w:rPr>
                <w:rFonts w:cs="Arial"/>
                <w:szCs w:val="24"/>
              </w:rPr>
            </w:pPr>
            <w:r w:rsidRPr="005A249B">
              <w:rPr>
                <w:rFonts w:cs="Arial"/>
                <w:szCs w:val="24"/>
              </w:rPr>
              <w:t>(4,863)</w:t>
            </w:r>
          </w:p>
        </w:tc>
        <w:tc>
          <w:tcPr>
            <w:tcW w:w="491" w:type="pct"/>
            <w:vAlign w:val="center"/>
          </w:tcPr>
          <w:p w14:paraId="485F1715" w14:textId="7A453E17" w:rsidR="0070773E" w:rsidRPr="005A249B" w:rsidRDefault="0070773E" w:rsidP="00233A66">
            <w:pPr>
              <w:tabs>
                <w:tab w:val="decimal" w:pos="742"/>
              </w:tabs>
              <w:jc w:val="right"/>
              <w:rPr>
                <w:rFonts w:cs="Arial"/>
                <w:szCs w:val="24"/>
              </w:rPr>
            </w:pPr>
            <w:r w:rsidRPr="005A249B">
              <w:rPr>
                <w:rFonts w:cs="Arial"/>
                <w:szCs w:val="24"/>
              </w:rPr>
              <w:t>1,894</w:t>
            </w:r>
          </w:p>
        </w:tc>
        <w:tc>
          <w:tcPr>
            <w:tcW w:w="491" w:type="pct"/>
            <w:vAlign w:val="center"/>
          </w:tcPr>
          <w:p w14:paraId="03055CA5" w14:textId="4261F550" w:rsidR="0070773E" w:rsidRPr="005A249B" w:rsidRDefault="0070773E" w:rsidP="00233A66">
            <w:pPr>
              <w:tabs>
                <w:tab w:val="decimal" w:pos="884"/>
              </w:tabs>
              <w:jc w:val="right"/>
              <w:rPr>
                <w:rFonts w:cs="Arial"/>
                <w:szCs w:val="24"/>
              </w:rPr>
            </w:pPr>
            <w:r w:rsidRPr="005A249B">
              <w:rPr>
                <w:rFonts w:cs="Arial"/>
                <w:szCs w:val="24"/>
              </w:rPr>
              <w:t>6,429</w:t>
            </w:r>
          </w:p>
        </w:tc>
        <w:tc>
          <w:tcPr>
            <w:tcW w:w="426" w:type="pct"/>
            <w:vAlign w:val="center"/>
          </w:tcPr>
          <w:p w14:paraId="7FBFDB83" w14:textId="1AD76EFB" w:rsidR="0070773E" w:rsidRPr="005A249B" w:rsidRDefault="0070773E" w:rsidP="00233A66">
            <w:pPr>
              <w:tabs>
                <w:tab w:val="decimal" w:pos="742"/>
              </w:tabs>
              <w:jc w:val="right"/>
              <w:rPr>
                <w:rFonts w:cs="Arial"/>
                <w:szCs w:val="24"/>
              </w:rPr>
            </w:pPr>
            <w:r w:rsidRPr="005A249B">
              <w:rPr>
                <w:rFonts w:cs="Arial"/>
                <w:szCs w:val="24"/>
              </w:rPr>
              <w:t>(5,211)</w:t>
            </w:r>
          </w:p>
        </w:tc>
        <w:tc>
          <w:tcPr>
            <w:tcW w:w="491" w:type="pct"/>
            <w:vAlign w:val="center"/>
          </w:tcPr>
          <w:p w14:paraId="7E552BEC" w14:textId="608C9606" w:rsidR="0070773E" w:rsidRPr="005A249B" w:rsidRDefault="0070773E" w:rsidP="00233A66">
            <w:pPr>
              <w:tabs>
                <w:tab w:val="decimal" w:pos="742"/>
              </w:tabs>
              <w:jc w:val="right"/>
              <w:rPr>
                <w:rFonts w:cs="Arial"/>
                <w:szCs w:val="24"/>
              </w:rPr>
            </w:pPr>
            <w:r w:rsidRPr="005A249B">
              <w:rPr>
                <w:rFonts w:cs="Arial"/>
                <w:szCs w:val="24"/>
              </w:rPr>
              <w:t>1,217</w:t>
            </w:r>
          </w:p>
        </w:tc>
      </w:tr>
      <w:tr w:rsidR="0070773E" w:rsidRPr="005A249B" w14:paraId="319890E8" w14:textId="77777777" w:rsidTr="00036C34">
        <w:tc>
          <w:tcPr>
            <w:tcW w:w="1823" w:type="pct"/>
          </w:tcPr>
          <w:p w14:paraId="6DA0B094" w14:textId="77777777" w:rsidR="0070773E" w:rsidRPr="0070773E" w:rsidRDefault="0070773E" w:rsidP="0070773E">
            <w:pPr>
              <w:rPr>
                <w:rFonts w:cs="Arial"/>
                <w:b/>
                <w:bCs/>
                <w:szCs w:val="24"/>
              </w:rPr>
            </w:pPr>
            <w:r w:rsidRPr="0070773E">
              <w:rPr>
                <w:rFonts w:cs="Arial"/>
                <w:b/>
                <w:bCs/>
                <w:szCs w:val="24"/>
              </w:rPr>
              <w:t>Net Cost of Services</w:t>
            </w:r>
          </w:p>
        </w:tc>
        <w:tc>
          <w:tcPr>
            <w:tcW w:w="361" w:type="pct"/>
            <w:vAlign w:val="center"/>
          </w:tcPr>
          <w:p w14:paraId="3B747E43" w14:textId="2839165D" w:rsidR="0070773E" w:rsidRPr="00036C34" w:rsidRDefault="00BD79B2" w:rsidP="00036C34">
            <w:pPr>
              <w:jc w:val="center"/>
              <w:rPr>
                <w:rStyle w:val="Hyperlink"/>
              </w:rPr>
            </w:pPr>
            <w:hyperlink w:anchor="Notes" w:history="1">
              <w:r w:rsidR="0070773E" w:rsidRPr="00036C34">
                <w:rPr>
                  <w:rStyle w:val="Hyperlink"/>
                  <w:szCs w:val="24"/>
                </w:rPr>
                <w:t>1</w:t>
              </w:r>
            </w:hyperlink>
          </w:p>
        </w:tc>
        <w:tc>
          <w:tcPr>
            <w:tcW w:w="491" w:type="pct"/>
            <w:vAlign w:val="center"/>
          </w:tcPr>
          <w:p w14:paraId="48A30AC9" w14:textId="22159C2D" w:rsidR="0070773E" w:rsidRPr="005A249B" w:rsidRDefault="0070773E" w:rsidP="00233A66">
            <w:pPr>
              <w:tabs>
                <w:tab w:val="decimal" w:pos="884"/>
              </w:tabs>
              <w:jc w:val="right"/>
              <w:rPr>
                <w:rFonts w:cs="Arial"/>
                <w:b/>
                <w:bCs/>
                <w:szCs w:val="24"/>
              </w:rPr>
            </w:pPr>
            <w:r w:rsidRPr="005A249B">
              <w:rPr>
                <w:rFonts w:cs="Arial"/>
                <w:b/>
                <w:bCs/>
                <w:szCs w:val="24"/>
              </w:rPr>
              <w:t>62,817</w:t>
            </w:r>
          </w:p>
        </w:tc>
        <w:tc>
          <w:tcPr>
            <w:tcW w:w="426" w:type="pct"/>
            <w:vAlign w:val="center"/>
          </w:tcPr>
          <w:p w14:paraId="31E1A5F3" w14:textId="10CBF0A9" w:rsidR="0070773E" w:rsidRPr="005A249B" w:rsidRDefault="0070773E" w:rsidP="00233A66">
            <w:pPr>
              <w:tabs>
                <w:tab w:val="decimal" w:pos="742"/>
              </w:tabs>
              <w:jc w:val="right"/>
              <w:rPr>
                <w:rFonts w:cs="Arial"/>
                <w:b/>
                <w:bCs/>
                <w:szCs w:val="24"/>
              </w:rPr>
            </w:pPr>
            <w:r w:rsidRPr="005A249B">
              <w:rPr>
                <w:rFonts w:cs="Arial"/>
                <w:b/>
                <w:bCs/>
                <w:szCs w:val="24"/>
              </w:rPr>
              <w:t>(7,885)</w:t>
            </w:r>
          </w:p>
        </w:tc>
        <w:tc>
          <w:tcPr>
            <w:tcW w:w="491" w:type="pct"/>
            <w:vAlign w:val="center"/>
          </w:tcPr>
          <w:p w14:paraId="38A82874" w14:textId="3C5307FD" w:rsidR="0070773E" w:rsidRPr="005A249B" w:rsidRDefault="0070773E" w:rsidP="00233A66">
            <w:pPr>
              <w:tabs>
                <w:tab w:val="decimal" w:pos="742"/>
              </w:tabs>
              <w:jc w:val="right"/>
              <w:rPr>
                <w:rFonts w:cs="Arial"/>
                <w:b/>
                <w:bCs/>
                <w:szCs w:val="24"/>
              </w:rPr>
            </w:pPr>
            <w:r w:rsidRPr="005A249B">
              <w:rPr>
                <w:rFonts w:cs="Arial"/>
                <w:b/>
                <w:bCs/>
                <w:szCs w:val="24"/>
              </w:rPr>
              <w:t>54,932</w:t>
            </w:r>
          </w:p>
        </w:tc>
        <w:tc>
          <w:tcPr>
            <w:tcW w:w="491" w:type="pct"/>
            <w:vAlign w:val="center"/>
          </w:tcPr>
          <w:p w14:paraId="2624C76E" w14:textId="654D0B6C" w:rsidR="0070773E" w:rsidRPr="005A249B" w:rsidRDefault="0070773E" w:rsidP="00233A66">
            <w:pPr>
              <w:tabs>
                <w:tab w:val="decimal" w:pos="884"/>
              </w:tabs>
              <w:jc w:val="right"/>
              <w:rPr>
                <w:rFonts w:cs="Arial"/>
                <w:b/>
                <w:bCs/>
                <w:szCs w:val="24"/>
              </w:rPr>
            </w:pPr>
            <w:r w:rsidRPr="005A249B">
              <w:rPr>
                <w:rFonts w:cs="Arial"/>
                <w:b/>
                <w:bCs/>
                <w:szCs w:val="24"/>
              </w:rPr>
              <w:t>59,078</w:t>
            </w:r>
          </w:p>
        </w:tc>
        <w:tc>
          <w:tcPr>
            <w:tcW w:w="426" w:type="pct"/>
            <w:vAlign w:val="center"/>
          </w:tcPr>
          <w:p w14:paraId="6C037FE7" w14:textId="1AADBA4E" w:rsidR="0070773E" w:rsidRPr="005A249B" w:rsidRDefault="0070773E" w:rsidP="00233A66">
            <w:pPr>
              <w:tabs>
                <w:tab w:val="decimal" w:pos="742"/>
              </w:tabs>
              <w:jc w:val="right"/>
              <w:rPr>
                <w:rFonts w:cs="Arial"/>
                <w:b/>
                <w:bCs/>
                <w:szCs w:val="24"/>
              </w:rPr>
            </w:pPr>
            <w:r w:rsidRPr="005A249B">
              <w:rPr>
                <w:rFonts w:cs="Arial"/>
                <w:b/>
                <w:bCs/>
                <w:szCs w:val="24"/>
              </w:rPr>
              <w:t>(8,729)</w:t>
            </w:r>
          </w:p>
        </w:tc>
        <w:tc>
          <w:tcPr>
            <w:tcW w:w="491" w:type="pct"/>
            <w:vAlign w:val="center"/>
          </w:tcPr>
          <w:p w14:paraId="5D4EC2EB" w14:textId="57BC2AFD" w:rsidR="0070773E" w:rsidRPr="005A249B" w:rsidRDefault="0070773E" w:rsidP="00233A66">
            <w:pPr>
              <w:tabs>
                <w:tab w:val="decimal" w:pos="742"/>
              </w:tabs>
              <w:jc w:val="right"/>
              <w:rPr>
                <w:rFonts w:cs="Arial"/>
                <w:b/>
                <w:bCs/>
                <w:szCs w:val="24"/>
              </w:rPr>
            </w:pPr>
            <w:r w:rsidRPr="005A249B">
              <w:rPr>
                <w:rFonts w:cs="Arial"/>
                <w:b/>
                <w:bCs/>
                <w:szCs w:val="24"/>
              </w:rPr>
              <w:t>50,349</w:t>
            </w:r>
          </w:p>
        </w:tc>
      </w:tr>
      <w:tr w:rsidR="0070773E" w:rsidRPr="00AF3DCD" w14:paraId="48350EAA" w14:textId="77777777" w:rsidTr="00036C34">
        <w:trPr>
          <w:trHeight w:val="283"/>
        </w:trPr>
        <w:tc>
          <w:tcPr>
            <w:tcW w:w="1823" w:type="pct"/>
          </w:tcPr>
          <w:p w14:paraId="55817802" w14:textId="3E39EA28" w:rsidR="0070773E" w:rsidRPr="005A249B" w:rsidRDefault="0070773E" w:rsidP="00793A3A">
            <w:pPr>
              <w:rPr>
                <w:rFonts w:cs="Arial"/>
                <w:szCs w:val="24"/>
              </w:rPr>
            </w:pPr>
            <w:r w:rsidRPr="005A249B">
              <w:rPr>
                <w:rFonts w:cs="Arial"/>
                <w:szCs w:val="24"/>
              </w:rPr>
              <w:t>Gain on disposal of non-current assets</w:t>
            </w:r>
          </w:p>
        </w:tc>
        <w:tc>
          <w:tcPr>
            <w:tcW w:w="361" w:type="pct"/>
            <w:vAlign w:val="center"/>
          </w:tcPr>
          <w:p w14:paraId="0B0F88FF" w14:textId="77777777" w:rsidR="0070773E" w:rsidRPr="00036C34" w:rsidRDefault="0070773E" w:rsidP="00036C34">
            <w:pPr>
              <w:jc w:val="center"/>
              <w:rPr>
                <w:rStyle w:val="Hyperlink"/>
                <w:szCs w:val="24"/>
              </w:rPr>
            </w:pPr>
          </w:p>
        </w:tc>
        <w:tc>
          <w:tcPr>
            <w:tcW w:w="491" w:type="pct"/>
            <w:vAlign w:val="center"/>
          </w:tcPr>
          <w:p w14:paraId="62E5CB4D" w14:textId="73226B69" w:rsidR="0070773E" w:rsidRPr="00793A3A" w:rsidRDefault="0070773E" w:rsidP="00233A66">
            <w:pPr>
              <w:tabs>
                <w:tab w:val="decimal" w:pos="742"/>
                <w:tab w:val="decimal" w:pos="884"/>
              </w:tabs>
              <w:ind w:right="177"/>
              <w:jc w:val="right"/>
              <w:rPr>
                <w:rFonts w:cs="Arial"/>
                <w:szCs w:val="24"/>
              </w:rPr>
            </w:pPr>
          </w:p>
        </w:tc>
        <w:tc>
          <w:tcPr>
            <w:tcW w:w="426" w:type="pct"/>
            <w:vAlign w:val="center"/>
          </w:tcPr>
          <w:p w14:paraId="24B53C5D" w14:textId="07767825" w:rsidR="0070773E" w:rsidRPr="00793A3A" w:rsidRDefault="0070773E" w:rsidP="00233A66">
            <w:pPr>
              <w:tabs>
                <w:tab w:val="decimal" w:pos="742"/>
                <w:tab w:val="decimal" w:pos="884"/>
              </w:tabs>
              <w:ind w:right="177"/>
              <w:jc w:val="right"/>
              <w:rPr>
                <w:rFonts w:cs="Arial"/>
                <w:szCs w:val="24"/>
              </w:rPr>
            </w:pPr>
          </w:p>
        </w:tc>
        <w:tc>
          <w:tcPr>
            <w:tcW w:w="491" w:type="pct"/>
            <w:vAlign w:val="center"/>
          </w:tcPr>
          <w:p w14:paraId="57D98B22" w14:textId="60E67478" w:rsidR="0070773E" w:rsidRPr="00793A3A" w:rsidRDefault="0070773E" w:rsidP="00233A66">
            <w:pPr>
              <w:tabs>
                <w:tab w:val="decimal" w:pos="742"/>
              </w:tabs>
              <w:jc w:val="right"/>
              <w:rPr>
                <w:rFonts w:cs="Arial"/>
                <w:szCs w:val="24"/>
              </w:rPr>
            </w:pPr>
            <w:r w:rsidRPr="00793A3A">
              <w:rPr>
                <w:rFonts w:cs="Arial"/>
                <w:szCs w:val="24"/>
              </w:rPr>
              <w:t>(9)</w:t>
            </w:r>
          </w:p>
        </w:tc>
        <w:tc>
          <w:tcPr>
            <w:tcW w:w="491" w:type="pct"/>
            <w:vAlign w:val="center"/>
          </w:tcPr>
          <w:p w14:paraId="4FBB7EE7" w14:textId="643DFE30" w:rsidR="0070773E" w:rsidRPr="00793A3A" w:rsidRDefault="0070773E" w:rsidP="00233A66">
            <w:pPr>
              <w:tabs>
                <w:tab w:val="decimal" w:pos="885"/>
              </w:tabs>
              <w:jc w:val="right"/>
              <w:rPr>
                <w:rFonts w:cs="Arial"/>
                <w:szCs w:val="24"/>
              </w:rPr>
            </w:pPr>
          </w:p>
        </w:tc>
        <w:tc>
          <w:tcPr>
            <w:tcW w:w="426" w:type="pct"/>
            <w:vAlign w:val="center"/>
          </w:tcPr>
          <w:p w14:paraId="67003ECE" w14:textId="77777777" w:rsidR="0070773E" w:rsidRPr="00793A3A" w:rsidRDefault="0070773E" w:rsidP="00233A66">
            <w:pPr>
              <w:tabs>
                <w:tab w:val="decimal" w:pos="601"/>
              </w:tabs>
              <w:jc w:val="right"/>
              <w:rPr>
                <w:rFonts w:cs="Arial"/>
                <w:szCs w:val="24"/>
              </w:rPr>
            </w:pPr>
          </w:p>
        </w:tc>
        <w:tc>
          <w:tcPr>
            <w:tcW w:w="491" w:type="pct"/>
            <w:vAlign w:val="center"/>
          </w:tcPr>
          <w:p w14:paraId="0F764B57" w14:textId="269C5ED9" w:rsidR="0070773E" w:rsidRPr="00793A3A" w:rsidRDefault="0070773E" w:rsidP="00233A66">
            <w:pPr>
              <w:tabs>
                <w:tab w:val="decimal" w:pos="742"/>
              </w:tabs>
              <w:jc w:val="right"/>
              <w:rPr>
                <w:rFonts w:cs="Arial"/>
                <w:szCs w:val="24"/>
              </w:rPr>
            </w:pPr>
            <w:r w:rsidRPr="00793A3A">
              <w:rPr>
                <w:rFonts w:cs="Arial"/>
                <w:szCs w:val="24"/>
              </w:rPr>
              <w:t>(3)</w:t>
            </w:r>
          </w:p>
        </w:tc>
      </w:tr>
    </w:tbl>
    <w:p w14:paraId="69675F7E" w14:textId="77777777" w:rsidR="00D46F5F" w:rsidRDefault="00D46F5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3"/>
        <w:gridCol w:w="1100"/>
        <w:gridCol w:w="1497"/>
        <w:gridCol w:w="1299"/>
        <w:gridCol w:w="1497"/>
        <w:gridCol w:w="1497"/>
        <w:gridCol w:w="1299"/>
        <w:gridCol w:w="1500"/>
      </w:tblGrid>
      <w:tr w:rsidR="00793A3A" w:rsidRPr="00AF3DCD" w14:paraId="3D29740C" w14:textId="77777777" w:rsidTr="00036C34">
        <w:tc>
          <w:tcPr>
            <w:tcW w:w="5000" w:type="pct"/>
            <w:gridSpan w:val="8"/>
            <w:shd w:val="clear" w:color="auto" w:fill="D9D9D9" w:themeFill="background1" w:themeFillShade="D9"/>
          </w:tcPr>
          <w:p w14:paraId="5459216A" w14:textId="6C95A2E6" w:rsidR="00793A3A" w:rsidRPr="00BD79B2" w:rsidRDefault="00793A3A" w:rsidP="00327E8F">
            <w:pPr>
              <w:rPr>
                <w:rFonts w:cs="Arial"/>
                <w:b/>
                <w:bCs/>
                <w:szCs w:val="24"/>
              </w:rPr>
            </w:pPr>
            <w:r w:rsidRPr="00BD79B2">
              <w:rPr>
                <w:rFonts w:cs="Arial"/>
                <w:b/>
                <w:bCs/>
                <w:szCs w:val="24"/>
              </w:rPr>
              <w:t>Financing &amp; investment income &amp; expenditure</w:t>
            </w:r>
          </w:p>
        </w:tc>
      </w:tr>
      <w:tr w:rsidR="00233A66" w:rsidRPr="00AF3DCD" w14:paraId="256584C9" w14:textId="77777777" w:rsidTr="00036C34">
        <w:tc>
          <w:tcPr>
            <w:tcW w:w="1822" w:type="pct"/>
          </w:tcPr>
          <w:p w14:paraId="49FE23E5" w14:textId="77777777" w:rsidR="00233A66" w:rsidRPr="005A249B" w:rsidRDefault="00233A66" w:rsidP="00233A66">
            <w:pPr>
              <w:rPr>
                <w:rFonts w:cs="Arial"/>
                <w:szCs w:val="24"/>
              </w:rPr>
            </w:pPr>
            <w:r w:rsidRPr="005A249B">
              <w:rPr>
                <w:rFonts w:cs="Arial"/>
                <w:szCs w:val="24"/>
              </w:rPr>
              <w:t>Interest payable and similar charges</w:t>
            </w:r>
          </w:p>
        </w:tc>
        <w:tc>
          <w:tcPr>
            <w:tcW w:w="361" w:type="pct"/>
            <w:vAlign w:val="center"/>
          </w:tcPr>
          <w:p w14:paraId="5ADB56AA" w14:textId="0D2BBB21" w:rsidR="00233A66" w:rsidRPr="00036C34" w:rsidRDefault="00233A66" w:rsidP="00036C34">
            <w:pPr>
              <w:jc w:val="center"/>
              <w:rPr>
                <w:rStyle w:val="Hyperlink"/>
              </w:rPr>
            </w:pPr>
            <w:hyperlink w:anchor="N8" w:history="1">
              <w:r w:rsidRPr="00036C34">
                <w:rPr>
                  <w:rStyle w:val="Hyperlink"/>
                  <w:szCs w:val="24"/>
                </w:rPr>
                <w:t>8</w:t>
              </w:r>
            </w:hyperlink>
          </w:p>
        </w:tc>
        <w:tc>
          <w:tcPr>
            <w:tcW w:w="491" w:type="pct"/>
            <w:vAlign w:val="center"/>
          </w:tcPr>
          <w:p w14:paraId="23239D64" w14:textId="4511E718" w:rsidR="00233A66" w:rsidRPr="005A249B" w:rsidRDefault="00233A66" w:rsidP="00233A66">
            <w:pPr>
              <w:tabs>
                <w:tab w:val="decimal" w:pos="884"/>
              </w:tabs>
              <w:jc w:val="right"/>
              <w:rPr>
                <w:rFonts w:cs="Arial"/>
                <w:szCs w:val="24"/>
              </w:rPr>
            </w:pPr>
          </w:p>
        </w:tc>
        <w:tc>
          <w:tcPr>
            <w:tcW w:w="426" w:type="pct"/>
            <w:vAlign w:val="center"/>
          </w:tcPr>
          <w:p w14:paraId="35B3E6D4" w14:textId="1B122BB6" w:rsidR="00233A66" w:rsidRPr="005A249B" w:rsidRDefault="00233A66" w:rsidP="00233A66">
            <w:pPr>
              <w:tabs>
                <w:tab w:val="decimal" w:pos="884"/>
              </w:tabs>
              <w:jc w:val="right"/>
              <w:rPr>
                <w:rFonts w:cs="Arial"/>
                <w:szCs w:val="24"/>
              </w:rPr>
            </w:pPr>
          </w:p>
        </w:tc>
        <w:tc>
          <w:tcPr>
            <w:tcW w:w="491" w:type="pct"/>
            <w:vAlign w:val="center"/>
          </w:tcPr>
          <w:p w14:paraId="51AB164D" w14:textId="2CA97732" w:rsidR="00233A66" w:rsidRPr="00233A66" w:rsidRDefault="00233A66" w:rsidP="00233A66">
            <w:pPr>
              <w:tabs>
                <w:tab w:val="decimal" w:pos="884"/>
              </w:tabs>
              <w:jc w:val="right"/>
              <w:rPr>
                <w:rFonts w:cs="Arial"/>
                <w:b/>
                <w:bCs/>
                <w:szCs w:val="24"/>
              </w:rPr>
            </w:pPr>
            <w:r w:rsidRPr="005A249B">
              <w:rPr>
                <w:rFonts w:cs="Arial"/>
                <w:szCs w:val="24"/>
              </w:rPr>
              <w:t xml:space="preserve">1,388 </w:t>
            </w:r>
          </w:p>
        </w:tc>
        <w:tc>
          <w:tcPr>
            <w:tcW w:w="491" w:type="pct"/>
            <w:vAlign w:val="center"/>
          </w:tcPr>
          <w:p w14:paraId="2B836629" w14:textId="623099ED" w:rsidR="00233A66" w:rsidRPr="005A249B" w:rsidRDefault="00233A66" w:rsidP="00233A66">
            <w:pPr>
              <w:tabs>
                <w:tab w:val="decimal" w:pos="889"/>
              </w:tabs>
              <w:jc w:val="right"/>
              <w:rPr>
                <w:rFonts w:cs="Arial"/>
                <w:szCs w:val="24"/>
              </w:rPr>
            </w:pPr>
          </w:p>
        </w:tc>
        <w:tc>
          <w:tcPr>
            <w:tcW w:w="426" w:type="pct"/>
            <w:vAlign w:val="center"/>
          </w:tcPr>
          <w:p w14:paraId="6AF2F2BB" w14:textId="0A56A592" w:rsidR="00233A66" w:rsidRPr="005A249B" w:rsidRDefault="00233A66" w:rsidP="00233A66">
            <w:pPr>
              <w:tabs>
                <w:tab w:val="decimal" w:pos="885"/>
              </w:tabs>
              <w:jc w:val="right"/>
              <w:rPr>
                <w:rFonts w:cs="Arial"/>
                <w:szCs w:val="24"/>
              </w:rPr>
            </w:pPr>
          </w:p>
        </w:tc>
        <w:tc>
          <w:tcPr>
            <w:tcW w:w="492" w:type="pct"/>
            <w:vAlign w:val="center"/>
          </w:tcPr>
          <w:p w14:paraId="71E2D07F" w14:textId="2C55E8CD" w:rsidR="00233A66" w:rsidRPr="005A249B" w:rsidRDefault="00233A66" w:rsidP="00233A66">
            <w:pPr>
              <w:tabs>
                <w:tab w:val="decimal" w:pos="742"/>
              </w:tabs>
              <w:jc w:val="right"/>
              <w:rPr>
                <w:rFonts w:cs="Arial"/>
                <w:szCs w:val="24"/>
              </w:rPr>
            </w:pPr>
            <w:r w:rsidRPr="005A249B">
              <w:rPr>
                <w:rFonts w:cs="Arial"/>
                <w:szCs w:val="24"/>
              </w:rPr>
              <w:t xml:space="preserve">1,408 </w:t>
            </w:r>
          </w:p>
        </w:tc>
      </w:tr>
      <w:tr w:rsidR="00233A66" w:rsidRPr="00AF3DCD" w14:paraId="6D5C6652" w14:textId="77777777" w:rsidTr="00036C34">
        <w:tc>
          <w:tcPr>
            <w:tcW w:w="1822" w:type="pct"/>
          </w:tcPr>
          <w:p w14:paraId="22362E76" w14:textId="77777777" w:rsidR="00233A66" w:rsidRPr="005A249B" w:rsidRDefault="00233A66" w:rsidP="00233A66">
            <w:pPr>
              <w:rPr>
                <w:rFonts w:cs="Arial"/>
                <w:szCs w:val="24"/>
              </w:rPr>
            </w:pPr>
            <w:r w:rsidRPr="005A249B">
              <w:rPr>
                <w:rFonts w:cs="Arial"/>
                <w:szCs w:val="24"/>
              </w:rPr>
              <w:t>Pensions interest cost and expected return on pensions assets</w:t>
            </w:r>
          </w:p>
        </w:tc>
        <w:tc>
          <w:tcPr>
            <w:tcW w:w="361" w:type="pct"/>
            <w:vAlign w:val="center"/>
          </w:tcPr>
          <w:p w14:paraId="17868737" w14:textId="61B6A432" w:rsidR="00233A66" w:rsidRPr="00036C34" w:rsidRDefault="00233A66" w:rsidP="00036C34">
            <w:pPr>
              <w:jc w:val="center"/>
              <w:rPr>
                <w:rStyle w:val="Hyperlink"/>
              </w:rPr>
            </w:pPr>
            <w:hyperlink w:anchor="N15" w:history="1">
              <w:r w:rsidRPr="00036C34">
                <w:rPr>
                  <w:rStyle w:val="Hyperlink"/>
                  <w:szCs w:val="24"/>
                </w:rPr>
                <w:t>15</w:t>
              </w:r>
            </w:hyperlink>
          </w:p>
        </w:tc>
        <w:tc>
          <w:tcPr>
            <w:tcW w:w="491" w:type="pct"/>
            <w:vAlign w:val="center"/>
          </w:tcPr>
          <w:p w14:paraId="17720D39" w14:textId="2B989485" w:rsidR="00233A66" w:rsidRPr="005A249B" w:rsidRDefault="00233A66" w:rsidP="00233A66">
            <w:pPr>
              <w:tabs>
                <w:tab w:val="decimal" w:pos="884"/>
              </w:tabs>
              <w:jc w:val="right"/>
              <w:rPr>
                <w:rFonts w:cs="Arial"/>
                <w:szCs w:val="24"/>
              </w:rPr>
            </w:pPr>
          </w:p>
        </w:tc>
        <w:tc>
          <w:tcPr>
            <w:tcW w:w="426" w:type="pct"/>
            <w:vAlign w:val="center"/>
          </w:tcPr>
          <w:p w14:paraId="13A13C29" w14:textId="2859C89E" w:rsidR="00233A66" w:rsidRPr="005A249B" w:rsidRDefault="00233A66" w:rsidP="00233A66">
            <w:pPr>
              <w:tabs>
                <w:tab w:val="decimal" w:pos="884"/>
              </w:tabs>
              <w:jc w:val="right"/>
              <w:rPr>
                <w:rFonts w:cs="Arial"/>
                <w:szCs w:val="24"/>
              </w:rPr>
            </w:pPr>
          </w:p>
        </w:tc>
        <w:tc>
          <w:tcPr>
            <w:tcW w:w="491" w:type="pct"/>
            <w:vAlign w:val="center"/>
          </w:tcPr>
          <w:p w14:paraId="2B8DBBD3" w14:textId="7C4E8537" w:rsidR="00233A66" w:rsidRPr="005A249B" w:rsidRDefault="00233A66" w:rsidP="00233A66">
            <w:pPr>
              <w:tabs>
                <w:tab w:val="decimal" w:pos="884"/>
              </w:tabs>
              <w:jc w:val="right"/>
              <w:rPr>
                <w:rFonts w:cs="Arial"/>
                <w:szCs w:val="24"/>
              </w:rPr>
            </w:pPr>
            <w:r w:rsidRPr="005A249B">
              <w:rPr>
                <w:rFonts w:cs="Arial"/>
                <w:szCs w:val="24"/>
              </w:rPr>
              <w:t xml:space="preserve">23,246 </w:t>
            </w:r>
          </w:p>
        </w:tc>
        <w:tc>
          <w:tcPr>
            <w:tcW w:w="491" w:type="pct"/>
            <w:vAlign w:val="center"/>
          </w:tcPr>
          <w:p w14:paraId="776B59B4" w14:textId="7D8DFD20" w:rsidR="00233A66" w:rsidRPr="005A249B" w:rsidRDefault="00233A66" w:rsidP="00233A66">
            <w:pPr>
              <w:tabs>
                <w:tab w:val="decimal" w:pos="889"/>
              </w:tabs>
              <w:jc w:val="right"/>
              <w:rPr>
                <w:rFonts w:cs="Arial"/>
                <w:szCs w:val="24"/>
              </w:rPr>
            </w:pPr>
          </w:p>
        </w:tc>
        <w:tc>
          <w:tcPr>
            <w:tcW w:w="426" w:type="pct"/>
            <w:vAlign w:val="center"/>
          </w:tcPr>
          <w:p w14:paraId="6C5D363D" w14:textId="4B58556A" w:rsidR="00233A66" w:rsidRPr="005A249B" w:rsidRDefault="00233A66" w:rsidP="00233A66">
            <w:pPr>
              <w:tabs>
                <w:tab w:val="decimal" w:pos="885"/>
              </w:tabs>
              <w:jc w:val="right"/>
              <w:rPr>
                <w:rFonts w:cs="Arial"/>
                <w:szCs w:val="24"/>
              </w:rPr>
            </w:pPr>
          </w:p>
        </w:tc>
        <w:tc>
          <w:tcPr>
            <w:tcW w:w="492" w:type="pct"/>
            <w:vAlign w:val="center"/>
          </w:tcPr>
          <w:p w14:paraId="6A26CB91" w14:textId="529EEA52" w:rsidR="00233A66" w:rsidRPr="005A249B" w:rsidRDefault="00233A66" w:rsidP="00233A66">
            <w:pPr>
              <w:tabs>
                <w:tab w:val="decimal" w:pos="742"/>
              </w:tabs>
              <w:jc w:val="right"/>
              <w:rPr>
                <w:rFonts w:cs="Arial"/>
                <w:szCs w:val="24"/>
              </w:rPr>
            </w:pPr>
            <w:r w:rsidRPr="005A249B">
              <w:rPr>
                <w:rFonts w:cs="Arial"/>
                <w:szCs w:val="24"/>
              </w:rPr>
              <w:t>17,648</w:t>
            </w:r>
          </w:p>
        </w:tc>
      </w:tr>
      <w:tr w:rsidR="00233A66" w:rsidRPr="00AF3DCD" w14:paraId="7706A461" w14:textId="77777777" w:rsidTr="00036C34">
        <w:tc>
          <w:tcPr>
            <w:tcW w:w="1822" w:type="pct"/>
          </w:tcPr>
          <w:p w14:paraId="5F806625" w14:textId="77777777" w:rsidR="00233A66" w:rsidRPr="005A249B" w:rsidRDefault="00233A66" w:rsidP="00233A66">
            <w:pPr>
              <w:rPr>
                <w:rFonts w:cs="Arial"/>
                <w:szCs w:val="24"/>
              </w:rPr>
            </w:pPr>
            <w:r w:rsidRPr="005A249B">
              <w:rPr>
                <w:rFonts w:cs="Arial"/>
                <w:szCs w:val="24"/>
              </w:rPr>
              <w:t>Interest receivable and similar Income</w:t>
            </w:r>
          </w:p>
        </w:tc>
        <w:tc>
          <w:tcPr>
            <w:tcW w:w="361" w:type="pct"/>
            <w:vAlign w:val="center"/>
          </w:tcPr>
          <w:p w14:paraId="0FA2D380" w14:textId="36C60FBF" w:rsidR="00233A66" w:rsidRPr="00036C34" w:rsidRDefault="00233A66" w:rsidP="00036C34">
            <w:pPr>
              <w:jc w:val="center"/>
              <w:rPr>
                <w:rStyle w:val="Hyperlink"/>
              </w:rPr>
            </w:pPr>
            <w:hyperlink w:anchor="N8" w:history="1">
              <w:r w:rsidRPr="00036C34">
                <w:rPr>
                  <w:rStyle w:val="Hyperlink"/>
                  <w:szCs w:val="24"/>
                </w:rPr>
                <w:t>8</w:t>
              </w:r>
            </w:hyperlink>
          </w:p>
        </w:tc>
        <w:tc>
          <w:tcPr>
            <w:tcW w:w="491" w:type="pct"/>
            <w:vAlign w:val="center"/>
          </w:tcPr>
          <w:p w14:paraId="69FEE268" w14:textId="1EFDF4BE" w:rsidR="00233A66" w:rsidRPr="005A249B" w:rsidRDefault="00233A66" w:rsidP="00233A66">
            <w:pPr>
              <w:tabs>
                <w:tab w:val="decimal" w:pos="884"/>
              </w:tabs>
              <w:jc w:val="right"/>
              <w:rPr>
                <w:rFonts w:cs="Arial"/>
                <w:szCs w:val="24"/>
              </w:rPr>
            </w:pPr>
          </w:p>
        </w:tc>
        <w:tc>
          <w:tcPr>
            <w:tcW w:w="426" w:type="pct"/>
            <w:vAlign w:val="center"/>
          </w:tcPr>
          <w:p w14:paraId="5BDB7FF1" w14:textId="0D72038D" w:rsidR="00233A66" w:rsidRPr="005A249B" w:rsidRDefault="00233A66" w:rsidP="00233A66">
            <w:pPr>
              <w:tabs>
                <w:tab w:val="decimal" w:pos="884"/>
              </w:tabs>
              <w:jc w:val="right"/>
              <w:rPr>
                <w:rFonts w:cs="Arial"/>
                <w:szCs w:val="24"/>
              </w:rPr>
            </w:pPr>
          </w:p>
        </w:tc>
        <w:tc>
          <w:tcPr>
            <w:tcW w:w="491" w:type="pct"/>
            <w:vAlign w:val="center"/>
          </w:tcPr>
          <w:p w14:paraId="0EC82CFA" w14:textId="6B5976D4" w:rsidR="00233A66" w:rsidRPr="005A249B" w:rsidRDefault="00233A66" w:rsidP="00233A66">
            <w:pPr>
              <w:tabs>
                <w:tab w:val="decimal" w:pos="884"/>
              </w:tabs>
              <w:jc w:val="right"/>
              <w:rPr>
                <w:rFonts w:cs="Arial"/>
                <w:szCs w:val="24"/>
              </w:rPr>
            </w:pPr>
            <w:r w:rsidRPr="005A249B">
              <w:rPr>
                <w:rFonts w:cs="Arial"/>
                <w:szCs w:val="24"/>
              </w:rPr>
              <w:t>(837)</w:t>
            </w:r>
          </w:p>
        </w:tc>
        <w:tc>
          <w:tcPr>
            <w:tcW w:w="491" w:type="pct"/>
            <w:vAlign w:val="center"/>
          </w:tcPr>
          <w:p w14:paraId="30721FEE" w14:textId="4B34A145" w:rsidR="00233A66" w:rsidRPr="005A249B" w:rsidRDefault="00233A66" w:rsidP="00233A66">
            <w:pPr>
              <w:tabs>
                <w:tab w:val="decimal" w:pos="889"/>
              </w:tabs>
              <w:jc w:val="right"/>
              <w:rPr>
                <w:rFonts w:cs="Arial"/>
                <w:szCs w:val="24"/>
              </w:rPr>
            </w:pPr>
          </w:p>
        </w:tc>
        <w:tc>
          <w:tcPr>
            <w:tcW w:w="426" w:type="pct"/>
            <w:vAlign w:val="center"/>
          </w:tcPr>
          <w:p w14:paraId="253FAE47" w14:textId="04B05870" w:rsidR="00233A66" w:rsidRPr="005A249B" w:rsidRDefault="00233A66" w:rsidP="00233A66">
            <w:pPr>
              <w:tabs>
                <w:tab w:val="decimal" w:pos="885"/>
              </w:tabs>
              <w:jc w:val="right"/>
              <w:rPr>
                <w:rFonts w:cs="Arial"/>
                <w:szCs w:val="24"/>
              </w:rPr>
            </w:pPr>
          </w:p>
        </w:tc>
        <w:tc>
          <w:tcPr>
            <w:tcW w:w="492" w:type="pct"/>
            <w:vAlign w:val="center"/>
          </w:tcPr>
          <w:p w14:paraId="7EA0B9D9" w14:textId="61EB0648" w:rsidR="00233A66" w:rsidRPr="005A249B" w:rsidRDefault="00233A66" w:rsidP="00233A66">
            <w:pPr>
              <w:tabs>
                <w:tab w:val="decimal" w:pos="742"/>
              </w:tabs>
              <w:jc w:val="right"/>
              <w:rPr>
                <w:rFonts w:cs="Arial"/>
                <w:szCs w:val="24"/>
              </w:rPr>
            </w:pPr>
            <w:r w:rsidRPr="005A249B">
              <w:rPr>
                <w:rFonts w:cs="Arial"/>
                <w:szCs w:val="24"/>
              </w:rPr>
              <w:t>(206)</w:t>
            </w:r>
          </w:p>
        </w:tc>
      </w:tr>
    </w:tbl>
    <w:p w14:paraId="0415F6FD" w14:textId="77777777" w:rsidR="003127E7" w:rsidRDefault="003127E7"/>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8"/>
        <w:gridCol w:w="1098"/>
        <w:gridCol w:w="1498"/>
        <w:gridCol w:w="1282"/>
        <w:gridCol w:w="1498"/>
        <w:gridCol w:w="1498"/>
        <w:gridCol w:w="1285"/>
        <w:gridCol w:w="1504"/>
      </w:tblGrid>
      <w:tr w:rsidR="0093301C" w:rsidRPr="00AF3DCD" w14:paraId="7DDF7702" w14:textId="77777777" w:rsidTr="00036C34">
        <w:trPr>
          <w:trHeight w:val="272"/>
        </w:trPr>
        <w:tc>
          <w:tcPr>
            <w:tcW w:w="5000" w:type="pct"/>
            <w:gridSpan w:val="8"/>
            <w:shd w:val="clear" w:color="auto" w:fill="D9D9D9" w:themeFill="background1" w:themeFillShade="D9"/>
          </w:tcPr>
          <w:p w14:paraId="78AC1CF2" w14:textId="58D4920B" w:rsidR="0093301C" w:rsidRPr="00BD79B2" w:rsidRDefault="0093301C" w:rsidP="00793A3A">
            <w:pPr>
              <w:rPr>
                <w:rFonts w:cs="Arial"/>
                <w:b/>
                <w:bCs/>
                <w:szCs w:val="24"/>
              </w:rPr>
            </w:pPr>
            <w:r w:rsidRPr="00BD79B2">
              <w:rPr>
                <w:rFonts w:cs="Arial"/>
                <w:b/>
                <w:bCs/>
                <w:szCs w:val="24"/>
              </w:rPr>
              <w:t>Taxation and non-specific grant income</w:t>
            </w:r>
          </w:p>
        </w:tc>
      </w:tr>
      <w:tr w:rsidR="00793A3A" w:rsidRPr="00AF3DCD" w14:paraId="1301DFD6" w14:textId="77777777" w:rsidTr="00793A3A">
        <w:tc>
          <w:tcPr>
            <w:tcW w:w="1826" w:type="pct"/>
          </w:tcPr>
          <w:p w14:paraId="1ADC4C55" w14:textId="77777777" w:rsidR="0070773E" w:rsidRPr="005A249B" w:rsidRDefault="0070773E" w:rsidP="0070773E">
            <w:pPr>
              <w:rPr>
                <w:rFonts w:cs="Arial"/>
                <w:szCs w:val="24"/>
              </w:rPr>
            </w:pPr>
            <w:r w:rsidRPr="005A249B">
              <w:rPr>
                <w:rFonts w:cs="Arial"/>
                <w:szCs w:val="24"/>
              </w:rPr>
              <w:t>Council tax</w:t>
            </w:r>
          </w:p>
        </w:tc>
        <w:tc>
          <w:tcPr>
            <w:tcW w:w="361" w:type="pct"/>
          </w:tcPr>
          <w:p w14:paraId="63BD858B" w14:textId="77777777" w:rsidR="0070773E" w:rsidRPr="00036C34" w:rsidRDefault="0070773E" w:rsidP="00036C34">
            <w:pPr>
              <w:jc w:val="center"/>
              <w:rPr>
                <w:rStyle w:val="Hyperlink"/>
              </w:rPr>
            </w:pPr>
          </w:p>
        </w:tc>
        <w:tc>
          <w:tcPr>
            <w:tcW w:w="492" w:type="pct"/>
          </w:tcPr>
          <w:p w14:paraId="106907B7" w14:textId="05B74ACE" w:rsidR="0070773E" w:rsidRPr="005A249B" w:rsidRDefault="0070773E" w:rsidP="005A249B">
            <w:pPr>
              <w:tabs>
                <w:tab w:val="decimal" w:pos="884"/>
              </w:tabs>
              <w:rPr>
                <w:rFonts w:cs="Arial"/>
                <w:szCs w:val="24"/>
              </w:rPr>
            </w:pPr>
          </w:p>
        </w:tc>
        <w:tc>
          <w:tcPr>
            <w:tcW w:w="421" w:type="pct"/>
          </w:tcPr>
          <w:p w14:paraId="2859AFC1" w14:textId="77777777" w:rsidR="0070773E" w:rsidRPr="005A249B" w:rsidRDefault="0070773E" w:rsidP="005A249B">
            <w:pPr>
              <w:tabs>
                <w:tab w:val="decimal" w:pos="884"/>
              </w:tabs>
              <w:rPr>
                <w:rFonts w:cs="Arial"/>
                <w:szCs w:val="24"/>
              </w:rPr>
            </w:pPr>
          </w:p>
        </w:tc>
        <w:tc>
          <w:tcPr>
            <w:tcW w:w="492" w:type="pct"/>
          </w:tcPr>
          <w:p w14:paraId="13B84267" w14:textId="05924D8A" w:rsidR="0070773E" w:rsidRPr="005A249B" w:rsidRDefault="0070773E" w:rsidP="00233A66">
            <w:pPr>
              <w:tabs>
                <w:tab w:val="decimal" w:pos="889"/>
              </w:tabs>
              <w:jc w:val="right"/>
              <w:rPr>
                <w:rFonts w:cs="Arial"/>
                <w:szCs w:val="24"/>
              </w:rPr>
            </w:pPr>
            <w:r w:rsidRPr="005A249B">
              <w:rPr>
                <w:rFonts w:cs="Arial"/>
                <w:szCs w:val="24"/>
              </w:rPr>
              <w:t>(34,968)</w:t>
            </w:r>
          </w:p>
        </w:tc>
        <w:tc>
          <w:tcPr>
            <w:tcW w:w="492" w:type="pct"/>
          </w:tcPr>
          <w:p w14:paraId="1ED8213E" w14:textId="0C664947" w:rsidR="0070773E" w:rsidRPr="005A249B" w:rsidRDefault="0070773E" w:rsidP="00233A66">
            <w:pPr>
              <w:tabs>
                <w:tab w:val="decimal" w:pos="885"/>
              </w:tabs>
              <w:rPr>
                <w:rFonts w:cs="Arial"/>
                <w:szCs w:val="24"/>
              </w:rPr>
            </w:pPr>
          </w:p>
        </w:tc>
        <w:tc>
          <w:tcPr>
            <w:tcW w:w="422" w:type="pct"/>
          </w:tcPr>
          <w:p w14:paraId="6480075C" w14:textId="77777777" w:rsidR="0070773E" w:rsidRPr="005A249B" w:rsidRDefault="0070773E" w:rsidP="00233A66">
            <w:pPr>
              <w:tabs>
                <w:tab w:val="decimal" w:pos="601"/>
              </w:tabs>
              <w:jc w:val="both"/>
              <w:rPr>
                <w:rFonts w:cs="Arial"/>
                <w:szCs w:val="24"/>
              </w:rPr>
            </w:pPr>
          </w:p>
        </w:tc>
        <w:tc>
          <w:tcPr>
            <w:tcW w:w="494" w:type="pct"/>
          </w:tcPr>
          <w:p w14:paraId="1EA74B56" w14:textId="1FE53D40" w:rsidR="0070773E" w:rsidRPr="005A249B" w:rsidRDefault="0070773E" w:rsidP="00233A66">
            <w:pPr>
              <w:jc w:val="right"/>
              <w:rPr>
                <w:rFonts w:cs="Arial"/>
                <w:szCs w:val="24"/>
              </w:rPr>
            </w:pPr>
            <w:r w:rsidRPr="005A249B">
              <w:rPr>
                <w:rFonts w:cs="Arial"/>
                <w:szCs w:val="24"/>
              </w:rPr>
              <w:t>(33,160)</w:t>
            </w:r>
          </w:p>
        </w:tc>
      </w:tr>
      <w:tr w:rsidR="00793A3A" w:rsidRPr="00AF3DCD" w14:paraId="66B9C3B3" w14:textId="77777777" w:rsidTr="00793A3A">
        <w:tc>
          <w:tcPr>
            <w:tcW w:w="1826" w:type="pct"/>
          </w:tcPr>
          <w:p w14:paraId="50780995" w14:textId="77777777" w:rsidR="0070773E" w:rsidRPr="005A249B" w:rsidRDefault="0070773E" w:rsidP="0070773E">
            <w:pPr>
              <w:rPr>
                <w:rFonts w:cs="Arial"/>
                <w:szCs w:val="24"/>
              </w:rPr>
            </w:pPr>
            <w:r w:rsidRPr="005A249B">
              <w:rPr>
                <w:rFonts w:cs="Arial"/>
                <w:szCs w:val="24"/>
              </w:rPr>
              <w:t>Revenue Support Grant</w:t>
            </w:r>
          </w:p>
        </w:tc>
        <w:tc>
          <w:tcPr>
            <w:tcW w:w="361" w:type="pct"/>
          </w:tcPr>
          <w:p w14:paraId="6F671289" w14:textId="77777777" w:rsidR="0070773E" w:rsidRPr="00036C34" w:rsidRDefault="0070773E" w:rsidP="00036C34">
            <w:pPr>
              <w:jc w:val="center"/>
              <w:rPr>
                <w:rStyle w:val="Hyperlink"/>
              </w:rPr>
            </w:pPr>
          </w:p>
        </w:tc>
        <w:tc>
          <w:tcPr>
            <w:tcW w:w="492" w:type="pct"/>
          </w:tcPr>
          <w:p w14:paraId="28147392" w14:textId="78B914FC" w:rsidR="0070773E" w:rsidRPr="005A249B" w:rsidRDefault="0070773E" w:rsidP="005A249B">
            <w:pPr>
              <w:tabs>
                <w:tab w:val="decimal" w:pos="884"/>
              </w:tabs>
              <w:rPr>
                <w:rFonts w:cs="Arial"/>
                <w:szCs w:val="24"/>
              </w:rPr>
            </w:pPr>
          </w:p>
        </w:tc>
        <w:tc>
          <w:tcPr>
            <w:tcW w:w="421" w:type="pct"/>
          </w:tcPr>
          <w:p w14:paraId="33A264BB" w14:textId="77777777" w:rsidR="0070773E" w:rsidRPr="005A249B" w:rsidRDefault="0070773E" w:rsidP="005A249B">
            <w:pPr>
              <w:tabs>
                <w:tab w:val="decimal" w:pos="884"/>
              </w:tabs>
              <w:rPr>
                <w:rFonts w:cs="Arial"/>
                <w:szCs w:val="24"/>
              </w:rPr>
            </w:pPr>
          </w:p>
        </w:tc>
        <w:tc>
          <w:tcPr>
            <w:tcW w:w="492" w:type="pct"/>
          </w:tcPr>
          <w:p w14:paraId="77FF38B7" w14:textId="3E4E1C45" w:rsidR="0070773E" w:rsidRPr="005A249B" w:rsidRDefault="0070773E" w:rsidP="00233A66">
            <w:pPr>
              <w:tabs>
                <w:tab w:val="decimal" w:pos="889"/>
              </w:tabs>
              <w:jc w:val="right"/>
              <w:rPr>
                <w:rFonts w:cs="Arial"/>
                <w:szCs w:val="24"/>
              </w:rPr>
            </w:pPr>
            <w:r w:rsidRPr="005A249B">
              <w:rPr>
                <w:rFonts w:cs="Arial"/>
                <w:szCs w:val="24"/>
              </w:rPr>
              <w:t>(9,642)</w:t>
            </w:r>
          </w:p>
        </w:tc>
        <w:tc>
          <w:tcPr>
            <w:tcW w:w="492" w:type="pct"/>
          </w:tcPr>
          <w:p w14:paraId="152FBC12" w14:textId="2111D058" w:rsidR="0070773E" w:rsidRPr="005A249B" w:rsidRDefault="0070773E" w:rsidP="00233A66">
            <w:pPr>
              <w:tabs>
                <w:tab w:val="decimal" w:pos="885"/>
              </w:tabs>
              <w:rPr>
                <w:rFonts w:cs="Arial"/>
                <w:szCs w:val="24"/>
              </w:rPr>
            </w:pPr>
          </w:p>
        </w:tc>
        <w:tc>
          <w:tcPr>
            <w:tcW w:w="422" w:type="pct"/>
          </w:tcPr>
          <w:p w14:paraId="634EAE1E" w14:textId="77777777" w:rsidR="0070773E" w:rsidRPr="005A249B" w:rsidRDefault="0070773E" w:rsidP="00233A66">
            <w:pPr>
              <w:tabs>
                <w:tab w:val="decimal" w:pos="601"/>
              </w:tabs>
              <w:jc w:val="both"/>
              <w:rPr>
                <w:rFonts w:cs="Arial"/>
                <w:szCs w:val="24"/>
              </w:rPr>
            </w:pPr>
          </w:p>
        </w:tc>
        <w:tc>
          <w:tcPr>
            <w:tcW w:w="494" w:type="pct"/>
          </w:tcPr>
          <w:p w14:paraId="5C7A9BD9" w14:textId="0EF2A4D9" w:rsidR="0070773E" w:rsidRPr="005A249B" w:rsidRDefault="0070773E" w:rsidP="00233A66">
            <w:pPr>
              <w:jc w:val="right"/>
              <w:rPr>
                <w:rFonts w:cs="Arial"/>
                <w:szCs w:val="24"/>
              </w:rPr>
            </w:pPr>
            <w:r w:rsidRPr="005A249B">
              <w:rPr>
                <w:rFonts w:cs="Arial"/>
                <w:szCs w:val="24"/>
              </w:rPr>
              <w:t>(8,570)</w:t>
            </w:r>
          </w:p>
        </w:tc>
      </w:tr>
      <w:tr w:rsidR="00793A3A" w:rsidRPr="00AF3DCD" w14:paraId="461825CA" w14:textId="77777777" w:rsidTr="00793A3A">
        <w:tc>
          <w:tcPr>
            <w:tcW w:w="1826" w:type="pct"/>
          </w:tcPr>
          <w:p w14:paraId="270780C7" w14:textId="77777777" w:rsidR="0070773E" w:rsidRPr="005A249B" w:rsidRDefault="0070773E" w:rsidP="0070773E">
            <w:pPr>
              <w:rPr>
                <w:rFonts w:cs="Arial"/>
                <w:szCs w:val="24"/>
              </w:rPr>
            </w:pPr>
            <w:r w:rsidRPr="005A249B">
              <w:rPr>
                <w:rFonts w:cs="Arial"/>
                <w:szCs w:val="24"/>
              </w:rPr>
              <w:t>Non-domestic rates redistribution</w:t>
            </w:r>
          </w:p>
        </w:tc>
        <w:tc>
          <w:tcPr>
            <w:tcW w:w="361" w:type="pct"/>
          </w:tcPr>
          <w:p w14:paraId="6E50D2D3" w14:textId="77777777" w:rsidR="0070773E" w:rsidRPr="00036C34" w:rsidRDefault="0070773E" w:rsidP="00036C34">
            <w:pPr>
              <w:jc w:val="center"/>
              <w:rPr>
                <w:rStyle w:val="Hyperlink"/>
              </w:rPr>
            </w:pPr>
          </w:p>
        </w:tc>
        <w:tc>
          <w:tcPr>
            <w:tcW w:w="492" w:type="pct"/>
          </w:tcPr>
          <w:p w14:paraId="65E41BA5" w14:textId="603F0FDF" w:rsidR="0070773E" w:rsidRPr="005A249B" w:rsidRDefault="0070773E" w:rsidP="005A249B">
            <w:pPr>
              <w:tabs>
                <w:tab w:val="decimal" w:pos="884"/>
              </w:tabs>
              <w:rPr>
                <w:rFonts w:cs="Arial"/>
                <w:szCs w:val="24"/>
              </w:rPr>
            </w:pPr>
          </w:p>
        </w:tc>
        <w:tc>
          <w:tcPr>
            <w:tcW w:w="421" w:type="pct"/>
          </w:tcPr>
          <w:p w14:paraId="7B058279" w14:textId="77777777" w:rsidR="0070773E" w:rsidRPr="005A249B" w:rsidRDefault="0070773E" w:rsidP="005A249B">
            <w:pPr>
              <w:tabs>
                <w:tab w:val="decimal" w:pos="884"/>
              </w:tabs>
              <w:rPr>
                <w:rFonts w:cs="Arial"/>
                <w:szCs w:val="24"/>
              </w:rPr>
            </w:pPr>
          </w:p>
        </w:tc>
        <w:tc>
          <w:tcPr>
            <w:tcW w:w="492" w:type="pct"/>
          </w:tcPr>
          <w:p w14:paraId="1D6B4DA0" w14:textId="5CEFEB22" w:rsidR="0070773E" w:rsidRPr="005A249B" w:rsidRDefault="0070773E" w:rsidP="00233A66">
            <w:pPr>
              <w:tabs>
                <w:tab w:val="decimal" w:pos="889"/>
              </w:tabs>
              <w:jc w:val="right"/>
              <w:rPr>
                <w:rFonts w:cs="Arial"/>
                <w:szCs w:val="24"/>
              </w:rPr>
            </w:pPr>
            <w:r w:rsidRPr="005A249B">
              <w:rPr>
                <w:rFonts w:cs="Arial"/>
                <w:szCs w:val="24"/>
              </w:rPr>
              <w:t>(15,559)</w:t>
            </w:r>
          </w:p>
        </w:tc>
        <w:tc>
          <w:tcPr>
            <w:tcW w:w="492" w:type="pct"/>
          </w:tcPr>
          <w:p w14:paraId="388DBBBB" w14:textId="1AB217D8" w:rsidR="0070773E" w:rsidRPr="005A249B" w:rsidRDefault="0070773E" w:rsidP="00233A66">
            <w:pPr>
              <w:tabs>
                <w:tab w:val="decimal" w:pos="885"/>
              </w:tabs>
              <w:rPr>
                <w:rFonts w:cs="Arial"/>
                <w:szCs w:val="24"/>
              </w:rPr>
            </w:pPr>
          </w:p>
        </w:tc>
        <w:tc>
          <w:tcPr>
            <w:tcW w:w="422" w:type="pct"/>
          </w:tcPr>
          <w:p w14:paraId="3067CF26" w14:textId="77777777" w:rsidR="0070773E" w:rsidRPr="005A249B" w:rsidRDefault="0070773E" w:rsidP="00233A66">
            <w:pPr>
              <w:tabs>
                <w:tab w:val="decimal" w:pos="601"/>
              </w:tabs>
              <w:jc w:val="both"/>
              <w:rPr>
                <w:rFonts w:cs="Arial"/>
                <w:szCs w:val="24"/>
              </w:rPr>
            </w:pPr>
          </w:p>
        </w:tc>
        <w:tc>
          <w:tcPr>
            <w:tcW w:w="494" w:type="pct"/>
          </w:tcPr>
          <w:p w14:paraId="1982B2F5" w14:textId="6BB4CCA5" w:rsidR="0070773E" w:rsidRPr="005A249B" w:rsidRDefault="0070773E" w:rsidP="00233A66">
            <w:pPr>
              <w:jc w:val="right"/>
              <w:rPr>
                <w:rFonts w:cs="Arial"/>
                <w:szCs w:val="24"/>
              </w:rPr>
            </w:pPr>
            <w:r w:rsidRPr="005A249B">
              <w:rPr>
                <w:rFonts w:cs="Arial"/>
                <w:szCs w:val="24"/>
              </w:rPr>
              <w:t>(14,786)</w:t>
            </w:r>
          </w:p>
        </w:tc>
      </w:tr>
      <w:tr w:rsidR="00793A3A" w:rsidRPr="00AF3DCD" w14:paraId="6989E789" w14:textId="77777777" w:rsidTr="00793A3A">
        <w:tc>
          <w:tcPr>
            <w:tcW w:w="1826" w:type="pct"/>
          </w:tcPr>
          <w:p w14:paraId="74A75A6A" w14:textId="77777777" w:rsidR="0070773E" w:rsidRPr="005A249B" w:rsidRDefault="0070773E" w:rsidP="0070773E">
            <w:pPr>
              <w:rPr>
                <w:rFonts w:cs="Arial"/>
                <w:szCs w:val="24"/>
              </w:rPr>
            </w:pPr>
            <w:r w:rsidRPr="005A249B">
              <w:rPr>
                <w:rFonts w:cs="Arial"/>
                <w:szCs w:val="24"/>
              </w:rPr>
              <w:t>Business rates S31 grant</w:t>
            </w:r>
          </w:p>
        </w:tc>
        <w:tc>
          <w:tcPr>
            <w:tcW w:w="361" w:type="pct"/>
          </w:tcPr>
          <w:p w14:paraId="0B9BC1D4" w14:textId="77777777" w:rsidR="0070773E" w:rsidRPr="00036C34" w:rsidRDefault="0070773E" w:rsidP="00036C34">
            <w:pPr>
              <w:jc w:val="center"/>
              <w:rPr>
                <w:rStyle w:val="Hyperlink"/>
              </w:rPr>
            </w:pPr>
          </w:p>
        </w:tc>
        <w:tc>
          <w:tcPr>
            <w:tcW w:w="492" w:type="pct"/>
          </w:tcPr>
          <w:p w14:paraId="53448B6B" w14:textId="2DB4C950" w:rsidR="0070773E" w:rsidRPr="005A249B" w:rsidRDefault="0070773E" w:rsidP="005A249B">
            <w:pPr>
              <w:tabs>
                <w:tab w:val="decimal" w:pos="884"/>
              </w:tabs>
              <w:rPr>
                <w:rFonts w:cs="Arial"/>
                <w:szCs w:val="24"/>
              </w:rPr>
            </w:pPr>
          </w:p>
        </w:tc>
        <w:tc>
          <w:tcPr>
            <w:tcW w:w="421" w:type="pct"/>
          </w:tcPr>
          <w:p w14:paraId="07A56BE7" w14:textId="77777777" w:rsidR="0070773E" w:rsidRPr="005A249B" w:rsidRDefault="0070773E" w:rsidP="005A249B">
            <w:pPr>
              <w:tabs>
                <w:tab w:val="decimal" w:pos="884"/>
              </w:tabs>
              <w:rPr>
                <w:rFonts w:cs="Arial"/>
                <w:szCs w:val="24"/>
              </w:rPr>
            </w:pPr>
          </w:p>
        </w:tc>
        <w:tc>
          <w:tcPr>
            <w:tcW w:w="492" w:type="pct"/>
          </w:tcPr>
          <w:p w14:paraId="70294333" w14:textId="0BED0DBD" w:rsidR="0070773E" w:rsidRPr="005A249B" w:rsidRDefault="0070773E" w:rsidP="00233A66">
            <w:pPr>
              <w:tabs>
                <w:tab w:val="decimal" w:pos="889"/>
              </w:tabs>
              <w:jc w:val="right"/>
              <w:rPr>
                <w:rFonts w:cs="Arial"/>
                <w:szCs w:val="24"/>
              </w:rPr>
            </w:pPr>
            <w:r w:rsidRPr="005A249B">
              <w:rPr>
                <w:rFonts w:cs="Arial"/>
                <w:szCs w:val="24"/>
              </w:rPr>
              <w:t>(2,951)</w:t>
            </w:r>
          </w:p>
        </w:tc>
        <w:tc>
          <w:tcPr>
            <w:tcW w:w="492" w:type="pct"/>
          </w:tcPr>
          <w:p w14:paraId="7A03E3E6" w14:textId="69498173" w:rsidR="0070773E" w:rsidRPr="005A249B" w:rsidRDefault="0070773E" w:rsidP="00233A66">
            <w:pPr>
              <w:tabs>
                <w:tab w:val="decimal" w:pos="885"/>
              </w:tabs>
              <w:rPr>
                <w:rFonts w:cs="Arial"/>
                <w:szCs w:val="24"/>
              </w:rPr>
            </w:pPr>
          </w:p>
        </w:tc>
        <w:tc>
          <w:tcPr>
            <w:tcW w:w="422" w:type="pct"/>
          </w:tcPr>
          <w:p w14:paraId="024AEFCF" w14:textId="77777777" w:rsidR="0070773E" w:rsidRPr="005A249B" w:rsidRDefault="0070773E" w:rsidP="00233A66">
            <w:pPr>
              <w:tabs>
                <w:tab w:val="decimal" w:pos="601"/>
              </w:tabs>
              <w:jc w:val="both"/>
              <w:rPr>
                <w:rFonts w:cs="Arial"/>
                <w:szCs w:val="24"/>
              </w:rPr>
            </w:pPr>
          </w:p>
        </w:tc>
        <w:tc>
          <w:tcPr>
            <w:tcW w:w="494" w:type="pct"/>
          </w:tcPr>
          <w:p w14:paraId="0FDE986B" w14:textId="5029E43E" w:rsidR="0070773E" w:rsidRPr="005A249B" w:rsidRDefault="0070773E" w:rsidP="00233A66">
            <w:pPr>
              <w:jc w:val="right"/>
              <w:rPr>
                <w:rFonts w:cs="Arial"/>
                <w:szCs w:val="24"/>
              </w:rPr>
            </w:pPr>
            <w:r w:rsidRPr="005A249B">
              <w:rPr>
                <w:rFonts w:cs="Arial"/>
                <w:szCs w:val="24"/>
              </w:rPr>
              <w:t>(1,360)</w:t>
            </w:r>
          </w:p>
        </w:tc>
      </w:tr>
      <w:tr w:rsidR="00793A3A" w:rsidRPr="00AF3DCD" w14:paraId="1745F67A" w14:textId="77777777" w:rsidTr="00793A3A">
        <w:tc>
          <w:tcPr>
            <w:tcW w:w="1826" w:type="pct"/>
          </w:tcPr>
          <w:p w14:paraId="41D5B628" w14:textId="294272CD" w:rsidR="0070773E" w:rsidRPr="005A249B" w:rsidRDefault="0070773E" w:rsidP="0070773E">
            <w:pPr>
              <w:rPr>
                <w:rFonts w:cs="Arial"/>
                <w:szCs w:val="24"/>
              </w:rPr>
            </w:pPr>
            <w:r w:rsidRPr="005A249B">
              <w:rPr>
                <w:rFonts w:cs="Arial"/>
                <w:szCs w:val="24"/>
              </w:rPr>
              <w:t>Business rates S31 grant – additional reliefs</w:t>
            </w:r>
          </w:p>
        </w:tc>
        <w:tc>
          <w:tcPr>
            <w:tcW w:w="361" w:type="pct"/>
          </w:tcPr>
          <w:p w14:paraId="312ECE4C" w14:textId="77777777" w:rsidR="0070773E" w:rsidRPr="00036C34" w:rsidRDefault="0070773E" w:rsidP="00036C34">
            <w:pPr>
              <w:jc w:val="center"/>
              <w:rPr>
                <w:rStyle w:val="Hyperlink"/>
              </w:rPr>
            </w:pPr>
          </w:p>
        </w:tc>
        <w:tc>
          <w:tcPr>
            <w:tcW w:w="492" w:type="pct"/>
          </w:tcPr>
          <w:p w14:paraId="3EB9FF70" w14:textId="7167AB98" w:rsidR="0070773E" w:rsidRPr="005A249B" w:rsidRDefault="0070773E" w:rsidP="005A249B">
            <w:pPr>
              <w:tabs>
                <w:tab w:val="decimal" w:pos="884"/>
              </w:tabs>
              <w:rPr>
                <w:rFonts w:cs="Arial"/>
                <w:szCs w:val="24"/>
              </w:rPr>
            </w:pPr>
          </w:p>
        </w:tc>
        <w:tc>
          <w:tcPr>
            <w:tcW w:w="421" w:type="pct"/>
          </w:tcPr>
          <w:p w14:paraId="0089538B" w14:textId="77777777" w:rsidR="0070773E" w:rsidRPr="005A249B" w:rsidRDefault="0070773E" w:rsidP="005A249B">
            <w:pPr>
              <w:tabs>
                <w:tab w:val="decimal" w:pos="884"/>
              </w:tabs>
              <w:rPr>
                <w:rFonts w:cs="Arial"/>
                <w:szCs w:val="24"/>
              </w:rPr>
            </w:pPr>
          </w:p>
        </w:tc>
        <w:tc>
          <w:tcPr>
            <w:tcW w:w="492" w:type="pct"/>
          </w:tcPr>
          <w:p w14:paraId="2F56A588" w14:textId="2FB08990" w:rsidR="0070773E" w:rsidRPr="005A249B" w:rsidRDefault="0070773E" w:rsidP="00233A66">
            <w:pPr>
              <w:tabs>
                <w:tab w:val="decimal" w:pos="889"/>
              </w:tabs>
              <w:jc w:val="right"/>
              <w:rPr>
                <w:rFonts w:cs="Arial"/>
                <w:szCs w:val="24"/>
              </w:rPr>
            </w:pPr>
            <w:r w:rsidRPr="005A249B">
              <w:rPr>
                <w:rFonts w:cs="Arial"/>
                <w:szCs w:val="24"/>
              </w:rPr>
              <w:t xml:space="preserve">- </w:t>
            </w:r>
          </w:p>
        </w:tc>
        <w:tc>
          <w:tcPr>
            <w:tcW w:w="492" w:type="pct"/>
          </w:tcPr>
          <w:p w14:paraId="2230B0A8" w14:textId="77777777" w:rsidR="0070773E" w:rsidRPr="005A249B" w:rsidRDefault="0070773E" w:rsidP="00233A66">
            <w:pPr>
              <w:tabs>
                <w:tab w:val="decimal" w:pos="885"/>
              </w:tabs>
              <w:rPr>
                <w:rFonts w:cs="Arial"/>
                <w:szCs w:val="24"/>
              </w:rPr>
            </w:pPr>
          </w:p>
        </w:tc>
        <w:tc>
          <w:tcPr>
            <w:tcW w:w="422" w:type="pct"/>
          </w:tcPr>
          <w:p w14:paraId="40F5F110" w14:textId="77777777" w:rsidR="0070773E" w:rsidRPr="005A249B" w:rsidRDefault="0070773E" w:rsidP="00233A66">
            <w:pPr>
              <w:tabs>
                <w:tab w:val="decimal" w:pos="601"/>
              </w:tabs>
              <w:jc w:val="both"/>
              <w:rPr>
                <w:rFonts w:cs="Arial"/>
                <w:szCs w:val="24"/>
              </w:rPr>
            </w:pPr>
          </w:p>
        </w:tc>
        <w:tc>
          <w:tcPr>
            <w:tcW w:w="494" w:type="pct"/>
          </w:tcPr>
          <w:p w14:paraId="362DD4B5" w14:textId="33ECCE05" w:rsidR="0070773E" w:rsidRPr="005A249B" w:rsidRDefault="0070773E" w:rsidP="00233A66">
            <w:pPr>
              <w:jc w:val="right"/>
              <w:rPr>
                <w:rFonts w:cs="Arial"/>
                <w:szCs w:val="24"/>
              </w:rPr>
            </w:pPr>
            <w:r w:rsidRPr="005A249B">
              <w:rPr>
                <w:rFonts w:cs="Arial"/>
                <w:szCs w:val="24"/>
              </w:rPr>
              <w:t>(1,101)</w:t>
            </w:r>
          </w:p>
        </w:tc>
      </w:tr>
      <w:tr w:rsidR="00793A3A" w:rsidRPr="00AF3DCD" w14:paraId="38F2A7F9" w14:textId="77777777" w:rsidTr="00793A3A">
        <w:tc>
          <w:tcPr>
            <w:tcW w:w="1826" w:type="pct"/>
          </w:tcPr>
          <w:p w14:paraId="00A8F1EB" w14:textId="6AB40299" w:rsidR="0070773E" w:rsidRPr="005A249B" w:rsidRDefault="0070773E" w:rsidP="0070773E">
            <w:pPr>
              <w:rPr>
                <w:rFonts w:cs="Arial"/>
                <w:szCs w:val="24"/>
              </w:rPr>
            </w:pPr>
            <w:r w:rsidRPr="005A249B">
              <w:rPr>
                <w:rFonts w:cs="Arial"/>
                <w:szCs w:val="24"/>
              </w:rPr>
              <w:t>Local taxation Income Guarantees</w:t>
            </w:r>
          </w:p>
        </w:tc>
        <w:tc>
          <w:tcPr>
            <w:tcW w:w="361" w:type="pct"/>
          </w:tcPr>
          <w:p w14:paraId="65CAE2BF" w14:textId="77777777" w:rsidR="0070773E" w:rsidRPr="00036C34" w:rsidRDefault="0070773E" w:rsidP="00036C34">
            <w:pPr>
              <w:jc w:val="center"/>
              <w:rPr>
                <w:rStyle w:val="Hyperlink"/>
              </w:rPr>
            </w:pPr>
          </w:p>
        </w:tc>
        <w:tc>
          <w:tcPr>
            <w:tcW w:w="492" w:type="pct"/>
          </w:tcPr>
          <w:p w14:paraId="6C558242" w14:textId="6BACF89F" w:rsidR="0070773E" w:rsidRPr="005A249B" w:rsidRDefault="0070773E" w:rsidP="005A249B">
            <w:pPr>
              <w:tabs>
                <w:tab w:val="decimal" w:pos="884"/>
              </w:tabs>
              <w:rPr>
                <w:rFonts w:cs="Arial"/>
                <w:szCs w:val="24"/>
              </w:rPr>
            </w:pPr>
          </w:p>
        </w:tc>
        <w:tc>
          <w:tcPr>
            <w:tcW w:w="421" w:type="pct"/>
          </w:tcPr>
          <w:p w14:paraId="27731F88" w14:textId="77777777" w:rsidR="0070773E" w:rsidRPr="005A249B" w:rsidRDefault="0070773E" w:rsidP="005A249B">
            <w:pPr>
              <w:tabs>
                <w:tab w:val="decimal" w:pos="884"/>
              </w:tabs>
              <w:rPr>
                <w:rFonts w:cs="Arial"/>
                <w:szCs w:val="24"/>
              </w:rPr>
            </w:pPr>
          </w:p>
        </w:tc>
        <w:tc>
          <w:tcPr>
            <w:tcW w:w="492" w:type="pct"/>
          </w:tcPr>
          <w:p w14:paraId="068D65AC" w14:textId="229A2CA3" w:rsidR="0070773E" w:rsidRPr="005A249B" w:rsidRDefault="0070773E" w:rsidP="00233A66">
            <w:pPr>
              <w:tabs>
                <w:tab w:val="decimal" w:pos="889"/>
              </w:tabs>
              <w:jc w:val="right"/>
              <w:rPr>
                <w:rFonts w:cs="Arial"/>
                <w:szCs w:val="24"/>
              </w:rPr>
            </w:pPr>
            <w:r w:rsidRPr="005A249B">
              <w:rPr>
                <w:rFonts w:cs="Arial"/>
                <w:szCs w:val="24"/>
              </w:rPr>
              <w:t>-</w:t>
            </w:r>
          </w:p>
        </w:tc>
        <w:tc>
          <w:tcPr>
            <w:tcW w:w="492" w:type="pct"/>
          </w:tcPr>
          <w:p w14:paraId="798232F9" w14:textId="1D7C0289" w:rsidR="0070773E" w:rsidRPr="005A249B" w:rsidRDefault="0070773E" w:rsidP="00233A66">
            <w:pPr>
              <w:tabs>
                <w:tab w:val="decimal" w:pos="885"/>
              </w:tabs>
              <w:rPr>
                <w:rFonts w:cs="Arial"/>
                <w:szCs w:val="24"/>
              </w:rPr>
            </w:pPr>
          </w:p>
        </w:tc>
        <w:tc>
          <w:tcPr>
            <w:tcW w:w="422" w:type="pct"/>
          </w:tcPr>
          <w:p w14:paraId="12EA8334" w14:textId="77777777" w:rsidR="0070773E" w:rsidRPr="005A249B" w:rsidRDefault="0070773E" w:rsidP="00233A66">
            <w:pPr>
              <w:tabs>
                <w:tab w:val="decimal" w:pos="601"/>
              </w:tabs>
              <w:jc w:val="both"/>
              <w:rPr>
                <w:rFonts w:cs="Arial"/>
                <w:szCs w:val="24"/>
              </w:rPr>
            </w:pPr>
          </w:p>
        </w:tc>
        <w:tc>
          <w:tcPr>
            <w:tcW w:w="494" w:type="pct"/>
          </w:tcPr>
          <w:p w14:paraId="49B82866" w14:textId="3F37CD0C" w:rsidR="0070773E" w:rsidRPr="005A249B" w:rsidRDefault="0070773E" w:rsidP="00233A66">
            <w:pPr>
              <w:jc w:val="right"/>
              <w:rPr>
                <w:rFonts w:cs="Arial"/>
                <w:szCs w:val="24"/>
              </w:rPr>
            </w:pPr>
            <w:r w:rsidRPr="005A249B">
              <w:rPr>
                <w:rFonts w:cs="Arial"/>
                <w:szCs w:val="24"/>
              </w:rPr>
              <w:t>(4)</w:t>
            </w:r>
          </w:p>
        </w:tc>
      </w:tr>
      <w:tr w:rsidR="00793A3A" w:rsidRPr="00AF3DCD" w14:paraId="3F3A28BC" w14:textId="77777777" w:rsidTr="00793A3A">
        <w:tc>
          <w:tcPr>
            <w:tcW w:w="1826" w:type="pct"/>
          </w:tcPr>
          <w:p w14:paraId="529159F7" w14:textId="347CCCC6" w:rsidR="0070773E" w:rsidRPr="005A249B" w:rsidRDefault="0070773E" w:rsidP="0070773E">
            <w:pPr>
              <w:rPr>
                <w:rFonts w:cs="Arial"/>
                <w:szCs w:val="24"/>
              </w:rPr>
            </w:pPr>
            <w:r w:rsidRPr="005A249B">
              <w:rPr>
                <w:rFonts w:cs="Arial"/>
                <w:szCs w:val="24"/>
              </w:rPr>
              <w:t>Capital grant income</w:t>
            </w:r>
          </w:p>
        </w:tc>
        <w:tc>
          <w:tcPr>
            <w:tcW w:w="361" w:type="pct"/>
          </w:tcPr>
          <w:p w14:paraId="76D14C41" w14:textId="77777777" w:rsidR="0070773E" w:rsidRPr="00036C34" w:rsidRDefault="0070773E" w:rsidP="00036C34">
            <w:pPr>
              <w:jc w:val="center"/>
              <w:rPr>
                <w:rStyle w:val="Hyperlink"/>
              </w:rPr>
            </w:pPr>
          </w:p>
        </w:tc>
        <w:tc>
          <w:tcPr>
            <w:tcW w:w="492" w:type="pct"/>
          </w:tcPr>
          <w:p w14:paraId="2D353126" w14:textId="3369A44F" w:rsidR="0070773E" w:rsidRPr="005A249B" w:rsidRDefault="0070773E" w:rsidP="005A249B">
            <w:pPr>
              <w:tabs>
                <w:tab w:val="decimal" w:pos="884"/>
              </w:tabs>
              <w:rPr>
                <w:rFonts w:cs="Arial"/>
                <w:szCs w:val="24"/>
              </w:rPr>
            </w:pPr>
          </w:p>
        </w:tc>
        <w:tc>
          <w:tcPr>
            <w:tcW w:w="421" w:type="pct"/>
          </w:tcPr>
          <w:p w14:paraId="6CAB3F2A" w14:textId="77777777" w:rsidR="0070773E" w:rsidRPr="005A249B" w:rsidRDefault="0070773E" w:rsidP="005A249B">
            <w:pPr>
              <w:tabs>
                <w:tab w:val="decimal" w:pos="884"/>
              </w:tabs>
              <w:rPr>
                <w:rFonts w:cs="Arial"/>
                <w:szCs w:val="24"/>
              </w:rPr>
            </w:pPr>
          </w:p>
        </w:tc>
        <w:tc>
          <w:tcPr>
            <w:tcW w:w="492" w:type="pct"/>
          </w:tcPr>
          <w:p w14:paraId="00A32F97" w14:textId="4686BEDA" w:rsidR="0070773E" w:rsidRPr="005A249B" w:rsidRDefault="0070773E" w:rsidP="00233A66">
            <w:pPr>
              <w:tabs>
                <w:tab w:val="decimal" w:pos="889"/>
              </w:tabs>
              <w:jc w:val="right"/>
              <w:rPr>
                <w:rFonts w:cs="Arial"/>
                <w:szCs w:val="24"/>
              </w:rPr>
            </w:pPr>
            <w:r w:rsidRPr="005A249B">
              <w:rPr>
                <w:rFonts w:cs="Arial"/>
                <w:szCs w:val="24"/>
              </w:rPr>
              <w:t>(253)</w:t>
            </w:r>
          </w:p>
        </w:tc>
        <w:tc>
          <w:tcPr>
            <w:tcW w:w="492" w:type="pct"/>
          </w:tcPr>
          <w:p w14:paraId="3D7119A0" w14:textId="77777777" w:rsidR="0070773E" w:rsidRPr="005A249B" w:rsidRDefault="0070773E" w:rsidP="00233A66">
            <w:pPr>
              <w:tabs>
                <w:tab w:val="decimal" w:pos="885"/>
              </w:tabs>
              <w:rPr>
                <w:rFonts w:cs="Arial"/>
                <w:szCs w:val="24"/>
              </w:rPr>
            </w:pPr>
          </w:p>
        </w:tc>
        <w:tc>
          <w:tcPr>
            <w:tcW w:w="422" w:type="pct"/>
          </w:tcPr>
          <w:p w14:paraId="36F0E63B" w14:textId="77777777" w:rsidR="0070773E" w:rsidRPr="005A249B" w:rsidRDefault="0070773E" w:rsidP="00233A66">
            <w:pPr>
              <w:tabs>
                <w:tab w:val="decimal" w:pos="601"/>
              </w:tabs>
              <w:jc w:val="both"/>
              <w:rPr>
                <w:rFonts w:cs="Arial"/>
                <w:szCs w:val="24"/>
              </w:rPr>
            </w:pPr>
          </w:p>
        </w:tc>
        <w:tc>
          <w:tcPr>
            <w:tcW w:w="494" w:type="pct"/>
          </w:tcPr>
          <w:p w14:paraId="52BD3229" w14:textId="64E5F12E" w:rsidR="0070773E" w:rsidRPr="005A249B" w:rsidRDefault="0070773E" w:rsidP="00233A66">
            <w:pPr>
              <w:jc w:val="right"/>
              <w:rPr>
                <w:rFonts w:cs="Arial"/>
                <w:szCs w:val="24"/>
              </w:rPr>
            </w:pPr>
            <w:r w:rsidRPr="005A249B">
              <w:rPr>
                <w:rFonts w:cs="Arial"/>
                <w:szCs w:val="24"/>
              </w:rPr>
              <w:t>(253)</w:t>
            </w:r>
          </w:p>
        </w:tc>
      </w:tr>
      <w:tr w:rsidR="00793A3A" w:rsidRPr="00AF3DCD" w14:paraId="5E51D07D" w14:textId="77777777" w:rsidTr="00793A3A">
        <w:tc>
          <w:tcPr>
            <w:tcW w:w="1826" w:type="pct"/>
          </w:tcPr>
          <w:p w14:paraId="230444E4" w14:textId="0EA895B1" w:rsidR="0070773E" w:rsidRPr="00233A66" w:rsidRDefault="0070773E" w:rsidP="005A249B">
            <w:pPr>
              <w:rPr>
                <w:rFonts w:cs="Arial"/>
                <w:b/>
                <w:bCs/>
                <w:szCs w:val="24"/>
              </w:rPr>
            </w:pPr>
            <w:r w:rsidRPr="00233A66">
              <w:rPr>
                <w:rFonts w:cs="Arial"/>
                <w:b/>
                <w:bCs/>
                <w:szCs w:val="24"/>
              </w:rPr>
              <w:t>Deficit on the provision of services</w:t>
            </w:r>
          </w:p>
        </w:tc>
        <w:tc>
          <w:tcPr>
            <w:tcW w:w="361" w:type="pct"/>
          </w:tcPr>
          <w:p w14:paraId="5307DA0A" w14:textId="77777777" w:rsidR="0070773E" w:rsidRPr="00036C34" w:rsidRDefault="0070773E" w:rsidP="00036C34">
            <w:pPr>
              <w:jc w:val="center"/>
              <w:rPr>
                <w:rStyle w:val="Hyperlink"/>
              </w:rPr>
            </w:pPr>
          </w:p>
        </w:tc>
        <w:tc>
          <w:tcPr>
            <w:tcW w:w="492" w:type="pct"/>
          </w:tcPr>
          <w:p w14:paraId="75D395D3" w14:textId="5667467C" w:rsidR="0070773E" w:rsidRPr="005A249B" w:rsidRDefault="0070773E" w:rsidP="005A249B">
            <w:pPr>
              <w:tabs>
                <w:tab w:val="decimal" w:pos="884"/>
              </w:tabs>
              <w:rPr>
                <w:rFonts w:cs="Arial"/>
                <w:szCs w:val="24"/>
              </w:rPr>
            </w:pPr>
          </w:p>
        </w:tc>
        <w:tc>
          <w:tcPr>
            <w:tcW w:w="421" w:type="pct"/>
          </w:tcPr>
          <w:p w14:paraId="5127A5EE" w14:textId="77777777" w:rsidR="0070773E" w:rsidRPr="005A249B" w:rsidRDefault="0070773E" w:rsidP="005A249B">
            <w:pPr>
              <w:tabs>
                <w:tab w:val="decimal" w:pos="884"/>
              </w:tabs>
              <w:rPr>
                <w:rFonts w:cs="Arial"/>
                <w:szCs w:val="24"/>
              </w:rPr>
            </w:pPr>
          </w:p>
        </w:tc>
        <w:tc>
          <w:tcPr>
            <w:tcW w:w="492" w:type="pct"/>
          </w:tcPr>
          <w:p w14:paraId="7915730D" w14:textId="2C36CE51" w:rsidR="0070773E" w:rsidRPr="00233A66" w:rsidRDefault="0070773E" w:rsidP="00233A66">
            <w:pPr>
              <w:tabs>
                <w:tab w:val="decimal" w:pos="889"/>
              </w:tabs>
              <w:jc w:val="right"/>
              <w:rPr>
                <w:rFonts w:cs="Arial"/>
                <w:b/>
                <w:bCs/>
                <w:szCs w:val="24"/>
              </w:rPr>
            </w:pPr>
            <w:r w:rsidRPr="00233A66">
              <w:rPr>
                <w:rFonts w:cs="Arial"/>
                <w:b/>
                <w:bCs/>
                <w:szCs w:val="24"/>
              </w:rPr>
              <w:t xml:space="preserve">15,347 </w:t>
            </w:r>
          </w:p>
        </w:tc>
        <w:tc>
          <w:tcPr>
            <w:tcW w:w="492" w:type="pct"/>
          </w:tcPr>
          <w:p w14:paraId="46EBA086" w14:textId="6E652173" w:rsidR="0070773E" w:rsidRPr="00233A66" w:rsidRDefault="0070773E" w:rsidP="00233A66">
            <w:pPr>
              <w:tabs>
                <w:tab w:val="decimal" w:pos="885"/>
              </w:tabs>
              <w:rPr>
                <w:rFonts w:cs="Arial"/>
                <w:b/>
                <w:bCs/>
                <w:szCs w:val="24"/>
              </w:rPr>
            </w:pPr>
          </w:p>
        </w:tc>
        <w:tc>
          <w:tcPr>
            <w:tcW w:w="422" w:type="pct"/>
          </w:tcPr>
          <w:p w14:paraId="587A169C" w14:textId="77777777" w:rsidR="0070773E" w:rsidRPr="00233A66" w:rsidRDefault="0070773E" w:rsidP="00233A66">
            <w:pPr>
              <w:tabs>
                <w:tab w:val="decimal" w:pos="601"/>
              </w:tabs>
              <w:jc w:val="both"/>
              <w:rPr>
                <w:rFonts w:cs="Arial"/>
                <w:b/>
                <w:bCs/>
                <w:szCs w:val="24"/>
              </w:rPr>
            </w:pPr>
          </w:p>
        </w:tc>
        <w:tc>
          <w:tcPr>
            <w:tcW w:w="494" w:type="pct"/>
          </w:tcPr>
          <w:p w14:paraId="5EC24805" w14:textId="06CF1828" w:rsidR="0070773E" w:rsidRPr="00233A66" w:rsidRDefault="0070773E" w:rsidP="00233A66">
            <w:pPr>
              <w:jc w:val="right"/>
              <w:rPr>
                <w:rFonts w:cs="Arial"/>
                <w:b/>
                <w:bCs/>
                <w:szCs w:val="24"/>
              </w:rPr>
            </w:pPr>
            <w:r w:rsidRPr="00233A66">
              <w:rPr>
                <w:rFonts w:cs="Arial"/>
                <w:b/>
                <w:bCs/>
                <w:szCs w:val="24"/>
              </w:rPr>
              <w:t>9,962</w:t>
            </w:r>
          </w:p>
        </w:tc>
      </w:tr>
      <w:tr w:rsidR="00793A3A" w:rsidRPr="00AF3DCD" w14:paraId="2E8C12ED" w14:textId="77777777" w:rsidTr="00233A66">
        <w:tc>
          <w:tcPr>
            <w:tcW w:w="1826" w:type="pct"/>
          </w:tcPr>
          <w:p w14:paraId="7CA76CC0" w14:textId="71D90C73" w:rsidR="0070773E" w:rsidRPr="005A249B" w:rsidRDefault="0070773E" w:rsidP="00036C34">
            <w:pPr>
              <w:rPr>
                <w:rFonts w:cs="Arial"/>
                <w:szCs w:val="24"/>
              </w:rPr>
            </w:pPr>
            <w:r w:rsidRPr="005A249B">
              <w:rPr>
                <w:rFonts w:cs="Arial"/>
                <w:szCs w:val="24"/>
              </w:rPr>
              <w:t>Surplus on revaluation of non-current assets</w:t>
            </w:r>
          </w:p>
        </w:tc>
        <w:tc>
          <w:tcPr>
            <w:tcW w:w="361" w:type="pct"/>
          </w:tcPr>
          <w:p w14:paraId="32FDDA43" w14:textId="77777777" w:rsidR="0070773E" w:rsidRPr="00036C34" w:rsidRDefault="0070773E" w:rsidP="00036C34">
            <w:pPr>
              <w:jc w:val="center"/>
              <w:rPr>
                <w:rStyle w:val="Hyperlink"/>
              </w:rPr>
            </w:pPr>
          </w:p>
        </w:tc>
        <w:tc>
          <w:tcPr>
            <w:tcW w:w="492" w:type="pct"/>
          </w:tcPr>
          <w:p w14:paraId="3E03EF72" w14:textId="6F44870C" w:rsidR="0070773E" w:rsidRPr="005A249B" w:rsidRDefault="0070773E" w:rsidP="00036C34">
            <w:pPr>
              <w:tabs>
                <w:tab w:val="decimal" w:pos="884"/>
              </w:tabs>
              <w:rPr>
                <w:rFonts w:cs="Arial"/>
                <w:szCs w:val="24"/>
              </w:rPr>
            </w:pPr>
          </w:p>
        </w:tc>
        <w:tc>
          <w:tcPr>
            <w:tcW w:w="421" w:type="pct"/>
          </w:tcPr>
          <w:p w14:paraId="3805BF42" w14:textId="77777777" w:rsidR="0070773E" w:rsidRPr="005A249B" w:rsidRDefault="0070773E" w:rsidP="00036C34">
            <w:pPr>
              <w:tabs>
                <w:tab w:val="decimal" w:pos="884"/>
              </w:tabs>
              <w:rPr>
                <w:rFonts w:cs="Arial"/>
                <w:szCs w:val="24"/>
              </w:rPr>
            </w:pPr>
          </w:p>
        </w:tc>
        <w:tc>
          <w:tcPr>
            <w:tcW w:w="492" w:type="pct"/>
            <w:vAlign w:val="center"/>
          </w:tcPr>
          <w:p w14:paraId="4F870E75" w14:textId="334CF0EB" w:rsidR="0070773E" w:rsidRPr="005A249B" w:rsidRDefault="0070773E" w:rsidP="00036C34">
            <w:pPr>
              <w:tabs>
                <w:tab w:val="decimal" w:pos="889"/>
              </w:tabs>
              <w:jc w:val="right"/>
              <w:rPr>
                <w:rFonts w:cs="Arial"/>
                <w:szCs w:val="24"/>
              </w:rPr>
            </w:pPr>
            <w:r w:rsidRPr="005A249B">
              <w:rPr>
                <w:rFonts w:cs="Arial"/>
                <w:szCs w:val="24"/>
              </w:rPr>
              <w:t>(21,735)</w:t>
            </w:r>
          </w:p>
        </w:tc>
        <w:tc>
          <w:tcPr>
            <w:tcW w:w="492" w:type="pct"/>
            <w:vAlign w:val="center"/>
          </w:tcPr>
          <w:p w14:paraId="0B428349" w14:textId="6ECEF107" w:rsidR="0070773E" w:rsidRPr="005A249B" w:rsidRDefault="0070773E" w:rsidP="00036C34">
            <w:pPr>
              <w:pStyle w:val="CommentText"/>
              <w:tabs>
                <w:tab w:val="decimal" w:pos="885"/>
              </w:tabs>
              <w:jc w:val="right"/>
              <w:rPr>
                <w:rFonts w:cs="Arial"/>
                <w:sz w:val="24"/>
                <w:szCs w:val="24"/>
              </w:rPr>
            </w:pPr>
          </w:p>
        </w:tc>
        <w:tc>
          <w:tcPr>
            <w:tcW w:w="422" w:type="pct"/>
            <w:vAlign w:val="center"/>
          </w:tcPr>
          <w:p w14:paraId="11B346C3" w14:textId="77777777" w:rsidR="0070773E" w:rsidRPr="005A249B" w:rsidRDefault="0070773E" w:rsidP="00036C34">
            <w:pPr>
              <w:tabs>
                <w:tab w:val="decimal" w:pos="601"/>
              </w:tabs>
              <w:jc w:val="right"/>
              <w:rPr>
                <w:rFonts w:cs="Arial"/>
                <w:szCs w:val="24"/>
              </w:rPr>
            </w:pPr>
          </w:p>
        </w:tc>
        <w:tc>
          <w:tcPr>
            <w:tcW w:w="494" w:type="pct"/>
            <w:vAlign w:val="center"/>
          </w:tcPr>
          <w:p w14:paraId="25AE6602" w14:textId="5D82D6EA" w:rsidR="0070773E" w:rsidRPr="005A249B" w:rsidRDefault="0070773E" w:rsidP="00036C34">
            <w:pPr>
              <w:jc w:val="right"/>
              <w:rPr>
                <w:rFonts w:cs="Arial"/>
                <w:szCs w:val="24"/>
              </w:rPr>
            </w:pPr>
            <w:r w:rsidRPr="005A249B">
              <w:rPr>
                <w:rFonts w:cs="Arial"/>
                <w:szCs w:val="24"/>
              </w:rPr>
              <w:t>(10,610)</w:t>
            </w:r>
          </w:p>
        </w:tc>
      </w:tr>
    </w:tbl>
    <w:p w14:paraId="7F51E378" w14:textId="77777777" w:rsidR="00036C34" w:rsidRDefault="00036C34"/>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8"/>
        <w:gridCol w:w="1098"/>
        <w:gridCol w:w="1498"/>
        <w:gridCol w:w="1282"/>
        <w:gridCol w:w="1498"/>
        <w:gridCol w:w="1498"/>
        <w:gridCol w:w="1285"/>
        <w:gridCol w:w="1504"/>
      </w:tblGrid>
      <w:tr w:rsidR="00BD79B2" w:rsidRPr="00AF3DCD" w14:paraId="501950CF" w14:textId="77777777" w:rsidTr="00BD79B2">
        <w:tc>
          <w:tcPr>
            <w:tcW w:w="2186" w:type="pct"/>
            <w:gridSpan w:val="2"/>
            <w:shd w:val="clear" w:color="auto" w:fill="BD2716"/>
          </w:tcPr>
          <w:p w14:paraId="755D1766" w14:textId="77777777" w:rsidR="00BD79B2" w:rsidRPr="00036C34" w:rsidRDefault="00BD79B2" w:rsidP="00793A3A">
            <w:pPr>
              <w:tabs>
                <w:tab w:val="decimal" w:pos="884"/>
              </w:tabs>
              <w:rPr>
                <w:color w:val="FFFFFF" w:themeColor="background1"/>
              </w:rPr>
            </w:pPr>
          </w:p>
        </w:tc>
        <w:tc>
          <w:tcPr>
            <w:tcW w:w="492" w:type="pct"/>
            <w:shd w:val="clear" w:color="auto" w:fill="BD2716"/>
            <w:vAlign w:val="center"/>
          </w:tcPr>
          <w:p w14:paraId="0F579101" w14:textId="76F265FB" w:rsidR="00BD79B2" w:rsidRPr="00036C34" w:rsidRDefault="00BD79B2" w:rsidP="00611673">
            <w:pPr>
              <w:jc w:val="center"/>
              <w:rPr>
                <w:rFonts w:cs="Arial"/>
                <w:color w:val="FFFFFF" w:themeColor="background1"/>
                <w:szCs w:val="24"/>
              </w:rPr>
            </w:pPr>
            <w:r w:rsidRPr="00036C34">
              <w:rPr>
                <w:rFonts w:cs="Arial"/>
                <w:color w:val="FFFFFF" w:themeColor="background1"/>
                <w:szCs w:val="24"/>
              </w:rPr>
              <w:t>2022/23</w:t>
            </w:r>
          </w:p>
        </w:tc>
        <w:tc>
          <w:tcPr>
            <w:tcW w:w="421" w:type="pct"/>
            <w:shd w:val="clear" w:color="auto" w:fill="BD2716"/>
            <w:vAlign w:val="center"/>
          </w:tcPr>
          <w:p w14:paraId="2D628B09" w14:textId="4C3F4A57" w:rsidR="00BD79B2" w:rsidRPr="00036C34" w:rsidRDefault="00BD79B2" w:rsidP="00611673">
            <w:pPr>
              <w:jc w:val="center"/>
              <w:rPr>
                <w:rFonts w:cs="Arial"/>
                <w:color w:val="FFFFFF" w:themeColor="background1"/>
                <w:szCs w:val="24"/>
              </w:rPr>
            </w:pPr>
            <w:r w:rsidRPr="00036C34">
              <w:rPr>
                <w:rFonts w:cs="Arial"/>
                <w:color w:val="FFFFFF" w:themeColor="background1"/>
                <w:szCs w:val="24"/>
              </w:rPr>
              <w:t>2022/23</w:t>
            </w:r>
          </w:p>
        </w:tc>
        <w:tc>
          <w:tcPr>
            <w:tcW w:w="492" w:type="pct"/>
            <w:shd w:val="clear" w:color="auto" w:fill="BD2716"/>
            <w:vAlign w:val="center"/>
          </w:tcPr>
          <w:p w14:paraId="387CB089" w14:textId="3313C4B2" w:rsidR="00BD79B2" w:rsidRPr="00036C34" w:rsidRDefault="00BD79B2" w:rsidP="00611673">
            <w:pPr>
              <w:tabs>
                <w:tab w:val="decimal" w:pos="742"/>
              </w:tabs>
              <w:ind w:right="177"/>
              <w:jc w:val="center"/>
              <w:rPr>
                <w:rFonts w:cs="Arial"/>
                <w:color w:val="FFFFFF" w:themeColor="background1"/>
                <w:szCs w:val="24"/>
              </w:rPr>
            </w:pPr>
            <w:r w:rsidRPr="00036C34">
              <w:rPr>
                <w:rFonts w:cs="Arial"/>
                <w:color w:val="FFFFFF" w:themeColor="background1"/>
                <w:szCs w:val="24"/>
              </w:rPr>
              <w:t>2022/23</w:t>
            </w:r>
          </w:p>
        </w:tc>
        <w:tc>
          <w:tcPr>
            <w:tcW w:w="492" w:type="pct"/>
            <w:shd w:val="clear" w:color="auto" w:fill="BD2716"/>
            <w:vAlign w:val="center"/>
          </w:tcPr>
          <w:p w14:paraId="228D5090" w14:textId="186DB962" w:rsidR="00BD79B2" w:rsidRPr="00036C34" w:rsidRDefault="00BD79B2" w:rsidP="00611673">
            <w:pPr>
              <w:jc w:val="center"/>
              <w:rPr>
                <w:rFonts w:cs="Arial"/>
                <w:color w:val="FFFFFF" w:themeColor="background1"/>
                <w:szCs w:val="24"/>
              </w:rPr>
            </w:pPr>
            <w:r w:rsidRPr="00036C34">
              <w:rPr>
                <w:rFonts w:cs="Arial"/>
                <w:color w:val="FFFFFF" w:themeColor="background1"/>
                <w:szCs w:val="24"/>
              </w:rPr>
              <w:t>2021/22</w:t>
            </w:r>
          </w:p>
        </w:tc>
        <w:tc>
          <w:tcPr>
            <w:tcW w:w="422" w:type="pct"/>
            <w:shd w:val="clear" w:color="auto" w:fill="BD2716"/>
            <w:vAlign w:val="center"/>
          </w:tcPr>
          <w:p w14:paraId="22586128" w14:textId="446D9A7A" w:rsidR="00BD79B2" w:rsidRPr="00036C34" w:rsidRDefault="00BD79B2" w:rsidP="00611673">
            <w:pPr>
              <w:tabs>
                <w:tab w:val="decimal" w:pos="601"/>
              </w:tabs>
              <w:jc w:val="center"/>
              <w:rPr>
                <w:rFonts w:cs="Arial"/>
                <w:color w:val="FFFFFF" w:themeColor="background1"/>
                <w:szCs w:val="24"/>
              </w:rPr>
            </w:pPr>
            <w:r w:rsidRPr="00036C34">
              <w:rPr>
                <w:rFonts w:cs="Arial"/>
                <w:color w:val="FFFFFF" w:themeColor="background1"/>
                <w:szCs w:val="24"/>
              </w:rPr>
              <w:t>2021/22</w:t>
            </w:r>
          </w:p>
        </w:tc>
        <w:tc>
          <w:tcPr>
            <w:tcW w:w="494" w:type="pct"/>
            <w:shd w:val="clear" w:color="auto" w:fill="BD2716"/>
            <w:vAlign w:val="center"/>
          </w:tcPr>
          <w:p w14:paraId="339401E4" w14:textId="3BCC04CD" w:rsidR="00BD79B2" w:rsidRPr="00036C34" w:rsidRDefault="00BD79B2" w:rsidP="00611673">
            <w:pPr>
              <w:jc w:val="center"/>
              <w:rPr>
                <w:rFonts w:cs="Arial"/>
                <w:color w:val="FFFFFF" w:themeColor="background1"/>
                <w:szCs w:val="24"/>
              </w:rPr>
            </w:pPr>
            <w:r w:rsidRPr="00036C34">
              <w:rPr>
                <w:rFonts w:cs="Arial"/>
                <w:color w:val="FFFFFF" w:themeColor="background1"/>
                <w:szCs w:val="24"/>
              </w:rPr>
              <w:t>2021/22</w:t>
            </w:r>
          </w:p>
        </w:tc>
      </w:tr>
      <w:tr w:rsidR="00793A3A" w:rsidRPr="00AF3DCD" w14:paraId="0D4A8030" w14:textId="77777777" w:rsidTr="00611673">
        <w:tc>
          <w:tcPr>
            <w:tcW w:w="1826" w:type="pct"/>
            <w:shd w:val="clear" w:color="auto" w:fill="BD2716"/>
            <w:vAlign w:val="bottom"/>
          </w:tcPr>
          <w:p w14:paraId="1E8A2C43" w14:textId="77777777" w:rsidR="00793A3A" w:rsidRPr="00036C34" w:rsidRDefault="00793A3A" w:rsidP="00793A3A">
            <w:pPr>
              <w:rPr>
                <w:rFonts w:cs="Arial"/>
                <w:color w:val="FFFFFF" w:themeColor="background1"/>
                <w:szCs w:val="24"/>
              </w:rPr>
            </w:pPr>
          </w:p>
        </w:tc>
        <w:tc>
          <w:tcPr>
            <w:tcW w:w="361" w:type="pct"/>
            <w:shd w:val="clear" w:color="auto" w:fill="BD2716"/>
            <w:vAlign w:val="center"/>
          </w:tcPr>
          <w:p w14:paraId="35D0CE6C" w14:textId="1CE0F515" w:rsidR="00793A3A" w:rsidRPr="00036C34" w:rsidRDefault="00793A3A" w:rsidP="00611673">
            <w:pPr>
              <w:rPr>
                <w:rFonts w:cs="Arial"/>
                <w:color w:val="FFFFFF" w:themeColor="background1"/>
                <w:szCs w:val="24"/>
              </w:rPr>
            </w:pPr>
            <w:r w:rsidRPr="00036C34">
              <w:rPr>
                <w:rFonts w:cs="Arial"/>
                <w:color w:val="FFFFFF" w:themeColor="background1"/>
                <w:szCs w:val="24"/>
              </w:rPr>
              <w:t>Notes</w:t>
            </w:r>
          </w:p>
        </w:tc>
        <w:tc>
          <w:tcPr>
            <w:tcW w:w="492" w:type="pct"/>
            <w:shd w:val="clear" w:color="auto" w:fill="BD2716"/>
            <w:vAlign w:val="center"/>
          </w:tcPr>
          <w:p w14:paraId="7D26DA7A" w14:textId="77777777" w:rsidR="00793A3A" w:rsidRPr="00036C34" w:rsidRDefault="00793A3A" w:rsidP="00611673">
            <w:pPr>
              <w:jc w:val="right"/>
              <w:rPr>
                <w:rFonts w:cs="Arial"/>
                <w:color w:val="FFFFFF" w:themeColor="background1"/>
                <w:szCs w:val="24"/>
              </w:rPr>
            </w:pPr>
            <w:r w:rsidRPr="00036C34">
              <w:rPr>
                <w:rFonts w:cs="Arial"/>
                <w:color w:val="FFFFFF" w:themeColor="background1"/>
                <w:szCs w:val="24"/>
              </w:rPr>
              <w:t>Gross</w:t>
            </w:r>
          </w:p>
          <w:p w14:paraId="56986ED5" w14:textId="77777777" w:rsidR="00793A3A" w:rsidRPr="00036C34" w:rsidRDefault="00793A3A" w:rsidP="00611673">
            <w:pPr>
              <w:jc w:val="right"/>
              <w:rPr>
                <w:rFonts w:cs="Arial"/>
                <w:color w:val="FFFFFF" w:themeColor="background1"/>
                <w:szCs w:val="24"/>
              </w:rPr>
            </w:pPr>
            <w:r w:rsidRPr="00036C34">
              <w:rPr>
                <w:rFonts w:cs="Arial"/>
                <w:color w:val="FFFFFF" w:themeColor="background1"/>
                <w:szCs w:val="24"/>
              </w:rPr>
              <w:t>Expenditure</w:t>
            </w:r>
          </w:p>
          <w:p w14:paraId="268BD509" w14:textId="30E0CC9A" w:rsidR="00793A3A" w:rsidRPr="00036C34" w:rsidRDefault="00793A3A" w:rsidP="00611673">
            <w:pPr>
              <w:tabs>
                <w:tab w:val="decimal" w:pos="884"/>
              </w:tabs>
              <w:jc w:val="right"/>
              <w:rPr>
                <w:rFonts w:cs="Arial"/>
                <w:color w:val="FFFFFF" w:themeColor="background1"/>
                <w:szCs w:val="24"/>
              </w:rPr>
            </w:pPr>
            <w:r w:rsidRPr="00036C34">
              <w:rPr>
                <w:rFonts w:cs="Arial"/>
                <w:color w:val="FFFFFF" w:themeColor="background1"/>
                <w:szCs w:val="24"/>
              </w:rPr>
              <w:t>£000</w:t>
            </w:r>
          </w:p>
        </w:tc>
        <w:tc>
          <w:tcPr>
            <w:tcW w:w="421" w:type="pct"/>
            <w:shd w:val="clear" w:color="auto" w:fill="BD2716"/>
            <w:vAlign w:val="center"/>
          </w:tcPr>
          <w:p w14:paraId="3B160703" w14:textId="77777777" w:rsidR="00793A3A" w:rsidRPr="00036C34" w:rsidRDefault="00793A3A" w:rsidP="00611673">
            <w:pPr>
              <w:jc w:val="right"/>
              <w:rPr>
                <w:rFonts w:cs="Arial"/>
                <w:color w:val="FFFFFF" w:themeColor="background1"/>
                <w:szCs w:val="24"/>
              </w:rPr>
            </w:pPr>
            <w:r w:rsidRPr="00036C34">
              <w:rPr>
                <w:rFonts w:cs="Arial"/>
                <w:color w:val="FFFFFF" w:themeColor="background1"/>
                <w:szCs w:val="24"/>
              </w:rPr>
              <w:t>Gross</w:t>
            </w:r>
          </w:p>
          <w:p w14:paraId="5717DA7A" w14:textId="77777777" w:rsidR="00793A3A" w:rsidRPr="00036C34" w:rsidRDefault="00793A3A" w:rsidP="00611673">
            <w:pPr>
              <w:jc w:val="right"/>
              <w:rPr>
                <w:rFonts w:cs="Arial"/>
                <w:color w:val="FFFFFF" w:themeColor="background1"/>
                <w:szCs w:val="24"/>
              </w:rPr>
            </w:pPr>
            <w:r w:rsidRPr="00036C34">
              <w:rPr>
                <w:rFonts w:cs="Arial"/>
                <w:color w:val="FFFFFF" w:themeColor="background1"/>
                <w:szCs w:val="24"/>
              </w:rPr>
              <w:t>Income</w:t>
            </w:r>
          </w:p>
          <w:p w14:paraId="5D787EE7" w14:textId="492552BC" w:rsidR="00793A3A" w:rsidRPr="00036C34" w:rsidRDefault="00793A3A" w:rsidP="00611673">
            <w:pPr>
              <w:tabs>
                <w:tab w:val="decimal" w:pos="884"/>
              </w:tabs>
              <w:jc w:val="right"/>
              <w:rPr>
                <w:rFonts w:cs="Arial"/>
                <w:color w:val="FFFFFF" w:themeColor="background1"/>
                <w:szCs w:val="24"/>
              </w:rPr>
            </w:pPr>
            <w:r w:rsidRPr="00036C34">
              <w:rPr>
                <w:rFonts w:cs="Arial"/>
                <w:color w:val="FFFFFF" w:themeColor="background1"/>
                <w:szCs w:val="24"/>
              </w:rPr>
              <w:t>£000</w:t>
            </w:r>
          </w:p>
        </w:tc>
        <w:tc>
          <w:tcPr>
            <w:tcW w:w="492" w:type="pct"/>
            <w:shd w:val="clear" w:color="auto" w:fill="BD2716"/>
            <w:vAlign w:val="center"/>
          </w:tcPr>
          <w:p w14:paraId="37E3DD06" w14:textId="77777777" w:rsidR="00793A3A" w:rsidRPr="00036C34" w:rsidRDefault="00793A3A" w:rsidP="00611673">
            <w:pPr>
              <w:jc w:val="right"/>
              <w:rPr>
                <w:rFonts w:cs="Arial"/>
                <w:color w:val="FFFFFF" w:themeColor="background1"/>
                <w:szCs w:val="24"/>
              </w:rPr>
            </w:pPr>
            <w:r w:rsidRPr="00036C34">
              <w:rPr>
                <w:rFonts w:cs="Arial"/>
                <w:color w:val="FFFFFF" w:themeColor="background1"/>
                <w:szCs w:val="24"/>
              </w:rPr>
              <w:t>Net</w:t>
            </w:r>
          </w:p>
          <w:p w14:paraId="3C49C426" w14:textId="77777777" w:rsidR="00793A3A" w:rsidRPr="00036C34" w:rsidRDefault="00793A3A" w:rsidP="00611673">
            <w:pPr>
              <w:jc w:val="right"/>
              <w:rPr>
                <w:rFonts w:cs="Arial"/>
                <w:color w:val="FFFFFF" w:themeColor="background1"/>
                <w:szCs w:val="24"/>
              </w:rPr>
            </w:pPr>
            <w:r w:rsidRPr="00036C34">
              <w:rPr>
                <w:rFonts w:cs="Arial"/>
                <w:color w:val="FFFFFF" w:themeColor="background1"/>
                <w:szCs w:val="24"/>
              </w:rPr>
              <w:t>Expenditure</w:t>
            </w:r>
          </w:p>
          <w:p w14:paraId="72A94C71" w14:textId="4E916E85" w:rsidR="00793A3A" w:rsidRPr="00036C34" w:rsidRDefault="00793A3A" w:rsidP="00611673">
            <w:pPr>
              <w:jc w:val="right"/>
              <w:rPr>
                <w:rFonts w:cs="Arial"/>
                <w:color w:val="FFFFFF" w:themeColor="background1"/>
                <w:szCs w:val="24"/>
              </w:rPr>
            </w:pPr>
            <w:r w:rsidRPr="00036C34">
              <w:rPr>
                <w:rFonts w:cs="Arial"/>
                <w:color w:val="FFFFFF" w:themeColor="background1"/>
                <w:szCs w:val="24"/>
              </w:rPr>
              <w:t>£000</w:t>
            </w:r>
          </w:p>
        </w:tc>
        <w:tc>
          <w:tcPr>
            <w:tcW w:w="492" w:type="pct"/>
            <w:shd w:val="clear" w:color="auto" w:fill="BD2716"/>
            <w:vAlign w:val="center"/>
          </w:tcPr>
          <w:p w14:paraId="505A8729" w14:textId="77777777" w:rsidR="00793A3A" w:rsidRPr="00036C34" w:rsidRDefault="00793A3A" w:rsidP="00611673">
            <w:pPr>
              <w:jc w:val="right"/>
              <w:rPr>
                <w:rFonts w:cs="Arial"/>
                <w:color w:val="FFFFFF" w:themeColor="background1"/>
                <w:szCs w:val="24"/>
              </w:rPr>
            </w:pPr>
            <w:r w:rsidRPr="00036C34">
              <w:rPr>
                <w:rFonts w:cs="Arial"/>
                <w:color w:val="FFFFFF" w:themeColor="background1"/>
                <w:szCs w:val="24"/>
              </w:rPr>
              <w:t>Gross</w:t>
            </w:r>
          </w:p>
          <w:p w14:paraId="3C0003BD" w14:textId="77777777" w:rsidR="00793A3A" w:rsidRPr="00036C34" w:rsidRDefault="00793A3A" w:rsidP="00611673">
            <w:pPr>
              <w:jc w:val="right"/>
              <w:rPr>
                <w:rFonts w:cs="Arial"/>
                <w:color w:val="FFFFFF" w:themeColor="background1"/>
                <w:szCs w:val="24"/>
              </w:rPr>
            </w:pPr>
            <w:r w:rsidRPr="00036C34">
              <w:rPr>
                <w:rFonts w:cs="Arial"/>
                <w:color w:val="FFFFFF" w:themeColor="background1"/>
                <w:szCs w:val="24"/>
              </w:rPr>
              <w:t>Expenditure</w:t>
            </w:r>
          </w:p>
          <w:p w14:paraId="63E673CC" w14:textId="679C4D50" w:rsidR="00793A3A" w:rsidRPr="00036C34" w:rsidRDefault="00793A3A" w:rsidP="00611673">
            <w:pPr>
              <w:tabs>
                <w:tab w:val="decimal" w:pos="885"/>
              </w:tabs>
              <w:jc w:val="right"/>
              <w:rPr>
                <w:rFonts w:cs="Arial"/>
                <w:color w:val="FFFFFF" w:themeColor="background1"/>
                <w:szCs w:val="24"/>
              </w:rPr>
            </w:pPr>
            <w:r w:rsidRPr="00036C34">
              <w:rPr>
                <w:rFonts w:cs="Arial"/>
                <w:color w:val="FFFFFF" w:themeColor="background1"/>
                <w:szCs w:val="24"/>
              </w:rPr>
              <w:t>£000</w:t>
            </w:r>
          </w:p>
        </w:tc>
        <w:tc>
          <w:tcPr>
            <w:tcW w:w="422" w:type="pct"/>
            <w:shd w:val="clear" w:color="auto" w:fill="BD2716"/>
            <w:vAlign w:val="center"/>
          </w:tcPr>
          <w:p w14:paraId="724EE63A" w14:textId="77777777" w:rsidR="00793A3A" w:rsidRPr="00036C34" w:rsidRDefault="00793A3A" w:rsidP="00611673">
            <w:pPr>
              <w:jc w:val="right"/>
              <w:rPr>
                <w:rFonts w:cs="Arial"/>
                <w:color w:val="FFFFFF" w:themeColor="background1"/>
                <w:szCs w:val="24"/>
              </w:rPr>
            </w:pPr>
            <w:r w:rsidRPr="00036C34">
              <w:rPr>
                <w:rFonts w:cs="Arial"/>
                <w:color w:val="FFFFFF" w:themeColor="background1"/>
                <w:szCs w:val="24"/>
              </w:rPr>
              <w:t>Gross</w:t>
            </w:r>
          </w:p>
          <w:p w14:paraId="1E1776B7" w14:textId="77777777" w:rsidR="00793A3A" w:rsidRPr="00036C34" w:rsidRDefault="00793A3A" w:rsidP="00611673">
            <w:pPr>
              <w:jc w:val="right"/>
              <w:rPr>
                <w:rFonts w:cs="Arial"/>
                <w:color w:val="FFFFFF" w:themeColor="background1"/>
                <w:szCs w:val="24"/>
              </w:rPr>
            </w:pPr>
            <w:r w:rsidRPr="00036C34">
              <w:rPr>
                <w:rFonts w:cs="Arial"/>
                <w:color w:val="FFFFFF" w:themeColor="background1"/>
                <w:szCs w:val="24"/>
              </w:rPr>
              <w:t>Income</w:t>
            </w:r>
          </w:p>
          <w:p w14:paraId="1AF556EB" w14:textId="4AB1B271" w:rsidR="00793A3A" w:rsidRPr="00036C34" w:rsidRDefault="00793A3A" w:rsidP="00611673">
            <w:pPr>
              <w:jc w:val="right"/>
              <w:rPr>
                <w:rFonts w:cs="Arial"/>
                <w:color w:val="FFFFFF" w:themeColor="background1"/>
                <w:szCs w:val="24"/>
              </w:rPr>
            </w:pPr>
            <w:r w:rsidRPr="00036C34">
              <w:rPr>
                <w:rFonts w:cs="Arial"/>
                <w:color w:val="FFFFFF" w:themeColor="background1"/>
                <w:szCs w:val="24"/>
              </w:rPr>
              <w:t>£000</w:t>
            </w:r>
          </w:p>
        </w:tc>
        <w:tc>
          <w:tcPr>
            <w:tcW w:w="494" w:type="pct"/>
            <w:shd w:val="clear" w:color="auto" w:fill="BD2716"/>
            <w:vAlign w:val="center"/>
          </w:tcPr>
          <w:p w14:paraId="2A5E1F8A" w14:textId="77777777" w:rsidR="00793A3A" w:rsidRPr="00036C34" w:rsidRDefault="00793A3A" w:rsidP="00611673">
            <w:pPr>
              <w:jc w:val="right"/>
              <w:rPr>
                <w:rFonts w:cs="Arial"/>
                <w:color w:val="FFFFFF" w:themeColor="background1"/>
                <w:szCs w:val="24"/>
              </w:rPr>
            </w:pPr>
            <w:r w:rsidRPr="00036C34">
              <w:rPr>
                <w:rFonts w:cs="Arial"/>
                <w:color w:val="FFFFFF" w:themeColor="background1"/>
                <w:szCs w:val="24"/>
              </w:rPr>
              <w:t>Net</w:t>
            </w:r>
          </w:p>
          <w:p w14:paraId="42FE42AE" w14:textId="77777777" w:rsidR="00793A3A" w:rsidRPr="00036C34" w:rsidRDefault="00793A3A" w:rsidP="00611673">
            <w:pPr>
              <w:jc w:val="right"/>
              <w:rPr>
                <w:rFonts w:cs="Arial"/>
                <w:color w:val="FFFFFF" w:themeColor="background1"/>
                <w:szCs w:val="24"/>
              </w:rPr>
            </w:pPr>
            <w:r w:rsidRPr="00036C34">
              <w:rPr>
                <w:rFonts w:cs="Arial"/>
                <w:color w:val="FFFFFF" w:themeColor="background1"/>
                <w:szCs w:val="24"/>
              </w:rPr>
              <w:t>Expenditure</w:t>
            </w:r>
          </w:p>
          <w:p w14:paraId="511427DF" w14:textId="3AF77989" w:rsidR="00793A3A" w:rsidRPr="00036C34" w:rsidRDefault="00793A3A" w:rsidP="00611673">
            <w:pPr>
              <w:jc w:val="right"/>
              <w:rPr>
                <w:rFonts w:cs="Arial"/>
                <w:color w:val="FFFFFF" w:themeColor="background1"/>
                <w:szCs w:val="24"/>
              </w:rPr>
            </w:pPr>
            <w:r w:rsidRPr="00036C34">
              <w:rPr>
                <w:rFonts w:cs="Arial"/>
                <w:color w:val="FFFFFF" w:themeColor="background1"/>
                <w:szCs w:val="24"/>
              </w:rPr>
              <w:t>£000</w:t>
            </w:r>
          </w:p>
        </w:tc>
      </w:tr>
      <w:tr w:rsidR="00793A3A" w:rsidRPr="00AF3DCD" w14:paraId="3B437605" w14:textId="77777777" w:rsidTr="00036C34">
        <w:tc>
          <w:tcPr>
            <w:tcW w:w="1826" w:type="pct"/>
          </w:tcPr>
          <w:p w14:paraId="086826D1" w14:textId="77777777" w:rsidR="00793A3A" w:rsidRPr="005A249B" w:rsidRDefault="00793A3A" w:rsidP="00793A3A">
            <w:pPr>
              <w:rPr>
                <w:rFonts w:cs="Arial"/>
                <w:szCs w:val="24"/>
              </w:rPr>
            </w:pPr>
            <w:r w:rsidRPr="005A249B">
              <w:rPr>
                <w:rFonts w:cs="Arial"/>
                <w:szCs w:val="24"/>
              </w:rPr>
              <w:t>Actuarial (gains)/losses on pensions assets and liabilities</w:t>
            </w:r>
          </w:p>
        </w:tc>
        <w:tc>
          <w:tcPr>
            <w:tcW w:w="361" w:type="pct"/>
            <w:vAlign w:val="center"/>
          </w:tcPr>
          <w:p w14:paraId="6DA1E0DE" w14:textId="50ADFB34" w:rsidR="00793A3A" w:rsidRPr="00036C34" w:rsidRDefault="00BD79B2" w:rsidP="00036C34">
            <w:pPr>
              <w:jc w:val="center"/>
              <w:rPr>
                <w:rStyle w:val="Hyperlink"/>
              </w:rPr>
            </w:pPr>
            <w:hyperlink w:anchor="N18" w:history="1">
              <w:r w:rsidR="00793A3A" w:rsidRPr="00036C34">
                <w:rPr>
                  <w:rStyle w:val="Hyperlink"/>
                </w:rPr>
                <w:t>18</w:t>
              </w:r>
            </w:hyperlink>
          </w:p>
        </w:tc>
        <w:tc>
          <w:tcPr>
            <w:tcW w:w="492" w:type="pct"/>
          </w:tcPr>
          <w:p w14:paraId="1EA5DF64" w14:textId="4FAAFC67" w:rsidR="00793A3A" w:rsidRPr="005A249B" w:rsidRDefault="00793A3A" w:rsidP="00793A3A">
            <w:pPr>
              <w:tabs>
                <w:tab w:val="decimal" w:pos="884"/>
              </w:tabs>
              <w:rPr>
                <w:rFonts w:cs="Arial"/>
                <w:szCs w:val="24"/>
              </w:rPr>
            </w:pPr>
          </w:p>
        </w:tc>
        <w:tc>
          <w:tcPr>
            <w:tcW w:w="421" w:type="pct"/>
          </w:tcPr>
          <w:p w14:paraId="5C77D365" w14:textId="77777777" w:rsidR="00793A3A" w:rsidRPr="005A249B" w:rsidRDefault="00793A3A" w:rsidP="00793A3A">
            <w:pPr>
              <w:tabs>
                <w:tab w:val="decimal" w:pos="884"/>
              </w:tabs>
              <w:rPr>
                <w:rFonts w:cs="Arial"/>
                <w:szCs w:val="24"/>
              </w:rPr>
            </w:pPr>
          </w:p>
        </w:tc>
        <w:tc>
          <w:tcPr>
            <w:tcW w:w="492" w:type="pct"/>
          </w:tcPr>
          <w:p w14:paraId="7BF5C23F" w14:textId="76185244" w:rsidR="00793A3A" w:rsidRPr="005A249B" w:rsidRDefault="00793A3A" w:rsidP="00233A66">
            <w:pPr>
              <w:tabs>
                <w:tab w:val="decimal" w:pos="889"/>
              </w:tabs>
              <w:jc w:val="right"/>
              <w:rPr>
                <w:rFonts w:cs="Arial"/>
                <w:szCs w:val="24"/>
              </w:rPr>
            </w:pPr>
            <w:r w:rsidRPr="005A249B">
              <w:rPr>
                <w:rFonts w:cs="Arial"/>
                <w:szCs w:val="24"/>
              </w:rPr>
              <w:t>(244,777)</w:t>
            </w:r>
          </w:p>
        </w:tc>
        <w:tc>
          <w:tcPr>
            <w:tcW w:w="492" w:type="pct"/>
          </w:tcPr>
          <w:p w14:paraId="1E29F50F" w14:textId="18D38FD5" w:rsidR="00793A3A" w:rsidRPr="005A249B" w:rsidRDefault="00793A3A" w:rsidP="00793A3A">
            <w:pPr>
              <w:tabs>
                <w:tab w:val="decimal" w:pos="885"/>
              </w:tabs>
              <w:rPr>
                <w:rFonts w:cs="Arial"/>
                <w:szCs w:val="24"/>
              </w:rPr>
            </w:pPr>
          </w:p>
        </w:tc>
        <w:tc>
          <w:tcPr>
            <w:tcW w:w="422" w:type="pct"/>
          </w:tcPr>
          <w:p w14:paraId="4AAAF1D4" w14:textId="77777777" w:rsidR="00793A3A" w:rsidRPr="005A249B" w:rsidRDefault="00793A3A" w:rsidP="00793A3A">
            <w:pPr>
              <w:tabs>
                <w:tab w:val="decimal" w:pos="601"/>
              </w:tabs>
              <w:jc w:val="both"/>
              <w:rPr>
                <w:rFonts w:cs="Arial"/>
                <w:szCs w:val="24"/>
              </w:rPr>
            </w:pPr>
          </w:p>
        </w:tc>
        <w:tc>
          <w:tcPr>
            <w:tcW w:w="494" w:type="pct"/>
          </w:tcPr>
          <w:p w14:paraId="1B0C2065" w14:textId="4AEBC63F" w:rsidR="00793A3A" w:rsidRPr="005A249B" w:rsidRDefault="00793A3A" w:rsidP="00233A66">
            <w:pPr>
              <w:tabs>
                <w:tab w:val="decimal" w:pos="889"/>
              </w:tabs>
              <w:jc w:val="right"/>
              <w:rPr>
                <w:rFonts w:cs="Arial"/>
                <w:szCs w:val="24"/>
              </w:rPr>
            </w:pPr>
            <w:r w:rsidRPr="005A249B">
              <w:rPr>
                <w:rFonts w:cs="Arial"/>
                <w:szCs w:val="24"/>
              </w:rPr>
              <w:t>(13,400)</w:t>
            </w:r>
          </w:p>
        </w:tc>
      </w:tr>
      <w:tr w:rsidR="00793A3A" w:rsidRPr="00AF3DCD" w14:paraId="19E3407C" w14:textId="77777777" w:rsidTr="00793A3A">
        <w:tc>
          <w:tcPr>
            <w:tcW w:w="1826" w:type="pct"/>
          </w:tcPr>
          <w:p w14:paraId="50923FDB" w14:textId="77777777" w:rsidR="00793A3A" w:rsidRPr="005A249B" w:rsidRDefault="00793A3A" w:rsidP="00793A3A">
            <w:pPr>
              <w:rPr>
                <w:rFonts w:cs="Arial"/>
                <w:szCs w:val="24"/>
              </w:rPr>
            </w:pPr>
            <w:r w:rsidRPr="005A249B">
              <w:rPr>
                <w:rFonts w:cs="Arial"/>
                <w:szCs w:val="24"/>
              </w:rPr>
              <w:t>Other comprehensive income &amp; expenditure</w:t>
            </w:r>
          </w:p>
        </w:tc>
        <w:tc>
          <w:tcPr>
            <w:tcW w:w="361" w:type="pct"/>
          </w:tcPr>
          <w:p w14:paraId="0F36D4D3" w14:textId="77777777" w:rsidR="00793A3A" w:rsidRPr="00036C34" w:rsidRDefault="00793A3A" w:rsidP="00036C34">
            <w:pPr>
              <w:jc w:val="center"/>
              <w:rPr>
                <w:rStyle w:val="Hyperlink"/>
              </w:rPr>
            </w:pPr>
          </w:p>
        </w:tc>
        <w:tc>
          <w:tcPr>
            <w:tcW w:w="492" w:type="pct"/>
          </w:tcPr>
          <w:p w14:paraId="15A8820A" w14:textId="763CA29A" w:rsidR="00793A3A" w:rsidRPr="005A249B" w:rsidRDefault="00793A3A" w:rsidP="00793A3A">
            <w:pPr>
              <w:tabs>
                <w:tab w:val="decimal" w:pos="884"/>
              </w:tabs>
              <w:rPr>
                <w:rFonts w:cs="Arial"/>
                <w:szCs w:val="24"/>
              </w:rPr>
            </w:pPr>
          </w:p>
        </w:tc>
        <w:tc>
          <w:tcPr>
            <w:tcW w:w="421" w:type="pct"/>
          </w:tcPr>
          <w:p w14:paraId="7C916610" w14:textId="77777777" w:rsidR="00793A3A" w:rsidRPr="005A249B" w:rsidRDefault="00793A3A" w:rsidP="00793A3A">
            <w:pPr>
              <w:tabs>
                <w:tab w:val="decimal" w:pos="884"/>
              </w:tabs>
              <w:rPr>
                <w:rFonts w:cs="Arial"/>
                <w:szCs w:val="24"/>
              </w:rPr>
            </w:pPr>
          </w:p>
        </w:tc>
        <w:tc>
          <w:tcPr>
            <w:tcW w:w="492" w:type="pct"/>
          </w:tcPr>
          <w:p w14:paraId="710568FF" w14:textId="57B689BC" w:rsidR="00793A3A" w:rsidRPr="005A249B" w:rsidRDefault="00793A3A" w:rsidP="00233A66">
            <w:pPr>
              <w:tabs>
                <w:tab w:val="decimal" w:pos="889"/>
              </w:tabs>
              <w:jc w:val="right"/>
              <w:rPr>
                <w:rFonts w:cs="Arial"/>
                <w:szCs w:val="24"/>
              </w:rPr>
            </w:pPr>
            <w:r w:rsidRPr="005A249B">
              <w:rPr>
                <w:rFonts w:cs="Arial"/>
                <w:szCs w:val="24"/>
              </w:rPr>
              <w:t>(266,512)</w:t>
            </w:r>
          </w:p>
        </w:tc>
        <w:tc>
          <w:tcPr>
            <w:tcW w:w="492" w:type="pct"/>
          </w:tcPr>
          <w:p w14:paraId="779A0222" w14:textId="7D7642D5" w:rsidR="00793A3A" w:rsidRPr="005A249B" w:rsidRDefault="00793A3A" w:rsidP="00793A3A">
            <w:pPr>
              <w:tabs>
                <w:tab w:val="decimal" w:pos="885"/>
              </w:tabs>
              <w:rPr>
                <w:rFonts w:cs="Arial"/>
                <w:szCs w:val="24"/>
              </w:rPr>
            </w:pPr>
          </w:p>
        </w:tc>
        <w:tc>
          <w:tcPr>
            <w:tcW w:w="422" w:type="pct"/>
          </w:tcPr>
          <w:p w14:paraId="6A50CA29" w14:textId="77777777" w:rsidR="00793A3A" w:rsidRPr="005A249B" w:rsidRDefault="00793A3A" w:rsidP="00793A3A">
            <w:pPr>
              <w:tabs>
                <w:tab w:val="decimal" w:pos="601"/>
              </w:tabs>
              <w:jc w:val="both"/>
              <w:rPr>
                <w:rFonts w:cs="Arial"/>
                <w:szCs w:val="24"/>
              </w:rPr>
            </w:pPr>
          </w:p>
        </w:tc>
        <w:tc>
          <w:tcPr>
            <w:tcW w:w="494" w:type="pct"/>
          </w:tcPr>
          <w:p w14:paraId="386871D1" w14:textId="2E18B0F7" w:rsidR="00793A3A" w:rsidRPr="005A249B" w:rsidRDefault="00793A3A" w:rsidP="00233A66">
            <w:pPr>
              <w:tabs>
                <w:tab w:val="decimal" w:pos="889"/>
              </w:tabs>
              <w:jc w:val="right"/>
              <w:rPr>
                <w:rFonts w:cs="Arial"/>
                <w:szCs w:val="24"/>
              </w:rPr>
            </w:pPr>
            <w:r w:rsidRPr="005A249B">
              <w:rPr>
                <w:rFonts w:cs="Arial"/>
                <w:szCs w:val="24"/>
              </w:rPr>
              <w:t>(24,009)</w:t>
            </w:r>
          </w:p>
        </w:tc>
      </w:tr>
      <w:tr w:rsidR="00793A3A" w:rsidRPr="00AF3DCD" w14:paraId="436605F0" w14:textId="77777777" w:rsidTr="00793A3A">
        <w:tc>
          <w:tcPr>
            <w:tcW w:w="1826" w:type="pct"/>
          </w:tcPr>
          <w:p w14:paraId="1F797848" w14:textId="77777777" w:rsidR="00793A3A" w:rsidRPr="005A249B" w:rsidRDefault="00793A3A" w:rsidP="00793A3A">
            <w:pPr>
              <w:rPr>
                <w:rFonts w:cs="Arial"/>
                <w:szCs w:val="24"/>
              </w:rPr>
            </w:pPr>
            <w:r w:rsidRPr="005A249B">
              <w:rPr>
                <w:rFonts w:cs="Arial"/>
                <w:szCs w:val="24"/>
              </w:rPr>
              <w:t>Total Comprehensive Income and Expenditure</w:t>
            </w:r>
          </w:p>
        </w:tc>
        <w:tc>
          <w:tcPr>
            <w:tcW w:w="361" w:type="pct"/>
          </w:tcPr>
          <w:p w14:paraId="292CA78A" w14:textId="77777777" w:rsidR="00793A3A" w:rsidRPr="00036C34" w:rsidRDefault="00793A3A" w:rsidP="00036C34">
            <w:pPr>
              <w:jc w:val="center"/>
              <w:rPr>
                <w:rStyle w:val="Hyperlink"/>
              </w:rPr>
            </w:pPr>
          </w:p>
        </w:tc>
        <w:tc>
          <w:tcPr>
            <w:tcW w:w="492" w:type="pct"/>
          </w:tcPr>
          <w:p w14:paraId="1208351B" w14:textId="458F6543" w:rsidR="00793A3A" w:rsidRPr="005A249B" w:rsidRDefault="00793A3A" w:rsidP="00793A3A">
            <w:pPr>
              <w:tabs>
                <w:tab w:val="decimal" w:pos="884"/>
              </w:tabs>
              <w:rPr>
                <w:rFonts w:cs="Arial"/>
                <w:szCs w:val="24"/>
              </w:rPr>
            </w:pPr>
          </w:p>
        </w:tc>
        <w:tc>
          <w:tcPr>
            <w:tcW w:w="421" w:type="pct"/>
          </w:tcPr>
          <w:p w14:paraId="5FEA0334" w14:textId="77777777" w:rsidR="00793A3A" w:rsidRPr="005A249B" w:rsidRDefault="00793A3A" w:rsidP="00793A3A">
            <w:pPr>
              <w:tabs>
                <w:tab w:val="decimal" w:pos="884"/>
              </w:tabs>
              <w:rPr>
                <w:rFonts w:cs="Arial"/>
                <w:szCs w:val="24"/>
              </w:rPr>
            </w:pPr>
          </w:p>
        </w:tc>
        <w:tc>
          <w:tcPr>
            <w:tcW w:w="492" w:type="pct"/>
          </w:tcPr>
          <w:p w14:paraId="2F89DD26" w14:textId="06553EBE" w:rsidR="00793A3A" w:rsidRPr="00233A66" w:rsidRDefault="00793A3A" w:rsidP="00233A66">
            <w:pPr>
              <w:tabs>
                <w:tab w:val="decimal" w:pos="742"/>
              </w:tabs>
              <w:jc w:val="right"/>
              <w:rPr>
                <w:rFonts w:cs="Arial"/>
                <w:b/>
                <w:szCs w:val="24"/>
              </w:rPr>
            </w:pPr>
            <w:r w:rsidRPr="00233A66">
              <w:rPr>
                <w:rFonts w:cs="Arial"/>
                <w:b/>
                <w:szCs w:val="24"/>
              </w:rPr>
              <w:t>(251,165)</w:t>
            </w:r>
          </w:p>
        </w:tc>
        <w:tc>
          <w:tcPr>
            <w:tcW w:w="492" w:type="pct"/>
          </w:tcPr>
          <w:p w14:paraId="56F5CCED" w14:textId="3E3C8CE9" w:rsidR="00793A3A" w:rsidRPr="005A249B" w:rsidRDefault="00793A3A" w:rsidP="00793A3A">
            <w:pPr>
              <w:tabs>
                <w:tab w:val="decimal" w:pos="885"/>
              </w:tabs>
              <w:rPr>
                <w:rFonts w:cs="Arial"/>
                <w:b/>
                <w:szCs w:val="24"/>
              </w:rPr>
            </w:pPr>
          </w:p>
        </w:tc>
        <w:tc>
          <w:tcPr>
            <w:tcW w:w="422" w:type="pct"/>
          </w:tcPr>
          <w:p w14:paraId="2EC37CEF" w14:textId="77777777" w:rsidR="00793A3A" w:rsidRPr="005A249B" w:rsidRDefault="00793A3A" w:rsidP="00793A3A">
            <w:pPr>
              <w:tabs>
                <w:tab w:val="decimal" w:pos="601"/>
              </w:tabs>
              <w:jc w:val="both"/>
              <w:rPr>
                <w:rFonts w:cs="Arial"/>
                <w:szCs w:val="24"/>
              </w:rPr>
            </w:pPr>
          </w:p>
        </w:tc>
        <w:tc>
          <w:tcPr>
            <w:tcW w:w="494" w:type="pct"/>
          </w:tcPr>
          <w:p w14:paraId="1C9CB8B0" w14:textId="1864A268" w:rsidR="00793A3A" w:rsidRPr="005A249B" w:rsidRDefault="00793A3A" w:rsidP="00793A3A">
            <w:pPr>
              <w:tabs>
                <w:tab w:val="decimal" w:pos="742"/>
              </w:tabs>
              <w:jc w:val="right"/>
              <w:rPr>
                <w:rFonts w:cs="Arial"/>
                <w:b/>
                <w:szCs w:val="24"/>
              </w:rPr>
            </w:pPr>
            <w:r w:rsidRPr="005A249B">
              <w:rPr>
                <w:rFonts w:cs="Arial"/>
                <w:b/>
                <w:szCs w:val="24"/>
              </w:rPr>
              <w:t>(14,047)</w:t>
            </w:r>
          </w:p>
        </w:tc>
      </w:tr>
    </w:tbl>
    <w:p w14:paraId="74DB2AFC" w14:textId="77777777" w:rsidR="00E216EE" w:rsidRPr="00E216EE" w:rsidRDefault="00E216EE" w:rsidP="00E216EE">
      <w:pPr>
        <w:sectPr w:rsidR="00E216EE" w:rsidRPr="00E216EE" w:rsidSect="001C1966">
          <w:pgSz w:w="16840" w:h="11907" w:orient="landscape" w:code="9"/>
          <w:pgMar w:top="1134" w:right="851" w:bottom="851" w:left="737" w:header="720" w:footer="720" w:gutter="0"/>
          <w:cols w:space="720"/>
          <w:docGrid w:linePitch="326"/>
        </w:sectPr>
      </w:pPr>
    </w:p>
    <w:p w14:paraId="331C1265" w14:textId="6161A829" w:rsidR="00BC0AFA" w:rsidRPr="002618EE" w:rsidRDefault="002618EE" w:rsidP="007461FD">
      <w:pPr>
        <w:pStyle w:val="Heading1"/>
        <w:rPr>
          <w:szCs w:val="24"/>
        </w:rPr>
      </w:pPr>
      <w:bookmarkStart w:id="14" w:name="MIRS"/>
      <w:bookmarkStart w:id="15" w:name="_Toc166761529"/>
      <w:bookmarkEnd w:id="14"/>
      <w:r w:rsidRPr="002618EE">
        <w:rPr>
          <w:szCs w:val="24"/>
        </w:rPr>
        <w:lastRenderedPageBreak/>
        <w:t xml:space="preserve">Movement </w:t>
      </w:r>
      <w:r>
        <w:rPr>
          <w:szCs w:val="24"/>
        </w:rPr>
        <w:t>i</w:t>
      </w:r>
      <w:r w:rsidRPr="002618EE">
        <w:rPr>
          <w:szCs w:val="24"/>
        </w:rPr>
        <w:t>n Reserves Statement 2022/23</w:t>
      </w:r>
      <w:bookmarkEnd w:id="15"/>
    </w:p>
    <w:p w14:paraId="56FA8C73" w14:textId="77777777" w:rsidR="001C2B3D" w:rsidRPr="00490917" w:rsidRDefault="001C2B3D" w:rsidP="007461FD">
      <w:pPr>
        <w:tabs>
          <w:tab w:val="left" w:pos="720"/>
          <w:tab w:val="right" w:pos="5760"/>
        </w:tabs>
        <w:rPr>
          <w:b/>
          <w:szCs w:val="24"/>
        </w:rPr>
      </w:pPr>
    </w:p>
    <w:tbl>
      <w:tblPr>
        <w:tblW w:w="5000" w:type="pct"/>
        <w:tblLook w:val="01E0" w:firstRow="1" w:lastRow="1" w:firstColumn="1" w:lastColumn="1" w:noHBand="0" w:noVBand="0"/>
      </w:tblPr>
      <w:tblGrid>
        <w:gridCol w:w="4036"/>
        <w:gridCol w:w="1210"/>
        <w:gridCol w:w="1390"/>
        <w:gridCol w:w="1207"/>
        <w:gridCol w:w="1225"/>
        <w:gridCol w:w="1257"/>
        <w:gridCol w:w="1207"/>
        <w:gridCol w:w="1210"/>
        <w:gridCol w:w="1244"/>
        <w:gridCol w:w="1256"/>
      </w:tblGrid>
      <w:tr w:rsidR="00F67BAF" w:rsidRPr="00B16E84" w14:paraId="60E4372C" w14:textId="77777777" w:rsidTr="00611673">
        <w:trPr>
          <w:tblHeader/>
        </w:trPr>
        <w:tc>
          <w:tcPr>
            <w:tcW w:w="1324" w:type="pct"/>
            <w:tcBorders>
              <w:top w:val="single" w:sz="4" w:space="0" w:color="auto"/>
              <w:left w:val="single" w:sz="4" w:space="0" w:color="auto"/>
              <w:bottom w:val="single" w:sz="4" w:space="0" w:color="auto"/>
              <w:right w:val="single" w:sz="4" w:space="0" w:color="auto"/>
            </w:tcBorders>
            <w:shd w:val="clear" w:color="auto" w:fill="BD2716"/>
            <w:vAlign w:val="center"/>
          </w:tcPr>
          <w:p w14:paraId="08D0DC47" w14:textId="19CEAB30" w:rsidR="00F67BAF" w:rsidRPr="00036C34" w:rsidRDefault="00F67BAF" w:rsidP="00FA71D8">
            <w:pPr>
              <w:rPr>
                <w:rFonts w:cs="Arial"/>
                <w:color w:val="FFFFFF" w:themeColor="background1"/>
                <w:szCs w:val="24"/>
              </w:rPr>
            </w:pPr>
            <w:bookmarkStart w:id="16" w:name="_Hlk68095853"/>
          </w:p>
        </w:tc>
        <w:tc>
          <w:tcPr>
            <w:tcW w:w="397" w:type="pct"/>
            <w:tcBorders>
              <w:top w:val="single" w:sz="4" w:space="0" w:color="auto"/>
              <w:left w:val="single" w:sz="4" w:space="0" w:color="auto"/>
              <w:bottom w:val="single" w:sz="4" w:space="0" w:color="auto"/>
              <w:right w:val="single" w:sz="4" w:space="0" w:color="auto"/>
            </w:tcBorders>
            <w:shd w:val="clear" w:color="auto" w:fill="BD2716"/>
            <w:vAlign w:val="center"/>
          </w:tcPr>
          <w:p w14:paraId="33D8BDE9" w14:textId="77777777" w:rsidR="00F67BAF" w:rsidRPr="00036C34" w:rsidRDefault="00F67BAF" w:rsidP="00611673">
            <w:pPr>
              <w:jc w:val="right"/>
              <w:rPr>
                <w:rFonts w:cs="Arial"/>
                <w:color w:val="FFFFFF" w:themeColor="background1"/>
                <w:szCs w:val="24"/>
              </w:rPr>
            </w:pPr>
            <w:r w:rsidRPr="00036C34">
              <w:rPr>
                <w:rFonts w:cs="Arial"/>
                <w:color w:val="FFFFFF" w:themeColor="background1"/>
                <w:szCs w:val="24"/>
              </w:rPr>
              <w:t>General fund</w:t>
            </w:r>
          </w:p>
          <w:p w14:paraId="4F9F51E1" w14:textId="3430C0A5" w:rsidR="0089432E" w:rsidRPr="00036C34" w:rsidRDefault="0089432E" w:rsidP="00611673">
            <w:pPr>
              <w:jc w:val="right"/>
              <w:rPr>
                <w:rFonts w:cs="Arial"/>
                <w:color w:val="FFFFFF" w:themeColor="background1"/>
                <w:szCs w:val="24"/>
              </w:rPr>
            </w:pPr>
            <w:r w:rsidRPr="00036C34">
              <w:rPr>
                <w:rFonts w:cs="Arial"/>
                <w:color w:val="FFFFFF" w:themeColor="background1"/>
                <w:szCs w:val="24"/>
              </w:rPr>
              <w:t>£000</w:t>
            </w:r>
          </w:p>
        </w:tc>
        <w:tc>
          <w:tcPr>
            <w:tcW w:w="456" w:type="pct"/>
            <w:tcBorders>
              <w:top w:val="single" w:sz="4" w:space="0" w:color="auto"/>
              <w:left w:val="single" w:sz="4" w:space="0" w:color="auto"/>
              <w:bottom w:val="single" w:sz="4" w:space="0" w:color="auto"/>
              <w:right w:val="single" w:sz="4" w:space="0" w:color="auto"/>
            </w:tcBorders>
            <w:shd w:val="clear" w:color="auto" w:fill="BD2716"/>
            <w:vAlign w:val="center"/>
          </w:tcPr>
          <w:p w14:paraId="4314780E" w14:textId="77777777" w:rsidR="00F67BAF" w:rsidRPr="00036C34" w:rsidRDefault="00F67BAF" w:rsidP="00611673">
            <w:pPr>
              <w:jc w:val="right"/>
              <w:rPr>
                <w:rFonts w:cs="Arial"/>
                <w:color w:val="FFFFFF" w:themeColor="background1"/>
                <w:szCs w:val="24"/>
              </w:rPr>
            </w:pPr>
            <w:r w:rsidRPr="00036C34">
              <w:rPr>
                <w:rFonts w:cs="Arial"/>
                <w:color w:val="FFFFFF" w:themeColor="background1"/>
                <w:szCs w:val="24"/>
              </w:rPr>
              <w:t>Earmarked reserves</w:t>
            </w:r>
          </w:p>
          <w:p w14:paraId="2E150685" w14:textId="1199E508" w:rsidR="0089432E" w:rsidRPr="00036C34" w:rsidRDefault="0089432E" w:rsidP="00611673">
            <w:pPr>
              <w:jc w:val="right"/>
              <w:rPr>
                <w:rFonts w:cs="Arial"/>
                <w:color w:val="FFFFFF" w:themeColor="background1"/>
                <w:szCs w:val="24"/>
              </w:rPr>
            </w:pPr>
            <w:r w:rsidRPr="00036C34">
              <w:rPr>
                <w:rFonts w:cs="Arial"/>
                <w:color w:val="FFFFFF" w:themeColor="background1"/>
                <w:szCs w:val="24"/>
              </w:rPr>
              <w:t>£000</w:t>
            </w:r>
          </w:p>
        </w:tc>
        <w:tc>
          <w:tcPr>
            <w:tcW w:w="396" w:type="pct"/>
            <w:tcBorders>
              <w:top w:val="single" w:sz="4" w:space="0" w:color="auto"/>
              <w:left w:val="single" w:sz="4" w:space="0" w:color="auto"/>
              <w:bottom w:val="single" w:sz="4" w:space="0" w:color="auto"/>
              <w:right w:val="single" w:sz="4" w:space="0" w:color="auto"/>
            </w:tcBorders>
            <w:shd w:val="clear" w:color="auto" w:fill="BD2716"/>
            <w:vAlign w:val="center"/>
          </w:tcPr>
          <w:p w14:paraId="7D58B5F7" w14:textId="77777777" w:rsidR="0089432E" w:rsidRPr="00036C34" w:rsidRDefault="002165FA" w:rsidP="00611673">
            <w:pPr>
              <w:jc w:val="right"/>
              <w:rPr>
                <w:rFonts w:cs="Arial"/>
                <w:color w:val="FFFFFF" w:themeColor="background1"/>
                <w:szCs w:val="24"/>
              </w:rPr>
            </w:pPr>
            <w:r w:rsidRPr="00036C34">
              <w:rPr>
                <w:rFonts w:cs="Arial"/>
                <w:color w:val="FFFFFF" w:themeColor="background1"/>
                <w:szCs w:val="24"/>
              </w:rPr>
              <w:t>Total General Fund Balance</w:t>
            </w:r>
          </w:p>
          <w:p w14:paraId="77A7F7BA" w14:textId="6D9D120C" w:rsidR="00F67BAF" w:rsidRPr="00036C34" w:rsidRDefault="0089432E" w:rsidP="00611673">
            <w:pPr>
              <w:jc w:val="right"/>
              <w:rPr>
                <w:rFonts w:cs="Arial"/>
                <w:color w:val="FFFFFF" w:themeColor="background1"/>
                <w:szCs w:val="24"/>
              </w:rPr>
            </w:pPr>
            <w:r w:rsidRPr="00036C34">
              <w:rPr>
                <w:rFonts w:cs="Arial"/>
                <w:color w:val="FFFFFF" w:themeColor="background1"/>
                <w:szCs w:val="24"/>
              </w:rPr>
              <w:t>£000</w:t>
            </w:r>
          </w:p>
        </w:tc>
        <w:tc>
          <w:tcPr>
            <w:tcW w:w="402" w:type="pct"/>
            <w:tcBorders>
              <w:top w:val="single" w:sz="4" w:space="0" w:color="auto"/>
              <w:left w:val="single" w:sz="4" w:space="0" w:color="auto"/>
              <w:bottom w:val="single" w:sz="4" w:space="0" w:color="auto"/>
              <w:right w:val="single" w:sz="4" w:space="0" w:color="auto"/>
            </w:tcBorders>
            <w:shd w:val="clear" w:color="auto" w:fill="BD2716"/>
            <w:vAlign w:val="center"/>
          </w:tcPr>
          <w:p w14:paraId="1245D3A8" w14:textId="77777777" w:rsidR="00F67BAF" w:rsidRPr="00036C34" w:rsidRDefault="00F67BAF" w:rsidP="00611673">
            <w:pPr>
              <w:jc w:val="right"/>
              <w:rPr>
                <w:rFonts w:cs="Arial"/>
                <w:color w:val="FFFFFF" w:themeColor="background1"/>
                <w:szCs w:val="24"/>
              </w:rPr>
            </w:pPr>
            <w:r w:rsidRPr="00036C34">
              <w:rPr>
                <w:rFonts w:cs="Arial"/>
                <w:color w:val="FFFFFF" w:themeColor="background1"/>
                <w:szCs w:val="24"/>
              </w:rPr>
              <w:t xml:space="preserve">Capital funding </w:t>
            </w:r>
            <w:proofErr w:type="gramStart"/>
            <w:r w:rsidRPr="00036C34">
              <w:rPr>
                <w:rFonts w:cs="Arial"/>
                <w:color w:val="FFFFFF" w:themeColor="background1"/>
                <w:szCs w:val="24"/>
              </w:rPr>
              <w:t>reserve</w:t>
            </w:r>
            <w:proofErr w:type="gramEnd"/>
          </w:p>
          <w:p w14:paraId="01D78B7E" w14:textId="02C0821F" w:rsidR="0089432E" w:rsidRPr="00036C34" w:rsidRDefault="0089432E" w:rsidP="00611673">
            <w:pPr>
              <w:jc w:val="right"/>
              <w:rPr>
                <w:rFonts w:cs="Arial"/>
                <w:color w:val="FFFFFF" w:themeColor="background1"/>
                <w:szCs w:val="24"/>
              </w:rPr>
            </w:pPr>
            <w:r w:rsidRPr="00036C34">
              <w:rPr>
                <w:rFonts w:cs="Arial"/>
                <w:color w:val="FFFFFF" w:themeColor="background1"/>
                <w:szCs w:val="24"/>
              </w:rPr>
              <w:t>£000</w:t>
            </w:r>
          </w:p>
        </w:tc>
        <w:tc>
          <w:tcPr>
            <w:tcW w:w="412" w:type="pct"/>
            <w:tcBorders>
              <w:top w:val="single" w:sz="4" w:space="0" w:color="auto"/>
              <w:left w:val="single" w:sz="4" w:space="0" w:color="auto"/>
              <w:bottom w:val="single" w:sz="4" w:space="0" w:color="auto"/>
              <w:right w:val="single" w:sz="4" w:space="0" w:color="auto"/>
            </w:tcBorders>
            <w:shd w:val="clear" w:color="auto" w:fill="BD2716"/>
            <w:vAlign w:val="center"/>
          </w:tcPr>
          <w:p w14:paraId="48CBE3AC" w14:textId="77777777" w:rsidR="00F67BAF" w:rsidRPr="00036C34" w:rsidRDefault="00F67BAF" w:rsidP="00611673">
            <w:pPr>
              <w:jc w:val="right"/>
              <w:rPr>
                <w:rFonts w:cs="Arial"/>
                <w:color w:val="FFFFFF" w:themeColor="background1"/>
                <w:szCs w:val="24"/>
              </w:rPr>
            </w:pPr>
            <w:r w:rsidRPr="00036C34">
              <w:rPr>
                <w:rFonts w:cs="Arial"/>
                <w:color w:val="FFFFFF" w:themeColor="background1"/>
                <w:szCs w:val="24"/>
              </w:rPr>
              <w:t xml:space="preserve">Capital grant unapplied </w:t>
            </w:r>
            <w:proofErr w:type="gramStart"/>
            <w:r w:rsidRPr="00036C34">
              <w:rPr>
                <w:rFonts w:cs="Arial"/>
                <w:color w:val="FFFFFF" w:themeColor="background1"/>
                <w:szCs w:val="24"/>
              </w:rPr>
              <w:t>reserve</w:t>
            </w:r>
            <w:proofErr w:type="gramEnd"/>
          </w:p>
          <w:p w14:paraId="450F0A0F" w14:textId="7A13A8A9" w:rsidR="0089432E" w:rsidRPr="00036C34" w:rsidRDefault="0089432E" w:rsidP="00611673">
            <w:pPr>
              <w:jc w:val="right"/>
              <w:rPr>
                <w:rFonts w:cs="Arial"/>
                <w:color w:val="FFFFFF" w:themeColor="background1"/>
                <w:szCs w:val="24"/>
              </w:rPr>
            </w:pPr>
            <w:r w:rsidRPr="00036C34">
              <w:rPr>
                <w:rFonts w:cs="Arial"/>
                <w:color w:val="FFFFFF" w:themeColor="background1"/>
                <w:szCs w:val="24"/>
              </w:rPr>
              <w:t>£000</w:t>
            </w:r>
          </w:p>
        </w:tc>
        <w:tc>
          <w:tcPr>
            <w:tcW w:w="396" w:type="pct"/>
            <w:tcBorders>
              <w:top w:val="single" w:sz="4" w:space="0" w:color="auto"/>
              <w:left w:val="single" w:sz="4" w:space="0" w:color="auto"/>
              <w:bottom w:val="single" w:sz="4" w:space="0" w:color="auto"/>
              <w:right w:val="single" w:sz="4" w:space="0" w:color="auto"/>
            </w:tcBorders>
            <w:shd w:val="clear" w:color="auto" w:fill="BD2716"/>
            <w:vAlign w:val="center"/>
          </w:tcPr>
          <w:p w14:paraId="06E931CE" w14:textId="77777777" w:rsidR="00F67BAF" w:rsidRPr="00036C34" w:rsidRDefault="00F67BAF" w:rsidP="00611673">
            <w:pPr>
              <w:jc w:val="right"/>
              <w:rPr>
                <w:rFonts w:cs="Arial"/>
                <w:color w:val="FFFFFF" w:themeColor="background1"/>
                <w:szCs w:val="24"/>
              </w:rPr>
            </w:pPr>
            <w:r w:rsidRPr="00036C34">
              <w:rPr>
                <w:rFonts w:cs="Arial"/>
                <w:color w:val="FFFFFF" w:themeColor="background1"/>
                <w:szCs w:val="24"/>
              </w:rPr>
              <w:t xml:space="preserve">Capital receipts </w:t>
            </w:r>
            <w:proofErr w:type="gramStart"/>
            <w:r w:rsidRPr="00036C34">
              <w:rPr>
                <w:rFonts w:cs="Arial"/>
                <w:color w:val="FFFFFF" w:themeColor="background1"/>
                <w:szCs w:val="24"/>
              </w:rPr>
              <w:t>reserve</w:t>
            </w:r>
            <w:proofErr w:type="gramEnd"/>
          </w:p>
          <w:p w14:paraId="6D01BE83" w14:textId="3B28678E" w:rsidR="0089432E" w:rsidRPr="00036C34" w:rsidRDefault="0089432E" w:rsidP="00611673">
            <w:pPr>
              <w:jc w:val="right"/>
              <w:rPr>
                <w:rFonts w:cs="Arial"/>
                <w:color w:val="FFFFFF" w:themeColor="background1"/>
                <w:szCs w:val="24"/>
              </w:rPr>
            </w:pPr>
            <w:r w:rsidRPr="00036C34">
              <w:rPr>
                <w:rFonts w:cs="Arial"/>
                <w:color w:val="FFFFFF" w:themeColor="background1"/>
                <w:szCs w:val="24"/>
              </w:rPr>
              <w:t>£000</w:t>
            </w:r>
          </w:p>
        </w:tc>
        <w:tc>
          <w:tcPr>
            <w:tcW w:w="397" w:type="pct"/>
            <w:tcBorders>
              <w:top w:val="single" w:sz="4" w:space="0" w:color="auto"/>
              <w:left w:val="single" w:sz="4" w:space="0" w:color="auto"/>
              <w:bottom w:val="single" w:sz="4" w:space="0" w:color="auto"/>
              <w:right w:val="single" w:sz="4" w:space="0" w:color="auto"/>
            </w:tcBorders>
            <w:shd w:val="clear" w:color="auto" w:fill="BD2716"/>
            <w:vAlign w:val="center"/>
          </w:tcPr>
          <w:p w14:paraId="25D6F2A9" w14:textId="77777777" w:rsidR="00F67BAF" w:rsidRPr="00036C34" w:rsidRDefault="00F67BAF" w:rsidP="00611673">
            <w:pPr>
              <w:jc w:val="right"/>
              <w:rPr>
                <w:rFonts w:cs="Arial"/>
                <w:color w:val="FFFFFF" w:themeColor="background1"/>
                <w:szCs w:val="24"/>
              </w:rPr>
            </w:pPr>
            <w:r w:rsidRPr="00036C34">
              <w:rPr>
                <w:rFonts w:cs="Arial"/>
                <w:color w:val="FFFFFF" w:themeColor="background1"/>
                <w:szCs w:val="24"/>
              </w:rPr>
              <w:t>Total usable reserves</w:t>
            </w:r>
          </w:p>
          <w:p w14:paraId="76F688FE" w14:textId="42280E78" w:rsidR="0089432E" w:rsidRPr="00036C34" w:rsidRDefault="0089432E" w:rsidP="00611673">
            <w:pPr>
              <w:jc w:val="right"/>
              <w:rPr>
                <w:rFonts w:cs="Arial"/>
                <w:color w:val="FFFFFF" w:themeColor="background1"/>
                <w:szCs w:val="24"/>
              </w:rPr>
            </w:pPr>
            <w:r w:rsidRPr="00036C34">
              <w:rPr>
                <w:rFonts w:cs="Arial"/>
                <w:color w:val="FFFFFF" w:themeColor="background1"/>
                <w:szCs w:val="24"/>
              </w:rPr>
              <w:t>£000</w:t>
            </w:r>
          </w:p>
        </w:tc>
        <w:tc>
          <w:tcPr>
            <w:tcW w:w="408" w:type="pct"/>
            <w:tcBorders>
              <w:top w:val="single" w:sz="4" w:space="0" w:color="auto"/>
              <w:left w:val="single" w:sz="4" w:space="0" w:color="auto"/>
              <w:bottom w:val="single" w:sz="4" w:space="0" w:color="auto"/>
              <w:right w:val="single" w:sz="4" w:space="0" w:color="auto"/>
            </w:tcBorders>
            <w:shd w:val="clear" w:color="auto" w:fill="BD2716"/>
            <w:vAlign w:val="center"/>
          </w:tcPr>
          <w:p w14:paraId="7C0BB1C6" w14:textId="77777777" w:rsidR="00F67BAF" w:rsidRPr="00036C34" w:rsidRDefault="00F67BAF" w:rsidP="00611673">
            <w:pPr>
              <w:jc w:val="right"/>
              <w:rPr>
                <w:rFonts w:cs="Arial"/>
                <w:color w:val="FFFFFF" w:themeColor="background1"/>
                <w:szCs w:val="24"/>
              </w:rPr>
            </w:pPr>
            <w:r w:rsidRPr="00036C34">
              <w:rPr>
                <w:rFonts w:cs="Arial"/>
                <w:color w:val="FFFFFF" w:themeColor="background1"/>
                <w:szCs w:val="24"/>
              </w:rPr>
              <w:t>Unusable reserves</w:t>
            </w:r>
          </w:p>
          <w:p w14:paraId="6AF27D92" w14:textId="67AFE80C" w:rsidR="0089432E" w:rsidRPr="00036C34" w:rsidRDefault="0089432E" w:rsidP="00611673">
            <w:pPr>
              <w:jc w:val="right"/>
              <w:rPr>
                <w:rFonts w:cs="Arial"/>
                <w:color w:val="FFFFFF" w:themeColor="background1"/>
                <w:szCs w:val="24"/>
              </w:rPr>
            </w:pPr>
            <w:r w:rsidRPr="00036C34">
              <w:rPr>
                <w:rFonts w:cs="Arial"/>
                <w:color w:val="FFFFFF" w:themeColor="background1"/>
                <w:szCs w:val="24"/>
              </w:rPr>
              <w:t>£000</w:t>
            </w:r>
          </w:p>
        </w:tc>
        <w:tc>
          <w:tcPr>
            <w:tcW w:w="412" w:type="pct"/>
            <w:tcBorders>
              <w:top w:val="single" w:sz="4" w:space="0" w:color="auto"/>
              <w:left w:val="single" w:sz="4" w:space="0" w:color="auto"/>
              <w:bottom w:val="single" w:sz="4" w:space="0" w:color="auto"/>
              <w:right w:val="single" w:sz="4" w:space="0" w:color="auto"/>
            </w:tcBorders>
            <w:shd w:val="clear" w:color="auto" w:fill="BD2716"/>
            <w:vAlign w:val="center"/>
          </w:tcPr>
          <w:p w14:paraId="7D97D35D" w14:textId="77777777" w:rsidR="00F67BAF" w:rsidRPr="00036C34" w:rsidRDefault="00F67BAF" w:rsidP="00611673">
            <w:pPr>
              <w:jc w:val="right"/>
              <w:rPr>
                <w:rFonts w:cs="Arial"/>
                <w:color w:val="FFFFFF" w:themeColor="background1"/>
                <w:szCs w:val="24"/>
              </w:rPr>
            </w:pPr>
            <w:r w:rsidRPr="00036C34">
              <w:rPr>
                <w:rFonts w:cs="Arial"/>
                <w:color w:val="FFFFFF" w:themeColor="background1"/>
                <w:szCs w:val="24"/>
              </w:rPr>
              <w:t>Total Authority reserves</w:t>
            </w:r>
          </w:p>
          <w:p w14:paraId="73C82945" w14:textId="4494A4ED" w:rsidR="0089432E" w:rsidRPr="00036C34" w:rsidRDefault="0089432E" w:rsidP="00611673">
            <w:pPr>
              <w:jc w:val="right"/>
              <w:rPr>
                <w:rFonts w:cs="Arial"/>
                <w:color w:val="FFFFFF" w:themeColor="background1"/>
                <w:szCs w:val="24"/>
              </w:rPr>
            </w:pPr>
            <w:r w:rsidRPr="00036C34">
              <w:rPr>
                <w:rFonts w:cs="Arial"/>
                <w:color w:val="FFFFFF" w:themeColor="background1"/>
                <w:szCs w:val="24"/>
              </w:rPr>
              <w:t>£000</w:t>
            </w:r>
          </w:p>
        </w:tc>
      </w:tr>
      <w:tr w:rsidR="00B16E84" w:rsidRPr="00B16E84" w14:paraId="471E4A0D" w14:textId="77777777" w:rsidTr="00233A66">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559493BB" w14:textId="577A66F2" w:rsidR="00B16E84" w:rsidRPr="008A3DEE" w:rsidRDefault="00B16E84" w:rsidP="00582882">
            <w:pPr>
              <w:rPr>
                <w:rFonts w:cs="Arial"/>
                <w:b/>
                <w:bCs/>
                <w:szCs w:val="24"/>
              </w:rPr>
            </w:pPr>
            <w:bookmarkStart w:id="17" w:name="_Hlk96092102"/>
            <w:r w:rsidRPr="008A3DEE">
              <w:rPr>
                <w:rFonts w:cs="Arial"/>
                <w:b/>
                <w:bCs/>
                <w:szCs w:val="24"/>
              </w:rPr>
              <w:t xml:space="preserve">Balance </w:t>
            </w:r>
            <w:proofErr w:type="gramStart"/>
            <w:r w:rsidRPr="008A3DEE">
              <w:rPr>
                <w:rFonts w:cs="Arial"/>
                <w:b/>
                <w:bCs/>
                <w:szCs w:val="24"/>
              </w:rPr>
              <w:t>at</w:t>
            </w:r>
            <w:proofErr w:type="gramEnd"/>
            <w:r w:rsidRPr="008A3DEE">
              <w:rPr>
                <w:rFonts w:cs="Arial"/>
                <w:b/>
                <w:bCs/>
                <w:szCs w:val="24"/>
              </w:rPr>
              <w:t xml:space="preserve"> 31 March 202</w:t>
            </w:r>
            <w:r w:rsidR="00524DAC" w:rsidRPr="008A3DEE">
              <w:rPr>
                <w:rFonts w:cs="Arial"/>
                <w:b/>
                <w:bCs/>
                <w:szCs w:val="24"/>
              </w:rPr>
              <w:t>2</w:t>
            </w:r>
            <w:r w:rsidRPr="008A3DEE">
              <w:rPr>
                <w:rFonts w:cs="Arial"/>
                <w:b/>
                <w:bCs/>
                <w:szCs w:val="24"/>
              </w:rPr>
              <w:t xml:space="preserve"> carried forwards</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3FF45B4E" w14:textId="15BBDEC9" w:rsidR="00B16E84" w:rsidRPr="008A3DEE" w:rsidRDefault="00B16E84" w:rsidP="00233A66">
            <w:pPr>
              <w:jc w:val="right"/>
              <w:rPr>
                <w:rFonts w:cs="Arial"/>
                <w:b/>
                <w:bCs/>
                <w:szCs w:val="24"/>
              </w:rPr>
            </w:pPr>
            <w:r w:rsidRPr="008A3DEE">
              <w:rPr>
                <w:rFonts w:cs="Arial"/>
                <w:b/>
                <w:bCs/>
                <w:szCs w:val="24"/>
              </w:rPr>
              <w:t>6,53</w:t>
            </w:r>
            <w:r w:rsidR="008D0B00" w:rsidRPr="008A3DEE">
              <w:rPr>
                <w:rFonts w:cs="Arial"/>
                <w:b/>
                <w:bCs/>
                <w:szCs w:val="24"/>
              </w:rPr>
              <w:t>6</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1C5F882B" w14:textId="3C217C36" w:rsidR="00B16E84" w:rsidRPr="008A3DEE" w:rsidRDefault="00B16E84" w:rsidP="00233A66">
            <w:pPr>
              <w:jc w:val="right"/>
              <w:rPr>
                <w:rFonts w:cs="Arial"/>
                <w:b/>
                <w:bCs/>
                <w:szCs w:val="24"/>
              </w:rPr>
            </w:pPr>
            <w:r w:rsidRPr="008A3DEE">
              <w:rPr>
                <w:rFonts w:cs="Arial"/>
                <w:b/>
                <w:bCs/>
                <w:szCs w:val="24"/>
              </w:rPr>
              <w:t>9,742</w:t>
            </w:r>
          </w:p>
        </w:tc>
        <w:tc>
          <w:tcPr>
            <w:tcW w:w="396" w:type="pct"/>
            <w:tcBorders>
              <w:top w:val="single" w:sz="4" w:space="0" w:color="auto"/>
              <w:left w:val="single" w:sz="4" w:space="0" w:color="auto"/>
              <w:bottom w:val="single" w:sz="4" w:space="0" w:color="auto"/>
              <w:right w:val="single" w:sz="4" w:space="0" w:color="auto"/>
            </w:tcBorders>
            <w:vAlign w:val="center"/>
          </w:tcPr>
          <w:p w14:paraId="17F7A261" w14:textId="009E1FF2" w:rsidR="00B16E84" w:rsidRPr="008A3DEE" w:rsidRDefault="00B16E84" w:rsidP="00233A66">
            <w:pPr>
              <w:jc w:val="right"/>
              <w:rPr>
                <w:rFonts w:cs="Arial"/>
                <w:b/>
                <w:bCs/>
                <w:szCs w:val="24"/>
              </w:rPr>
            </w:pPr>
            <w:r w:rsidRPr="008A3DEE">
              <w:rPr>
                <w:rFonts w:cs="Arial"/>
                <w:b/>
                <w:bCs/>
                <w:szCs w:val="24"/>
              </w:rPr>
              <w:t>16,278</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121D2507" w14:textId="1C594BD4" w:rsidR="00B16E84" w:rsidRPr="008A3DEE" w:rsidRDefault="00B16E84" w:rsidP="00233A66">
            <w:pPr>
              <w:jc w:val="right"/>
              <w:rPr>
                <w:rFonts w:cs="Arial"/>
                <w:b/>
                <w:bCs/>
                <w:szCs w:val="24"/>
              </w:rPr>
            </w:pPr>
            <w:r w:rsidRPr="008A3DEE">
              <w:rPr>
                <w:rFonts w:cs="Arial"/>
                <w:b/>
                <w:bCs/>
                <w:szCs w:val="24"/>
              </w:rPr>
              <w:t>17,672</w:t>
            </w:r>
          </w:p>
        </w:tc>
        <w:tc>
          <w:tcPr>
            <w:tcW w:w="412" w:type="pct"/>
            <w:tcBorders>
              <w:top w:val="single" w:sz="4" w:space="0" w:color="auto"/>
              <w:left w:val="single" w:sz="4" w:space="0" w:color="auto"/>
              <w:bottom w:val="single" w:sz="4" w:space="0" w:color="auto"/>
              <w:right w:val="single" w:sz="4" w:space="0" w:color="auto"/>
            </w:tcBorders>
            <w:vAlign w:val="center"/>
          </w:tcPr>
          <w:p w14:paraId="03224375" w14:textId="3A9D2B66" w:rsidR="00B16E84" w:rsidRPr="008A3DEE" w:rsidRDefault="00B16E84" w:rsidP="00233A66">
            <w:pPr>
              <w:jc w:val="right"/>
              <w:rPr>
                <w:rFonts w:cs="Arial"/>
                <w:b/>
                <w:bCs/>
                <w:szCs w:val="24"/>
              </w:rPr>
            </w:pPr>
            <w:r w:rsidRPr="008A3DEE">
              <w:rPr>
                <w:rFonts w:cs="Arial"/>
                <w:b/>
                <w:bCs/>
                <w:szCs w:val="24"/>
              </w:rPr>
              <w:t>40</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54827EAC" w14:textId="43E42803" w:rsidR="00B16E84" w:rsidRPr="008A3DEE" w:rsidRDefault="00B16E84" w:rsidP="00233A66">
            <w:pPr>
              <w:jc w:val="right"/>
              <w:rPr>
                <w:rFonts w:cs="Arial"/>
                <w:b/>
                <w:bCs/>
                <w:szCs w:val="24"/>
              </w:rPr>
            </w:pPr>
            <w:r w:rsidRPr="008A3DEE">
              <w:rPr>
                <w:rFonts w:cs="Arial"/>
                <w:b/>
                <w:bCs/>
                <w:szCs w:val="24"/>
              </w:rPr>
              <w:t>1,683</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D427BE8" w14:textId="7E91304C" w:rsidR="00B16E84" w:rsidRPr="008A3DEE" w:rsidRDefault="00B16E84" w:rsidP="00233A66">
            <w:pPr>
              <w:jc w:val="right"/>
              <w:rPr>
                <w:rFonts w:cs="Arial"/>
                <w:b/>
                <w:bCs/>
                <w:szCs w:val="24"/>
              </w:rPr>
            </w:pPr>
            <w:r w:rsidRPr="008A3DEE">
              <w:rPr>
                <w:rFonts w:cs="Arial"/>
                <w:b/>
                <w:bCs/>
                <w:szCs w:val="24"/>
              </w:rPr>
              <w:t>35,673</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6A984194" w14:textId="4A4E003A" w:rsidR="00B16E84" w:rsidRPr="008A3DEE" w:rsidRDefault="00B16E84" w:rsidP="00233A66">
            <w:pPr>
              <w:jc w:val="right"/>
              <w:rPr>
                <w:rFonts w:cs="Arial"/>
                <w:b/>
                <w:bCs/>
                <w:szCs w:val="24"/>
              </w:rPr>
            </w:pPr>
            <w:r w:rsidRPr="008A3DEE">
              <w:rPr>
                <w:rFonts w:cs="Arial"/>
                <w:b/>
                <w:bCs/>
                <w:szCs w:val="24"/>
              </w:rPr>
              <w:t>(789,359)</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6E18C3D9" w14:textId="143541DE" w:rsidR="00B16E84" w:rsidRPr="008A3DEE" w:rsidRDefault="00B16E84" w:rsidP="00233A66">
            <w:pPr>
              <w:jc w:val="right"/>
              <w:rPr>
                <w:rFonts w:cs="Arial"/>
                <w:b/>
                <w:bCs/>
                <w:szCs w:val="24"/>
              </w:rPr>
            </w:pPr>
            <w:r w:rsidRPr="008A3DEE">
              <w:rPr>
                <w:rFonts w:cs="Arial"/>
                <w:b/>
                <w:bCs/>
                <w:szCs w:val="24"/>
              </w:rPr>
              <w:t>(753,686)</w:t>
            </w:r>
          </w:p>
        </w:tc>
      </w:tr>
    </w:tbl>
    <w:p w14:paraId="6A8DD33C" w14:textId="77777777" w:rsidR="005F5C59" w:rsidRDefault="005F5C59"/>
    <w:tbl>
      <w:tblPr>
        <w:tblW w:w="5000" w:type="pct"/>
        <w:tblLook w:val="01E0" w:firstRow="1" w:lastRow="1" w:firstColumn="1" w:lastColumn="1" w:noHBand="0" w:noVBand="0"/>
      </w:tblPr>
      <w:tblGrid>
        <w:gridCol w:w="4037"/>
        <w:gridCol w:w="1210"/>
        <w:gridCol w:w="1390"/>
        <w:gridCol w:w="1207"/>
        <w:gridCol w:w="1225"/>
        <w:gridCol w:w="1256"/>
        <w:gridCol w:w="1207"/>
        <w:gridCol w:w="1210"/>
        <w:gridCol w:w="1244"/>
        <w:gridCol w:w="1256"/>
      </w:tblGrid>
      <w:tr w:rsidR="005F5C59" w:rsidRPr="00B16E84" w14:paraId="2D06ACCF" w14:textId="77777777" w:rsidTr="00036C34">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BB7866" w14:textId="1583BEE8" w:rsidR="005F5C59" w:rsidRPr="00BD79B2" w:rsidRDefault="005F5C59" w:rsidP="002C5DD1">
            <w:pPr>
              <w:rPr>
                <w:rFonts w:cs="Arial"/>
                <w:b/>
                <w:bCs/>
                <w:szCs w:val="24"/>
              </w:rPr>
            </w:pPr>
            <w:r w:rsidRPr="00BD79B2">
              <w:rPr>
                <w:rFonts w:cs="Arial"/>
                <w:b/>
                <w:bCs/>
                <w:szCs w:val="24"/>
              </w:rPr>
              <w:t>Movement in reserves during 2022/23</w:t>
            </w:r>
          </w:p>
        </w:tc>
      </w:tr>
      <w:tr w:rsidR="00B16E84" w:rsidRPr="00B16E84" w14:paraId="2946426D" w14:textId="77777777" w:rsidTr="00233A66">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74204D2C" w14:textId="77777777" w:rsidR="00B16E84" w:rsidRPr="008A3DEE" w:rsidRDefault="00B16E84" w:rsidP="005F5C59">
            <w:pPr>
              <w:rPr>
                <w:rFonts w:cs="Arial"/>
                <w:szCs w:val="24"/>
              </w:rPr>
            </w:pPr>
            <w:r w:rsidRPr="008A3DEE">
              <w:rPr>
                <w:rFonts w:cs="Arial"/>
                <w:szCs w:val="24"/>
              </w:rPr>
              <w:t>Surplus/(Deficit) on provision of services</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163D983C" w14:textId="7CD9D557" w:rsidR="00B16E84" w:rsidRPr="008A3DEE" w:rsidRDefault="00B16E84" w:rsidP="00233A66">
            <w:pPr>
              <w:jc w:val="right"/>
              <w:rPr>
                <w:rFonts w:cs="Arial"/>
                <w:szCs w:val="24"/>
              </w:rPr>
            </w:pPr>
            <w:r w:rsidRPr="008A3DEE">
              <w:rPr>
                <w:rFonts w:cs="Arial"/>
                <w:szCs w:val="24"/>
              </w:rPr>
              <w:t>(15,3</w:t>
            </w:r>
            <w:r w:rsidR="0096022A" w:rsidRPr="008A3DEE">
              <w:rPr>
                <w:rFonts w:cs="Arial"/>
                <w:szCs w:val="24"/>
              </w:rPr>
              <w:t>4</w:t>
            </w:r>
            <w:r w:rsidRPr="008A3DEE">
              <w:rPr>
                <w:rFonts w:cs="Arial"/>
                <w:szCs w:val="24"/>
              </w:rPr>
              <w:t>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5405E407" w14:textId="60A276F2" w:rsidR="00B16E84" w:rsidRPr="008A3DEE" w:rsidRDefault="00FF4100" w:rsidP="00233A66">
            <w:pPr>
              <w:jc w:val="right"/>
              <w:rPr>
                <w:rFonts w:cs="Arial"/>
                <w:szCs w:val="24"/>
              </w:rPr>
            </w:pPr>
            <w:r w:rsidRPr="008A3DEE">
              <w:rPr>
                <w:rFonts w:cs="Arial"/>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0109BD29" w14:textId="425CE16D" w:rsidR="00B16E84" w:rsidRPr="008A3DEE" w:rsidRDefault="00B16E84" w:rsidP="00233A66">
            <w:pPr>
              <w:jc w:val="right"/>
              <w:rPr>
                <w:rFonts w:cs="Arial"/>
                <w:szCs w:val="24"/>
              </w:rPr>
            </w:pPr>
            <w:r w:rsidRPr="008A3DEE">
              <w:rPr>
                <w:rFonts w:cs="Arial"/>
                <w:szCs w:val="24"/>
              </w:rPr>
              <w:t>(15,3</w:t>
            </w:r>
            <w:r w:rsidR="0096022A" w:rsidRPr="008A3DEE">
              <w:rPr>
                <w:rFonts w:cs="Arial"/>
                <w:szCs w:val="24"/>
              </w:rPr>
              <w:t>4</w:t>
            </w:r>
            <w:r w:rsidRPr="008A3DEE">
              <w:rPr>
                <w:rFonts w:cs="Arial"/>
                <w:szCs w:val="24"/>
              </w:rPr>
              <w:t>7)</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6DAA6E7C" w14:textId="53BA19BA" w:rsidR="00B16E84" w:rsidRPr="008A3DEE" w:rsidRDefault="00FF4100" w:rsidP="00233A66">
            <w:pPr>
              <w:jc w:val="right"/>
              <w:rPr>
                <w:rFonts w:cs="Arial"/>
                <w:szCs w:val="24"/>
              </w:rPr>
            </w:pPr>
            <w:r w:rsidRPr="008A3DEE">
              <w:rPr>
                <w:rFonts w:cs="Arial"/>
                <w:szCs w:val="24"/>
              </w:rPr>
              <w:t>-</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3E5D8BC6" w14:textId="2579C485" w:rsidR="00B16E84" w:rsidRPr="008A3DEE" w:rsidRDefault="00FF4100" w:rsidP="00233A66">
            <w:pPr>
              <w:jc w:val="right"/>
              <w:rPr>
                <w:rFonts w:cs="Arial"/>
                <w:szCs w:val="24"/>
              </w:rPr>
            </w:pPr>
            <w:r w:rsidRPr="008A3DEE">
              <w:rPr>
                <w:rFonts w:cs="Arial"/>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25C8128F" w14:textId="4B74F4E3" w:rsidR="00B16E84" w:rsidRPr="008A3DEE" w:rsidRDefault="00FF4100" w:rsidP="00233A66">
            <w:pPr>
              <w:jc w:val="right"/>
              <w:rPr>
                <w:rFonts w:cs="Arial"/>
                <w:szCs w:val="24"/>
              </w:rPr>
            </w:pPr>
            <w:r w:rsidRPr="008A3DEE">
              <w:rPr>
                <w:rFonts w:cs="Arial"/>
                <w:szCs w:val="24"/>
              </w:rPr>
              <w: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077CB372" w14:textId="28A4A675" w:rsidR="00B16E84" w:rsidRPr="008A3DEE" w:rsidRDefault="00B16E84" w:rsidP="00233A66">
            <w:pPr>
              <w:jc w:val="right"/>
              <w:rPr>
                <w:rFonts w:cs="Arial"/>
                <w:szCs w:val="24"/>
              </w:rPr>
            </w:pPr>
            <w:r w:rsidRPr="008A3DEE">
              <w:rPr>
                <w:rFonts w:cs="Arial"/>
                <w:szCs w:val="24"/>
              </w:rPr>
              <w:t>(15,3</w:t>
            </w:r>
            <w:r w:rsidR="00977BBC" w:rsidRPr="008A3DEE">
              <w:rPr>
                <w:rFonts w:cs="Arial"/>
                <w:szCs w:val="24"/>
              </w:rPr>
              <w:t>4</w:t>
            </w:r>
            <w:r w:rsidRPr="008A3DEE">
              <w:rPr>
                <w:rFonts w:cs="Arial"/>
                <w:szCs w:val="24"/>
              </w:rPr>
              <w:t>7)</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55FCD86E" w14:textId="4A9F8560" w:rsidR="00B16E84" w:rsidRPr="008A3DEE" w:rsidRDefault="00B16E84" w:rsidP="00233A66">
            <w:pPr>
              <w:jc w:val="right"/>
              <w:rPr>
                <w:rFonts w:cs="Arial"/>
                <w:szCs w:val="24"/>
              </w:rPr>
            </w:pPr>
            <w:r w:rsidRPr="008A3DEE">
              <w:rPr>
                <w:rFonts w:cs="Arial"/>
                <w:szCs w:val="24"/>
              </w:rPr>
              <w:t>-</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6007E0C1" w14:textId="388AE838" w:rsidR="00B16E84" w:rsidRPr="008A3DEE" w:rsidRDefault="00B16E84" w:rsidP="00233A66">
            <w:pPr>
              <w:jc w:val="right"/>
              <w:rPr>
                <w:rFonts w:cs="Arial"/>
                <w:szCs w:val="24"/>
              </w:rPr>
            </w:pPr>
            <w:r w:rsidRPr="008A3DEE">
              <w:rPr>
                <w:rFonts w:cs="Arial"/>
                <w:szCs w:val="24"/>
              </w:rPr>
              <w:t>(15,3</w:t>
            </w:r>
            <w:r w:rsidR="00977BBC" w:rsidRPr="008A3DEE">
              <w:rPr>
                <w:rFonts w:cs="Arial"/>
                <w:szCs w:val="24"/>
              </w:rPr>
              <w:t>4</w:t>
            </w:r>
            <w:r w:rsidRPr="008A3DEE">
              <w:rPr>
                <w:rFonts w:cs="Arial"/>
                <w:szCs w:val="24"/>
              </w:rPr>
              <w:t>7)</w:t>
            </w:r>
          </w:p>
        </w:tc>
      </w:tr>
      <w:tr w:rsidR="00B16E84" w:rsidRPr="00B16E84" w14:paraId="4E6865FE" w14:textId="77777777" w:rsidTr="00233A66">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076F222C" w14:textId="77777777" w:rsidR="00B16E84" w:rsidRPr="008A3DEE" w:rsidRDefault="00B16E84" w:rsidP="005F5C59">
            <w:pPr>
              <w:rPr>
                <w:rFonts w:cs="Arial"/>
                <w:szCs w:val="24"/>
              </w:rPr>
            </w:pPr>
            <w:r w:rsidRPr="008A3DEE">
              <w:rPr>
                <w:rFonts w:cs="Arial"/>
                <w:szCs w:val="24"/>
              </w:rPr>
              <w:t>Other comprehensive income and expenditure</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4D7EABE7" w14:textId="0598965B" w:rsidR="00B16E84" w:rsidRPr="008A3DEE" w:rsidRDefault="001A0D2C" w:rsidP="00233A66">
            <w:pPr>
              <w:jc w:val="right"/>
              <w:rPr>
                <w:rFonts w:cs="Arial"/>
                <w:szCs w:val="24"/>
              </w:rPr>
            </w:pPr>
            <w:r w:rsidRPr="008A3DEE">
              <w:rPr>
                <w:rFonts w:cs="Arial"/>
                <w:szCs w:val="24"/>
              </w:rPr>
              <w:t>-</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0F95A66C" w14:textId="49CCC4F3" w:rsidR="00B16E84" w:rsidRPr="008A3DEE" w:rsidRDefault="001A0D2C" w:rsidP="00233A66">
            <w:pPr>
              <w:jc w:val="right"/>
              <w:rPr>
                <w:rFonts w:cs="Arial"/>
                <w:szCs w:val="24"/>
              </w:rPr>
            </w:pPr>
            <w:r w:rsidRPr="008A3DEE">
              <w:rPr>
                <w:rFonts w:cs="Arial"/>
                <w:szCs w:val="24"/>
              </w:rPr>
              <w:t>-</w:t>
            </w:r>
          </w:p>
        </w:tc>
        <w:tc>
          <w:tcPr>
            <w:tcW w:w="396" w:type="pct"/>
            <w:tcBorders>
              <w:top w:val="single" w:sz="4" w:space="0" w:color="auto"/>
              <w:left w:val="single" w:sz="4" w:space="0" w:color="auto"/>
              <w:bottom w:val="single" w:sz="4" w:space="0" w:color="auto"/>
              <w:right w:val="single" w:sz="4" w:space="0" w:color="auto"/>
            </w:tcBorders>
            <w:vAlign w:val="center"/>
          </w:tcPr>
          <w:p w14:paraId="7B1E271E" w14:textId="2691882F" w:rsidR="00B16E84" w:rsidRPr="008A3DEE" w:rsidRDefault="001A0D2C" w:rsidP="00233A66">
            <w:pPr>
              <w:jc w:val="right"/>
              <w:rPr>
                <w:rFonts w:cs="Arial"/>
                <w:szCs w:val="24"/>
              </w:rPr>
            </w:pPr>
            <w:r w:rsidRPr="008A3DEE">
              <w:rPr>
                <w:rFonts w:cs="Arial"/>
                <w:szCs w:val="24"/>
              </w:rPr>
              <w:t>-</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4ECF9858" w14:textId="3822401A" w:rsidR="00B16E84" w:rsidRPr="008A3DEE" w:rsidRDefault="001A0D2C" w:rsidP="00233A66">
            <w:pPr>
              <w:jc w:val="right"/>
              <w:rPr>
                <w:rFonts w:cs="Arial"/>
                <w:szCs w:val="24"/>
              </w:rPr>
            </w:pPr>
            <w:r w:rsidRPr="008A3DEE">
              <w:rPr>
                <w:rFonts w:cs="Arial"/>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14:paraId="0D1437EC" w14:textId="1501F4CC" w:rsidR="00B16E84" w:rsidRPr="008A3DEE" w:rsidRDefault="001A0D2C" w:rsidP="00233A66">
            <w:pPr>
              <w:jc w:val="right"/>
              <w:rPr>
                <w:rFonts w:cs="Arial"/>
                <w:szCs w:val="24"/>
              </w:rPr>
            </w:pPr>
            <w:r w:rsidRPr="008A3DEE">
              <w:rPr>
                <w:rFonts w:cs="Arial"/>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5BB204F1" w14:textId="0718F74D" w:rsidR="00B16E84" w:rsidRPr="008A3DEE" w:rsidRDefault="001A0D2C" w:rsidP="00233A66">
            <w:pPr>
              <w:jc w:val="right"/>
              <w:rPr>
                <w:rFonts w:cs="Arial"/>
                <w:szCs w:val="24"/>
              </w:rPr>
            </w:pPr>
            <w:r w:rsidRPr="008A3DEE">
              <w:rPr>
                <w:rFonts w:cs="Arial"/>
                <w:szCs w:val="24"/>
              </w:rPr>
              <w: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577471D5" w14:textId="561763A3" w:rsidR="00B16E84" w:rsidRPr="008A3DEE" w:rsidRDefault="001A0D2C" w:rsidP="00233A66">
            <w:pPr>
              <w:jc w:val="right"/>
              <w:rPr>
                <w:rFonts w:cs="Arial"/>
                <w:szCs w:val="24"/>
              </w:rPr>
            </w:pPr>
            <w:r w:rsidRPr="008A3DEE">
              <w:rPr>
                <w:rFonts w:cs="Arial"/>
                <w:szCs w:val="24"/>
              </w:rPr>
              <w:t>-</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293FE1E1" w14:textId="71F30159" w:rsidR="00B16E84" w:rsidRPr="008A3DEE" w:rsidRDefault="00B16E84" w:rsidP="00233A66">
            <w:pPr>
              <w:jc w:val="right"/>
              <w:rPr>
                <w:rFonts w:cs="Arial"/>
                <w:szCs w:val="24"/>
              </w:rPr>
            </w:pPr>
            <w:r w:rsidRPr="008A3DEE">
              <w:rPr>
                <w:rFonts w:cs="Arial"/>
                <w:szCs w:val="24"/>
              </w:rPr>
              <w:t>2</w:t>
            </w:r>
            <w:r w:rsidR="00E44810" w:rsidRPr="008A3DEE">
              <w:rPr>
                <w:rFonts w:cs="Arial"/>
                <w:szCs w:val="24"/>
              </w:rPr>
              <w:t>66</w:t>
            </w:r>
            <w:r w:rsidRPr="008A3DEE">
              <w:rPr>
                <w:rFonts w:cs="Arial"/>
                <w:szCs w:val="24"/>
              </w:rPr>
              <w:t>,</w:t>
            </w:r>
            <w:r w:rsidR="0017773E" w:rsidRPr="008A3DEE">
              <w:rPr>
                <w:rFonts w:cs="Arial"/>
                <w:szCs w:val="24"/>
              </w:rPr>
              <w:t>5</w:t>
            </w:r>
            <w:r w:rsidR="00E44810" w:rsidRPr="008A3DEE">
              <w:rPr>
                <w:rFonts w:cs="Arial"/>
                <w:szCs w:val="24"/>
              </w:rPr>
              <w:t>1</w:t>
            </w:r>
            <w:r w:rsidR="0017773E" w:rsidRPr="008A3DEE">
              <w:rPr>
                <w:rFonts w:cs="Arial"/>
                <w:szCs w:val="24"/>
              </w:rPr>
              <w:t>2</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12C944FD" w14:textId="46C82F5F" w:rsidR="00B16E84" w:rsidRPr="008A3DEE" w:rsidRDefault="00B16E84" w:rsidP="00233A66">
            <w:pPr>
              <w:jc w:val="right"/>
              <w:rPr>
                <w:rFonts w:cs="Arial"/>
                <w:szCs w:val="24"/>
              </w:rPr>
            </w:pPr>
            <w:r w:rsidRPr="008A3DEE">
              <w:rPr>
                <w:rFonts w:cs="Arial"/>
                <w:szCs w:val="24"/>
              </w:rPr>
              <w:t>2</w:t>
            </w:r>
            <w:r w:rsidR="00E44810" w:rsidRPr="008A3DEE">
              <w:rPr>
                <w:rFonts w:cs="Arial"/>
                <w:szCs w:val="24"/>
              </w:rPr>
              <w:t>66</w:t>
            </w:r>
            <w:r w:rsidRPr="008A3DEE">
              <w:rPr>
                <w:rFonts w:cs="Arial"/>
                <w:szCs w:val="24"/>
              </w:rPr>
              <w:t>,</w:t>
            </w:r>
            <w:r w:rsidR="00B726C8" w:rsidRPr="008A3DEE">
              <w:rPr>
                <w:rFonts w:cs="Arial"/>
                <w:szCs w:val="24"/>
              </w:rPr>
              <w:t>5</w:t>
            </w:r>
            <w:r w:rsidR="00E44810" w:rsidRPr="008A3DEE">
              <w:rPr>
                <w:rFonts w:cs="Arial"/>
                <w:szCs w:val="24"/>
              </w:rPr>
              <w:t>1</w:t>
            </w:r>
            <w:r w:rsidR="00B726C8" w:rsidRPr="008A3DEE">
              <w:rPr>
                <w:rFonts w:cs="Arial"/>
                <w:szCs w:val="24"/>
              </w:rPr>
              <w:t>2</w:t>
            </w:r>
          </w:p>
        </w:tc>
      </w:tr>
      <w:tr w:rsidR="00B16E84" w:rsidRPr="00B16E84" w14:paraId="5BA82A1C" w14:textId="77777777" w:rsidTr="00233A66">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161D9113" w14:textId="77777777" w:rsidR="00B16E84" w:rsidRPr="008A3DEE" w:rsidRDefault="00B16E84" w:rsidP="00582882">
            <w:pPr>
              <w:rPr>
                <w:rFonts w:cs="Arial"/>
                <w:b/>
                <w:bCs/>
                <w:szCs w:val="24"/>
              </w:rPr>
            </w:pPr>
            <w:r w:rsidRPr="008A3DEE">
              <w:rPr>
                <w:rFonts w:cs="Arial"/>
                <w:b/>
                <w:bCs/>
                <w:szCs w:val="24"/>
              </w:rPr>
              <w:t>Total comprehensive income and expenditure</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07534A8A" w14:textId="12D09516" w:rsidR="00B16E84" w:rsidRPr="008A3DEE" w:rsidRDefault="00B16E84" w:rsidP="00233A66">
            <w:pPr>
              <w:jc w:val="right"/>
              <w:rPr>
                <w:rFonts w:cs="Arial"/>
                <w:b/>
                <w:bCs/>
                <w:szCs w:val="24"/>
              </w:rPr>
            </w:pPr>
            <w:r w:rsidRPr="008A3DEE">
              <w:rPr>
                <w:rFonts w:cs="Arial"/>
                <w:b/>
                <w:bCs/>
                <w:szCs w:val="24"/>
              </w:rPr>
              <w:t>(15,3</w:t>
            </w:r>
            <w:r w:rsidR="0096022A" w:rsidRPr="008A3DEE">
              <w:rPr>
                <w:rFonts w:cs="Arial"/>
                <w:b/>
                <w:bCs/>
                <w:szCs w:val="24"/>
              </w:rPr>
              <w:t>4</w:t>
            </w:r>
            <w:r w:rsidRPr="008A3DEE">
              <w:rPr>
                <w:rFonts w:cs="Arial"/>
                <w:b/>
                <w:bCs/>
                <w:szCs w:val="24"/>
              </w:rPr>
              <w:t>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215F524C" w14:textId="54C8322F" w:rsidR="00B16E84" w:rsidRPr="008A3DEE" w:rsidRDefault="00B16E84" w:rsidP="00233A66">
            <w:pPr>
              <w:jc w:val="right"/>
              <w:rPr>
                <w:rFonts w:cs="Arial"/>
                <w:b/>
                <w:bCs/>
                <w:szCs w:val="24"/>
              </w:rPr>
            </w:pPr>
            <w:r w:rsidRPr="008A3DEE">
              <w:rPr>
                <w:rFonts w:cs="Arial"/>
                <w:b/>
                <w:bCs/>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60E4EFFF" w14:textId="5345D2AE" w:rsidR="00B16E84" w:rsidRPr="008A3DEE" w:rsidRDefault="00B16E84" w:rsidP="00233A66">
            <w:pPr>
              <w:jc w:val="right"/>
              <w:rPr>
                <w:rFonts w:cs="Arial"/>
                <w:b/>
                <w:bCs/>
                <w:szCs w:val="24"/>
              </w:rPr>
            </w:pPr>
            <w:r w:rsidRPr="008A3DEE">
              <w:rPr>
                <w:rFonts w:cs="Arial"/>
                <w:b/>
                <w:bCs/>
                <w:szCs w:val="24"/>
              </w:rPr>
              <w:t>(15,3</w:t>
            </w:r>
            <w:r w:rsidR="0096022A" w:rsidRPr="008A3DEE">
              <w:rPr>
                <w:rFonts w:cs="Arial"/>
                <w:b/>
                <w:bCs/>
                <w:szCs w:val="24"/>
              </w:rPr>
              <w:t>4</w:t>
            </w:r>
            <w:r w:rsidRPr="008A3DEE">
              <w:rPr>
                <w:rFonts w:cs="Arial"/>
                <w:b/>
                <w:bCs/>
                <w:szCs w:val="24"/>
              </w:rPr>
              <w:t>7)</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49D7E0EE" w14:textId="7D7F7432" w:rsidR="00B16E84" w:rsidRPr="008A3DEE" w:rsidRDefault="00B16E84" w:rsidP="00233A66">
            <w:pPr>
              <w:jc w:val="right"/>
              <w:rPr>
                <w:rFonts w:cs="Arial"/>
                <w:b/>
                <w:bCs/>
                <w:szCs w:val="24"/>
              </w:rPr>
            </w:pPr>
            <w:r w:rsidRPr="008A3DEE">
              <w:rPr>
                <w:rFonts w:cs="Arial"/>
                <w:b/>
                <w:bCs/>
                <w:szCs w:val="24"/>
              </w:rPr>
              <w:t>-</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79DCD563" w14:textId="2EC0C5EE" w:rsidR="00B16E84" w:rsidRPr="008A3DEE" w:rsidRDefault="00B16E84" w:rsidP="00233A66">
            <w:pPr>
              <w:jc w:val="right"/>
              <w:rPr>
                <w:rFonts w:cs="Arial"/>
                <w:b/>
                <w:bCs/>
                <w:szCs w:val="24"/>
              </w:rPr>
            </w:pPr>
            <w:r w:rsidRPr="008A3DEE">
              <w:rPr>
                <w:rFonts w:cs="Arial"/>
                <w:b/>
                <w:bCs/>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27F32962" w14:textId="1A611481" w:rsidR="00B16E84" w:rsidRPr="008A3DEE" w:rsidRDefault="00B16E84" w:rsidP="00233A66">
            <w:pPr>
              <w:jc w:val="right"/>
              <w:rPr>
                <w:rFonts w:cs="Arial"/>
                <w:b/>
                <w:bCs/>
                <w:szCs w:val="24"/>
              </w:rPr>
            </w:pPr>
            <w:r w:rsidRPr="008A3DEE">
              <w:rPr>
                <w:rFonts w:cs="Arial"/>
                <w:b/>
                <w:bCs/>
                <w:szCs w:val="24"/>
              </w:rPr>
              <w: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3687562A" w14:textId="5E5A9D14" w:rsidR="00B16E84" w:rsidRPr="008A3DEE" w:rsidRDefault="00B16E84" w:rsidP="00233A66">
            <w:pPr>
              <w:jc w:val="right"/>
              <w:rPr>
                <w:rFonts w:cs="Arial"/>
                <w:b/>
                <w:bCs/>
                <w:szCs w:val="24"/>
              </w:rPr>
            </w:pPr>
            <w:r w:rsidRPr="008A3DEE">
              <w:rPr>
                <w:rFonts w:cs="Arial"/>
                <w:b/>
                <w:bCs/>
                <w:szCs w:val="24"/>
              </w:rPr>
              <w:t>(15,3</w:t>
            </w:r>
            <w:r w:rsidR="00CE434E" w:rsidRPr="008A3DEE">
              <w:rPr>
                <w:rFonts w:cs="Arial"/>
                <w:b/>
                <w:bCs/>
                <w:szCs w:val="24"/>
              </w:rPr>
              <w:t>4</w:t>
            </w:r>
            <w:r w:rsidRPr="008A3DEE">
              <w:rPr>
                <w:rFonts w:cs="Arial"/>
                <w:b/>
                <w:bCs/>
                <w:szCs w:val="24"/>
              </w:rPr>
              <w:t>7)</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010160A1" w14:textId="0CF3BB1D" w:rsidR="00B16E84" w:rsidRPr="008A3DEE" w:rsidRDefault="00B16E84" w:rsidP="00233A66">
            <w:pPr>
              <w:jc w:val="right"/>
              <w:rPr>
                <w:rFonts w:cs="Arial"/>
                <w:b/>
                <w:bCs/>
                <w:szCs w:val="24"/>
              </w:rPr>
            </w:pPr>
            <w:r w:rsidRPr="008A3DEE">
              <w:rPr>
                <w:rFonts w:cs="Arial"/>
                <w:b/>
                <w:bCs/>
                <w:szCs w:val="24"/>
              </w:rPr>
              <w:t>2</w:t>
            </w:r>
            <w:r w:rsidR="00E44810" w:rsidRPr="008A3DEE">
              <w:rPr>
                <w:rFonts w:cs="Arial"/>
                <w:b/>
                <w:bCs/>
                <w:szCs w:val="24"/>
              </w:rPr>
              <w:t>66</w:t>
            </w:r>
            <w:r w:rsidRPr="008A3DEE">
              <w:rPr>
                <w:rFonts w:cs="Arial"/>
                <w:b/>
                <w:bCs/>
                <w:szCs w:val="24"/>
              </w:rPr>
              <w:t>,</w:t>
            </w:r>
            <w:r w:rsidR="00B726C8" w:rsidRPr="008A3DEE">
              <w:rPr>
                <w:rFonts w:cs="Arial"/>
                <w:b/>
                <w:bCs/>
                <w:szCs w:val="24"/>
              </w:rPr>
              <w:t>5</w:t>
            </w:r>
            <w:r w:rsidR="00E44810" w:rsidRPr="008A3DEE">
              <w:rPr>
                <w:rFonts w:cs="Arial"/>
                <w:b/>
                <w:bCs/>
                <w:szCs w:val="24"/>
              </w:rPr>
              <w:t>1</w:t>
            </w:r>
            <w:r w:rsidR="00B726C8" w:rsidRPr="008A3DEE">
              <w:rPr>
                <w:rFonts w:cs="Arial"/>
                <w:b/>
                <w:bCs/>
                <w:szCs w:val="24"/>
              </w:rPr>
              <w:t>2</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2CE4AC06" w14:textId="2355E274" w:rsidR="00B16E84" w:rsidRPr="008A3DEE" w:rsidRDefault="00B16E84" w:rsidP="00233A66">
            <w:pPr>
              <w:jc w:val="right"/>
              <w:rPr>
                <w:rFonts w:cs="Arial"/>
                <w:b/>
                <w:bCs/>
                <w:szCs w:val="24"/>
              </w:rPr>
            </w:pPr>
            <w:r w:rsidRPr="008A3DEE">
              <w:rPr>
                <w:rFonts w:cs="Arial"/>
                <w:b/>
                <w:bCs/>
                <w:szCs w:val="24"/>
              </w:rPr>
              <w:t>2</w:t>
            </w:r>
            <w:r w:rsidR="00E44810" w:rsidRPr="008A3DEE">
              <w:rPr>
                <w:rFonts w:cs="Arial"/>
                <w:b/>
                <w:bCs/>
                <w:szCs w:val="24"/>
              </w:rPr>
              <w:t>51</w:t>
            </w:r>
            <w:r w:rsidRPr="008A3DEE">
              <w:rPr>
                <w:rFonts w:cs="Arial"/>
                <w:b/>
                <w:bCs/>
                <w:szCs w:val="24"/>
              </w:rPr>
              <w:t>,</w:t>
            </w:r>
            <w:r w:rsidR="00E44810" w:rsidRPr="008A3DEE">
              <w:rPr>
                <w:rFonts w:cs="Arial"/>
                <w:b/>
                <w:bCs/>
                <w:szCs w:val="24"/>
              </w:rPr>
              <w:t>16</w:t>
            </w:r>
            <w:r w:rsidR="00811138" w:rsidRPr="008A3DEE">
              <w:rPr>
                <w:rFonts w:cs="Arial"/>
                <w:b/>
                <w:bCs/>
                <w:szCs w:val="24"/>
              </w:rPr>
              <w:t>5</w:t>
            </w:r>
          </w:p>
        </w:tc>
      </w:tr>
    </w:tbl>
    <w:p w14:paraId="1565F23A" w14:textId="77777777" w:rsidR="005F5C59" w:rsidRDefault="005F5C59"/>
    <w:tbl>
      <w:tblPr>
        <w:tblW w:w="5000" w:type="pct"/>
        <w:tblLook w:val="01E0" w:firstRow="1" w:lastRow="1" w:firstColumn="1" w:lastColumn="1" w:noHBand="0" w:noVBand="0"/>
      </w:tblPr>
      <w:tblGrid>
        <w:gridCol w:w="4037"/>
        <w:gridCol w:w="1210"/>
        <w:gridCol w:w="1390"/>
        <w:gridCol w:w="1207"/>
        <w:gridCol w:w="1225"/>
        <w:gridCol w:w="1256"/>
        <w:gridCol w:w="1207"/>
        <w:gridCol w:w="1210"/>
        <w:gridCol w:w="1244"/>
        <w:gridCol w:w="1256"/>
      </w:tblGrid>
      <w:tr w:rsidR="005F5C59" w:rsidRPr="00B16E84" w14:paraId="02EAAC60" w14:textId="77777777" w:rsidTr="00036C34">
        <w:trPr>
          <w:trHeight w:val="231"/>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BFC4B9" w14:textId="3CD3A99F" w:rsidR="005F5C59" w:rsidRPr="00BD79B2" w:rsidRDefault="005F5C59" w:rsidP="002C5DD1">
            <w:pPr>
              <w:rPr>
                <w:rFonts w:cs="Arial"/>
                <w:b/>
                <w:bCs/>
                <w:szCs w:val="24"/>
              </w:rPr>
            </w:pPr>
            <w:r w:rsidRPr="00BD79B2">
              <w:rPr>
                <w:rFonts w:cs="Arial"/>
                <w:b/>
                <w:bCs/>
                <w:szCs w:val="24"/>
              </w:rPr>
              <w:t>Adjustments between accounting basis and funding basis under regulations</w:t>
            </w:r>
          </w:p>
        </w:tc>
      </w:tr>
      <w:tr w:rsidR="00B16E84" w:rsidRPr="00B16E84" w14:paraId="70B24B03" w14:textId="77777777" w:rsidTr="00233A66">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7FE39711" w14:textId="77777777" w:rsidR="00B16E84" w:rsidRPr="008A3DEE" w:rsidRDefault="00B16E84" w:rsidP="005F5C59">
            <w:pPr>
              <w:rPr>
                <w:rFonts w:cs="Arial"/>
                <w:szCs w:val="24"/>
              </w:rPr>
            </w:pPr>
            <w:r w:rsidRPr="008A3DEE">
              <w:rPr>
                <w:rFonts w:cs="Arial"/>
                <w:szCs w:val="24"/>
              </w:rPr>
              <w:t>Charges for depreciation and impairment of non-current assets</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59277039" w14:textId="18D082B4" w:rsidR="00B16E84" w:rsidRPr="008A3DEE" w:rsidRDefault="00B16E84" w:rsidP="00233A66">
            <w:pPr>
              <w:jc w:val="right"/>
              <w:rPr>
                <w:rFonts w:cs="Arial"/>
                <w:szCs w:val="24"/>
              </w:rPr>
            </w:pPr>
            <w:r w:rsidRPr="008A3DEE">
              <w:rPr>
                <w:rFonts w:cs="Arial"/>
                <w:szCs w:val="24"/>
              </w:rPr>
              <w:t>5,859</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59090DA7" w14:textId="60E388BF" w:rsidR="00B16E84" w:rsidRPr="008A3DEE" w:rsidRDefault="00FF4100" w:rsidP="00233A66">
            <w:pPr>
              <w:jc w:val="right"/>
              <w:rPr>
                <w:rFonts w:cs="Arial"/>
                <w:szCs w:val="24"/>
              </w:rPr>
            </w:pPr>
            <w:r w:rsidRPr="008A3DEE">
              <w:rPr>
                <w:rFonts w:cs="Arial"/>
                <w:szCs w:val="24"/>
              </w:rPr>
              <w:t>-</w:t>
            </w:r>
          </w:p>
        </w:tc>
        <w:tc>
          <w:tcPr>
            <w:tcW w:w="396" w:type="pct"/>
            <w:tcBorders>
              <w:top w:val="single" w:sz="4" w:space="0" w:color="auto"/>
              <w:left w:val="single" w:sz="4" w:space="0" w:color="auto"/>
              <w:bottom w:val="single" w:sz="4" w:space="0" w:color="auto"/>
              <w:right w:val="single" w:sz="4" w:space="0" w:color="auto"/>
            </w:tcBorders>
            <w:vAlign w:val="center"/>
          </w:tcPr>
          <w:p w14:paraId="4B5D9C6E" w14:textId="4628C050" w:rsidR="00B16E84" w:rsidRPr="008A3DEE" w:rsidRDefault="00B16E84" w:rsidP="00233A66">
            <w:pPr>
              <w:jc w:val="right"/>
              <w:rPr>
                <w:rFonts w:cs="Arial"/>
                <w:szCs w:val="24"/>
              </w:rPr>
            </w:pPr>
            <w:r w:rsidRPr="008A3DEE">
              <w:rPr>
                <w:rFonts w:cs="Arial"/>
                <w:szCs w:val="24"/>
              </w:rPr>
              <w:t>5,859</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6146FCDA" w14:textId="4164BA18" w:rsidR="00B16E84" w:rsidRPr="008A3DEE" w:rsidRDefault="00FF4100" w:rsidP="00233A66">
            <w:pPr>
              <w:jc w:val="right"/>
              <w:rPr>
                <w:rFonts w:cs="Arial"/>
                <w:szCs w:val="24"/>
              </w:rPr>
            </w:pPr>
            <w:r w:rsidRPr="008A3DEE">
              <w:rPr>
                <w:rFonts w:cs="Arial"/>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14:paraId="7B5F2FAD" w14:textId="423D4270" w:rsidR="00B16E84" w:rsidRPr="008A3DEE" w:rsidRDefault="00FF4100" w:rsidP="00233A66">
            <w:pPr>
              <w:jc w:val="right"/>
              <w:rPr>
                <w:rFonts w:cs="Arial"/>
                <w:szCs w:val="24"/>
              </w:rPr>
            </w:pPr>
            <w:r w:rsidRPr="008A3DEE">
              <w:rPr>
                <w:rFonts w:cs="Arial"/>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0DB5030D" w14:textId="73DCBB0B" w:rsidR="00B16E84" w:rsidRPr="008A3DEE" w:rsidRDefault="00FF4100" w:rsidP="00233A66">
            <w:pPr>
              <w:jc w:val="right"/>
              <w:rPr>
                <w:rFonts w:cs="Arial"/>
                <w:szCs w:val="24"/>
              </w:rPr>
            </w:pPr>
            <w:r w:rsidRPr="008A3DEE">
              <w:rPr>
                <w:rFonts w:cs="Arial"/>
                <w:szCs w:val="24"/>
              </w:rPr>
              <w: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442BF4B" w14:textId="0CC0E43A" w:rsidR="00B16E84" w:rsidRPr="008A3DEE" w:rsidRDefault="00B16E84" w:rsidP="00233A66">
            <w:pPr>
              <w:jc w:val="right"/>
              <w:rPr>
                <w:rFonts w:cs="Arial"/>
                <w:szCs w:val="24"/>
              </w:rPr>
            </w:pPr>
            <w:r w:rsidRPr="008A3DEE">
              <w:rPr>
                <w:rFonts w:cs="Arial"/>
                <w:szCs w:val="24"/>
              </w:rPr>
              <w:t>5,859</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3FB19B94" w14:textId="2CA45701" w:rsidR="00B16E84" w:rsidRPr="008A3DEE" w:rsidRDefault="00B16E84" w:rsidP="00233A66">
            <w:pPr>
              <w:jc w:val="right"/>
              <w:rPr>
                <w:rFonts w:cs="Arial"/>
                <w:szCs w:val="24"/>
              </w:rPr>
            </w:pPr>
            <w:r w:rsidRPr="008A3DEE">
              <w:rPr>
                <w:rFonts w:cs="Arial"/>
                <w:szCs w:val="24"/>
              </w:rPr>
              <w:t>(5,859)</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1BAA5602" w14:textId="2141903C" w:rsidR="00B16E84" w:rsidRPr="008A3DEE" w:rsidRDefault="00B16E84" w:rsidP="00233A66">
            <w:pPr>
              <w:jc w:val="right"/>
              <w:rPr>
                <w:rFonts w:cs="Arial"/>
                <w:szCs w:val="24"/>
              </w:rPr>
            </w:pPr>
            <w:r w:rsidRPr="008A3DEE">
              <w:rPr>
                <w:rFonts w:cs="Arial"/>
                <w:szCs w:val="24"/>
              </w:rPr>
              <w:t>-</w:t>
            </w:r>
          </w:p>
        </w:tc>
      </w:tr>
      <w:tr w:rsidR="00B16E84" w:rsidRPr="00B16E84" w14:paraId="46D287E0" w14:textId="77777777" w:rsidTr="00233A66">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02F4AC74" w14:textId="77777777" w:rsidR="00B16E84" w:rsidRPr="008A3DEE" w:rsidRDefault="00B16E84" w:rsidP="005F5C59">
            <w:pPr>
              <w:rPr>
                <w:rFonts w:cs="Arial"/>
                <w:szCs w:val="24"/>
              </w:rPr>
            </w:pPr>
            <w:r w:rsidRPr="008A3DEE">
              <w:rPr>
                <w:rFonts w:cs="Arial"/>
                <w:szCs w:val="24"/>
              </w:rPr>
              <w:t>Amortisation of intangible assets</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F888314" w14:textId="21B4A1D0" w:rsidR="00B16E84" w:rsidRPr="008A3DEE" w:rsidRDefault="00B16E84" w:rsidP="00233A66">
            <w:pPr>
              <w:jc w:val="right"/>
              <w:rPr>
                <w:rFonts w:cs="Arial"/>
                <w:szCs w:val="24"/>
              </w:rPr>
            </w:pPr>
            <w:r w:rsidRPr="008A3DEE">
              <w:rPr>
                <w:rFonts w:cs="Arial"/>
                <w:szCs w:val="24"/>
              </w:rPr>
              <w:t>94</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3319852A" w14:textId="1401F0E4" w:rsidR="00B16E84" w:rsidRPr="008A3DEE" w:rsidRDefault="00FF4100" w:rsidP="00233A66">
            <w:pPr>
              <w:jc w:val="right"/>
              <w:rPr>
                <w:rFonts w:cs="Arial"/>
                <w:szCs w:val="24"/>
              </w:rPr>
            </w:pPr>
            <w:r w:rsidRPr="008A3DEE">
              <w:rPr>
                <w:rFonts w:cs="Arial"/>
                <w:szCs w:val="24"/>
              </w:rPr>
              <w:t>-</w:t>
            </w:r>
          </w:p>
        </w:tc>
        <w:tc>
          <w:tcPr>
            <w:tcW w:w="396" w:type="pct"/>
            <w:tcBorders>
              <w:top w:val="single" w:sz="4" w:space="0" w:color="auto"/>
              <w:left w:val="single" w:sz="4" w:space="0" w:color="auto"/>
              <w:bottom w:val="single" w:sz="4" w:space="0" w:color="auto"/>
              <w:right w:val="single" w:sz="4" w:space="0" w:color="auto"/>
            </w:tcBorders>
            <w:vAlign w:val="center"/>
          </w:tcPr>
          <w:p w14:paraId="75166037" w14:textId="72BE4424" w:rsidR="00B16E84" w:rsidRPr="008A3DEE" w:rsidRDefault="00B16E84" w:rsidP="00233A66">
            <w:pPr>
              <w:jc w:val="right"/>
              <w:rPr>
                <w:rFonts w:cs="Arial"/>
                <w:szCs w:val="24"/>
              </w:rPr>
            </w:pPr>
            <w:r w:rsidRPr="008A3DEE">
              <w:rPr>
                <w:rFonts w:cs="Arial"/>
                <w:szCs w:val="24"/>
              </w:rPr>
              <w:t>94</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76761484" w14:textId="5043F5A5" w:rsidR="00B16E84" w:rsidRPr="008A3DEE" w:rsidRDefault="00FF4100" w:rsidP="00233A66">
            <w:pPr>
              <w:jc w:val="right"/>
              <w:rPr>
                <w:rFonts w:cs="Arial"/>
                <w:szCs w:val="24"/>
              </w:rPr>
            </w:pPr>
            <w:r w:rsidRPr="008A3DEE">
              <w:rPr>
                <w:rFonts w:cs="Arial"/>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14:paraId="2AFDF395" w14:textId="432AA8AA" w:rsidR="00B16E84" w:rsidRPr="008A3DEE" w:rsidRDefault="00FF4100" w:rsidP="00233A66">
            <w:pPr>
              <w:jc w:val="right"/>
              <w:rPr>
                <w:rFonts w:cs="Arial"/>
                <w:szCs w:val="24"/>
              </w:rPr>
            </w:pPr>
            <w:r w:rsidRPr="008A3DEE">
              <w:rPr>
                <w:rFonts w:cs="Arial"/>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6B7656B2" w14:textId="188CFD43" w:rsidR="00B16E84" w:rsidRPr="008A3DEE" w:rsidRDefault="00FF4100" w:rsidP="00233A66">
            <w:pPr>
              <w:jc w:val="right"/>
              <w:rPr>
                <w:rFonts w:cs="Arial"/>
                <w:szCs w:val="24"/>
              </w:rPr>
            </w:pPr>
            <w:r w:rsidRPr="008A3DEE">
              <w:rPr>
                <w:rFonts w:cs="Arial"/>
                <w:szCs w:val="24"/>
              </w:rPr>
              <w: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35E8D404" w14:textId="7487517E" w:rsidR="00B16E84" w:rsidRPr="008A3DEE" w:rsidRDefault="00B16E84" w:rsidP="00233A66">
            <w:pPr>
              <w:jc w:val="right"/>
              <w:rPr>
                <w:rFonts w:cs="Arial"/>
                <w:szCs w:val="24"/>
              </w:rPr>
            </w:pPr>
            <w:r w:rsidRPr="008A3DEE">
              <w:rPr>
                <w:rFonts w:cs="Arial"/>
                <w:szCs w:val="24"/>
              </w:rPr>
              <w:t>94</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401A5FEA" w14:textId="75D22F08" w:rsidR="00B16E84" w:rsidRPr="008A3DEE" w:rsidRDefault="00B16E84" w:rsidP="00233A66">
            <w:pPr>
              <w:jc w:val="right"/>
              <w:rPr>
                <w:rFonts w:cs="Arial"/>
                <w:szCs w:val="24"/>
              </w:rPr>
            </w:pPr>
            <w:r w:rsidRPr="008A3DEE">
              <w:rPr>
                <w:rFonts w:cs="Arial"/>
                <w:szCs w:val="24"/>
              </w:rPr>
              <w:t>(94)</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4EDE7244" w14:textId="4D0D0B64" w:rsidR="00B16E84" w:rsidRPr="008A3DEE" w:rsidRDefault="00B16E84" w:rsidP="00233A66">
            <w:pPr>
              <w:jc w:val="right"/>
              <w:rPr>
                <w:rFonts w:cs="Arial"/>
                <w:szCs w:val="24"/>
              </w:rPr>
            </w:pPr>
            <w:r w:rsidRPr="008A3DEE">
              <w:rPr>
                <w:rFonts w:cs="Arial"/>
                <w:szCs w:val="24"/>
              </w:rPr>
              <w:t>-</w:t>
            </w:r>
          </w:p>
        </w:tc>
      </w:tr>
      <w:tr w:rsidR="00B16E84" w:rsidRPr="00B16E84" w14:paraId="3F28A79C" w14:textId="77777777" w:rsidTr="00233A66">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15B368CE" w14:textId="77777777" w:rsidR="00B16E84" w:rsidRPr="008A3DEE" w:rsidRDefault="00B16E84" w:rsidP="005F5C59">
            <w:pPr>
              <w:rPr>
                <w:rFonts w:cs="Arial"/>
                <w:szCs w:val="24"/>
              </w:rPr>
            </w:pPr>
            <w:r w:rsidRPr="008A3DEE">
              <w:rPr>
                <w:rFonts w:cs="Arial"/>
                <w:szCs w:val="24"/>
              </w:rPr>
              <w:t>Disposal of assets</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1EC864CE" w14:textId="3DCCC880" w:rsidR="00B16E84" w:rsidRPr="008A3DEE" w:rsidRDefault="00B16E84" w:rsidP="00233A66">
            <w:pPr>
              <w:jc w:val="right"/>
              <w:rPr>
                <w:rFonts w:cs="Arial"/>
                <w:szCs w:val="24"/>
              </w:rPr>
            </w:pPr>
            <w:r w:rsidRPr="008A3DEE">
              <w:rPr>
                <w:rFonts w:cs="Arial"/>
                <w:szCs w:val="24"/>
              </w:rPr>
              <w:t>(9)</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08CFEEA2" w14:textId="298304B7" w:rsidR="00B16E84" w:rsidRPr="008A3DEE" w:rsidRDefault="00FF4100" w:rsidP="00233A66">
            <w:pPr>
              <w:jc w:val="right"/>
              <w:rPr>
                <w:rFonts w:cs="Arial"/>
                <w:szCs w:val="24"/>
              </w:rPr>
            </w:pPr>
            <w:r w:rsidRPr="008A3DEE">
              <w:rPr>
                <w:rFonts w:cs="Arial"/>
                <w:szCs w:val="24"/>
              </w:rPr>
              <w:t>-</w:t>
            </w:r>
          </w:p>
        </w:tc>
        <w:tc>
          <w:tcPr>
            <w:tcW w:w="396" w:type="pct"/>
            <w:tcBorders>
              <w:top w:val="single" w:sz="4" w:space="0" w:color="auto"/>
              <w:left w:val="single" w:sz="4" w:space="0" w:color="auto"/>
              <w:bottom w:val="single" w:sz="4" w:space="0" w:color="auto"/>
              <w:right w:val="single" w:sz="4" w:space="0" w:color="auto"/>
            </w:tcBorders>
            <w:vAlign w:val="center"/>
          </w:tcPr>
          <w:p w14:paraId="2C026E61" w14:textId="2235E41C" w:rsidR="00B16E84" w:rsidRPr="008A3DEE" w:rsidRDefault="00B16E84" w:rsidP="00233A66">
            <w:pPr>
              <w:jc w:val="right"/>
              <w:rPr>
                <w:rFonts w:cs="Arial"/>
                <w:szCs w:val="24"/>
              </w:rPr>
            </w:pPr>
            <w:r w:rsidRPr="008A3DEE">
              <w:rPr>
                <w:rFonts w:cs="Arial"/>
                <w:szCs w:val="24"/>
              </w:rPr>
              <w:t>(9)</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74515B8C" w14:textId="5A33AD5B" w:rsidR="00B16E84" w:rsidRPr="008A3DEE" w:rsidRDefault="00FF4100" w:rsidP="00233A66">
            <w:pPr>
              <w:jc w:val="right"/>
              <w:rPr>
                <w:rFonts w:cs="Arial"/>
                <w:szCs w:val="24"/>
              </w:rPr>
            </w:pPr>
            <w:r w:rsidRPr="008A3DEE">
              <w:rPr>
                <w:rFonts w:cs="Arial"/>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14:paraId="703201AB" w14:textId="569563C3" w:rsidR="00B16E84" w:rsidRPr="008A3DEE" w:rsidRDefault="00FF4100" w:rsidP="00233A66">
            <w:pPr>
              <w:jc w:val="right"/>
              <w:rPr>
                <w:rFonts w:cs="Arial"/>
                <w:szCs w:val="24"/>
              </w:rPr>
            </w:pPr>
            <w:r w:rsidRPr="008A3DEE">
              <w:rPr>
                <w:rFonts w:cs="Arial"/>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4976E80B" w14:textId="695C7ACB" w:rsidR="00B16E84" w:rsidRPr="008A3DEE" w:rsidRDefault="00B16E84" w:rsidP="00233A66">
            <w:pPr>
              <w:jc w:val="right"/>
              <w:rPr>
                <w:rFonts w:cs="Arial"/>
                <w:szCs w:val="24"/>
              </w:rPr>
            </w:pPr>
            <w:r w:rsidRPr="008A3DEE">
              <w:rPr>
                <w:rFonts w:cs="Arial"/>
                <w:szCs w:val="24"/>
              </w:rPr>
              <w:t>9</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1B0CFA0" w14:textId="0457682C" w:rsidR="00B16E84" w:rsidRPr="008A3DEE" w:rsidRDefault="00B16E84" w:rsidP="00233A66">
            <w:pPr>
              <w:jc w:val="right"/>
              <w:rPr>
                <w:rFonts w:cs="Arial"/>
                <w:szCs w:val="24"/>
              </w:rPr>
            </w:pPr>
            <w:r w:rsidRPr="008A3DEE">
              <w:rPr>
                <w:rFonts w:cs="Arial"/>
                <w:szCs w:val="24"/>
              </w:rPr>
              <w:t>-</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271A20F7" w14:textId="03FECF53" w:rsidR="00B16E84" w:rsidRPr="008A3DEE" w:rsidRDefault="00B16E84" w:rsidP="00233A66">
            <w:pPr>
              <w:jc w:val="right"/>
              <w:rPr>
                <w:rFonts w:cs="Arial"/>
                <w:szCs w:val="24"/>
              </w:rPr>
            </w:pPr>
            <w:r w:rsidRPr="008A3DEE">
              <w:rPr>
                <w:rFonts w:cs="Arial"/>
                <w:szCs w:val="24"/>
              </w:rPr>
              <w:t>-</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306F76AD" w14:textId="256CEE3D" w:rsidR="00B16E84" w:rsidRPr="008A3DEE" w:rsidRDefault="00B16E84" w:rsidP="00233A66">
            <w:pPr>
              <w:jc w:val="right"/>
              <w:rPr>
                <w:rFonts w:cs="Arial"/>
                <w:szCs w:val="24"/>
              </w:rPr>
            </w:pPr>
            <w:r w:rsidRPr="008A3DEE">
              <w:rPr>
                <w:rFonts w:cs="Arial"/>
                <w:szCs w:val="24"/>
              </w:rPr>
              <w:t>-</w:t>
            </w:r>
          </w:p>
        </w:tc>
      </w:tr>
      <w:tr w:rsidR="00B16E84" w:rsidRPr="00B16E84" w14:paraId="2AD01712" w14:textId="77777777" w:rsidTr="00233A66">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15B2E092" w14:textId="77777777" w:rsidR="00B16E84" w:rsidRPr="008A3DEE" w:rsidRDefault="00B16E84" w:rsidP="005F5C59">
            <w:pPr>
              <w:rPr>
                <w:rFonts w:cs="Arial"/>
                <w:szCs w:val="24"/>
              </w:rPr>
            </w:pPr>
            <w:r w:rsidRPr="008A3DEE">
              <w:rPr>
                <w:rFonts w:cs="Arial"/>
                <w:szCs w:val="24"/>
              </w:rPr>
              <w:t>Capital grants unapplied</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0A5DECCD" w14:textId="14F56172" w:rsidR="00B16E84" w:rsidRPr="008A3DEE" w:rsidRDefault="00B16E84" w:rsidP="00233A66">
            <w:pPr>
              <w:jc w:val="right"/>
              <w:rPr>
                <w:rFonts w:cs="Arial"/>
                <w:szCs w:val="24"/>
              </w:rPr>
            </w:pPr>
            <w:r w:rsidRPr="008A3DEE">
              <w:rPr>
                <w:rFonts w:cs="Arial"/>
                <w:szCs w:val="24"/>
              </w:rPr>
              <w:t>42</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50522AF2" w14:textId="2258A890" w:rsidR="00B16E84" w:rsidRPr="008A3DEE" w:rsidRDefault="00FF4100" w:rsidP="00233A66">
            <w:pPr>
              <w:jc w:val="right"/>
              <w:rPr>
                <w:rFonts w:cs="Arial"/>
                <w:szCs w:val="24"/>
              </w:rPr>
            </w:pPr>
            <w:r w:rsidRPr="008A3DEE">
              <w:rPr>
                <w:rFonts w:cs="Arial"/>
                <w:szCs w:val="24"/>
              </w:rPr>
              <w:t>-</w:t>
            </w:r>
          </w:p>
        </w:tc>
        <w:tc>
          <w:tcPr>
            <w:tcW w:w="396" w:type="pct"/>
            <w:tcBorders>
              <w:top w:val="single" w:sz="4" w:space="0" w:color="auto"/>
              <w:left w:val="single" w:sz="4" w:space="0" w:color="auto"/>
              <w:bottom w:val="single" w:sz="4" w:space="0" w:color="auto"/>
              <w:right w:val="single" w:sz="4" w:space="0" w:color="auto"/>
            </w:tcBorders>
            <w:vAlign w:val="center"/>
          </w:tcPr>
          <w:p w14:paraId="7B4661C6" w14:textId="5B9AFD26" w:rsidR="00B16E84" w:rsidRPr="008A3DEE" w:rsidRDefault="00B16E84" w:rsidP="00233A66">
            <w:pPr>
              <w:jc w:val="right"/>
              <w:rPr>
                <w:rFonts w:cs="Arial"/>
                <w:szCs w:val="24"/>
              </w:rPr>
            </w:pPr>
            <w:r w:rsidRPr="008A3DEE">
              <w:rPr>
                <w:rFonts w:cs="Arial"/>
                <w:szCs w:val="24"/>
              </w:rPr>
              <w:t>42</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5621DD4B" w14:textId="0B8E63EA" w:rsidR="00B16E84" w:rsidRPr="008A3DEE" w:rsidRDefault="00FF4100" w:rsidP="00233A66">
            <w:pPr>
              <w:jc w:val="right"/>
              <w:rPr>
                <w:rFonts w:cs="Arial"/>
                <w:szCs w:val="24"/>
              </w:rPr>
            </w:pPr>
            <w:r w:rsidRPr="008A3DEE">
              <w:rPr>
                <w:rFonts w:cs="Arial"/>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14:paraId="6C336388" w14:textId="5DE9BECC" w:rsidR="00B16E84" w:rsidRPr="008A3DEE" w:rsidRDefault="00B16E84" w:rsidP="00233A66">
            <w:pPr>
              <w:jc w:val="right"/>
              <w:rPr>
                <w:rFonts w:cs="Arial"/>
                <w:szCs w:val="24"/>
              </w:rPr>
            </w:pPr>
            <w:r w:rsidRPr="008A3DEE">
              <w:rPr>
                <w:rFonts w:cs="Arial"/>
                <w:szCs w:val="24"/>
              </w:rPr>
              <w:t>(42)</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0A7E37B8" w14:textId="1B57F635" w:rsidR="00B16E84" w:rsidRPr="008A3DEE" w:rsidRDefault="00FF4100" w:rsidP="00233A66">
            <w:pPr>
              <w:jc w:val="right"/>
              <w:rPr>
                <w:rFonts w:cs="Arial"/>
                <w:szCs w:val="24"/>
              </w:rPr>
            </w:pPr>
            <w:r w:rsidRPr="008A3DEE">
              <w:rPr>
                <w:rFonts w:cs="Arial"/>
                <w:szCs w:val="24"/>
              </w:rPr>
              <w: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72C431F" w14:textId="5DDF3967" w:rsidR="00B16E84" w:rsidRPr="008A3DEE" w:rsidRDefault="00B16E84" w:rsidP="00233A66">
            <w:pPr>
              <w:jc w:val="right"/>
              <w:rPr>
                <w:rFonts w:cs="Arial"/>
                <w:szCs w:val="24"/>
              </w:rPr>
            </w:pPr>
            <w:r w:rsidRPr="008A3DEE">
              <w:rPr>
                <w:rFonts w:cs="Arial"/>
                <w:szCs w:val="24"/>
              </w:rPr>
              <w:t>-</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6817B55B" w14:textId="5490EF7A" w:rsidR="00B16E84" w:rsidRPr="008A3DEE" w:rsidRDefault="00B16E84" w:rsidP="00233A66">
            <w:pPr>
              <w:jc w:val="right"/>
              <w:rPr>
                <w:rFonts w:cs="Arial"/>
                <w:szCs w:val="24"/>
              </w:rPr>
            </w:pPr>
            <w:r w:rsidRPr="008A3DEE">
              <w:rPr>
                <w:rFonts w:cs="Arial"/>
                <w:szCs w:val="24"/>
              </w:rPr>
              <w:t>-</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70954DA1" w14:textId="0AFAA4FB" w:rsidR="00B16E84" w:rsidRPr="008A3DEE" w:rsidRDefault="00B16E84" w:rsidP="00233A66">
            <w:pPr>
              <w:jc w:val="right"/>
              <w:rPr>
                <w:rFonts w:cs="Arial"/>
                <w:szCs w:val="24"/>
              </w:rPr>
            </w:pPr>
            <w:r w:rsidRPr="008A3DEE">
              <w:rPr>
                <w:rFonts w:cs="Arial"/>
                <w:szCs w:val="24"/>
              </w:rPr>
              <w:t>-</w:t>
            </w:r>
          </w:p>
        </w:tc>
      </w:tr>
      <w:tr w:rsidR="00B16E84" w:rsidRPr="00B16E84" w14:paraId="743B9017" w14:textId="77777777" w:rsidTr="00233A66">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0C11D181" w14:textId="77777777" w:rsidR="00B16E84" w:rsidRPr="008A3DEE" w:rsidRDefault="00B16E84" w:rsidP="005F5C59">
            <w:pPr>
              <w:rPr>
                <w:rFonts w:cs="Arial"/>
                <w:szCs w:val="24"/>
              </w:rPr>
            </w:pPr>
            <w:r w:rsidRPr="008A3DEE">
              <w:rPr>
                <w:rFonts w:cs="Arial"/>
                <w:szCs w:val="24"/>
              </w:rPr>
              <w:t>Provision for the repayment of debt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29EEBAD" w14:textId="772E20E7" w:rsidR="00B16E84" w:rsidRPr="008A3DEE" w:rsidRDefault="00B16E84" w:rsidP="00233A66">
            <w:pPr>
              <w:jc w:val="right"/>
              <w:rPr>
                <w:rFonts w:cs="Arial"/>
                <w:szCs w:val="24"/>
              </w:rPr>
            </w:pPr>
            <w:r w:rsidRPr="008A3DEE">
              <w:rPr>
                <w:rFonts w:cs="Arial"/>
                <w:szCs w:val="24"/>
              </w:rPr>
              <w:t>(487)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45C40CF6" w14:textId="3E476C1D" w:rsidR="00B16E84" w:rsidRPr="008A3DEE" w:rsidRDefault="00FF4100" w:rsidP="00233A66">
            <w:pPr>
              <w:jc w:val="right"/>
              <w:rPr>
                <w:rFonts w:cs="Arial"/>
                <w:szCs w:val="24"/>
              </w:rPr>
            </w:pPr>
            <w:r w:rsidRPr="008A3DEE">
              <w:rPr>
                <w:rFonts w:cs="Arial"/>
                <w:szCs w:val="24"/>
              </w:rPr>
              <w:t>-</w:t>
            </w:r>
          </w:p>
        </w:tc>
        <w:tc>
          <w:tcPr>
            <w:tcW w:w="396" w:type="pct"/>
            <w:tcBorders>
              <w:top w:val="single" w:sz="4" w:space="0" w:color="auto"/>
              <w:left w:val="single" w:sz="4" w:space="0" w:color="auto"/>
              <w:bottom w:val="single" w:sz="4" w:space="0" w:color="auto"/>
              <w:right w:val="single" w:sz="4" w:space="0" w:color="auto"/>
            </w:tcBorders>
            <w:vAlign w:val="center"/>
          </w:tcPr>
          <w:p w14:paraId="0D320D4A" w14:textId="0A89E0F7" w:rsidR="00B16E84" w:rsidRPr="008A3DEE" w:rsidRDefault="00B16E84" w:rsidP="00233A66">
            <w:pPr>
              <w:jc w:val="right"/>
              <w:rPr>
                <w:rFonts w:cs="Arial"/>
                <w:szCs w:val="24"/>
              </w:rPr>
            </w:pPr>
            <w:r w:rsidRPr="008A3DEE">
              <w:rPr>
                <w:rFonts w:cs="Arial"/>
                <w:szCs w:val="24"/>
              </w:rPr>
              <w:t>(487)</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54349424" w14:textId="709BB20A" w:rsidR="00B16E84" w:rsidRPr="008A3DEE" w:rsidRDefault="00FF4100" w:rsidP="00233A66">
            <w:pPr>
              <w:jc w:val="right"/>
              <w:rPr>
                <w:rFonts w:cs="Arial"/>
                <w:szCs w:val="24"/>
              </w:rPr>
            </w:pPr>
            <w:r w:rsidRPr="008A3DEE">
              <w:rPr>
                <w:rFonts w:cs="Arial"/>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14:paraId="00241521" w14:textId="3C212028" w:rsidR="00B16E84" w:rsidRPr="008A3DEE" w:rsidRDefault="00FF4100" w:rsidP="00233A66">
            <w:pPr>
              <w:jc w:val="right"/>
              <w:rPr>
                <w:rFonts w:cs="Arial"/>
                <w:szCs w:val="24"/>
              </w:rPr>
            </w:pPr>
            <w:r w:rsidRPr="008A3DEE">
              <w:rPr>
                <w:rFonts w:cs="Arial"/>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034B439F" w14:textId="26014F9D" w:rsidR="00B16E84" w:rsidRPr="008A3DEE" w:rsidRDefault="00FF4100" w:rsidP="00233A66">
            <w:pPr>
              <w:jc w:val="right"/>
              <w:rPr>
                <w:rFonts w:cs="Arial"/>
                <w:szCs w:val="24"/>
              </w:rPr>
            </w:pPr>
            <w:r w:rsidRPr="008A3DEE">
              <w:rPr>
                <w:rFonts w:cs="Arial"/>
                <w:szCs w:val="24"/>
              </w:rPr>
              <w: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96DD9D1" w14:textId="0E1FFBBB" w:rsidR="00B16E84" w:rsidRPr="008A3DEE" w:rsidRDefault="00B16E84" w:rsidP="00233A66">
            <w:pPr>
              <w:jc w:val="right"/>
              <w:rPr>
                <w:rFonts w:cs="Arial"/>
                <w:szCs w:val="24"/>
              </w:rPr>
            </w:pPr>
            <w:r w:rsidRPr="008A3DEE">
              <w:rPr>
                <w:rFonts w:cs="Arial"/>
                <w:szCs w:val="24"/>
              </w:rPr>
              <w:t>(487)</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064A11D7" w14:textId="7B7C49EF" w:rsidR="00B16E84" w:rsidRPr="008A3DEE" w:rsidRDefault="00B16E84" w:rsidP="00233A66">
            <w:pPr>
              <w:jc w:val="right"/>
              <w:rPr>
                <w:rFonts w:cs="Arial"/>
                <w:szCs w:val="24"/>
              </w:rPr>
            </w:pPr>
            <w:r w:rsidRPr="008A3DEE">
              <w:rPr>
                <w:rFonts w:cs="Arial"/>
                <w:szCs w:val="24"/>
              </w:rPr>
              <w:t>487</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629B2086" w14:textId="190E294D" w:rsidR="00B16E84" w:rsidRPr="008A3DEE" w:rsidRDefault="00B16E84" w:rsidP="00233A66">
            <w:pPr>
              <w:jc w:val="right"/>
              <w:rPr>
                <w:rFonts w:cs="Arial"/>
                <w:szCs w:val="24"/>
              </w:rPr>
            </w:pPr>
            <w:r w:rsidRPr="008A3DEE">
              <w:rPr>
                <w:rFonts w:cs="Arial"/>
                <w:szCs w:val="24"/>
              </w:rPr>
              <w:t>-</w:t>
            </w:r>
          </w:p>
        </w:tc>
      </w:tr>
      <w:tr w:rsidR="00B16E84" w:rsidRPr="00B16E84" w14:paraId="5744B3B6" w14:textId="77777777" w:rsidTr="00233A66">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2C13B346" w14:textId="77777777" w:rsidR="00B16E84" w:rsidRPr="008A3DEE" w:rsidRDefault="00B16E84" w:rsidP="005F5C59">
            <w:pPr>
              <w:rPr>
                <w:rFonts w:cs="Arial"/>
                <w:szCs w:val="24"/>
              </w:rPr>
            </w:pPr>
            <w:r w:rsidRPr="008A3DEE">
              <w:rPr>
                <w:rFonts w:cs="Arial"/>
                <w:szCs w:val="24"/>
              </w:rPr>
              <w:t>Capital expenditure charged against General Fund Balance</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0AD15415" w14:textId="4760B101" w:rsidR="00B16E84" w:rsidRPr="008A3DEE" w:rsidRDefault="00B16E84" w:rsidP="00233A66">
            <w:pPr>
              <w:jc w:val="right"/>
              <w:rPr>
                <w:rFonts w:cs="Arial"/>
                <w:szCs w:val="24"/>
              </w:rPr>
            </w:pPr>
            <w:r w:rsidRPr="008A3DEE">
              <w:rPr>
                <w:rFonts w:cs="Arial"/>
                <w:szCs w:val="24"/>
              </w:rPr>
              <w:t>(4,300)</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1B936054" w14:textId="550B592B" w:rsidR="00B16E84" w:rsidRPr="008A3DEE" w:rsidRDefault="00FF4100" w:rsidP="00233A66">
            <w:pPr>
              <w:jc w:val="right"/>
              <w:rPr>
                <w:rFonts w:cs="Arial"/>
                <w:szCs w:val="24"/>
              </w:rPr>
            </w:pPr>
            <w:r w:rsidRPr="008A3DEE">
              <w:rPr>
                <w:rFonts w:cs="Arial"/>
                <w:szCs w:val="24"/>
              </w:rPr>
              <w:t>-</w:t>
            </w:r>
          </w:p>
        </w:tc>
        <w:tc>
          <w:tcPr>
            <w:tcW w:w="396" w:type="pct"/>
            <w:tcBorders>
              <w:top w:val="single" w:sz="4" w:space="0" w:color="auto"/>
              <w:left w:val="single" w:sz="4" w:space="0" w:color="auto"/>
              <w:bottom w:val="single" w:sz="4" w:space="0" w:color="auto"/>
              <w:right w:val="single" w:sz="4" w:space="0" w:color="auto"/>
            </w:tcBorders>
            <w:vAlign w:val="center"/>
          </w:tcPr>
          <w:p w14:paraId="7FE340EA" w14:textId="5915192F" w:rsidR="00B16E84" w:rsidRPr="008A3DEE" w:rsidRDefault="00B16E84" w:rsidP="00233A66">
            <w:pPr>
              <w:jc w:val="right"/>
              <w:rPr>
                <w:rFonts w:cs="Arial"/>
                <w:szCs w:val="24"/>
              </w:rPr>
            </w:pPr>
            <w:r w:rsidRPr="008A3DEE">
              <w:rPr>
                <w:rFonts w:cs="Arial"/>
                <w:szCs w:val="24"/>
              </w:rPr>
              <w:t>(4,300)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4C3E5F5F" w14:textId="200A2604" w:rsidR="00B16E84" w:rsidRPr="008A3DEE" w:rsidRDefault="00FF4100" w:rsidP="00233A66">
            <w:pPr>
              <w:jc w:val="right"/>
              <w:rPr>
                <w:rFonts w:cs="Arial"/>
                <w:szCs w:val="24"/>
              </w:rPr>
            </w:pPr>
            <w:r w:rsidRPr="008A3DEE">
              <w:rPr>
                <w:rFonts w:cs="Arial"/>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14:paraId="0FDD9DDA" w14:textId="5DDB8315" w:rsidR="00B16E84" w:rsidRPr="008A3DEE" w:rsidRDefault="00FF4100" w:rsidP="00233A66">
            <w:pPr>
              <w:jc w:val="right"/>
              <w:rPr>
                <w:rFonts w:cs="Arial"/>
                <w:szCs w:val="24"/>
              </w:rPr>
            </w:pPr>
            <w:r w:rsidRPr="008A3DEE">
              <w:rPr>
                <w:rFonts w:cs="Arial"/>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43FD5B9C" w14:textId="4EA18893" w:rsidR="00B16E84" w:rsidRPr="008A3DEE" w:rsidRDefault="00FF4100" w:rsidP="00233A66">
            <w:pPr>
              <w:jc w:val="right"/>
              <w:rPr>
                <w:rFonts w:cs="Arial"/>
                <w:szCs w:val="24"/>
              </w:rPr>
            </w:pPr>
            <w:r w:rsidRPr="008A3DEE">
              <w:rPr>
                <w:rFonts w:cs="Arial"/>
                <w:szCs w:val="24"/>
              </w:rPr>
              <w: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69B037FA" w14:textId="114197F1" w:rsidR="00B16E84" w:rsidRPr="008A3DEE" w:rsidRDefault="00B16E84" w:rsidP="00233A66">
            <w:pPr>
              <w:jc w:val="right"/>
              <w:rPr>
                <w:rFonts w:cs="Arial"/>
                <w:szCs w:val="24"/>
              </w:rPr>
            </w:pPr>
            <w:r w:rsidRPr="008A3DEE">
              <w:rPr>
                <w:rFonts w:cs="Arial"/>
                <w:szCs w:val="24"/>
              </w:rPr>
              <w:t>(4,300)</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28605687" w14:textId="42E1CD03" w:rsidR="00B16E84" w:rsidRPr="008A3DEE" w:rsidRDefault="00B16E84" w:rsidP="00233A66">
            <w:pPr>
              <w:jc w:val="right"/>
              <w:rPr>
                <w:rFonts w:cs="Arial"/>
                <w:szCs w:val="24"/>
              </w:rPr>
            </w:pPr>
            <w:r w:rsidRPr="008A3DEE">
              <w:rPr>
                <w:rFonts w:cs="Arial"/>
                <w:szCs w:val="24"/>
              </w:rPr>
              <w:t>4,300</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12E43151" w14:textId="4E9EF05D" w:rsidR="00B16E84" w:rsidRPr="008A3DEE" w:rsidRDefault="00B16E84" w:rsidP="00233A66">
            <w:pPr>
              <w:jc w:val="right"/>
              <w:rPr>
                <w:rFonts w:cs="Arial"/>
                <w:szCs w:val="24"/>
              </w:rPr>
            </w:pPr>
            <w:r w:rsidRPr="008A3DEE">
              <w:rPr>
                <w:rFonts w:cs="Arial"/>
                <w:szCs w:val="24"/>
              </w:rPr>
              <w:t>-</w:t>
            </w:r>
          </w:p>
        </w:tc>
      </w:tr>
      <w:tr w:rsidR="00B16E84" w:rsidRPr="00B16E84" w14:paraId="67A1C7F6" w14:textId="77777777" w:rsidTr="00233A66">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01AF2B4E" w14:textId="77777777" w:rsidR="00B16E84" w:rsidRPr="008A3DEE" w:rsidRDefault="00B16E84" w:rsidP="005F5C59">
            <w:pPr>
              <w:rPr>
                <w:rFonts w:cs="Arial"/>
                <w:szCs w:val="24"/>
              </w:rPr>
            </w:pPr>
            <w:r w:rsidRPr="008A3DEE">
              <w:rPr>
                <w:rFonts w:cs="Arial"/>
                <w:szCs w:val="24"/>
              </w:rPr>
              <w:t>Amount by which the Code and the statutory pension costs differ</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381D0F2D" w14:textId="0F8DC25A" w:rsidR="00B16E84" w:rsidRPr="008A3DEE" w:rsidRDefault="00B16E84" w:rsidP="00233A66">
            <w:pPr>
              <w:jc w:val="right"/>
              <w:rPr>
                <w:rFonts w:cs="Arial"/>
                <w:szCs w:val="24"/>
              </w:rPr>
            </w:pPr>
            <w:r w:rsidRPr="008A3DEE">
              <w:rPr>
                <w:rFonts w:cs="Arial"/>
                <w:szCs w:val="24"/>
              </w:rPr>
              <w:t>12,879</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4DDC01E6" w14:textId="2F68AF26" w:rsidR="00B16E84" w:rsidRPr="008A3DEE" w:rsidRDefault="00FF4100" w:rsidP="00233A66">
            <w:pPr>
              <w:jc w:val="right"/>
              <w:rPr>
                <w:rFonts w:cs="Arial"/>
                <w:szCs w:val="24"/>
              </w:rPr>
            </w:pPr>
            <w:r w:rsidRPr="008A3DEE">
              <w:rPr>
                <w:rFonts w:cs="Arial"/>
                <w:szCs w:val="24"/>
              </w:rPr>
              <w:t>-</w:t>
            </w:r>
          </w:p>
        </w:tc>
        <w:tc>
          <w:tcPr>
            <w:tcW w:w="396" w:type="pct"/>
            <w:tcBorders>
              <w:top w:val="single" w:sz="4" w:space="0" w:color="auto"/>
              <w:left w:val="single" w:sz="4" w:space="0" w:color="auto"/>
              <w:bottom w:val="single" w:sz="4" w:space="0" w:color="auto"/>
              <w:right w:val="single" w:sz="4" w:space="0" w:color="auto"/>
            </w:tcBorders>
            <w:vAlign w:val="center"/>
          </w:tcPr>
          <w:p w14:paraId="0C41A927" w14:textId="74D6594A" w:rsidR="00B16E84" w:rsidRPr="008A3DEE" w:rsidRDefault="00B16E84" w:rsidP="00233A66">
            <w:pPr>
              <w:jc w:val="right"/>
              <w:rPr>
                <w:rFonts w:cs="Arial"/>
                <w:szCs w:val="24"/>
              </w:rPr>
            </w:pPr>
            <w:r w:rsidRPr="008A3DEE">
              <w:rPr>
                <w:rFonts w:cs="Arial"/>
                <w:szCs w:val="24"/>
              </w:rPr>
              <w:t>12,879</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4E02F36A" w14:textId="40612F03" w:rsidR="00B16E84" w:rsidRPr="008A3DEE" w:rsidRDefault="00FF4100" w:rsidP="00233A66">
            <w:pPr>
              <w:jc w:val="right"/>
              <w:rPr>
                <w:rFonts w:cs="Arial"/>
                <w:szCs w:val="24"/>
              </w:rPr>
            </w:pPr>
            <w:r w:rsidRPr="008A3DEE">
              <w:rPr>
                <w:rFonts w:cs="Arial"/>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14:paraId="624116D4" w14:textId="4940B3B1" w:rsidR="00B16E84" w:rsidRPr="008A3DEE" w:rsidRDefault="00FF4100" w:rsidP="00233A66">
            <w:pPr>
              <w:jc w:val="right"/>
              <w:rPr>
                <w:rFonts w:cs="Arial"/>
                <w:szCs w:val="24"/>
              </w:rPr>
            </w:pPr>
            <w:r w:rsidRPr="008A3DEE">
              <w:rPr>
                <w:rFonts w:cs="Arial"/>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76159D60" w14:textId="65281B05" w:rsidR="00B16E84" w:rsidRPr="008A3DEE" w:rsidRDefault="00FF4100" w:rsidP="00233A66">
            <w:pPr>
              <w:jc w:val="right"/>
              <w:rPr>
                <w:rFonts w:cs="Arial"/>
                <w:szCs w:val="24"/>
              </w:rPr>
            </w:pPr>
            <w:r w:rsidRPr="008A3DEE">
              <w:rPr>
                <w:rFonts w:cs="Arial"/>
                <w:szCs w:val="24"/>
              </w:rPr>
              <w: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36436E53" w14:textId="67B46B53" w:rsidR="00B16E84" w:rsidRPr="008A3DEE" w:rsidRDefault="00B16E84" w:rsidP="00233A66">
            <w:pPr>
              <w:jc w:val="right"/>
              <w:rPr>
                <w:rFonts w:cs="Arial"/>
                <w:szCs w:val="24"/>
              </w:rPr>
            </w:pPr>
            <w:r w:rsidRPr="008A3DEE">
              <w:rPr>
                <w:rFonts w:cs="Arial"/>
                <w:szCs w:val="24"/>
              </w:rPr>
              <w:t>12,879</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53EC4922" w14:textId="76A5383F" w:rsidR="00B16E84" w:rsidRPr="008A3DEE" w:rsidRDefault="00B16E84" w:rsidP="00233A66">
            <w:pPr>
              <w:jc w:val="right"/>
              <w:rPr>
                <w:rFonts w:cs="Arial"/>
                <w:szCs w:val="24"/>
              </w:rPr>
            </w:pPr>
            <w:r w:rsidRPr="008A3DEE">
              <w:rPr>
                <w:rFonts w:cs="Arial"/>
                <w:szCs w:val="24"/>
              </w:rPr>
              <w:t>(12,879)</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2ABE752B" w14:textId="491D7977" w:rsidR="00B16E84" w:rsidRPr="008A3DEE" w:rsidRDefault="00B16E84" w:rsidP="00233A66">
            <w:pPr>
              <w:jc w:val="right"/>
              <w:rPr>
                <w:rFonts w:cs="Arial"/>
                <w:szCs w:val="24"/>
              </w:rPr>
            </w:pPr>
            <w:r w:rsidRPr="008A3DEE">
              <w:rPr>
                <w:rFonts w:cs="Arial"/>
                <w:szCs w:val="24"/>
              </w:rPr>
              <w:t>-</w:t>
            </w:r>
          </w:p>
        </w:tc>
      </w:tr>
    </w:tbl>
    <w:p w14:paraId="596C7F8A" w14:textId="1AACD546" w:rsidR="002C5DD1" w:rsidRDefault="002C5DD1"/>
    <w:p w14:paraId="737E9E1E" w14:textId="77777777" w:rsidR="002C5DD1" w:rsidRDefault="002C5DD1">
      <w:r>
        <w:br w:type="page"/>
      </w:r>
    </w:p>
    <w:tbl>
      <w:tblPr>
        <w:tblW w:w="5000" w:type="pct"/>
        <w:tblLook w:val="01E0" w:firstRow="1" w:lastRow="1" w:firstColumn="1" w:lastColumn="1" w:noHBand="0" w:noVBand="0"/>
      </w:tblPr>
      <w:tblGrid>
        <w:gridCol w:w="4036"/>
        <w:gridCol w:w="1210"/>
        <w:gridCol w:w="1390"/>
        <w:gridCol w:w="1207"/>
        <w:gridCol w:w="1225"/>
        <w:gridCol w:w="1257"/>
        <w:gridCol w:w="1207"/>
        <w:gridCol w:w="1210"/>
        <w:gridCol w:w="1244"/>
        <w:gridCol w:w="1256"/>
      </w:tblGrid>
      <w:tr w:rsidR="002C5DD1" w:rsidRPr="00B16E84" w14:paraId="4A0CABEF" w14:textId="77777777" w:rsidTr="00611673">
        <w:trPr>
          <w:trHeight w:val="287"/>
        </w:trPr>
        <w:tc>
          <w:tcPr>
            <w:tcW w:w="1324" w:type="pct"/>
            <w:tcBorders>
              <w:top w:val="single" w:sz="4" w:space="0" w:color="auto"/>
              <w:left w:val="single" w:sz="4" w:space="0" w:color="auto"/>
              <w:bottom w:val="single" w:sz="4" w:space="0" w:color="auto"/>
              <w:right w:val="single" w:sz="4" w:space="0" w:color="auto"/>
            </w:tcBorders>
            <w:shd w:val="clear" w:color="auto" w:fill="BD2716"/>
            <w:vAlign w:val="center"/>
          </w:tcPr>
          <w:p w14:paraId="280347FD" w14:textId="77777777" w:rsidR="002C5DD1" w:rsidRPr="00036C34" w:rsidRDefault="002C5DD1" w:rsidP="002C5DD1">
            <w:pPr>
              <w:rPr>
                <w:rFonts w:cs="Arial"/>
                <w:color w:val="FFFFFF" w:themeColor="background1"/>
                <w:szCs w:val="24"/>
              </w:rPr>
            </w:pPr>
          </w:p>
        </w:tc>
        <w:tc>
          <w:tcPr>
            <w:tcW w:w="397" w:type="pct"/>
            <w:tcBorders>
              <w:top w:val="single" w:sz="4" w:space="0" w:color="auto"/>
              <w:left w:val="single" w:sz="4" w:space="0" w:color="auto"/>
              <w:bottom w:val="single" w:sz="4" w:space="0" w:color="auto"/>
              <w:right w:val="single" w:sz="4" w:space="0" w:color="auto"/>
            </w:tcBorders>
            <w:shd w:val="clear" w:color="auto" w:fill="BD2716"/>
            <w:vAlign w:val="center"/>
          </w:tcPr>
          <w:p w14:paraId="46B3698E" w14:textId="77777777" w:rsidR="002C5DD1" w:rsidRPr="00036C34" w:rsidRDefault="002C5DD1" w:rsidP="00611673">
            <w:pPr>
              <w:jc w:val="right"/>
              <w:rPr>
                <w:rFonts w:cs="Arial"/>
                <w:color w:val="FFFFFF" w:themeColor="background1"/>
                <w:szCs w:val="24"/>
              </w:rPr>
            </w:pPr>
            <w:r w:rsidRPr="00036C34">
              <w:rPr>
                <w:rFonts w:cs="Arial"/>
                <w:color w:val="FFFFFF" w:themeColor="background1"/>
                <w:szCs w:val="24"/>
              </w:rPr>
              <w:t>General fund</w:t>
            </w:r>
          </w:p>
          <w:p w14:paraId="20ED74D4" w14:textId="7D15C1A9" w:rsidR="002C5DD1" w:rsidRPr="00036C34" w:rsidRDefault="002C5DD1" w:rsidP="00611673">
            <w:pPr>
              <w:jc w:val="right"/>
              <w:rPr>
                <w:rFonts w:cs="Arial"/>
                <w:color w:val="FFFFFF" w:themeColor="background1"/>
                <w:szCs w:val="24"/>
              </w:rPr>
            </w:pPr>
            <w:r w:rsidRPr="00036C34">
              <w:rPr>
                <w:rFonts w:cs="Arial"/>
                <w:color w:val="FFFFFF" w:themeColor="background1"/>
                <w:szCs w:val="24"/>
              </w:rPr>
              <w:t>£000</w:t>
            </w:r>
          </w:p>
        </w:tc>
        <w:tc>
          <w:tcPr>
            <w:tcW w:w="456" w:type="pct"/>
            <w:tcBorders>
              <w:top w:val="single" w:sz="4" w:space="0" w:color="auto"/>
              <w:left w:val="single" w:sz="4" w:space="0" w:color="auto"/>
              <w:bottom w:val="single" w:sz="4" w:space="0" w:color="auto"/>
              <w:right w:val="single" w:sz="4" w:space="0" w:color="auto"/>
            </w:tcBorders>
            <w:shd w:val="clear" w:color="auto" w:fill="BD2716"/>
            <w:vAlign w:val="center"/>
          </w:tcPr>
          <w:p w14:paraId="6B3449C9" w14:textId="77777777" w:rsidR="002C5DD1" w:rsidRPr="00036C34" w:rsidRDefault="002C5DD1" w:rsidP="00611673">
            <w:pPr>
              <w:jc w:val="right"/>
              <w:rPr>
                <w:rFonts w:cs="Arial"/>
                <w:color w:val="FFFFFF" w:themeColor="background1"/>
                <w:szCs w:val="24"/>
              </w:rPr>
            </w:pPr>
            <w:r w:rsidRPr="00036C34">
              <w:rPr>
                <w:rFonts w:cs="Arial"/>
                <w:color w:val="FFFFFF" w:themeColor="background1"/>
                <w:szCs w:val="24"/>
              </w:rPr>
              <w:t>Earmarked reserves</w:t>
            </w:r>
          </w:p>
          <w:p w14:paraId="50A79A2B" w14:textId="4FFFA712" w:rsidR="002C5DD1" w:rsidRPr="00036C34" w:rsidRDefault="002C5DD1" w:rsidP="00611673">
            <w:pPr>
              <w:jc w:val="right"/>
              <w:rPr>
                <w:rFonts w:cs="Arial"/>
                <w:color w:val="FFFFFF" w:themeColor="background1"/>
                <w:szCs w:val="24"/>
              </w:rPr>
            </w:pPr>
            <w:r w:rsidRPr="00036C34">
              <w:rPr>
                <w:rFonts w:cs="Arial"/>
                <w:color w:val="FFFFFF" w:themeColor="background1"/>
                <w:szCs w:val="24"/>
              </w:rPr>
              <w:t>£000</w:t>
            </w:r>
          </w:p>
        </w:tc>
        <w:tc>
          <w:tcPr>
            <w:tcW w:w="396" w:type="pct"/>
            <w:tcBorders>
              <w:top w:val="single" w:sz="4" w:space="0" w:color="auto"/>
              <w:left w:val="single" w:sz="4" w:space="0" w:color="auto"/>
              <w:bottom w:val="single" w:sz="4" w:space="0" w:color="auto"/>
              <w:right w:val="single" w:sz="4" w:space="0" w:color="auto"/>
            </w:tcBorders>
            <w:shd w:val="clear" w:color="auto" w:fill="BD2716"/>
            <w:vAlign w:val="center"/>
          </w:tcPr>
          <w:p w14:paraId="1DB92B8B" w14:textId="77777777" w:rsidR="002C5DD1" w:rsidRPr="00036C34" w:rsidRDefault="002C5DD1" w:rsidP="00611673">
            <w:pPr>
              <w:jc w:val="right"/>
              <w:rPr>
                <w:rFonts w:cs="Arial"/>
                <w:color w:val="FFFFFF" w:themeColor="background1"/>
                <w:szCs w:val="24"/>
              </w:rPr>
            </w:pPr>
            <w:r w:rsidRPr="00036C34">
              <w:rPr>
                <w:rFonts w:cs="Arial"/>
                <w:color w:val="FFFFFF" w:themeColor="background1"/>
                <w:szCs w:val="24"/>
              </w:rPr>
              <w:t>Total General Fund Balance</w:t>
            </w:r>
          </w:p>
          <w:p w14:paraId="48D24374" w14:textId="63C82A57" w:rsidR="002C5DD1" w:rsidRPr="00036C34" w:rsidRDefault="002C5DD1" w:rsidP="00611673">
            <w:pPr>
              <w:jc w:val="right"/>
              <w:rPr>
                <w:rFonts w:cs="Arial"/>
                <w:color w:val="FFFFFF" w:themeColor="background1"/>
                <w:szCs w:val="24"/>
              </w:rPr>
            </w:pPr>
            <w:r w:rsidRPr="00036C34">
              <w:rPr>
                <w:rFonts w:cs="Arial"/>
                <w:color w:val="FFFFFF" w:themeColor="background1"/>
                <w:szCs w:val="24"/>
              </w:rPr>
              <w:t>£000</w:t>
            </w:r>
          </w:p>
        </w:tc>
        <w:tc>
          <w:tcPr>
            <w:tcW w:w="402" w:type="pct"/>
            <w:tcBorders>
              <w:top w:val="single" w:sz="4" w:space="0" w:color="auto"/>
              <w:left w:val="single" w:sz="4" w:space="0" w:color="auto"/>
              <w:bottom w:val="single" w:sz="4" w:space="0" w:color="auto"/>
              <w:right w:val="single" w:sz="4" w:space="0" w:color="auto"/>
            </w:tcBorders>
            <w:shd w:val="clear" w:color="auto" w:fill="BD2716"/>
            <w:vAlign w:val="center"/>
          </w:tcPr>
          <w:p w14:paraId="110D4A50" w14:textId="77777777" w:rsidR="002C5DD1" w:rsidRPr="00036C34" w:rsidRDefault="002C5DD1" w:rsidP="00611673">
            <w:pPr>
              <w:jc w:val="right"/>
              <w:rPr>
                <w:rFonts w:cs="Arial"/>
                <w:color w:val="FFFFFF" w:themeColor="background1"/>
                <w:szCs w:val="24"/>
              </w:rPr>
            </w:pPr>
            <w:r w:rsidRPr="00036C34">
              <w:rPr>
                <w:rFonts w:cs="Arial"/>
                <w:color w:val="FFFFFF" w:themeColor="background1"/>
                <w:szCs w:val="24"/>
              </w:rPr>
              <w:t xml:space="preserve">Capital funding </w:t>
            </w:r>
            <w:proofErr w:type="gramStart"/>
            <w:r w:rsidRPr="00036C34">
              <w:rPr>
                <w:rFonts w:cs="Arial"/>
                <w:color w:val="FFFFFF" w:themeColor="background1"/>
                <w:szCs w:val="24"/>
              </w:rPr>
              <w:t>reserve</w:t>
            </w:r>
            <w:proofErr w:type="gramEnd"/>
          </w:p>
          <w:p w14:paraId="45729F31" w14:textId="45E89875" w:rsidR="002C5DD1" w:rsidRPr="00036C34" w:rsidRDefault="002C5DD1" w:rsidP="00611673">
            <w:pPr>
              <w:jc w:val="right"/>
              <w:rPr>
                <w:rFonts w:cs="Arial"/>
                <w:color w:val="FFFFFF" w:themeColor="background1"/>
                <w:szCs w:val="24"/>
              </w:rPr>
            </w:pPr>
            <w:r w:rsidRPr="00036C34">
              <w:rPr>
                <w:rFonts w:cs="Arial"/>
                <w:color w:val="FFFFFF" w:themeColor="background1"/>
                <w:szCs w:val="24"/>
              </w:rPr>
              <w:t>£000</w:t>
            </w:r>
          </w:p>
        </w:tc>
        <w:tc>
          <w:tcPr>
            <w:tcW w:w="412" w:type="pct"/>
            <w:tcBorders>
              <w:top w:val="single" w:sz="4" w:space="0" w:color="auto"/>
              <w:left w:val="single" w:sz="4" w:space="0" w:color="auto"/>
              <w:bottom w:val="single" w:sz="4" w:space="0" w:color="auto"/>
              <w:right w:val="single" w:sz="4" w:space="0" w:color="auto"/>
            </w:tcBorders>
            <w:shd w:val="clear" w:color="auto" w:fill="BD2716"/>
            <w:vAlign w:val="center"/>
          </w:tcPr>
          <w:p w14:paraId="072D9F97" w14:textId="77777777" w:rsidR="002C5DD1" w:rsidRPr="00036C34" w:rsidRDefault="002C5DD1" w:rsidP="00611673">
            <w:pPr>
              <w:jc w:val="right"/>
              <w:rPr>
                <w:rFonts w:cs="Arial"/>
                <w:color w:val="FFFFFF" w:themeColor="background1"/>
                <w:szCs w:val="24"/>
              </w:rPr>
            </w:pPr>
            <w:r w:rsidRPr="00036C34">
              <w:rPr>
                <w:rFonts w:cs="Arial"/>
                <w:color w:val="FFFFFF" w:themeColor="background1"/>
                <w:szCs w:val="24"/>
              </w:rPr>
              <w:t xml:space="preserve">Capital grant unapplied </w:t>
            </w:r>
            <w:proofErr w:type="gramStart"/>
            <w:r w:rsidRPr="00036C34">
              <w:rPr>
                <w:rFonts w:cs="Arial"/>
                <w:color w:val="FFFFFF" w:themeColor="background1"/>
                <w:szCs w:val="24"/>
              </w:rPr>
              <w:t>reserve</w:t>
            </w:r>
            <w:proofErr w:type="gramEnd"/>
          </w:p>
          <w:p w14:paraId="595203C6" w14:textId="7C502A96" w:rsidR="002C5DD1" w:rsidRPr="00036C34" w:rsidRDefault="002C5DD1" w:rsidP="00611673">
            <w:pPr>
              <w:jc w:val="right"/>
              <w:rPr>
                <w:rFonts w:cs="Arial"/>
                <w:color w:val="FFFFFF" w:themeColor="background1"/>
                <w:szCs w:val="24"/>
              </w:rPr>
            </w:pPr>
            <w:r w:rsidRPr="00036C34">
              <w:rPr>
                <w:rFonts w:cs="Arial"/>
                <w:color w:val="FFFFFF" w:themeColor="background1"/>
                <w:szCs w:val="24"/>
              </w:rPr>
              <w:t>£000</w:t>
            </w:r>
          </w:p>
        </w:tc>
        <w:tc>
          <w:tcPr>
            <w:tcW w:w="396" w:type="pct"/>
            <w:tcBorders>
              <w:top w:val="single" w:sz="4" w:space="0" w:color="auto"/>
              <w:left w:val="single" w:sz="4" w:space="0" w:color="auto"/>
              <w:bottom w:val="single" w:sz="4" w:space="0" w:color="auto"/>
              <w:right w:val="single" w:sz="4" w:space="0" w:color="auto"/>
            </w:tcBorders>
            <w:shd w:val="clear" w:color="auto" w:fill="BD2716"/>
            <w:vAlign w:val="center"/>
          </w:tcPr>
          <w:p w14:paraId="2A7EA851" w14:textId="77777777" w:rsidR="002C5DD1" w:rsidRPr="00036C34" w:rsidRDefault="002C5DD1" w:rsidP="00611673">
            <w:pPr>
              <w:jc w:val="right"/>
              <w:rPr>
                <w:rFonts w:cs="Arial"/>
                <w:color w:val="FFFFFF" w:themeColor="background1"/>
                <w:szCs w:val="24"/>
              </w:rPr>
            </w:pPr>
            <w:r w:rsidRPr="00036C34">
              <w:rPr>
                <w:rFonts w:cs="Arial"/>
                <w:color w:val="FFFFFF" w:themeColor="background1"/>
                <w:szCs w:val="24"/>
              </w:rPr>
              <w:t xml:space="preserve">Capital receipts </w:t>
            </w:r>
            <w:proofErr w:type="gramStart"/>
            <w:r w:rsidRPr="00036C34">
              <w:rPr>
                <w:rFonts w:cs="Arial"/>
                <w:color w:val="FFFFFF" w:themeColor="background1"/>
                <w:szCs w:val="24"/>
              </w:rPr>
              <w:t>reserve</w:t>
            </w:r>
            <w:proofErr w:type="gramEnd"/>
          </w:p>
          <w:p w14:paraId="3A67AF20" w14:textId="580BED96" w:rsidR="002C5DD1" w:rsidRPr="00036C34" w:rsidRDefault="002C5DD1" w:rsidP="00611673">
            <w:pPr>
              <w:jc w:val="right"/>
              <w:rPr>
                <w:rFonts w:cs="Arial"/>
                <w:color w:val="FFFFFF" w:themeColor="background1"/>
                <w:szCs w:val="24"/>
              </w:rPr>
            </w:pPr>
            <w:r w:rsidRPr="00036C34">
              <w:rPr>
                <w:rFonts w:cs="Arial"/>
                <w:color w:val="FFFFFF" w:themeColor="background1"/>
                <w:szCs w:val="24"/>
              </w:rPr>
              <w:t>£000</w:t>
            </w:r>
          </w:p>
        </w:tc>
        <w:tc>
          <w:tcPr>
            <w:tcW w:w="397" w:type="pct"/>
            <w:tcBorders>
              <w:top w:val="single" w:sz="4" w:space="0" w:color="auto"/>
              <w:left w:val="single" w:sz="4" w:space="0" w:color="auto"/>
              <w:bottom w:val="single" w:sz="4" w:space="0" w:color="auto"/>
              <w:right w:val="single" w:sz="4" w:space="0" w:color="auto"/>
            </w:tcBorders>
            <w:shd w:val="clear" w:color="auto" w:fill="BD2716"/>
            <w:vAlign w:val="center"/>
          </w:tcPr>
          <w:p w14:paraId="5CA67C3E" w14:textId="77777777" w:rsidR="002C5DD1" w:rsidRPr="00036C34" w:rsidRDefault="002C5DD1" w:rsidP="00611673">
            <w:pPr>
              <w:jc w:val="right"/>
              <w:rPr>
                <w:rFonts w:cs="Arial"/>
                <w:color w:val="FFFFFF" w:themeColor="background1"/>
                <w:szCs w:val="24"/>
              </w:rPr>
            </w:pPr>
            <w:r w:rsidRPr="00036C34">
              <w:rPr>
                <w:rFonts w:cs="Arial"/>
                <w:color w:val="FFFFFF" w:themeColor="background1"/>
                <w:szCs w:val="24"/>
              </w:rPr>
              <w:t>Total usable reserves</w:t>
            </w:r>
          </w:p>
          <w:p w14:paraId="36B6438E" w14:textId="79F92DD0" w:rsidR="002C5DD1" w:rsidRPr="00036C34" w:rsidRDefault="002C5DD1" w:rsidP="00611673">
            <w:pPr>
              <w:jc w:val="right"/>
              <w:rPr>
                <w:rFonts w:cs="Arial"/>
                <w:color w:val="FFFFFF" w:themeColor="background1"/>
                <w:szCs w:val="24"/>
              </w:rPr>
            </w:pPr>
            <w:r w:rsidRPr="00036C34">
              <w:rPr>
                <w:rFonts w:cs="Arial"/>
                <w:color w:val="FFFFFF" w:themeColor="background1"/>
                <w:szCs w:val="24"/>
              </w:rPr>
              <w:t>£000</w:t>
            </w:r>
          </w:p>
        </w:tc>
        <w:tc>
          <w:tcPr>
            <w:tcW w:w="408" w:type="pct"/>
            <w:tcBorders>
              <w:top w:val="single" w:sz="4" w:space="0" w:color="auto"/>
              <w:left w:val="single" w:sz="4" w:space="0" w:color="auto"/>
              <w:bottom w:val="single" w:sz="4" w:space="0" w:color="auto"/>
              <w:right w:val="single" w:sz="4" w:space="0" w:color="auto"/>
            </w:tcBorders>
            <w:shd w:val="clear" w:color="auto" w:fill="BD2716"/>
            <w:vAlign w:val="center"/>
          </w:tcPr>
          <w:p w14:paraId="675F75DA" w14:textId="77777777" w:rsidR="002C5DD1" w:rsidRPr="00036C34" w:rsidRDefault="002C5DD1" w:rsidP="00611673">
            <w:pPr>
              <w:jc w:val="right"/>
              <w:rPr>
                <w:rFonts w:cs="Arial"/>
                <w:color w:val="FFFFFF" w:themeColor="background1"/>
                <w:szCs w:val="24"/>
              </w:rPr>
            </w:pPr>
            <w:r w:rsidRPr="00036C34">
              <w:rPr>
                <w:rFonts w:cs="Arial"/>
                <w:color w:val="FFFFFF" w:themeColor="background1"/>
                <w:szCs w:val="24"/>
              </w:rPr>
              <w:t>Unusable reserves</w:t>
            </w:r>
          </w:p>
          <w:p w14:paraId="094A6BC4" w14:textId="54391E9C" w:rsidR="002C5DD1" w:rsidRPr="00036C34" w:rsidRDefault="002C5DD1" w:rsidP="00611673">
            <w:pPr>
              <w:jc w:val="right"/>
              <w:rPr>
                <w:rFonts w:cs="Arial"/>
                <w:color w:val="FFFFFF" w:themeColor="background1"/>
                <w:szCs w:val="24"/>
              </w:rPr>
            </w:pPr>
            <w:r w:rsidRPr="00036C34">
              <w:rPr>
                <w:rFonts w:cs="Arial"/>
                <w:color w:val="FFFFFF" w:themeColor="background1"/>
                <w:szCs w:val="24"/>
              </w:rPr>
              <w:t>£000</w:t>
            </w:r>
          </w:p>
        </w:tc>
        <w:tc>
          <w:tcPr>
            <w:tcW w:w="412" w:type="pct"/>
            <w:tcBorders>
              <w:top w:val="single" w:sz="4" w:space="0" w:color="auto"/>
              <w:left w:val="single" w:sz="4" w:space="0" w:color="auto"/>
              <w:bottom w:val="single" w:sz="4" w:space="0" w:color="auto"/>
              <w:right w:val="single" w:sz="4" w:space="0" w:color="auto"/>
            </w:tcBorders>
            <w:shd w:val="clear" w:color="auto" w:fill="BD2716"/>
            <w:vAlign w:val="center"/>
          </w:tcPr>
          <w:p w14:paraId="2E582E86" w14:textId="77777777" w:rsidR="002C5DD1" w:rsidRPr="00036C34" w:rsidRDefault="002C5DD1" w:rsidP="00611673">
            <w:pPr>
              <w:jc w:val="right"/>
              <w:rPr>
                <w:rFonts w:cs="Arial"/>
                <w:color w:val="FFFFFF" w:themeColor="background1"/>
                <w:szCs w:val="24"/>
              </w:rPr>
            </w:pPr>
            <w:r w:rsidRPr="00036C34">
              <w:rPr>
                <w:rFonts w:cs="Arial"/>
                <w:color w:val="FFFFFF" w:themeColor="background1"/>
                <w:szCs w:val="24"/>
              </w:rPr>
              <w:t>Total Authority reserves</w:t>
            </w:r>
          </w:p>
          <w:p w14:paraId="0714F521" w14:textId="07FD9B15" w:rsidR="002C5DD1" w:rsidRPr="00036C34" w:rsidRDefault="002C5DD1" w:rsidP="00611673">
            <w:pPr>
              <w:jc w:val="right"/>
              <w:rPr>
                <w:rFonts w:cs="Arial"/>
                <w:color w:val="FFFFFF" w:themeColor="background1"/>
                <w:szCs w:val="24"/>
              </w:rPr>
            </w:pPr>
            <w:r w:rsidRPr="00036C34">
              <w:rPr>
                <w:rFonts w:cs="Arial"/>
                <w:color w:val="FFFFFF" w:themeColor="background1"/>
                <w:szCs w:val="24"/>
              </w:rPr>
              <w:t>£000</w:t>
            </w:r>
          </w:p>
        </w:tc>
      </w:tr>
      <w:tr w:rsidR="002C5DD1" w:rsidRPr="00B16E84" w14:paraId="6963C0DD" w14:textId="77777777" w:rsidTr="00233A66">
        <w:trPr>
          <w:trHeight w:val="287"/>
        </w:trPr>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4481244C" w14:textId="77777777" w:rsidR="002C5DD1" w:rsidRPr="008A3DEE" w:rsidRDefault="002C5DD1" w:rsidP="002C5DD1">
            <w:pPr>
              <w:rPr>
                <w:rFonts w:cs="Arial"/>
                <w:szCs w:val="24"/>
              </w:rPr>
            </w:pPr>
            <w:r w:rsidRPr="008A3DEE">
              <w:rPr>
                <w:rFonts w:cs="Arial"/>
                <w:szCs w:val="24"/>
              </w:rPr>
              <w:t>Amount by which the Code and the statutory collection fund income differ</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295A6216" w14:textId="4918D5AD" w:rsidR="002C5DD1" w:rsidRPr="008A3DEE" w:rsidRDefault="002C5DD1" w:rsidP="00233A66">
            <w:pPr>
              <w:jc w:val="right"/>
              <w:rPr>
                <w:rFonts w:cs="Arial"/>
                <w:szCs w:val="24"/>
              </w:rPr>
            </w:pPr>
            <w:r w:rsidRPr="008A3DEE">
              <w:rPr>
                <w:rFonts w:cs="Arial"/>
                <w:szCs w:val="24"/>
              </w:rPr>
              <w:t>(983)</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20BD3AE5" w14:textId="5E140731" w:rsidR="002C5DD1" w:rsidRPr="008A3DEE" w:rsidRDefault="002C5DD1" w:rsidP="00233A66">
            <w:pPr>
              <w:jc w:val="right"/>
              <w:rPr>
                <w:rFonts w:cs="Arial"/>
                <w:szCs w:val="24"/>
              </w:rPr>
            </w:pPr>
            <w:r w:rsidRPr="008A3DEE">
              <w:rPr>
                <w:rFonts w:cs="Arial"/>
                <w:szCs w:val="24"/>
              </w:rPr>
              <w:t>-</w:t>
            </w:r>
          </w:p>
        </w:tc>
        <w:tc>
          <w:tcPr>
            <w:tcW w:w="396" w:type="pct"/>
            <w:tcBorders>
              <w:top w:val="single" w:sz="4" w:space="0" w:color="auto"/>
              <w:left w:val="single" w:sz="4" w:space="0" w:color="auto"/>
              <w:bottom w:val="single" w:sz="4" w:space="0" w:color="auto"/>
              <w:right w:val="single" w:sz="4" w:space="0" w:color="auto"/>
            </w:tcBorders>
            <w:vAlign w:val="center"/>
          </w:tcPr>
          <w:p w14:paraId="168937DD" w14:textId="71BE06A3" w:rsidR="002C5DD1" w:rsidRPr="008A3DEE" w:rsidRDefault="002C5DD1" w:rsidP="00233A66">
            <w:pPr>
              <w:jc w:val="right"/>
              <w:rPr>
                <w:rFonts w:cs="Arial"/>
                <w:szCs w:val="24"/>
              </w:rPr>
            </w:pPr>
            <w:r w:rsidRPr="008A3DEE">
              <w:rPr>
                <w:rFonts w:cs="Arial"/>
                <w:szCs w:val="24"/>
              </w:rPr>
              <w:t>(983)</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51A1D5B3" w14:textId="6B554B79" w:rsidR="002C5DD1" w:rsidRPr="008A3DEE" w:rsidRDefault="002C5DD1" w:rsidP="00233A66">
            <w:pPr>
              <w:jc w:val="right"/>
              <w:rPr>
                <w:rFonts w:cs="Arial"/>
                <w:szCs w:val="24"/>
              </w:rPr>
            </w:pPr>
            <w:r w:rsidRPr="008A3DEE">
              <w:rPr>
                <w:rFonts w:cs="Arial"/>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14:paraId="59934DC4" w14:textId="523A58D4" w:rsidR="002C5DD1" w:rsidRPr="008A3DEE" w:rsidRDefault="002C5DD1" w:rsidP="00233A66">
            <w:pPr>
              <w:jc w:val="right"/>
              <w:rPr>
                <w:rFonts w:cs="Arial"/>
                <w:szCs w:val="24"/>
              </w:rPr>
            </w:pPr>
            <w:r w:rsidRPr="008A3DEE">
              <w:rPr>
                <w:rFonts w:cs="Arial"/>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4960B35E" w14:textId="236E9A74" w:rsidR="002C5DD1" w:rsidRPr="008A3DEE" w:rsidRDefault="002C5DD1" w:rsidP="00233A66">
            <w:pPr>
              <w:jc w:val="right"/>
              <w:rPr>
                <w:rFonts w:cs="Arial"/>
                <w:szCs w:val="24"/>
              </w:rPr>
            </w:pPr>
            <w:r w:rsidRPr="008A3DEE">
              <w:rPr>
                <w:rFonts w:cs="Arial"/>
                <w:szCs w:val="24"/>
              </w:rPr>
              <w: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1DCE0B5F" w14:textId="5FDCD70B" w:rsidR="002C5DD1" w:rsidRPr="008A3DEE" w:rsidRDefault="002C5DD1" w:rsidP="00233A66">
            <w:pPr>
              <w:jc w:val="right"/>
              <w:rPr>
                <w:rFonts w:cs="Arial"/>
                <w:szCs w:val="24"/>
              </w:rPr>
            </w:pPr>
            <w:r w:rsidRPr="008A3DEE">
              <w:rPr>
                <w:rFonts w:cs="Arial"/>
                <w:szCs w:val="24"/>
              </w:rPr>
              <w:t>(983)</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04970D6A" w14:textId="74B397B1" w:rsidR="002C5DD1" w:rsidRPr="008A3DEE" w:rsidRDefault="002C5DD1" w:rsidP="00233A66">
            <w:pPr>
              <w:jc w:val="right"/>
              <w:rPr>
                <w:rFonts w:cs="Arial"/>
                <w:szCs w:val="24"/>
              </w:rPr>
            </w:pPr>
            <w:r w:rsidRPr="008A3DEE">
              <w:rPr>
                <w:rFonts w:cs="Arial"/>
                <w:szCs w:val="24"/>
              </w:rPr>
              <w:t>983</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0235EA22" w14:textId="14A18730" w:rsidR="002C5DD1" w:rsidRPr="008A3DEE" w:rsidRDefault="002C5DD1" w:rsidP="00233A66">
            <w:pPr>
              <w:jc w:val="right"/>
              <w:rPr>
                <w:rFonts w:cs="Arial"/>
                <w:szCs w:val="24"/>
              </w:rPr>
            </w:pPr>
            <w:r w:rsidRPr="008A3DEE">
              <w:rPr>
                <w:rFonts w:cs="Arial"/>
                <w:szCs w:val="24"/>
              </w:rPr>
              <w:t>-</w:t>
            </w:r>
          </w:p>
        </w:tc>
      </w:tr>
      <w:tr w:rsidR="002C5DD1" w:rsidRPr="00B16E84" w14:paraId="57544245" w14:textId="77777777" w:rsidTr="00233A66">
        <w:trPr>
          <w:trHeight w:val="269"/>
        </w:trPr>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32EAC610" w14:textId="49EE3817" w:rsidR="002C5DD1" w:rsidRPr="008A3DEE" w:rsidRDefault="002C5DD1" w:rsidP="002C5DD1">
            <w:pPr>
              <w:rPr>
                <w:rFonts w:cs="Arial"/>
                <w:b/>
                <w:bCs/>
                <w:szCs w:val="24"/>
              </w:rPr>
            </w:pPr>
            <w:r w:rsidRPr="008A3DEE">
              <w:rPr>
                <w:rFonts w:cs="Arial"/>
                <w:b/>
                <w:bCs/>
                <w:szCs w:val="24"/>
              </w:rPr>
              <w:t>Adjustments total</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3BD343E" w14:textId="13FBBBF2" w:rsidR="002C5DD1" w:rsidRPr="008A3DEE" w:rsidRDefault="002C5DD1" w:rsidP="00233A66">
            <w:pPr>
              <w:jc w:val="right"/>
              <w:rPr>
                <w:rFonts w:cs="Arial"/>
                <w:b/>
                <w:bCs/>
                <w:szCs w:val="24"/>
              </w:rPr>
            </w:pPr>
            <w:r w:rsidRPr="008A3DEE">
              <w:rPr>
                <w:rFonts w:cs="Arial"/>
                <w:b/>
                <w:bCs/>
                <w:szCs w:val="24"/>
              </w:rPr>
              <w:t>13,095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3C8A25F6" w14:textId="37E2EB05" w:rsidR="002C5DD1" w:rsidRPr="008A3DEE" w:rsidRDefault="002C5DD1" w:rsidP="00233A66">
            <w:pPr>
              <w:jc w:val="right"/>
              <w:rPr>
                <w:rFonts w:cs="Arial"/>
                <w:b/>
                <w:bCs/>
                <w:szCs w:val="24"/>
              </w:rPr>
            </w:pPr>
            <w:r w:rsidRPr="008A3DEE">
              <w:rPr>
                <w:rFonts w:cs="Arial"/>
                <w:b/>
                <w:bCs/>
                <w:szCs w:val="24"/>
              </w:rPr>
              <w:t>-</w:t>
            </w:r>
          </w:p>
        </w:tc>
        <w:tc>
          <w:tcPr>
            <w:tcW w:w="396" w:type="pct"/>
            <w:tcBorders>
              <w:top w:val="single" w:sz="4" w:space="0" w:color="auto"/>
              <w:left w:val="single" w:sz="4" w:space="0" w:color="auto"/>
              <w:bottom w:val="single" w:sz="4" w:space="0" w:color="auto"/>
              <w:right w:val="single" w:sz="4" w:space="0" w:color="auto"/>
            </w:tcBorders>
            <w:vAlign w:val="center"/>
          </w:tcPr>
          <w:p w14:paraId="1ADF1687" w14:textId="30E37D4D" w:rsidR="002C5DD1" w:rsidRPr="008A3DEE" w:rsidRDefault="002C5DD1" w:rsidP="00233A66">
            <w:pPr>
              <w:jc w:val="right"/>
              <w:rPr>
                <w:rFonts w:cs="Arial"/>
                <w:b/>
                <w:bCs/>
                <w:szCs w:val="24"/>
              </w:rPr>
            </w:pPr>
            <w:r w:rsidRPr="008A3DEE">
              <w:rPr>
                <w:rFonts w:cs="Arial"/>
                <w:b/>
                <w:bCs/>
                <w:szCs w:val="24"/>
              </w:rPr>
              <w:t>13,095</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7B6FE971" w14:textId="7CB4344E" w:rsidR="002C5DD1" w:rsidRPr="008A3DEE" w:rsidRDefault="002C5DD1" w:rsidP="00233A66">
            <w:pPr>
              <w:jc w:val="right"/>
              <w:rPr>
                <w:rFonts w:cs="Arial"/>
                <w:b/>
                <w:bCs/>
                <w:szCs w:val="24"/>
              </w:rPr>
            </w:pPr>
            <w:r w:rsidRPr="008A3DEE">
              <w:rPr>
                <w:rFonts w:cs="Arial"/>
                <w:b/>
                <w:bCs/>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14:paraId="0F5BA14B" w14:textId="040D1CC6" w:rsidR="002C5DD1" w:rsidRPr="008A3DEE" w:rsidRDefault="002C5DD1" w:rsidP="00233A66">
            <w:pPr>
              <w:jc w:val="right"/>
              <w:rPr>
                <w:rFonts w:cs="Arial"/>
                <w:b/>
                <w:bCs/>
                <w:szCs w:val="24"/>
              </w:rPr>
            </w:pPr>
            <w:r w:rsidRPr="008A3DEE">
              <w:rPr>
                <w:rFonts w:cs="Arial"/>
                <w:b/>
                <w:bCs/>
                <w:szCs w:val="24"/>
              </w:rPr>
              <w:t>(42)</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49477CDB" w14:textId="5B56F842" w:rsidR="002C5DD1" w:rsidRPr="008A3DEE" w:rsidRDefault="002C5DD1" w:rsidP="00233A66">
            <w:pPr>
              <w:jc w:val="right"/>
              <w:rPr>
                <w:rFonts w:cs="Arial"/>
                <w:b/>
                <w:bCs/>
                <w:szCs w:val="24"/>
              </w:rPr>
            </w:pPr>
            <w:r w:rsidRPr="008A3DEE">
              <w:rPr>
                <w:rFonts w:cs="Arial"/>
                <w:b/>
                <w:bCs/>
                <w:szCs w:val="24"/>
              </w:rPr>
              <w:t>9</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568DC9C1" w14:textId="481C963E" w:rsidR="002C5DD1" w:rsidRPr="008A3DEE" w:rsidRDefault="002C5DD1" w:rsidP="00233A66">
            <w:pPr>
              <w:jc w:val="right"/>
              <w:rPr>
                <w:rFonts w:cs="Arial"/>
                <w:b/>
                <w:bCs/>
                <w:szCs w:val="24"/>
              </w:rPr>
            </w:pPr>
            <w:r w:rsidRPr="008A3DEE">
              <w:rPr>
                <w:rFonts w:cs="Arial"/>
                <w:b/>
                <w:bCs/>
                <w:szCs w:val="24"/>
              </w:rPr>
              <w:t>13,062</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1881D60B" w14:textId="4FE39436" w:rsidR="002C5DD1" w:rsidRPr="008A3DEE" w:rsidRDefault="002C5DD1" w:rsidP="00233A66">
            <w:pPr>
              <w:jc w:val="right"/>
              <w:rPr>
                <w:rFonts w:cs="Arial"/>
                <w:b/>
                <w:bCs/>
                <w:szCs w:val="24"/>
              </w:rPr>
            </w:pPr>
            <w:r w:rsidRPr="008A3DEE">
              <w:rPr>
                <w:rFonts w:cs="Arial"/>
                <w:b/>
                <w:bCs/>
                <w:szCs w:val="24"/>
              </w:rPr>
              <w:t>(13,062)</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47FD312C" w14:textId="0B32661D" w:rsidR="002C5DD1" w:rsidRPr="008A3DEE" w:rsidRDefault="002C5DD1" w:rsidP="00233A66">
            <w:pPr>
              <w:jc w:val="right"/>
              <w:rPr>
                <w:rFonts w:cs="Arial"/>
                <w:b/>
                <w:bCs/>
                <w:szCs w:val="24"/>
              </w:rPr>
            </w:pPr>
            <w:r w:rsidRPr="008A3DEE">
              <w:rPr>
                <w:rFonts w:cs="Arial"/>
                <w:b/>
                <w:bCs/>
                <w:szCs w:val="24"/>
              </w:rPr>
              <w:t>-</w:t>
            </w:r>
          </w:p>
        </w:tc>
      </w:tr>
      <w:tr w:rsidR="002C5DD1" w:rsidRPr="00B16E84" w14:paraId="0BEA7D72" w14:textId="77777777" w:rsidTr="00233A66">
        <w:trPr>
          <w:trHeight w:val="243"/>
        </w:trPr>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567F3060" w14:textId="77777777" w:rsidR="002C5DD1" w:rsidRPr="008A3DEE" w:rsidRDefault="002C5DD1" w:rsidP="002C5DD1">
            <w:pPr>
              <w:rPr>
                <w:rFonts w:cs="Arial"/>
                <w:b/>
                <w:bCs/>
                <w:szCs w:val="24"/>
              </w:rPr>
            </w:pPr>
            <w:r w:rsidRPr="008A3DEE">
              <w:rPr>
                <w:rFonts w:cs="Arial"/>
                <w:b/>
                <w:bCs/>
                <w:szCs w:val="24"/>
              </w:rPr>
              <w:t>Net increase/decrease before transfers to earmarked reserves</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686FAE83" w14:textId="74DF73B9" w:rsidR="002C5DD1" w:rsidRPr="008A3DEE" w:rsidRDefault="002C5DD1" w:rsidP="00233A66">
            <w:pPr>
              <w:jc w:val="right"/>
              <w:rPr>
                <w:rFonts w:cs="Arial"/>
                <w:b/>
                <w:bCs/>
                <w:szCs w:val="24"/>
              </w:rPr>
            </w:pPr>
            <w:r w:rsidRPr="008A3DEE">
              <w:rPr>
                <w:rFonts w:cs="Arial"/>
                <w:b/>
                <w:bCs/>
                <w:szCs w:val="24"/>
              </w:rPr>
              <w:t>(2,252)</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1F86B70D" w14:textId="4A55CCB3" w:rsidR="002C5DD1" w:rsidRPr="008A3DEE" w:rsidRDefault="002C5DD1" w:rsidP="00233A66">
            <w:pPr>
              <w:jc w:val="right"/>
              <w:rPr>
                <w:rFonts w:cs="Arial"/>
                <w:b/>
                <w:bCs/>
                <w:szCs w:val="24"/>
              </w:rPr>
            </w:pPr>
            <w:r w:rsidRPr="008A3DEE">
              <w:rPr>
                <w:rFonts w:cs="Arial"/>
                <w:b/>
                <w:bCs/>
                <w:szCs w:val="24"/>
              </w:rPr>
              <w:t>-</w:t>
            </w:r>
          </w:p>
        </w:tc>
        <w:tc>
          <w:tcPr>
            <w:tcW w:w="396" w:type="pct"/>
            <w:tcBorders>
              <w:top w:val="single" w:sz="4" w:space="0" w:color="auto"/>
              <w:left w:val="single" w:sz="4" w:space="0" w:color="auto"/>
              <w:bottom w:val="single" w:sz="4" w:space="0" w:color="auto"/>
              <w:right w:val="single" w:sz="4" w:space="0" w:color="auto"/>
            </w:tcBorders>
            <w:vAlign w:val="center"/>
          </w:tcPr>
          <w:p w14:paraId="0E2930F0" w14:textId="77215AB3" w:rsidR="002C5DD1" w:rsidRPr="008A3DEE" w:rsidRDefault="002C5DD1" w:rsidP="00233A66">
            <w:pPr>
              <w:jc w:val="right"/>
              <w:rPr>
                <w:rFonts w:cs="Arial"/>
                <w:b/>
                <w:bCs/>
                <w:szCs w:val="24"/>
              </w:rPr>
            </w:pPr>
            <w:r w:rsidRPr="008A3DEE">
              <w:rPr>
                <w:rFonts w:cs="Arial"/>
                <w:b/>
                <w:bCs/>
                <w:szCs w:val="24"/>
              </w:rPr>
              <w:t>(2,252)</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5D47180A" w14:textId="1DEECA30" w:rsidR="002C5DD1" w:rsidRPr="008A3DEE" w:rsidRDefault="002C5DD1" w:rsidP="00233A66">
            <w:pPr>
              <w:jc w:val="right"/>
              <w:rPr>
                <w:rFonts w:cs="Arial"/>
                <w:b/>
                <w:bCs/>
                <w:szCs w:val="24"/>
              </w:rPr>
            </w:pPr>
            <w:r w:rsidRPr="008A3DEE">
              <w:rPr>
                <w:rFonts w:cs="Arial"/>
                <w:b/>
                <w:bCs/>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14:paraId="0B7221F6" w14:textId="42A1812C" w:rsidR="002C5DD1" w:rsidRPr="008A3DEE" w:rsidRDefault="002C5DD1" w:rsidP="00233A66">
            <w:pPr>
              <w:jc w:val="right"/>
              <w:rPr>
                <w:rFonts w:cs="Arial"/>
                <w:b/>
                <w:bCs/>
                <w:szCs w:val="24"/>
              </w:rPr>
            </w:pPr>
            <w:r w:rsidRPr="008A3DEE">
              <w:rPr>
                <w:rFonts w:cs="Arial"/>
                <w:b/>
                <w:bCs/>
                <w:szCs w:val="24"/>
              </w:rPr>
              <w:t>(42)</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348D842E" w14:textId="6902781B" w:rsidR="002C5DD1" w:rsidRPr="008A3DEE" w:rsidRDefault="002C5DD1" w:rsidP="00233A66">
            <w:pPr>
              <w:jc w:val="right"/>
              <w:rPr>
                <w:rFonts w:cs="Arial"/>
                <w:b/>
                <w:bCs/>
                <w:szCs w:val="24"/>
              </w:rPr>
            </w:pPr>
            <w:r w:rsidRPr="008A3DEE">
              <w:rPr>
                <w:rFonts w:cs="Arial"/>
                <w:b/>
                <w:bCs/>
                <w:szCs w:val="24"/>
              </w:rPr>
              <w:t>9</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341499D3" w14:textId="49BA8F2F" w:rsidR="002C5DD1" w:rsidRPr="008A3DEE" w:rsidRDefault="002C5DD1" w:rsidP="00233A66">
            <w:pPr>
              <w:jc w:val="right"/>
              <w:rPr>
                <w:rFonts w:cs="Arial"/>
                <w:b/>
                <w:bCs/>
                <w:szCs w:val="24"/>
              </w:rPr>
            </w:pPr>
            <w:r w:rsidRPr="008A3DEE">
              <w:rPr>
                <w:rFonts w:cs="Arial"/>
                <w:b/>
                <w:bCs/>
                <w:szCs w:val="24"/>
              </w:rPr>
              <w:t>(2,285)</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155E0793" w14:textId="06F57A32" w:rsidR="002C5DD1" w:rsidRPr="008A3DEE" w:rsidRDefault="002C5DD1" w:rsidP="00233A66">
            <w:pPr>
              <w:jc w:val="right"/>
              <w:rPr>
                <w:rFonts w:cs="Arial"/>
                <w:b/>
                <w:bCs/>
                <w:szCs w:val="24"/>
              </w:rPr>
            </w:pPr>
            <w:r w:rsidRPr="008A3DEE">
              <w:rPr>
                <w:rFonts w:cs="Arial"/>
                <w:b/>
                <w:bCs/>
                <w:szCs w:val="24"/>
              </w:rPr>
              <w:t>253,450</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535556A9" w14:textId="2600C8EE" w:rsidR="002C5DD1" w:rsidRPr="008A3DEE" w:rsidRDefault="002C5DD1" w:rsidP="00233A66">
            <w:pPr>
              <w:jc w:val="right"/>
              <w:rPr>
                <w:rFonts w:cs="Arial"/>
                <w:b/>
                <w:bCs/>
                <w:szCs w:val="24"/>
              </w:rPr>
            </w:pPr>
            <w:r w:rsidRPr="008A3DEE">
              <w:rPr>
                <w:rFonts w:cs="Arial"/>
                <w:b/>
                <w:bCs/>
                <w:szCs w:val="24"/>
              </w:rPr>
              <w:t>251,165</w:t>
            </w:r>
          </w:p>
        </w:tc>
      </w:tr>
      <w:tr w:rsidR="002C5DD1" w:rsidRPr="00B16E84" w14:paraId="2E062C85" w14:textId="77777777" w:rsidTr="00233A66">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4163233F" w14:textId="77777777" w:rsidR="002C5DD1" w:rsidRPr="008A3DEE" w:rsidRDefault="002C5DD1" w:rsidP="002C5DD1">
            <w:pPr>
              <w:rPr>
                <w:rFonts w:cs="Arial"/>
                <w:szCs w:val="24"/>
              </w:rPr>
            </w:pPr>
            <w:r w:rsidRPr="008A3DEE">
              <w:rPr>
                <w:rFonts w:cs="Arial"/>
                <w:szCs w:val="24"/>
              </w:rPr>
              <w:t>Transfers (to)/from earmarked reserves</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134C1091" w14:textId="62758BFD" w:rsidR="002C5DD1" w:rsidRPr="008A3DEE" w:rsidRDefault="002C5DD1" w:rsidP="00233A66">
            <w:pPr>
              <w:spacing w:before="240"/>
              <w:jc w:val="right"/>
              <w:rPr>
                <w:rFonts w:cs="Arial"/>
                <w:szCs w:val="24"/>
              </w:rPr>
            </w:pPr>
            <w:r w:rsidRPr="008A3DEE">
              <w:rPr>
                <w:rFonts w:cs="Arial"/>
                <w:szCs w:val="24"/>
              </w:rPr>
              <w:t>484</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682434A2" w14:textId="0ECDF665" w:rsidR="002C5DD1" w:rsidRPr="008A3DEE" w:rsidRDefault="002C5DD1" w:rsidP="00233A66">
            <w:pPr>
              <w:spacing w:before="240"/>
              <w:jc w:val="right"/>
              <w:rPr>
                <w:rFonts w:cs="Arial"/>
                <w:szCs w:val="24"/>
              </w:rPr>
            </w:pPr>
            <w:r w:rsidRPr="008A3DEE">
              <w:rPr>
                <w:rFonts w:cs="Arial"/>
                <w:szCs w:val="24"/>
              </w:rPr>
              <w:t>(484)</w:t>
            </w:r>
          </w:p>
        </w:tc>
        <w:tc>
          <w:tcPr>
            <w:tcW w:w="396" w:type="pct"/>
            <w:tcBorders>
              <w:top w:val="single" w:sz="4" w:space="0" w:color="auto"/>
              <w:left w:val="single" w:sz="4" w:space="0" w:color="auto"/>
              <w:bottom w:val="single" w:sz="4" w:space="0" w:color="auto"/>
              <w:right w:val="single" w:sz="4" w:space="0" w:color="auto"/>
            </w:tcBorders>
            <w:vAlign w:val="center"/>
          </w:tcPr>
          <w:p w14:paraId="50042043" w14:textId="1E6AAB74" w:rsidR="002C5DD1" w:rsidRPr="008A3DEE" w:rsidRDefault="002C5DD1" w:rsidP="00233A66">
            <w:pPr>
              <w:spacing w:before="240"/>
              <w:jc w:val="right"/>
              <w:rPr>
                <w:rFonts w:cs="Arial"/>
                <w:szCs w:val="24"/>
              </w:rPr>
            </w:pPr>
            <w:r w:rsidRPr="008A3DEE">
              <w:rPr>
                <w:rFonts w:cs="Arial"/>
                <w:szCs w:val="24"/>
              </w:rPr>
              <w:t>-</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49569C61" w14:textId="373875FF" w:rsidR="002C5DD1" w:rsidRPr="008A3DEE" w:rsidRDefault="002C5DD1" w:rsidP="00233A66">
            <w:pPr>
              <w:spacing w:before="240"/>
              <w:jc w:val="right"/>
              <w:rPr>
                <w:rFonts w:cs="Arial"/>
                <w:szCs w:val="24"/>
              </w:rPr>
            </w:pPr>
          </w:p>
        </w:tc>
        <w:tc>
          <w:tcPr>
            <w:tcW w:w="412" w:type="pct"/>
            <w:tcBorders>
              <w:top w:val="single" w:sz="4" w:space="0" w:color="auto"/>
              <w:left w:val="single" w:sz="4" w:space="0" w:color="auto"/>
              <w:bottom w:val="single" w:sz="4" w:space="0" w:color="auto"/>
              <w:right w:val="single" w:sz="4" w:space="0" w:color="auto"/>
            </w:tcBorders>
            <w:vAlign w:val="center"/>
          </w:tcPr>
          <w:p w14:paraId="1ABA209D" w14:textId="60C8157E" w:rsidR="002C5DD1" w:rsidRPr="008A3DEE" w:rsidRDefault="002C5DD1" w:rsidP="00233A66">
            <w:pPr>
              <w:spacing w:before="240"/>
              <w:jc w:val="right"/>
              <w:rPr>
                <w:rFonts w:cs="Arial"/>
                <w:szCs w:val="24"/>
              </w:rPr>
            </w:pPr>
            <w:r w:rsidRPr="008A3DEE">
              <w:rPr>
                <w:rFonts w:cs="Arial"/>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7181E5AC" w14:textId="178FE0F1" w:rsidR="002C5DD1" w:rsidRPr="008A3DEE" w:rsidRDefault="002C5DD1" w:rsidP="00233A66">
            <w:pPr>
              <w:spacing w:before="240"/>
              <w:jc w:val="right"/>
              <w:rPr>
                <w:rFonts w:cs="Arial"/>
                <w:szCs w:val="24"/>
              </w:rPr>
            </w:pPr>
            <w:r w:rsidRPr="008A3DEE">
              <w:rPr>
                <w:rFonts w:cs="Arial"/>
                <w:szCs w:val="24"/>
              </w:rPr>
              <w: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1F54F1FF" w14:textId="61AD1C16" w:rsidR="002C5DD1" w:rsidRPr="008A3DEE" w:rsidRDefault="002C5DD1" w:rsidP="00233A66">
            <w:pPr>
              <w:spacing w:before="240"/>
              <w:jc w:val="right"/>
              <w:rPr>
                <w:rFonts w:cs="Arial"/>
                <w:szCs w:val="24"/>
              </w:rPr>
            </w:pPr>
            <w:r w:rsidRPr="008A3DEE">
              <w:rPr>
                <w:rFonts w:cs="Arial"/>
                <w:szCs w:val="24"/>
              </w:rPr>
              <w:t>-</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18D47684" w14:textId="319BC688" w:rsidR="002C5DD1" w:rsidRPr="008A3DEE" w:rsidRDefault="002C5DD1" w:rsidP="00233A66">
            <w:pPr>
              <w:spacing w:before="240"/>
              <w:jc w:val="right"/>
              <w:rPr>
                <w:rFonts w:cs="Arial"/>
                <w:szCs w:val="24"/>
              </w:rPr>
            </w:pPr>
            <w:r w:rsidRPr="008A3DEE">
              <w:rPr>
                <w:rFonts w:cs="Arial"/>
                <w:szCs w:val="24"/>
              </w:rPr>
              <w:t>-</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29D3663E" w14:textId="358BC50A" w:rsidR="002C5DD1" w:rsidRPr="008A3DEE" w:rsidRDefault="002C5DD1" w:rsidP="00233A66">
            <w:pPr>
              <w:spacing w:before="240"/>
              <w:jc w:val="right"/>
              <w:rPr>
                <w:rFonts w:cs="Arial"/>
                <w:szCs w:val="24"/>
              </w:rPr>
            </w:pPr>
            <w:r w:rsidRPr="008A3DEE">
              <w:rPr>
                <w:rFonts w:cs="Arial"/>
                <w:szCs w:val="24"/>
              </w:rPr>
              <w:t>-</w:t>
            </w:r>
          </w:p>
        </w:tc>
      </w:tr>
      <w:tr w:rsidR="002C5DD1" w:rsidRPr="00B16E84" w14:paraId="7E85BB24" w14:textId="77777777" w:rsidTr="00233A66">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3DE6B58B" w14:textId="77777777" w:rsidR="002C5DD1" w:rsidRPr="008A3DEE" w:rsidRDefault="002C5DD1" w:rsidP="002C5DD1">
            <w:pPr>
              <w:rPr>
                <w:rFonts w:cs="Arial"/>
                <w:szCs w:val="24"/>
              </w:rPr>
            </w:pPr>
            <w:r w:rsidRPr="008A3DEE">
              <w:rPr>
                <w:rFonts w:cs="Arial"/>
                <w:szCs w:val="24"/>
              </w:rPr>
              <w:t>Transfers (to)/from capital funding reserve</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56CF7D6C" w14:textId="4E12DDBC" w:rsidR="002C5DD1" w:rsidRPr="008A3DEE" w:rsidRDefault="002C5DD1" w:rsidP="00233A66">
            <w:pPr>
              <w:jc w:val="right"/>
              <w:rPr>
                <w:rFonts w:cs="Arial"/>
                <w:szCs w:val="24"/>
              </w:rPr>
            </w:pPr>
            <w:r w:rsidRPr="008A3DEE">
              <w:rPr>
                <w:rFonts w:cs="Arial"/>
                <w:szCs w:val="24"/>
              </w:rPr>
              <w:t>-</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710B6F99" w14:textId="44D14B9D" w:rsidR="002C5DD1" w:rsidRPr="008A3DEE" w:rsidRDefault="002C5DD1" w:rsidP="00233A66">
            <w:pPr>
              <w:jc w:val="right"/>
              <w:rPr>
                <w:rFonts w:cs="Arial"/>
                <w:szCs w:val="24"/>
              </w:rPr>
            </w:pPr>
            <w:r w:rsidRPr="008A3DEE">
              <w:rPr>
                <w:rFonts w:cs="Arial"/>
                <w:szCs w:val="24"/>
              </w:rPr>
              <w:t>-</w:t>
            </w:r>
          </w:p>
        </w:tc>
        <w:tc>
          <w:tcPr>
            <w:tcW w:w="396" w:type="pct"/>
            <w:tcBorders>
              <w:top w:val="single" w:sz="4" w:space="0" w:color="auto"/>
              <w:left w:val="single" w:sz="4" w:space="0" w:color="auto"/>
              <w:bottom w:val="single" w:sz="4" w:space="0" w:color="auto"/>
              <w:right w:val="single" w:sz="4" w:space="0" w:color="auto"/>
            </w:tcBorders>
            <w:vAlign w:val="center"/>
          </w:tcPr>
          <w:p w14:paraId="5EC538D7" w14:textId="1211EF67" w:rsidR="002C5DD1" w:rsidRPr="008A3DEE" w:rsidRDefault="002C5DD1" w:rsidP="00233A66">
            <w:pPr>
              <w:jc w:val="right"/>
              <w:rPr>
                <w:rFonts w:cs="Arial"/>
                <w:szCs w:val="24"/>
              </w:rPr>
            </w:pPr>
            <w:r w:rsidRPr="008A3DEE">
              <w:rPr>
                <w:rFonts w:cs="Arial"/>
                <w:szCs w:val="24"/>
              </w:rPr>
              <w:t>-</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4F227E79" w14:textId="5FB34718" w:rsidR="002C5DD1" w:rsidRPr="008A3DEE" w:rsidRDefault="002C5DD1" w:rsidP="00233A66">
            <w:pPr>
              <w:jc w:val="right"/>
              <w:rPr>
                <w:rFonts w:cs="Arial"/>
                <w:szCs w:val="24"/>
              </w:rPr>
            </w:pPr>
            <w:r w:rsidRPr="008A3DEE">
              <w:rPr>
                <w:rFonts w:cs="Arial"/>
                <w:szCs w:val="24"/>
              </w:rPr>
              <w:t>2,672</w:t>
            </w:r>
          </w:p>
        </w:tc>
        <w:tc>
          <w:tcPr>
            <w:tcW w:w="412" w:type="pct"/>
            <w:tcBorders>
              <w:top w:val="single" w:sz="4" w:space="0" w:color="auto"/>
              <w:left w:val="single" w:sz="4" w:space="0" w:color="auto"/>
              <w:bottom w:val="single" w:sz="4" w:space="0" w:color="auto"/>
              <w:right w:val="single" w:sz="4" w:space="0" w:color="auto"/>
            </w:tcBorders>
            <w:vAlign w:val="center"/>
          </w:tcPr>
          <w:p w14:paraId="795AD726" w14:textId="2C4EA977" w:rsidR="002C5DD1" w:rsidRPr="008A3DEE" w:rsidRDefault="002C5DD1" w:rsidP="00233A66">
            <w:pPr>
              <w:jc w:val="right"/>
              <w:rPr>
                <w:rFonts w:cs="Arial"/>
                <w:szCs w:val="24"/>
              </w:rPr>
            </w:pPr>
            <w:r w:rsidRPr="008A3DEE">
              <w:rPr>
                <w:rFonts w:cs="Arial"/>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2CFCBBED" w14:textId="7B26B8E3" w:rsidR="002C5DD1" w:rsidRPr="008A3DEE" w:rsidRDefault="002C5DD1" w:rsidP="00233A66">
            <w:pPr>
              <w:jc w:val="right"/>
              <w:rPr>
                <w:rFonts w:cs="Arial"/>
                <w:szCs w:val="24"/>
              </w:rPr>
            </w:pPr>
            <w:r w:rsidRPr="008A3DEE">
              <w:rPr>
                <w:rFonts w:cs="Arial"/>
                <w:szCs w:val="24"/>
              </w:rPr>
              <w: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6C234F5" w14:textId="5D151C01" w:rsidR="002C5DD1" w:rsidRPr="008A3DEE" w:rsidRDefault="002C5DD1" w:rsidP="00233A66">
            <w:pPr>
              <w:jc w:val="right"/>
              <w:rPr>
                <w:rFonts w:cs="Arial"/>
                <w:szCs w:val="24"/>
              </w:rPr>
            </w:pPr>
            <w:r w:rsidRPr="008A3DEE">
              <w:rPr>
                <w:rFonts w:cs="Arial"/>
                <w:szCs w:val="24"/>
              </w:rPr>
              <w:t>2,672</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13768E3F" w14:textId="115926F6" w:rsidR="002C5DD1" w:rsidRPr="008A3DEE" w:rsidRDefault="002C5DD1" w:rsidP="00233A66">
            <w:pPr>
              <w:jc w:val="right"/>
              <w:rPr>
                <w:rFonts w:cs="Arial"/>
                <w:szCs w:val="24"/>
              </w:rPr>
            </w:pPr>
            <w:r w:rsidRPr="008A3DEE">
              <w:rPr>
                <w:rFonts w:cs="Arial"/>
                <w:szCs w:val="24"/>
              </w:rPr>
              <w:t>(2,672)</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463BC873" w14:textId="26377165" w:rsidR="002C5DD1" w:rsidRPr="008A3DEE" w:rsidRDefault="002C5DD1" w:rsidP="00233A66">
            <w:pPr>
              <w:jc w:val="right"/>
              <w:rPr>
                <w:rFonts w:cs="Arial"/>
                <w:szCs w:val="24"/>
              </w:rPr>
            </w:pPr>
            <w:r w:rsidRPr="008A3DEE">
              <w:rPr>
                <w:rFonts w:cs="Arial"/>
                <w:szCs w:val="24"/>
              </w:rPr>
              <w:t>-</w:t>
            </w:r>
          </w:p>
        </w:tc>
      </w:tr>
      <w:tr w:rsidR="002C5DD1" w:rsidRPr="00B16E84" w14:paraId="698D0BFD" w14:textId="77777777" w:rsidTr="00233A66">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6B694C56" w14:textId="77777777" w:rsidR="002C5DD1" w:rsidRPr="008A3DEE" w:rsidRDefault="002C5DD1" w:rsidP="002C5DD1">
            <w:pPr>
              <w:rPr>
                <w:rFonts w:cs="Arial"/>
                <w:szCs w:val="24"/>
              </w:rPr>
            </w:pPr>
            <w:r w:rsidRPr="008A3DEE">
              <w:rPr>
                <w:rFonts w:cs="Arial"/>
                <w:szCs w:val="24"/>
              </w:rPr>
              <w:t>Transfers (to)/from accumulated absences adjustment account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41A26D9D" w14:textId="55981267" w:rsidR="002C5DD1" w:rsidRPr="008A3DEE" w:rsidRDefault="002C5DD1" w:rsidP="00233A66">
            <w:pPr>
              <w:jc w:val="right"/>
              <w:rPr>
                <w:rFonts w:cs="Arial"/>
                <w:szCs w:val="24"/>
              </w:rPr>
            </w:pPr>
            <w:r w:rsidRPr="008A3DEE">
              <w:rPr>
                <w:rFonts w:cs="Arial"/>
                <w:szCs w:val="24"/>
              </w:rPr>
              <w:t>118</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0F53E8F2" w14:textId="2B43A3CE" w:rsidR="002C5DD1" w:rsidRPr="008A3DEE" w:rsidRDefault="002C5DD1" w:rsidP="00233A66">
            <w:pPr>
              <w:jc w:val="right"/>
              <w:rPr>
                <w:rFonts w:cs="Arial"/>
                <w:szCs w:val="24"/>
              </w:rPr>
            </w:pPr>
            <w:r w:rsidRPr="008A3DEE">
              <w:rPr>
                <w:rFonts w:cs="Arial"/>
                <w:szCs w:val="24"/>
              </w:rPr>
              <w:t>-</w:t>
            </w:r>
          </w:p>
        </w:tc>
        <w:tc>
          <w:tcPr>
            <w:tcW w:w="396" w:type="pct"/>
            <w:tcBorders>
              <w:top w:val="single" w:sz="4" w:space="0" w:color="auto"/>
              <w:left w:val="single" w:sz="4" w:space="0" w:color="auto"/>
              <w:bottom w:val="single" w:sz="4" w:space="0" w:color="auto"/>
              <w:right w:val="single" w:sz="4" w:space="0" w:color="auto"/>
            </w:tcBorders>
            <w:vAlign w:val="center"/>
          </w:tcPr>
          <w:p w14:paraId="211C3547" w14:textId="11645FD0" w:rsidR="002C5DD1" w:rsidRPr="008A3DEE" w:rsidRDefault="002C5DD1" w:rsidP="00233A66">
            <w:pPr>
              <w:jc w:val="right"/>
              <w:rPr>
                <w:rFonts w:cs="Arial"/>
                <w:szCs w:val="24"/>
              </w:rPr>
            </w:pPr>
            <w:r w:rsidRPr="008A3DEE">
              <w:rPr>
                <w:rFonts w:cs="Arial"/>
                <w:szCs w:val="24"/>
              </w:rPr>
              <w:t>118</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5234A275" w14:textId="0C6574EF" w:rsidR="002C5DD1" w:rsidRPr="008A3DEE" w:rsidRDefault="002C5DD1" w:rsidP="00233A66">
            <w:pPr>
              <w:jc w:val="right"/>
              <w:rPr>
                <w:rFonts w:cs="Arial"/>
                <w:szCs w:val="24"/>
              </w:rPr>
            </w:pPr>
            <w:r w:rsidRPr="008A3DEE">
              <w:rPr>
                <w:rFonts w:cs="Arial"/>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14:paraId="48494F26" w14:textId="76ED65C0" w:rsidR="002C5DD1" w:rsidRPr="008A3DEE" w:rsidRDefault="002C5DD1" w:rsidP="00233A66">
            <w:pPr>
              <w:jc w:val="right"/>
              <w:rPr>
                <w:rFonts w:cs="Arial"/>
                <w:szCs w:val="24"/>
              </w:rPr>
            </w:pPr>
            <w:r w:rsidRPr="008A3DEE">
              <w:rPr>
                <w:rFonts w:cs="Arial"/>
                <w:szCs w:val="24"/>
              </w:rPr>
              <w:t>-</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3F6E4D2E" w14:textId="5CEFEB67" w:rsidR="002C5DD1" w:rsidRPr="008A3DEE" w:rsidRDefault="002C5DD1" w:rsidP="00233A66">
            <w:pPr>
              <w:jc w:val="right"/>
              <w:rPr>
                <w:rFonts w:cs="Arial"/>
                <w:szCs w:val="24"/>
              </w:rPr>
            </w:pPr>
            <w:r w:rsidRPr="008A3DEE">
              <w:rPr>
                <w:rFonts w:cs="Arial"/>
                <w:szCs w:val="24"/>
              </w:rPr>
              <w: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0593B887" w14:textId="203AC91C" w:rsidR="002C5DD1" w:rsidRPr="008A3DEE" w:rsidRDefault="002C5DD1" w:rsidP="00233A66">
            <w:pPr>
              <w:jc w:val="right"/>
              <w:rPr>
                <w:rFonts w:cs="Arial"/>
                <w:szCs w:val="24"/>
              </w:rPr>
            </w:pPr>
            <w:r w:rsidRPr="008A3DEE">
              <w:rPr>
                <w:rFonts w:cs="Arial"/>
                <w:szCs w:val="24"/>
              </w:rPr>
              <w:t>118</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0F1ACC37" w14:textId="02301946" w:rsidR="002C5DD1" w:rsidRPr="008A3DEE" w:rsidRDefault="002C5DD1" w:rsidP="00233A66">
            <w:pPr>
              <w:jc w:val="right"/>
              <w:rPr>
                <w:rFonts w:cs="Arial"/>
                <w:szCs w:val="24"/>
              </w:rPr>
            </w:pPr>
            <w:r w:rsidRPr="008A3DEE">
              <w:rPr>
                <w:rFonts w:cs="Arial"/>
                <w:szCs w:val="24"/>
              </w:rPr>
              <w:t>(118)</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1219242A" w14:textId="495881AC" w:rsidR="002C5DD1" w:rsidRPr="008A3DEE" w:rsidRDefault="002C5DD1" w:rsidP="00233A66">
            <w:pPr>
              <w:jc w:val="right"/>
              <w:rPr>
                <w:rFonts w:cs="Arial"/>
                <w:szCs w:val="24"/>
              </w:rPr>
            </w:pPr>
            <w:r w:rsidRPr="008A3DEE">
              <w:rPr>
                <w:rFonts w:cs="Arial"/>
                <w:szCs w:val="24"/>
              </w:rPr>
              <w:t>-</w:t>
            </w:r>
          </w:p>
        </w:tc>
      </w:tr>
      <w:tr w:rsidR="002C5DD1" w:rsidRPr="00B16E84" w14:paraId="28EDCFD3" w14:textId="77777777" w:rsidTr="00233A66">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698012C7" w14:textId="28BE9529" w:rsidR="002C5DD1" w:rsidRPr="008A3DEE" w:rsidRDefault="002C5DD1" w:rsidP="002C5DD1">
            <w:pPr>
              <w:rPr>
                <w:rFonts w:cs="Arial"/>
                <w:szCs w:val="24"/>
              </w:rPr>
            </w:pPr>
            <w:r w:rsidRPr="008A3DEE">
              <w:rPr>
                <w:rFonts w:cs="Arial"/>
                <w:szCs w:val="24"/>
              </w:rPr>
              <w:t>Adjustments to NWFC 21/22 balances following audit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15D5EE4" w14:textId="05B5366D" w:rsidR="002C5DD1" w:rsidRPr="008A3DEE" w:rsidRDefault="002C5DD1" w:rsidP="00233A66">
            <w:pPr>
              <w:jc w:val="right"/>
              <w:rPr>
                <w:rFonts w:cs="Arial"/>
                <w:szCs w:val="24"/>
              </w:rPr>
            </w:pPr>
            <w:r w:rsidRPr="008A3DEE">
              <w:rPr>
                <w:rFonts w:cs="Arial"/>
                <w:szCs w:val="24"/>
              </w:rPr>
              <w:t>-</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260E41AC" w14:textId="13F5A1E8" w:rsidR="002C5DD1" w:rsidRPr="008A3DEE" w:rsidRDefault="002C5DD1" w:rsidP="00233A66">
            <w:pPr>
              <w:jc w:val="right"/>
              <w:rPr>
                <w:rFonts w:cs="Arial"/>
                <w:szCs w:val="24"/>
              </w:rPr>
            </w:pPr>
            <w:r w:rsidRPr="008A3DEE">
              <w:rPr>
                <w:rFonts w:cs="Arial"/>
                <w:szCs w:val="24"/>
              </w:rPr>
              <w:t>-</w:t>
            </w:r>
          </w:p>
        </w:tc>
        <w:tc>
          <w:tcPr>
            <w:tcW w:w="396" w:type="pct"/>
            <w:tcBorders>
              <w:top w:val="single" w:sz="4" w:space="0" w:color="auto"/>
              <w:left w:val="single" w:sz="4" w:space="0" w:color="auto"/>
              <w:bottom w:val="single" w:sz="4" w:space="0" w:color="auto"/>
              <w:right w:val="single" w:sz="4" w:space="0" w:color="auto"/>
            </w:tcBorders>
            <w:vAlign w:val="center"/>
          </w:tcPr>
          <w:p w14:paraId="0BFA2C3E" w14:textId="5150FE7F" w:rsidR="002C5DD1" w:rsidRPr="008A3DEE" w:rsidRDefault="002C5DD1" w:rsidP="00233A66">
            <w:pPr>
              <w:jc w:val="right"/>
              <w:rPr>
                <w:rFonts w:cs="Arial"/>
                <w:szCs w:val="24"/>
              </w:rPr>
            </w:pPr>
            <w:r w:rsidRPr="008A3DEE">
              <w:rPr>
                <w:rFonts w:cs="Arial"/>
                <w:szCs w:val="24"/>
              </w:rPr>
              <w:t>-</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17800850" w14:textId="2B403756" w:rsidR="002C5DD1" w:rsidRPr="008A3DEE" w:rsidRDefault="002C5DD1" w:rsidP="00233A66">
            <w:pPr>
              <w:jc w:val="right"/>
              <w:rPr>
                <w:rFonts w:cs="Arial"/>
                <w:szCs w:val="24"/>
              </w:rPr>
            </w:pPr>
            <w:r w:rsidRPr="008A3DEE">
              <w:rPr>
                <w:rFonts w:cs="Arial"/>
                <w:szCs w:val="24"/>
              </w:rPr>
              <w:t>-</w:t>
            </w:r>
          </w:p>
        </w:tc>
        <w:tc>
          <w:tcPr>
            <w:tcW w:w="412" w:type="pct"/>
            <w:tcBorders>
              <w:top w:val="single" w:sz="4" w:space="0" w:color="auto"/>
              <w:left w:val="single" w:sz="4" w:space="0" w:color="auto"/>
              <w:bottom w:val="single" w:sz="4" w:space="0" w:color="auto"/>
              <w:right w:val="single" w:sz="4" w:space="0" w:color="auto"/>
            </w:tcBorders>
            <w:vAlign w:val="center"/>
          </w:tcPr>
          <w:p w14:paraId="25CBAAF9" w14:textId="60AFC9EB" w:rsidR="002C5DD1" w:rsidRPr="008A3DEE" w:rsidRDefault="002C5DD1" w:rsidP="00233A66">
            <w:pPr>
              <w:jc w:val="right"/>
              <w:rPr>
                <w:rFonts w:cs="Arial"/>
                <w:szCs w:val="24"/>
              </w:rPr>
            </w:pPr>
            <w:r w:rsidRPr="008A3DEE">
              <w:rPr>
                <w:rFonts w:cs="Arial"/>
                <w:szCs w:val="24"/>
              </w:rPr>
              <w:t>29</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116AD7FE" w14:textId="5997B8FB" w:rsidR="002C5DD1" w:rsidRPr="008A3DEE" w:rsidRDefault="002C5DD1" w:rsidP="00233A66">
            <w:pPr>
              <w:jc w:val="right"/>
              <w:rPr>
                <w:rFonts w:cs="Arial"/>
                <w:szCs w:val="24"/>
              </w:rPr>
            </w:pPr>
            <w:r w:rsidRPr="008A3DEE">
              <w:rPr>
                <w:rFonts w:cs="Arial"/>
                <w:szCs w:val="24"/>
              </w:rPr>
              <w: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4AECF454" w14:textId="47D6B7A4" w:rsidR="002C5DD1" w:rsidRPr="008A3DEE" w:rsidRDefault="002C5DD1" w:rsidP="00233A66">
            <w:pPr>
              <w:jc w:val="right"/>
              <w:rPr>
                <w:rFonts w:cs="Arial"/>
                <w:szCs w:val="24"/>
              </w:rPr>
            </w:pPr>
            <w:r w:rsidRPr="008A3DEE">
              <w:rPr>
                <w:rFonts w:cs="Arial"/>
                <w:szCs w:val="24"/>
              </w:rPr>
              <w:t>29</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7F66182C" w14:textId="2CA04DC0" w:rsidR="002C5DD1" w:rsidRPr="008A3DEE" w:rsidRDefault="002C5DD1" w:rsidP="00233A66">
            <w:pPr>
              <w:jc w:val="right"/>
              <w:rPr>
                <w:rFonts w:cs="Arial"/>
                <w:szCs w:val="24"/>
              </w:rPr>
            </w:pPr>
            <w:r w:rsidRPr="008A3DEE">
              <w:rPr>
                <w:rFonts w:cs="Arial"/>
                <w:szCs w:val="24"/>
              </w:rPr>
              <w:t>-</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0ABA5223" w14:textId="0C619E16" w:rsidR="002C5DD1" w:rsidRPr="008A3DEE" w:rsidRDefault="002C5DD1" w:rsidP="00233A66">
            <w:pPr>
              <w:jc w:val="right"/>
              <w:rPr>
                <w:rFonts w:cs="Arial"/>
                <w:szCs w:val="24"/>
              </w:rPr>
            </w:pPr>
            <w:r w:rsidRPr="008A3DEE">
              <w:rPr>
                <w:rFonts w:cs="Arial"/>
                <w:szCs w:val="24"/>
              </w:rPr>
              <w:t>29</w:t>
            </w:r>
          </w:p>
        </w:tc>
      </w:tr>
      <w:tr w:rsidR="002C5DD1" w:rsidRPr="00B16E84" w14:paraId="30E9A5F8" w14:textId="77777777" w:rsidTr="00233A66">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6311D39B" w14:textId="77777777" w:rsidR="002C5DD1" w:rsidRPr="008A3DEE" w:rsidRDefault="002C5DD1" w:rsidP="002C5DD1">
            <w:pPr>
              <w:rPr>
                <w:rFonts w:cs="Arial"/>
                <w:b/>
                <w:bCs/>
                <w:szCs w:val="24"/>
              </w:rPr>
            </w:pPr>
            <w:r w:rsidRPr="008A3DEE">
              <w:rPr>
                <w:rFonts w:cs="Arial"/>
                <w:b/>
                <w:bCs/>
                <w:szCs w:val="24"/>
              </w:rPr>
              <w:t xml:space="preserve">Net </w:t>
            </w:r>
            <w:proofErr w:type="spellStart"/>
            <w:r w:rsidRPr="008A3DEE">
              <w:rPr>
                <w:rFonts w:cs="Arial"/>
                <w:b/>
                <w:bCs/>
                <w:szCs w:val="24"/>
              </w:rPr>
              <w:t>tfr</w:t>
            </w:r>
            <w:proofErr w:type="spellEnd"/>
            <w:r w:rsidRPr="008A3DEE">
              <w:rPr>
                <w:rFonts w:cs="Arial"/>
                <w:b/>
                <w:bCs/>
                <w:szCs w:val="24"/>
              </w:rPr>
              <w:t xml:space="preserve"> (to)/from earmarked reserves</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3DEFD453" w14:textId="7B85C330" w:rsidR="002C5DD1" w:rsidRPr="008A3DEE" w:rsidRDefault="002C5DD1" w:rsidP="00233A66">
            <w:pPr>
              <w:jc w:val="right"/>
              <w:rPr>
                <w:rFonts w:cs="Arial"/>
                <w:b/>
                <w:bCs/>
                <w:szCs w:val="24"/>
              </w:rPr>
            </w:pPr>
            <w:r w:rsidRPr="008A3DEE">
              <w:rPr>
                <w:rFonts w:cs="Arial"/>
                <w:b/>
                <w:bCs/>
                <w:szCs w:val="24"/>
              </w:rPr>
              <w:t>602</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34B14706" w14:textId="13062D5C" w:rsidR="002C5DD1" w:rsidRPr="008A3DEE" w:rsidRDefault="002C5DD1" w:rsidP="00233A66">
            <w:pPr>
              <w:jc w:val="right"/>
              <w:rPr>
                <w:rFonts w:cs="Arial"/>
                <w:b/>
                <w:bCs/>
                <w:szCs w:val="24"/>
              </w:rPr>
            </w:pPr>
            <w:r w:rsidRPr="008A3DEE">
              <w:rPr>
                <w:rFonts w:cs="Arial"/>
                <w:b/>
                <w:bCs/>
                <w:szCs w:val="24"/>
              </w:rPr>
              <w:t>(484)</w:t>
            </w:r>
          </w:p>
        </w:tc>
        <w:tc>
          <w:tcPr>
            <w:tcW w:w="396" w:type="pct"/>
            <w:tcBorders>
              <w:top w:val="single" w:sz="4" w:space="0" w:color="auto"/>
              <w:left w:val="single" w:sz="4" w:space="0" w:color="auto"/>
              <w:bottom w:val="single" w:sz="4" w:space="0" w:color="auto"/>
              <w:right w:val="single" w:sz="4" w:space="0" w:color="auto"/>
            </w:tcBorders>
            <w:vAlign w:val="center"/>
          </w:tcPr>
          <w:p w14:paraId="0FFE86FA" w14:textId="2803CCAE" w:rsidR="002C5DD1" w:rsidRPr="008A3DEE" w:rsidRDefault="002C5DD1" w:rsidP="00233A66">
            <w:pPr>
              <w:jc w:val="right"/>
              <w:rPr>
                <w:rFonts w:cs="Arial"/>
                <w:b/>
                <w:bCs/>
                <w:szCs w:val="24"/>
              </w:rPr>
            </w:pPr>
            <w:r w:rsidRPr="008A3DEE">
              <w:rPr>
                <w:rFonts w:cs="Arial"/>
                <w:b/>
                <w:bCs/>
                <w:szCs w:val="24"/>
              </w:rPr>
              <w:t>118</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328CD779" w14:textId="26BF6588" w:rsidR="002C5DD1" w:rsidRPr="008A3DEE" w:rsidRDefault="002C5DD1" w:rsidP="00233A66">
            <w:pPr>
              <w:jc w:val="right"/>
              <w:rPr>
                <w:rFonts w:cs="Arial"/>
                <w:b/>
                <w:bCs/>
                <w:szCs w:val="24"/>
              </w:rPr>
            </w:pPr>
            <w:r w:rsidRPr="008A3DEE">
              <w:rPr>
                <w:rFonts w:cs="Arial"/>
                <w:b/>
                <w:bCs/>
                <w:szCs w:val="24"/>
              </w:rPr>
              <w:t>2,672</w:t>
            </w:r>
          </w:p>
        </w:tc>
        <w:tc>
          <w:tcPr>
            <w:tcW w:w="412" w:type="pct"/>
            <w:tcBorders>
              <w:top w:val="single" w:sz="4" w:space="0" w:color="auto"/>
              <w:left w:val="single" w:sz="4" w:space="0" w:color="auto"/>
              <w:bottom w:val="single" w:sz="4" w:space="0" w:color="auto"/>
              <w:right w:val="single" w:sz="4" w:space="0" w:color="auto"/>
            </w:tcBorders>
            <w:vAlign w:val="center"/>
          </w:tcPr>
          <w:p w14:paraId="60330EB4" w14:textId="7968E291" w:rsidR="002C5DD1" w:rsidRPr="008A3DEE" w:rsidRDefault="002C5DD1" w:rsidP="00233A66">
            <w:pPr>
              <w:jc w:val="right"/>
              <w:rPr>
                <w:rFonts w:cs="Arial"/>
                <w:b/>
                <w:bCs/>
                <w:szCs w:val="24"/>
              </w:rPr>
            </w:pPr>
            <w:r w:rsidRPr="008A3DEE">
              <w:rPr>
                <w:rFonts w:cs="Arial"/>
                <w:b/>
                <w:bCs/>
                <w:szCs w:val="24"/>
              </w:rPr>
              <w:t>29</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21C7EFC0" w14:textId="025FA92A" w:rsidR="002C5DD1" w:rsidRPr="008A3DEE" w:rsidRDefault="002C5DD1" w:rsidP="00233A66">
            <w:pPr>
              <w:jc w:val="right"/>
              <w:rPr>
                <w:rFonts w:cs="Arial"/>
                <w:b/>
                <w:bCs/>
                <w:szCs w:val="24"/>
              </w:rPr>
            </w:pPr>
            <w:r w:rsidRPr="008A3DEE">
              <w:rPr>
                <w:rFonts w:cs="Arial"/>
                <w:b/>
                <w:bCs/>
                <w:szCs w:val="24"/>
              </w:rPr>
              <w:t>-</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0E4562DC" w14:textId="56F1917A" w:rsidR="002C5DD1" w:rsidRPr="008A3DEE" w:rsidRDefault="002C5DD1" w:rsidP="00233A66">
            <w:pPr>
              <w:jc w:val="right"/>
              <w:rPr>
                <w:rFonts w:cs="Arial"/>
                <w:b/>
                <w:bCs/>
                <w:szCs w:val="24"/>
              </w:rPr>
            </w:pPr>
            <w:r w:rsidRPr="008A3DEE">
              <w:rPr>
                <w:rFonts w:cs="Arial"/>
                <w:b/>
                <w:bCs/>
                <w:szCs w:val="24"/>
              </w:rPr>
              <w:t>2,819</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16EE37B0" w14:textId="39AF892A" w:rsidR="002C5DD1" w:rsidRPr="008A3DEE" w:rsidRDefault="002C5DD1" w:rsidP="00233A66">
            <w:pPr>
              <w:jc w:val="right"/>
              <w:rPr>
                <w:rFonts w:cs="Arial"/>
                <w:b/>
                <w:bCs/>
                <w:szCs w:val="24"/>
              </w:rPr>
            </w:pPr>
            <w:r w:rsidRPr="008A3DEE">
              <w:rPr>
                <w:rFonts w:cs="Arial"/>
                <w:b/>
                <w:bCs/>
                <w:szCs w:val="24"/>
              </w:rPr>
              <w:t>(2,790)</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4BDB2365" w14:textId="76E71293" w:rsidR="002C5DD1" w:rsidRPr="008A3DEE" w:rsidRDefault="002C5DD1" w:rsidP="00233A66">
            <w:pPr>
              <w:jc w:val="right"/>
              <w:rPr>
                <w:rFonts w:cs="Arial"/>
                <w:b/>
                <w:bCs/>
                <w:szCs w:val="24"/>
              </w:rPr>
            </w:pPr>
            <w:r w:rsidRPr="008A3DEE">
              <w:rPr>
                <w:rFonts w:cs="Arial"/>
                <w:b/>
                <w:bCs/>
                <w:szCs w:val="24"/>
              </w:rPr>
              <w:t>29</w:t>
            </w:r>
          </w:p>
        </w:tc>
      </w:tr>
      <w:tr w:rsidR="002C5DD1" w:rsidRPr="00B16E84" w14:paraId="230CAA49" w14:textId="77777777" w:rsidTr="00233A66">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2F9811DF" w14:textId="77777777" w:rsidR="002C5DD1" w:rsidRPr="008A3DEE" w:rsidRDefault="002C5DD1" w:rsidP="002C5DD1">
            <w:pPr>
              <w:rPr>
                <w:rFonts w:cs="Arial"/>
                <w:szCs w:val="24"/>
              </w:rPr>
            </w:pPr>
            <w:r w:rsidRPr="008A3DEE">
              <w:rPr>
                <w:rFonts w:cs="Arial"/>
                <w:szCs w:val="24"/>
              </w:rPr>
              <w:t>Increase/(Decrease) in the year</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7F2718C" w14:textId="0D2463D8" w:rsidR="002C5DD1" w:rsidRPr="008A3DEE" w:rsidRDefault="002C5DD1" w:rsidP="00233A66">
            <w:pPr>
              <w:jc w:val="right"/>
              <w:rPr>
                <w:rFonts w:cs="Arial"/>
                <w:szCs w:val="24"/>
              </w:rPr>
            </w:pPr>
            <w:r w:rsidRPr="008A3DEE">
              <w:rPr>
                <w:rFonts w:cs="Arial"/>
                <w:szCs w:val="24"/>
              </w:rPr>
              <w:t>(1,650)</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2AFB0A63" w14:textId="4B4958AC" w:rsidR="002C5DD1" w:rsidRPr="008A3DEE" w:rsidRDefault="002C5DD1" w:rsidP="00233A66">
            <w:pPr>
              <w:jc w:val="right"/>
              <w:rPr>
                <w:rFonts w:cs="Arial"/>
                <w:szCs w:val="24"/>
              </w:rPr>
            </w:pPr>
            <w:r w:rsidRPr="008A3DEE">
              <w:rPr>
                <w:rFonts w:cs="Arial"/>
                <w:szCs w:val="24"/>
              </w:rPr>
              <w:t>(484)</w:t>
            </w:r>
          </w:p>
        </w:tc>
        <w:tc>
          <w:tcPr>
            <w:tcW w:w="396" w:type="pct"/>
            <w:tcBorders>
              <w:top w:val="single" w:sz="4" w:space="0" w:color="auto"/>
              <w:left w:val="single" w:sz="4" w:space="0" w:color="auto"/>
              <w:bottom w:val="single" w:sz="4" w:space="0" w:color="auto"/>
              <w:right w:val="single" w:sz="4" w:space="0" w:color="auto"/>
            </w:tcBorders>
            <w:vAlign w:val="center"/>
          </w:tcPr>
          <w:p w14:paraId="7BCA3B9F" w14:textId="31EE09D5" w:rsidR="002C5DD1" w:rsidRPr="008A3DEE" w:rsidRDefault="002C5DD1" w:rsidP="00233A66">
            <w:pPr>
              <w:jc w:val="right"/>
              <w:rPr>
                <w:rFonts w:cs="Arial"/>
                <w:szCs w:val="24"/>
              </w:rPr>
            </w:pPr>
            <w:r w:rsidRPr="008A3DEE">
              <w:rPr>
                <w:rFonts w:cs="Arial"/>
                <w:szCs w:val="24"/>
              </w:rPr>
              <w:t>(2,134)</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185E43CA" w14:textId="0C65100F" w:rsidR="002C5DD1" w:rsidRPr="008A3DEE" w:rsidRDefault="002C5DD1" w:rsidP="00233A66">
            <w:pPr>
              <w:jc w:val="right"/>
              <w:rPr>
                <w:rFonts w:cs="Arial"/>
                <w:szCs w:val="24"/>
              </w:rPr>
            </w:pPr>
            <w:r w:rsidRPr="008A3DEE">
              <w:rPr>
                <w:rFonts w:cs="Arial"/>
                <w:szCs w:val="24"/>
              </w:rPr>
              <w:t>2,672</w:t>
            </w:r>
          </w:p>
        </w:tc>
        <w:tc>
          <w:tcPr>
            <w:tcW w:w="412" w:type="pct"/>
            <w:tcBorders>
              <w:top w:val="single" w:sz="4" w:space="0" w:color="auto"/>
              <w:left w:val="single" w:sz="4" w:space="0" w:color="auto"/>
              <w:bottom w:val="single" w:sz="4" w:space="0" w:color="auto"/>
              <w:right w:val="single" w:sz="4" w:space="0" w:color="auto"/>
            </w:tcBorders>
            <w:vAlign w:val="center"/>
          </w:tcPr>
          <w:p w14:paraId="735B6E20" w14:textId="60895C7B" w:rsidR="002C5DD1" w:rsidRPr="008A3DEE" w:rsidRDefault="002C5DD1" w:rsidP="00233A66">
            <w:pPr>
              <w:jc w:val="right"/>
              <w:rPr>
                <w:rFonts w:cs="Arial"/>
                <w:szCs w:val="24"/>
              </w:rPr>
            </w:pPr>
            <w:r w:rsidRPr="008A3DEE">
              <w:rPr>
                <w:rFonts w:cs="Arial"/>
                <w:szCs w:val="24"/>
              </w:rPr>
              <w:t>(13)</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159CC859" w14:textId="7303C99E" w:rsidR="002C5DD1" w:rsidRPr="008A3DEE" w:rsidRDefault="002C5DD1" w:rsidP="00233A66">
            <w:pPr>
              <w:jc w:val="right"/>
              <w:rPr>
                <w:rFonts w:cs="Arial"/>
                <w:szCs w:val="24"/>
              </w:rPr>
            </w:pPr>
            <w:r w:rsidRPr="008A3DEE">
              <w:rPr>
                <w:rFonts w:cs="Arial"/>
                <w:szCs w:val="24"/>
              </w:rPr>
              <w:t>9</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3ABEC896" w14:textId="757A9E0B" w:rsidR="002C5DD1" w:rsidRPr="008A3DEE" w:rsidRDefault="002C5DD1" w:rsidP="00233A66">
            <w:pPr>
              <w:jc w:val="right"/>
              <w:rPr>
                <w:rFonts w:cs="Arial"/>
                <w:szCs w:val="24"/>
              </w:rPr>
            </w:pPr>
            <w:r w:rsidRPr="008A3DEE">
              <w:rPr>
                <w:rFonts w:cs="Arial"/>
                <w:szCs w:val="24"/>
              </w:rPr>
              <w:t>534</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4421FC8E" w14:textId="20A5B7A4" w:rsidR="002C5DD1" w:rsidRPr="008A3DEE" w:rsidRDefault="002C5DD1" w:rsidP="00233A66">
            <w:pPr>
              <w:jc w:val="right"/>
              <w:rPr>
                <w:rFonts w:cs="Arial"/>
                <w:szCs w:val="24"/>
              </w:rPr>
            </w:pPr>
            <w:r w:rsidRPr="008A3DEE">
              <w:rPr>
                <w:rFonts w:cs="Arial"/>
                <w:szCs w:val="24"/>
              </w:rPr>
              <w:t>250,660</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66E2BA29" w14:textId="1DAE7239" w:rsidR="002C5DD1" w:rsidRPr="008A3DEE" w:rsidRDefault="002C5DD1" w:rsidP="00233A66">
            <w:pPr>
              <w:jc w:val="right"/>
              <w:rPr>
                <w:rFonts w:cs="Arial"/>
                <w:szCs w:val="24"/>
              </w:rPr>
            </w:pPr>
            <w:r w:rsidRPr="008A3DEE">
              <w:rPr>
                <w:rFonts w:cs="Arial"/>
                <w:szCs w:val="24"/>
              </w:rPr>
              <w:t>251,194</w:t>
            </w:r>
          </w:p>
        </w:tc>
      </w:tr>
      <w:tr w:rsidR="002C5DD1" w:rsidRPr="00B16E84" w14:paraId="41422747" w14:textId="77777777" w:rsidTr="00233A66">
        <w:tc>
          <w:tcPr>
            <w:tcW w:w="1324" w:type="pct"/>
            <w:tcBorders>
              <w:top w:val="single" w:sz="4" w:space="0" w:color="auto"/>
              <w:left w:val="single" w:sz="4" w:space="0" w:color="auto"/>
              <w:bottom w:val="single" w:sz="4" w:space="0" w:color="auto"/>
              <w:right w:val="single" w:sz="4" w:space="0" w:color="auto"/>
            </w:tcBorders>
            <w:shd w:val="clear" w:color="auto" w:fill="auto"/>
            <w:vAlign w:val="center"/>
          </w:tcPr>
          <w:p w14:paraId="5441B83B" w14:textId="13740859" w:rsidR="002C5DD1" w:rsidRPr="008A3DEE" w:rsidRDefault="002C5DD1" w:rsidP="002C5DD1">
            <w:pPr>
              <w:rPr>
                <w:rFonts w:cs="Arial"/>
                <w:b/>
                <w:bCs/>
                <w:szCs w:val="24"/>
              </w:rPr>
            </w:pPr>
            <w:r w:rsidRPr="008A3DEE">
              <w:rPr>
                <w:rFonts w:cs="Arial"/>
                <w:b/>
                <w:bCs/>
                <w:szCs w:val="24"/>
              </w:rPr>
              <w:t xml:space="preserve">Balance </w:t>
            </w:r>
            <w:proofErr w:type="gramStart"/>
            <w:r w:rsidRPr="008A3DEE">
              <w:rPr>
                <w:rFonts w:cs="Arial"/>
                <w:b/>
                <w:bCs/>
                <w:szCs w:val="24"/>
              </w:rPr>
              <w:t>at</w:t>
            </w:r>
            <w:proofErr w:type="gramEnd"/>
            <w:r w:rsidRPr="008A3DEE">
              <w:rPr>
                <w:rFonts w:cs="Arial"/>
                <w:b/>
                <w:bCs/>
                <w:szCs w:val="24"/>
              </w:rPr>
              <w:t xml:space="preserve"> 31 March 2023 carried forwards</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8458479" w14:textId="53DC04DD" w:rsidR="002C5DD1" w:rsidRPr="008A3DEE" w:rsidRDefault="002C5DD1" w:rsidP="00233A66">
            <w:pPr>
              <w:jc w:val="right"/>
              <w:rPr>
                <w:rFonts w:cs="Arial"/>
                <w:b/>
                <w:bCs/>
                <w:szCs w:val="24"/>
              </w:rPr>
            </w:pPr>
            <w:r w:rsidRPr="008A3DEE">
              <w:rPr>
                <w:rFonts w:cs="Arial"/>
                <w:b/>
                <w:bCs/>
                <w:szCs w:val="24"/>
              </w:rPr>
              <w:t>4,887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1DF81C61" w14:textId="1178970E" w:rsidR="002C5DD1" w:rsidRPr="008A3DEE" w:rsidRDefault="002C5DD1" w:rsidP="00233A66">
            <w:pPr>
              <w:jc w:val="right"/>
              <w:rPr>
                <w:rFonts w:cs="Arial"/>
                <w:b/>
                <w:bCs/>
                <w:szCs w:val="24"/>
              </w:rPr>
            </w:pPr>
            <w:r w:rsidRPr="008A3DEE">
              <w:rPr>
                <w:rFonts w:cs="Arial"/>
                <w:b/>
                <w:bCs/>
                <w:szCs w:val="24"/>
              </w:rPr>
              <w:t>9,258</w:t>
            </w:r>
          </w:p>
        </w:tc>
        <w:tc>
          <w:tcPr>
            <w:tcW w:w="396" w:type="pct"/>
            <w:tcBorders>
              <w:top w:val="single" w:sz="4" w:space="0" w:color="auto"/>
              <w:left w:val="single" w:sz="4" w:space="0" w:color="auto"/>
              <w:bottom w:val="single" w:sz="4" w:space="0" w:color="auto"/>
              <w:right w:val="single" w:sz="4" w:space="0" w:color="auto"/>
            </w:tcBorders>
            <w:vAlign w:val="center"/>
          </w:tcPr>
          <w:p w14:paraId="526589FB" w14:textId="0C35D6FE" w:rsidR="002C5DD1" w:rsidRPr="008A3DEE" w:rsidRDefault="002C5DD1" w:rsidP="00233A66">
            <w:pPr>
              <w:jc w:val="right"/>
              <w:rPr>
                <w:rFonts w:cs="Arial"/>
                <w:b/>
                <w:bCs/>
                <w:szCs w:val="24"/>
              </w:rPr>
            </w:pPr>
            <w:r w:rsidRPr="008A3DEE">
              <w:rPr>
                <w:rFonts w:cs="Arial"/>
                <w:b/>
                <w:bCs/>
                <w:szCs w:val="24"/>
              </w:rPr>
              <w:t>14,145</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1C6B4CBC" w14:textId="0716FA2C" w:rsidR="002C5DD1" w:rsidRPr="008A3DEE" w:rsidRDefault="002C5DD1" w:rsidP="00233A66">
            <w:pPr>
              <w:jc w:val="right"/>
              <w:rPr>
                <w:rFonts w:cs="Arial"/>
                <w:b/>
                <w:bCs/>
                <w:szCs w:val="24"/>
              </w:rPr>
            </w:pPr>
            <w:r w:rsidRPr="008A3DEE">
              <w:rPr>
                <w:rFonts w:cs="Arial"/>
                <w:b/>
                <w:bCs/>
                <w:szCs w:val="24"/>
              </w:rPr>
              <w:t>20,344</w:t>
            </w:r>
          </w:p>
        </w:tc>
        <w:tc>
          <w:tcPr>
            <w:tcW w:w="412" w:type="pct"/>
            <w:tcBorders>
              <w:top w:val="single" w:sz="4" w:space="0" w:color="auto"/>
              <w:left w:val="single" w:sz="4" w:space="0" w:color="auto"/>
              <w:bottom w:val="single" w:sz="4" w:space="0" w:color="auto"/>
              <w:right w:val="single" w:sz="4" w:space="0" w:color="auto"/>
            </w:tcBorders>
            <w:vAlign w:val="center"/>
          </w:tcPr>
          <w:p w14:paraId="5B6B8703" w14:textId="5CEA5D83" w:rsidR="002C5DD1" w:rsidRPr="008A3DEE" w:rsidRDefault="002C5DD1" w:rsidP="00233A66">
            <w:pPr>
              <w:jc w:val="right"/>
              <w:rPr>
                <w:rFonts w:cs="Arial"/>
                <w:b/>
                <w:bCs/>
                <w:szCs w:val="24"/>
              </w:rPr>
            </w:pPr>
            <w:r w:rsidRPr="008A3DEE">
              <w:rPr>
                <w:rFonts w:cs="Arial"/>
                <w:b/>
                <w:bCs/>
                <w:szCs w:val="24"/>
              </w:rPr>
              <w:t>27</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47275934" w14:textId="25D521C4" w:rsidR="002C5DD1" w:rsidRPr="008A3DEE" w:rsidRDefault="002C5DD1" w:rsidP="00233A66">
            <w:pPr>
              <w:jc w:val="right"/>
              <w:rPr>
                <w:rFonts w:cs="Arial"/>
                <w:b/>
                <w:bCs/>
                <w:szCs w:val="24"/>
              </w:rPr>
            </w:pPr>
            <w:r w:rsidRPr="008A3DEE">
              <w:rPr>
                <w:rFonts w:cs="Arial"/>
                <w:b/>
                <w:bCs/>
                <w:szCs w:val="24"/>
              </w:rPr>
              <w:t>1,692</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4B95F4EF" w14:textId="655C318B" w:rsidR="002C5DD1" w:rsidRPr="008A3DEE" w:rsidRDefault="002C5DD1" w:rsidP="00233A66">
            <w:pPr>
              <w:jc w:val="right"/>
              <w:rPr>
                <w:rFonts w:cs="Arial"/>
                <w:b/>
                <w:bCs/>
                <w:szCs w:val="24"/>
              </w:rPr>
            </w:pPr>
            <w:r w:rsidRPr="008A3DEE">
              <w:rPr>
                <w:rFonts w:cs="Arial"/>
                <w:b/>
                <w:bCs/>
                <w:szCs w:val="24"/>
              </w:rPr>
              <w:t>36,208</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52E254E2" w14:textId="299E9853" w:rsidR="002C5DD1" w:rsidRPr="008A3DEE" w:rsidRDefault="002C5DD1" w:rsidP="00233A66">
            <w:pPr>
              <w:jc w:val="right"/>
              <w:rPr>
                <w:rFonts w:cs="Arial"/>
                <w:b/>
                <w:bCs/>
                <w:szCs w:val="24"/>
              </w:rPr>
            </w:pPr>
            <w:r w:rsidRPr="008A3DEE">
              <w:rPr>
                <w:rFonts w:cs="Arial"/>
                <w:b/>
                <w:bCs/>
                <w:szCs w:val="24"/>
              </w:rPr>
              <w:t>(538,699)</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4FDF36B2" w14:textId="2D1E45BA" w:rsidR="002C5DD1" w:rsidRPr="008A3DEE" w:rsidRDefault="002C5DD1" w:rsidP="00233A66">
            <w:pPr>
              <w:jc w:val="right"/>
              <w:rPr>
                <w:rFonts w:cs="Arial"/>
                <w:b/>
                <w:bCs/>
                <w:szCs w:val="24"/>
              </w:rPr>
            </w:pPr>
            <w:r w:rsidRPr="008A3DEE">
              <w:rPr>
                <w:rFonts w:cs="Arial"/>
                <w:b/>
                <w:bCs/>
                <w:szCs w:val="24"/>
              </w:rPr>
              <w:t>(502,491)</w:t>
            </w:r>
          </w:p>
        </w:tc>
      </w:tr>
      <w:bookmarkEnd w:id="16"/>
      <w:bookmarkEnd w:id="17"/>
    </w:tbl>
    <w:p w14:paraId="7FAF9A33" w14:textId="03821100" w:rsidR="00B9618C" w:rsidRPr="005C1944" w:rsidRDefault="00BC0AFA" w:rsidP="005C1944">
      <w:pPr>
        <w:rPr>
          <w:b/>
          <w:bCs/>
        </w:rPr>
      </w:pPr>
      <w:r w:rsidRPr="00AF3DCD">
        <w:rPr>
          <w:sz w:val="22"/>
        </w:rPr>
        <w:br w:type="page"/>
      </w:r>
      <w:r w:rsidR="002618EE" w:rsidRPr="005C1944">
        <w:rPr>
          <w:b/>
          <w:bCs/>
        </w:rPr>
        <w:lastRenderedPageBreak/>
        <w:t>Movement in Reserves Statement 2021/22</w:t>
      </w:r>
    </w:p>
    <w:p w14:paraId="0EBB8CB1" w14:textId="77777777" w:rsidR="00B9618C" w:rsidRPr="00490917" w:rsidRDefault="00B9618C" w:rsidP="007461FD">
      <w:pPr>
        <w:tabs>
          <w:tab w:val="left" w:pos="720"/>
          <w:tab w:val="right" w:pos="5760"/>
        </w:tabs>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213"/>
        <w:gridCol w:w="1390"/>
        <w:gridCol w:w="1210"/>
        <w:gridCol w:w="1225"/>
        <w:gridCol w:w="1257"/>
        <w:gridCol w:w="1207"/>
        <w:gridCol w:w="1210"/>
        <w:gridCol w:w="1244"/>
        <w:gridCol w:w="1247"/>
      </w:tblGrid>
      <w:tr w:rsidR="00FA18E2" w:rsidRPr="00B16E84" w14:paraId="264A0BBD" w14:textId="77777777" w:rsidTr="00611673">
        <w:trPr>
          <w:tblHeader/>
        </w:trPr>
        <w:tc>
          <w:tcPr>
            <w:tcW w:w="1325" w:type="pct"/>
            <w:shd w:val="clear" w:color="auto" w:fill="BD2716"/>
          </w:tcPr>
          <w:p w14:paraId="620EB3F8" w14:textId="7BF7C79B" w:rsidR="0089432E" w:rsidRPr="00036C34" w:rsidRDefault="0089432E" w:rsidP="0089432E">
            <w:pPr>
              <w:jc w:val="both"/>
              <w:rPr>
                <w:rFonts w:cs="Arial"/>
                <w:color w:val="FFFFFF" w:themeColor="background1"/>
                <w:szCs w:val="24"/>
              </w:rPr>
            </w:pPr>
          </w:p>
        </w:tc>
        <w:tc>
          <w:tcPr>
            <w:tcW w:w="398" w:type="pct"/>
            <w:shd w:val="clear" w:color="auto" w:fill="BD2716"/>
            <w:vAlign w:val="center"/>
          </w:tcPr>
          <w:p w14:paraId="7B26C35C" w14:textId="77777777" w:rsidR="0089432E" w:rsidRPr="00036C34" w:rsidRDefault="0089432E" w:rsidP="00611673">
            <w:pPr>
              <w:jc w:val="right"/>
              <w:rPr>
                <w:rFonts w:cs="Arial"/>
                <w:color w:val="FFFFFF" w:themeColor="background1"/>
                <w:szCs w:val="24"/>
              </w:rPr>
            </w:pPr>
            <w:r w:rsidRPr="00036C34">
              <w:rPr>
                <w:rFonts w:cs="Arial"/>
                <w:color w:val="FFFFFF" w:themeColor="background1"/>
                <w:szCs w:val="24"/>
              </w:rPr>
              <w:t>General fund</w:t>
            </w:r>
          </w:p>
          <w:p w14:paraId="691B2F1F" w14:textId="19218A99" w:rsidR="0089432E" w:rsidRPr="00036C34" w:rsidRDefault="0089432E" w:rsidP="00611673">
            <w:pPr>
              <w:jc w:val="right"/>
              <w:rPr>
                <w:rFonts w:cs="Arial"/>
                <w:color w:val="FFFFFF" w:themeColor="background1"/>
                <w:szCs w:val="24"/>
              </w:rPr>
            </w:pPr>
            <w:r w:rsidRPr="00036C34">
              <w:rPr>
                <w:rFonts w:cs="Arial"/>
                <w:color w:val="FFFFFF" w:themeColor="background1"/>
                <w:szCs w:val="24"/>
              </w:rPr>
              <w:t>£000</w:t>
            </w:r>
          </w:p>
        </w:tc>
        <w:tc>
          <w:tcPr>
            <w:tcW w:w="456" w:type="pct"/>
            <w:shd w:val="clear" w:color="auto" w:fill="BD2716"/>
            <w:vAlign w:val="center"/>
          </w:tcPr>
          <w:p w14:paraId="37570E84" w14:textId="77777777" w:rsidR="0089432E" w:rsidRPr="00036C34" w:rsidRDefault="0089432E" w:rsidP="00611673">
            <w:pPr>
              <w:jc w:val="right"/>
              <w:rPr>
                <w:rFonts w:cs="Arial"/>
                <w:color w:val="FFFFFF" w:themeColor="background1"/>
                <w:szCs w:val="24"/>
              </w:rPr>
            </w:pPr>
            <w:r w:rsidRPr="00036C34">
              <w:rPr>
                <w:rFonts w:cs="Arial"/>
                <w:color w:val="FFFFFF" w:themeColor="background1"/>
                <w:szCs w:val="24"/>
              </w:rPr>
              <w:t>Earmarked reserves</w:t>
            </w:r>
          </w:p>
          <w:p w14:paraId="52EBA608" w14:textId="21D4AD01" w:rsidR="0089432E" w:rsidRPr="00036C34" w:rsidRDefault="0089432E" w:rsidP="00611673">
            <w:pPr>
              <w:jc w:val="right"/>
              <w:rPr>
                <w:rFonts w:cs="Arial"/>
                <w:color w:val="FFFFFF" w:themeColor="background1"/>
                <w:szCs w:val="24"/>
              </w:rPr>
            </w:pPr>
            <w:r w:rsidRPr="00036C34">
              <w:rPr>
                <w:rFonts w:cs="Arial"/>
                <w:color w:val="FFFFFF" w:themeColor="background1"/>
                <w:szCs w:val="24"/>
              </w:rPr>
              <w:t>£000</w:t>
            </w:r>
          </w:p>
        </w:tc>
        <w:tc>
          <w:tcPr>
            <w:tcW w:w="397" w:type="pct"/>
            <w:shd w:val="clear" w:color="auto" w:fill="BD2716"/>
            <w:vAlign w:val="center"/>
          </w:tcPr>
          <w:p w14:paraId="01632A02" w14:textId="77777777" w:rsidR="0089432E" w:rsidRPr="00036C34" w:rsidRDefault="0089432E" w:rsidP="00611673">
            <w:pPr>
              <w:jc w:val="right"/>
              <w:rPr>
                <w:rFonts w:cs="Arial"/>
                <w:color w:val="FFFFFF" w:themeColor="background1"/>
                <w:szCs w:val="24"/>
              </w:rPr>
            </w:pPr>
            <w:r w:rsidRPr="00036C34">
              <w:rPr>
                <w:rFonts w:cs="Arial"/>
                <w:color w:val="FFFFFF" w:themeColor="background1"/>
                <w:szCs w:val="24"/>
              </w:rPr>
              <w:t>Total General Fund Balance</w:t>
            </w:r>
          </w:p>
          <w:p w14:paraId="354D5EB8" w14:textId="544F4D71" w:rsidR="0089432E" w:rsidRPr="00036C34" w:rsidRDefault="0089432E" w:rsidP="00611673">
            <w:pPr>
              <w:jc w:val="right"/>
              <w:rPr>
                <w:rFonts w:cs="Arial"/>
                <w:color w:val="FFFFFF" w:themeColor="background1"/>
                <w:szCs w:val="24"/>
              </w:rPr>
            </w:pPr>
            <w:r w:rsidRPr="00036C34">
              <w:rPr>
                <w:rFonts w:cs="Arial"/>
                <w:color w:val="FFFFFF" w:themeColor="background1"/>
                <w:szCs w:val="24"/>
              </w:rPr>
              <w:t>£000</w:t>
            </w:r>
          </w:p>
        </w:tc>
        <w:tc>
          <w:tcPr>
            <w:tcW w:w="402" w:type="pct"/>
            <w:shd w:val="clear" w:color="auto" w:fill="BD2716"/>
            <w:vAlign w:val="center"/>
          </w:tcPr>
          <w:p w14:paraId="11FE02C5" w14:textId="77777777" w:rsidR="0089432E" w:rsidRPr="00036C34" w:rsidRDefault="0089432E" w:rsidP="00611673">
            <w:pPr>
              <w:jc w:val="right"/>
              <w:rPr>
                <w:rFonts w:cs="Arial"/>
                <w:color w:val="FFFFFF" w:themeColor="background1"/>
                <w:szCs w:val="24"/>
              </w:rPr>
            </w:pPr>
            <w:r w:rsidRPr="00036C34">
              <w:rPr>
                <w:rFonts w:cs="Arial"/>
                <w:color w:val="FFFFFF" w:themeColor="background1"/>
                <w:szCs w:val="24"/>
              </w:rPr>
              <w:t xml:space="preserve">Capital funding </w:t>
            </w:r>
            <w:proofErr w:type="gramStart"/>
            <w:r w:rsidRPr="00036C34">
              <w:rPr>
                <w:rFonts w:cs="Arial"/>
                <w:color w:val="FFFFFF" w:themeColor="background1"/>
                <w:szCs w:val="24"/>
              </w:rPr>
              <w:t>reserve</w:t>
            </w:r>
            <w:proofErr w:type="gramEnd"/>
          </w:p>
          <w:p w14:paraId="74377C34" w14:textId="58BCF13E" w:rsidR="0089432E" w:rsidRPr="00036C34" w:rsidRDefault="0089432E" w:rsidP="00611673">
            <w:pPr>
              <w:jc w:val="right"/>
              <w:rPr>
                <w:rFonts w:cs="Arial"/>
                <w:color w:val="FFFFFF" w:themeColor="background1"/>
                <w:szCs w:val="24"/>
              </w:rPr>
            </w:pPr>
            <w:r w:rsidRPr="00036C34">
              <w:rPr>
                <w:rFonts w:cs="Arial"/>
                <w:color w:val="FFFFFF" w:themeColor="background1"/>
                <w:szCs w:val="24"/>
              </w:rPr>
              <w:t>£000</w:t>
            </w:r>
          </w:p>
        </w:tc>
        <w:tc>
          <w:tcPr>
            <w:tcW w:w="412" w:type="pct"/>
            <w:shd w:val="clear" w:color="auto" w:fill="BD2716"/>
            <w:vAlign w:val="center"/>
          </w:tcPr>
          <w:p w14:paraId="38F2CE3F" w14:textId="77777777" w:rsidR="0089432E" w:rsidRPr="00036C34" w:rsidRDefault="0089432E" w:rsidP="00611673">
            <w:pPr>
              <w:jc w:val="right"/>
              <w:rPr>
                <w:rFonts w:cs="Arial"/>
                <w:color w:val="FFFFFF" w:themeColor="background1"/>
                <w:szCs w:val="24"/>
              </w:rPr>
            </w:pPr>
            <w:r w:rsidRPr="00036C34">
              <w:rPr>
                <w:rFonts w:cs="Arial"/>
                <w:color w:val="FFFFFF" w:themeColor="background1"/>
                <w:szCs w:val="24"/>
              </w:rPr>
              <w:t xml:space="preserve">Capital grant unapplied </w:t>
            </w:r>
            <w:proofErr w:type="gramStart"/>
            <w:r w:rsidRPr="00036C34">
              <w:rPr>
                <w:rFonts w:cs="Arial"/>
                <w:color w:val="FFFFFF" w:themeColor="background1"/>
                <w:szCs w:val="24"/>
              </w:rPr>
              <w:t>reserve</w:t>
            </w:r>
            <w:proofErr w:type="gramEnd"/>
          </w:p>
          <w:p w14:paraId="0FA4BC0C" w14:textId="55DF1C3B" w:rsidR="0089432E" w:rsidRPr="00036C34" w:rsidRDefault="0089432E" w:rsidP="00611673">
            <w:pPr>
              <w:jc w:val="right"/>
              <w:rPr>
                <w:rFonts w:cs="Arial"/>
                <w:color w:val="FFFFFF" w:themeColor="background1"/>
                <w:szCs w:val="24"/>
              </w:rPr>
            </w:pPr>
            <w:r w:rsidRPr="00036C34">
              <w:rPr>
                <w:rFonts w:cs="Arial"/>
                <w:color w:val="FFFFFF" w:themeColor="background1"/>
                <w:szCs w:val="24"/>
              </w:rPr>
              <w:t>£000</w:t>
            </w:r>
          </w:p>
        </w:tc>
        <w:tc>
          <w:tcPr>
            <w:tcW w:w="396" w:type="pct"/>
            <w:shd w:val="clear" w:color="auto" w:fill="BD2716"/>
            <w:vAlign w:val="center"/>
          </w:tcPr>
          <w:p w14:paraId="3173BF79" w14:textId="77777777" w:rsidR="0089432E" w:rsidRPr="00036C34" w:rsidRDefault="0089432E" w:rsidP="00611673">
            <w:pPr>
              <w:jc w:val="right"/>
              <w:rPr>
                <w:rFonts w:cs="Arial"/>
                <w:color w:val="FFFFFF" w:themeColor="background1"/>
                <w:szCs w:val="24"/>
              </w:rPr>
            </w:pPr>
            <w:r w:rsidRPr="00036C34">
              <w:rPr>
                <w:rFonts w:cs="Arial"/>
                <w:color w:val="FFFFFF" w:themeColor="background1"/>
                <w:szCs w:val="24"/>
              </w:rPr>
              <w:t xml:space="preserve">Capital receipts </w:t>
            </w:r>
            <w:proofErr w:type="gramStart"/>
            <w:r w:rsidRPr="00036C34">
              <w:rPr>
                <w:rFonts w:cs="Arial"/>
                <w:color w:val="FFFFFF" w:themeColor="background1"/>
                <w:szCs w:val="24"/>
              </w:rPr>
              <w:t>reserve</w:t>
            </w:r>
            <w:proofErr w:type="gramEnd"/>
          </w:p>
          <w:p w14:paraId="3DCED43A" w14:textId="40856324" w:rsidR="0089432E" w:rsidRPr="00036C34" w:rsidRDefault="0089432E" w:rsidP="00611673">
            <w:pPr>
              <w:jc w:val="right"/>
              <w:rPr>
                <w:rFonts w:cs="Arial"/>
                <w:color w:val="FFFFFF" w:themeColor="background1"/>
                <w:szCs w:val="24"/>
              </w:rPr>
            </w:pPr>
            <w:r w:rsidRPr="00036C34">
              <w:rPr>
                <w:rFonts w:cs="Arial"/>
                <w:color w:val="FFFFFF" w:themeColor="background1"/>
                <w:szCs w:val="24"/>
              </w:rPr>
              <w:t>£000</w:t>
            </w:r>
          </w:p>
        </w:tc>
        <w:tc>
          <w:tcPr>
            <w:tcW w:w="397" w:type="pct"/>
            <w:shd w:val="clear" w:color="auto" w:fill="BD2716"/>
            <w:vAlign w:val="center"/>
          </w:tcPr>
          <w:p w14:paraId="27B094B5" w14:textId="77777777" w:rsidR="0089432E" w:rsidRPr="00036C34" w:rsidRDefault="0089432E" w:rsidP="00611673">
            <w:pPr>
              <w:jc w:val="right"/>
              <w:rPr>
                <w:rFonts w:cs="Arial"/>
                <w:color w:val="FFFFFF" w:themeColor="background1"/>
                <w:szCs w:val="24"/>
              </w:rPr>
            </w:pPr>
            <w:r w:rsidRPr="00036C34">
              <w:rPr>
                <w:rFonts w:cs="Arial"/>
                <w:color w:val="FFFFFF" w:themeColor="background1"/>
                <w:szCs w:val="24"/>
              </w:rPr>
              <w:t>Total usable reserves</w:t>
            </w:r>
          </w:p>
          <w:p w14:paraId="42B093EE" w14:textId="3C45A158" w:rsidR="0089432E" w:rsidRPr="00036C34" w:rsidRDefault="0089432E" w:rsidP="00611673">
            <w:pPr>
              <w:jc w:val="right"/>
              <w:rPr>
                <w:rFonts w:cs="Arial"/>
                <w:color w:val="FFFFFF" w:themeColor="background1"/>
                <w:szCs w:val="24"/>
              </w:rPr>
            </w:pPr>
            <w:r w:rsidRPr="00036C34">
              <w:rPr>
                <w:rFonts w:cs="Arial"/>
                <w:color w:val="FFFFFF" w:themeColor="background1"/>
                <w:szCs w:val="24"/>
              </w:rPr>
              <w:t>£000</w:t>
            </w:r>
          </w:p>
        </w:tc>
        <w:tc>
          <w:tcPr>
            <w:tcW w:w="408" w:type="pct"/>
            <w:shd w:val="clear" w:color="auto" w:fill="BD2716"/>
            <w:vAlign w:val="center"/>
          </w:tcPr>
          <w:p w14:paraId="2C45B070" w14:textId="77777777" w:rsidR="0089432E" w:rsidRPr="00036C34" w:rsidRDefault="0089432E" w:rsidP="00611673">
            <w:pPr>
              <w:jc w:val="right"/>
              <w:rPr>
                <w:rFonts w:cs="Arial"/>
                <w:color w:val="FFFFFF" w:themeColor="background1"/>
                <w:szCs w:val="24"/>
              </w:rPr>
            </w:pPr>
            <w:r w:rsidRPr="00036C34">
              <w:rPr>
                <w:rFonts w:cs="Arial"/>
                <w:color w:val="FFFFFF" w:themeColor="background1"/>
                <w:szCs w:val="24"/>
              </w:rPr>
              <w:t>Unusable reserves</w:t>
            </w:r>
          </w:p>
          <w:p w14:paraId="0B27E9A8" w14:textId="088E9321" w:rsidR="0089432E" w:rsidRPr="00036C34" w:rsidRDefault="0089432E" w:rsidP="00611673">
            <w:pPr>
              <w:jc w:val="right"/>
              <w:rPr>
                <w:rFonts w:cs="Arial"/>
                <w:color w:val="FFFFFF" w:themeColor="background1"/>
                <w:szCs w:val="24"/>
              </w:rPr>
            </w:pPr>
            <w:r w:rsidRPr="00036C34">
              <w:rPr>
                <w:rFonts w:cs="Arial"/>
                <w:color w:val="FFFFFF" w:themeColor="background1"/>
                <w:szCs w:val="24"/>
              </w:rPr>
              <w:t>£000</w:t>
            </w:r>
          </w:p>
        </w:tc>
        <w:tc>
          <w:tcPr>
            <w:tcW w:w="409" w:type="pct"/>
            <w:shd w:val="clear" w:color="auto" w:fill="BD2716"/>
            <w:vAlign w:val="center"/>
          </w:tcPr>
          <w:p w14:paraId="37DF92FF" w14:textId="77777777" w:rsidR="0089432E" w:rsidRPr="00036C34" w:rsidRDefault="0089432E" w:rsidP="00611673">
            <w:pPr>
              <w:jc w:val="right"/>
              <w:rPr>
                <w:rFonts w:cs="Arial"/>
                <w:color w:val="FFFFFF" w:themeColor="background1"/>
                <w:szCs w:val="24"/>
              </w:rPr>
            </w:pPr>
            <w:r w:rsidRPr="00036C34">
              <w:rPr>
                <w:rFonts w:cs="Arial"/>
                <w:color w:val="FFFFFF" w:themeColor="background1"/>
                <w:szCs w:val="24"/>
              </w:rPr>
              <w:t>Total Authority reserves</w:t>
            </w:r>
          </w:p>
          <w:p w14:paraId="153B7D7E" w14:textId="171711DD" w:rsidR="0089432E" w:rsidRPr="00036C34" w:rsidRDefault="0089432E" w:rsidP="00611673">
            <w:pPr>
              <w:jc w:val="right"/>
              <w:rPr>
                <w:rFonts w:cs="Arial"/>
                <w:color w:val="FFFFFF" w:themeColor="background1"/>
                <w:szCs w:val="24"/>
              </w:rPr>
            </w:pPr>
            <w:r w:rsidRPr="00036C34">
              <w:rPr>
                <w:rFonts w:cs="Arial"/>
                <w:color w:val="FFFFFF" w:themeColor="background1"/>
                <w:szCs w:val="24"/>
              </w:rPr>
              <w:t>£000</w:t>
            </w:r>
          </w:p>
        </w:tc>
      </w:tr>
      <w:tr w:rsidR="001C7B7D" w:rsidRPr="00B16E84" w14:paraId="73439B5F" w14:textId="77777777" w:rsidTr="00233A66">
        <w:trPr>
          <w:trHeight w:val="80"/>
        </w:trPr>
        <w:tc>
          <w:tcPr>
            <w:tcW w:w="1325" w:type="pct"/>
            <w:shd w:val="clear" w:color="auto" w:fill="auto"/>
          </w:tcPr>
          <w:p w14:paraId="6A7AAA8D" w14:textId="77777777" w:rsidR="00B9618C" w:rsidRPr="00A02AD6" w:rsidRDefault="00B9618C" w:rsidP="00582882">
            <w:pPr>
              <w:rPr>
                <w:rFonts w:cs="Arial"/>
                <w:b/>
                <w:bCs/>
                <w:szCs w:val="24"/>
              </w:rPr>
            </w:pPr>
            <w:r w:rsidRPr="00A02AD6">
              <w:rPr>
                <w:rFonts w:cs="Arial"/>
                <w:b/>
                <w:bCs/>
                <w:szCs w:val="24"/>
              </w:rPr>
              <w:t xml:space="preserve">Balance </w:t>
            </w:r>
            <w:proofErr w:type="gramStart"/>
            <w:r w:rsidRPr="00A02AD6">
              <w:rPr>
                <w:rFonts w:cs="Arial"/>
                <w:b/>
                <w:bCs/>
                <w:szCs w:val="24"/>
              </w:rPr>
              <w:t>at</w:t>
            </w:r>
            <w:proofErr w:type="gramEnd"/>
            <w:r w:rsidRPr="00A02AD6">
              <w:rPr>
                <w:rFonts w:cs="Arial"/>
                <w:b/>
                <w:bCs/>
                <w:szCs w:val="24"/>
              </w:rPr>
              <w:t xml:space="preserve"> 31 March 2021 carried forwards</w:t>
            </w:r>
          </w:p>
        </w:tc>
        <w:tc>
          <w:tcPr>
            <w:tcW w:w="398" w:type="pct"/>
            <w:shd w:val="clear" w:color="auto" w:fill="auto"/>
            <w:vAlign w:val="center"/>
          </w:tcPr>
          <w:p w14:paraId="7EEDC766" w14:textId="06DD0154" w:rsidR="00B9618C" w:rsidRPr="00A02AD6" w:rsidRDefault="00B9618C" w:rsidP="00233A66">
            <w:pPr>
              <w:jc w:val="right"/>
              <w:rPr>
                <w:rFonts w:cs="Arial"/>
                <w:b/>
                <w:bCs/>
                <w:szCs w:val="24"/>
              </w:rPr>
            </w:pPr>
            <w:r w:rsidRPr="00A02AD6">
              <w:rPr>
                <w:rFonts w:cs="Arial"/>
                <w:b/>
                <w:bCs/>
                <w:szCs w:val="24"/>
              </w:rPr>
              <w:t>6,463</w:t>
            </w:r>
          </w:p>
        </w:tc>
        <w:tc>
          <w:tcPr>
            <w:tcW w:w="456" w:type="pct"/>
            <w:shd w:val="clear" w:color="auto" w:fill="auto"/>
            <w:vAlign w:val="center"/>
          </w:tcPr>
          <w:p w14:paraId="03078EA4" w14:textId="03527ABB" w:rsidR="00B9618C" w:rsidRPr="00A02AD6" w:rsidRDefault="00B9618C" w:rsidP="00233A66">
            <w:pPr>
              <w:jc w:val="right"/>
              <w:rPr>
                <w:rFonts w:cs="Arial"/>
                <w:b/>
                <w:bCs/>
                <w:szCs w:val="24"/>
              </w:rPr>
            </w:pPr>
            <w:r w:rsidRPr="00A02AD6">
              <w:rPr>
                <w:rFonts w:cs="Arial"/>
                <w:b/>
                <w:bCs/>
                <w:szCs w:val="24"/>
              </w:rPr>
              <w:t>10,769</w:t>
            </w:r>
          </w:p>
        </w:tc>
        <w:tc>
          <w:tcPr>
            <w:tcW w:w="397" w:type="pct"/>
            <w:vAlign w:val="center"/>
          </w:tcPr>
          <w:p w14:paraId="53F7E359" w14:textId="0B4E2005" w:rsidR="00B9618C" w:rsidRPr="00A02AD6" w:rsidRDefault="00B9618C" w:rsidP="00233A66">
            <w:pPr>
              <w:jc w:val="right"/>
              <w:rPr>
                <w:rFonts w:cs="Arial"/>
                <w:b/>
                <w:bCs/>
                <w:szCs w:val="24"/>
              </w:rPr>
            </w:pPr>
            <w:r w:rsidRPr="00A02AD6">
              <w:rPr>
                <w:rFonts w:cs="Arial"/>
                <w:b/>
                <w:bCs/>
                <w:szCs w:val="24"/>
              </w:rPr>
              <w:t>17,232</w:t>
            </w:r>
          </w:p>
        </w:tc>
        <w:tc>
          <w:tcPr>
            <w:tcW w:w="402" w:type="pct"/>
            <w:shd w:val="clear" w:color="auto" w:fill="auto"/>
            <w:vAlign w:val="center"/>
          </w:tcPr>
          <w:p w14:paraId="67D9A8E5" w14:textId="5BBEF905" w:rsidR="00B9618C" w:rsidRPr="00A02AD6" w:rsidRDefault="00B9618C" w:rsidP="00233A66">
            <w:pPr>
              <w:jc w:val="right"/>
              <w:rPr>
                <w:rFonts w:cs="Arial"/>
                <w:b/>
                <w:bCs/>
                <w:szCs w:val="24"/>
              </w:rPr>
            </w:pPr>
            <w:r w:rsidRPr="00A02AD6">
              <w:rPr>
                <w:rFonts w:cs="Arial"/>
                <w:b/>
                <w:bCs/>
                <w:szCs w:val="24"/>
              </w:rPr>
              <w:t>17,966</w:t>
            </w:r>
          </w:p>
        </w:tc>
        <w:tc>
          <w:tcPr>
            <w:tcW w:w="412" w:type="pct"/>
            <w:vAlign w:val="center"/>
          </w:tcPr>
          <w:p w14:paraId="243148B0" w14:textId="44D4AF33" w:rsidR="00B9618C" w:rsidRPr="00A02AD6" w:rsidRDefault="00B9618C" w:rsidP="00233A66">
            <w:pPr>
              <w:jc w:val="right"/>
              <w:rPr>
                <w:rFonts w:cs="Arial"/>
                <w:b/>
                <w:bCs/>
                <w:szCs w:val="24"/>
              </w:rPr>
            </w:pPr>
            <w:r w:rsidRPr="00A02AD6">
              <w:rPr>
                <w:rFonts w:cs="Arial"/>
                <w:b/>
                <w:bCs/>
                <w:szCs w:val="24"/>
              </w:rPr>
              <w:t>101</w:t>
            </w:r>
          </w:p>
        </w:tc>
        <w:tc>
          <w:tcPr>
            <w:tcW w:w="396" w:type="pct"/>
            <w:shd w:val="clear" w:color="auto" w:fill="auto"/>
            <w:vAlign w:val="center"/>
          </w:tcPr>
          <w:p w14:paraId="11BE4635" w14:textId="1C7F9FB0" w:rsidR="00B9618C" w:rsidRPr="00A02AD6" w:rsidRDefault="00B9618C" w:rsidP="00233A66">
            <w:pPr>
              <w:jc w:val="right"/>
              <w:rPr>
                <w:rFonts w:cs="Arial"/>
                <w:b/>
                <w:bCs/>
                <w:szCs w:val="24"/>
              </w:rPr>
            </w:pPr>
            <w:r w:rsidRPr="00A02AD6">
              <w:rPr>
                <w:rFonts w:cs="Arial"/>
                <w:b/>
                <w:bCs/>
                <w:szCs w:val="24"/>
              </w:rPr>
              <w:t>1,680</w:t>
            </w:r>
          </w:p>
        </w:tc>
        <w:tc>
          <w:tcPr>
            <w:tcW w:w="397" w:type="pct"/>
            <w:shd w:val="clear" w:color="auto" w:fill="auto"/>
            <w:vAlign w:val="center"/>
          </w:tcPr>
          <w:p w14:paraId="4B98108E" w14:textId="7EC8B166" w:rsidR="00B9618C" w:rsidRPr="00A02AD6" w:rsidRDefault="00B9618C" w:rsidP="00233A66">
            <w:pPr>
              <w:jc w:val="right"/>
              <w:rPr>
                <w:rFonts w:cs="Arial"/>
                <w:b/>
                <w:bCs/>
                <w:szCs w:val="24"/>
              </w:rPr>
            </w:pPr>
            <w:r w:rsidRPr="00A02AD6">
              <w:rPr>
                <w:rFonts w:cs="Arial"/>
                <w:b/>
                <w:bCs/>
                <w:szCs w:val="24"/>
              </w:rPr>
              <w:t>36,979</w:t>
            </w:r>
          </w:p>
        </w:tc>
        <w:tc>
          <w:tcPr>
            <w:tcW w:w="408" w:type="pct"/>
            <w:shd w:val="clear" w:color="auto" w:fill="auto"/>
            <w:vAlign w:val="center"/>
          </w:tcPr>
          <w:p w14:paraId="23C0055C" w14:textId="77777777" w:rsidR="00B9618C" w:rsidRPr="00A02AD6" w:rsidRDefault="00B9618C" w:rsidP="00233A66">
            <w:pPr>
              <w:jc w:val="right"/>
              <w:rPr>
                <w:rFonts w:cs="Arial"/>
                <w:b/>
                <w:bCs/>
                <w:szCs w:val="24"/>
              </w:rPr>
            </w:pPr>
            <w:r w:rsidRPr="00A02AD6">
              <w:rPr>
                <w:rFonts w:cs="Arial"/>
                <w:b/>
                <w:bCs/>
                <w:szCs w:val="24"/>
              </w:rPr>
              <w:t>(804,713)</w:t>
            </w:r>
          </w:p>
        </w:tc>
        <w:tc>
          <w:tcPr>
            <w:tcW w:w="409" w:type="pct"/>
            <w:shd w:val="clear" w:color="auto" w:fill="auto"/>
            <w:vAlign w:val="center"/>
          </w:tcPr>
          <w:p w14:paraId="189A51DF" w14:textId="77777777" w:rsidR="00B9618C" w:rsidRPr="00A02AD6" w:rsidRDefault="00B9618C" w:rsidP="00233A66">
            <w:pPr>
              <w:jc w:val="right"/>
              <w:rPr>
                <w:rFonts w:cs="Arial"/>
                <w:b/>
                <w:bCs/>
                <w:szCs w:val="24"/>
              </w:rPr>
            </w:pPr>
            <w:r w:rsidRPr="00A02AD6">
              <w:rPr>
                <w:rFonts w:cs="Arial"/>
                <w:b/>
                <w:bCs/>
                <w:szCs w:val="24"/>
              </w:rPr>
              <w:t>(767,734)</w:t>
            </w:r>
          </w:p>
        </w:tc>
      </w:tr>
    </w:tbl>
    <w:p w14:paraId="51D42E70" w14:textId="77777777" w:rsidR="00FA18E2" w:rsidRDefault="00FA18E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0"/>
        <w:gridCol w:w="1213"/>
        <w:gridCol w:w="1390"/>
        <w:gridCol w:w="1210"/>
        <w:gridCol w:w="1225"/>
        <w:gridCol w:w="1256"/>
        <w:gridCol w:w="1207"/>
        <w:gridCol w:w="1210"/>
        <w:gridCol w:w="1244"/>
        <w:gridCol w:w="1247"/>
      </w:tblGrid>
      <w:tr w:rsidR="00FA18E2" w:rsidRPr="00B16E84" w14:paraId="3EA1B9CA" w14:textId="77777777" w:rsidTr="00036C34">
        <w:tc>
          <w:tcPr>
            <w:tcW w:w="5000" w:type="pct"/>
            <w:gridSpan w:val="10"/>
            <w:shd w:val="clear" w:color="auto" w:fill="D9D9D9" w:themeFill="background1" w:themeFillShade="D9"/>
          </w:tcPr>
          <w:p w14:paraId="5D4F19E8" w14:textId="23320AC7" w:rsidR="00FA18E2" w:rsidRPr="00BD79B2" w:rsidRDefault="00FA18E2" w:rsidP="002C5DD1">
            <w:pPr>
              <w:rPr>
                <w:rFonts w:cs="Arial"/>
                <w:b/>
                <w:bCs/>
                <w:szCs w:val="24"/>
              </w:rPr>
            </w:pPr>
            <w:r w:rsidRPr="00BD79B2">
              <w:rPr>
                <w:rFonts w:cs="Arial"/>
                <w:b/>
                <w:bCs/>
                <w:szCs w:val="24"/>
              </w:rPr>
              <w:t>Movement in reserves during 2021/22</w:t>
            </w:r>
          </w:p>
        </w:tc>
      </w:tr>
      <w:tr w:rsidR="001C7B7D" w:rsidRPr="00B16E84" w14:paraId="6B984610" w14:textId="77777777" w:rsidTr="00233A66">
        <w:tc>
          <w:tcPr>
            <w:tcW w:w="1325" w:type="pct"/>
            <w:shd w:val="clear" w:color="auto" w:fill="auto"/>
          </w:tcPr>
          <w:p w14:paraId="5D61526C" w14:textId="77777777" w:rsidR="00B9618C" w:rsidRPr="00534FC6" w:rsidRDefault="00B9618C" w:rsidP="002C5DD1">
            <w:pPr>
              <w:rPr>
                <w:rFonts w:cs="Arial"/>
                <w:szCs w:val="24"/>
              </w:rPr>
            </w:pPr>
            <w:r w:rsidRPr="00534FC6">
              <w:rPr>
                <w:rFonts w:cs="Arial"/>
                <w:szCs w:val="24"/>
              </w:rPr>
              <w:t>Surplus/(Deficit) on provision of services</w:t>
            </w:r>
          </w:p>
        </w:tc>
        <w:tc>
          <w:tcPr>
            <w:tcW w:w="398" w:type="pct"/>
            <w:shd w:val="clear" w:color="auto" w:fill="auto"/>
            <w:vAlign w:val="center"/>
          </w:tcPr>
          <w:p w14:paraId="79A3E37B" w14:textId="77777777" w:rsidR="00B9618C" w:rsidRPr="00534FC6" w:rsidRDefault="00B9618C" w:rsidP="00233A66">
            <w:pPr>
              <w:jc w:val="right"/>
              <w:rPr>
                <w:rFonts w:cs="Arial"/>
                <w:szCs w:val="24"/>
              </w:rPr>
            </w:pPr>
            <w:r w:rsidRPr="00534FC6">
              <w:rPr>
                <w:rFonts w:cs="Arial"/>
                <w:szCs w:val="24"/>
              </w:rPr>
              <w:t>(9,962)</w:t>
            </w:r>
          </w:p>
        </w:tc>
        <w:tc>
          <w:tcPr>
            <w:tcW w:w="456" w:type="pct"/>
            <w:shd w:val="clear" w:color="auto" w:fill="auto"/>
            <w:vAlign w:val="center"/>
          </w:tcPr>
          <w:p w14:paraId="1F5AD541" w14:textId="6E21F8F8" w:rsidR="00B9618C" w:rsidRPr="00534FC6" w:rsidRDefault="0066777B" w:rsidP="00233A66">
            <w:pPr>
              <w:jc w:val="right"/>
              <w:rPr>
                <w:rFonts w:cs="Arial"/>
                <w:szCs w:val="24"/>
              </w:rPr>
            </w:pPr>
            <w:r w:rsidRPr="00534FC6">
              <w:rPr>
                <w:rFonts w:cs="Arial"/>
                <w:szCs w:val="24"/>
              </w:rPr>
              <w:t>-</w:t>
            </w:r>
          </w:p>
        </w:tc>
        <w:tc>
          <w:tcPr>
            <w:tcW w:w="397" w:type="pct"/>
            <w:shd w:val="clear" w:color="auto" w:fill="auto"/>
            <w:vAlign w:val="center"/>
          </w:tcPr>
          <w:p w14:paraId="7AB3E3EB" w14:textId="77777777" w:rsidR="00B9618C" w:rsidRPr="00534FC6" w:rsidRDefault="00B9618C" w:rsidP="00233A66">
            <w:pPr>
              <w:jc w:val="right"/>
              <w:rPr>
                <w:rFonts w:cs="Arial"/>
                <w:szCs w:val="24"/>
              </w:rPr>
            </w:pPr>
            <w:r w:rsidRPr="00534FC6">
              <w:rPr>
                <w:rFonts w:cs="Arial"/>
                <w:szCs w:val="24"/>
              </w:rPr>
              <w:t>(9,962)</w:t>
            </w:r>
          </w:p>
        </w:tc>
        <w:tc>
          <w:tcPr>
            <w:tcW w:w="402" w:type="pct"/>
            <w:shd w:val="clear" w:color="auto" w:fill="auto"/>
            <w:vAlign w:val="center"/>
          </w:tcPr>
          <w:p w14:paraId="623BAF3F" w14:textId="2859443F" w:rsidR="00B9618C" w:rsidRPr="00534FC6" w:rsidRDefault="0066777B" w:rsidP="00233A66">
            <w:pPr>
              <w:jc w:val="right"/>
              <w:rPr>
                <w:rFonts w:cs="Arial"/>
                <w:szCs w:val="24"/>
              </w:rPr>
            </w:pPr>
            <w:r w:rsidRPr="00534FC6">
              <w:rPr>
                <w:rFonts w:cs="Arial"/>
                <w:szCs w:val="24"/>
              </w:rPr>
              <w:t>-</w:t>
            </w:r>
          </w:p>
        </w:tc>
        <w:tc>
          <w:tcPr>
            <w:tcW w:w="412" w:type="pct"/>
            <w:shd w:val="clear" w:color="auto" w:fill="auto"/>
            <w:vAlign w:val="center"/>
          </w:tcPr>
          <w:p w14:paraId="26BEEDEA" w14:textId="039BEBFF" w:rsidR="00B9618C" w:rsidRPr="00534FC6" w:rsidRDefault="0066777B" w:rsidP="00233A66">
            <w:pPr>
              <w:jc w:val="right"/>
              <w:rPr>
                <w:rFonts w:cs="Arial"/>
                <w:szCs w:val="24"/>
              </w:rPr>
            </w:pPr>
            <w:r w:rsidRPr="00534FC6">
              <w:rPr>
                <w:rFonts w:cs="Arial"/>
                <w:szCs w:val="24"/>
              </w:rPr>
              <w:t>-</w:t>
            </w:r>
          </w:p>
        </w:tc>
        <w:tc>
          <w:tcPr>
            <w:tcW w:w="396" w:type="pct"/>
            <w:shd w:val="clear" w:color="auto" w:fill="auto"/>
            <w:vAlign w:val="center"/>
          </w:tcPr>
          <w:p w14:paraId="05B9DE50" w14:textId="0FB95794" w:rsidR="00B9618C" w:rsidRPr="00534FC6" w:rsidRDefault="0066777B" w:rsidP="00233A66">
            <w:pPr>
              <w:jc w:val="right"/>
              <w:rPr>
                <w:rFonts w:cs="Arial"/>
                <w:szCs w:val="24"/>
              </w:rPr>
            </w:pPr>
            <w:r w:rsidRPr="00534FC6">
              <w:rPr>
                <w:rFonts w:cs="Arial"/>
                <w:szCs w:val="24"/>
              </w:rPr>
              <w:t>-</w:t>
            </w:r>
          </w:p>
        </w:tc>
        <w:tc>
          <w:tcPr>
            <w:tcW w:w="397" w:type="pct"/>
            <w:shd w:val="clear" w:color="auto" w:fill="auto"/>
            <w:vAlign w:val="center"/>
          </w:tcPr>
          <w:p w14:paraId="46924E4C" w14:textId="77777777" w:rsidR="00B9618C" w:rsidRPr="00534FC6" w:rsidRDefault="00B9618C" w:rsidP="00233A66">
            <w:pPr>
              <w:jc w:val="right"/>
              <w:rPr>
                <w:rFonts w:cs="Arial"/>
                <w:szCs w:val="24"/>
              </w:rPr>
            </w:pPr>
            <w:r w:rsidRPr="00534FC6">
              <w:rPr>
                <w:rFonts w:cs="Arial"/>
                <w:szCs w:val="24"/>
              </w:rPr>
              <w:t>(9,962)</w:t>
            </w:r>
          </w:p>
        </w:tc>
        <w:tc>
          <w:tcPr>
            <w:tcW w:w="408" w:type="pct"/>
            <w:shd w:val="clear" w:color="auto" w:fill="auto"/>
            <w:vAlign w:val="center"/>
          </w:tcPr>
          <w:p w14:paraId="75D28C07" w14:textId="6C660896" w:rsidR="00B9618C" w:rsidRPr="00534FC6" w:rsidRDefault="00B9618C" w:rsidP="00233A66">
            <w:pPr>
              <w:jc w:val="right"/>
              <w:rPr>
                <w:rFonts w:cs="Arial"/>
                <w:szCs w:val="24"/>
              </w:rPr>
            </w:pPr>
            <w:r w:rsidRPr="00534FC6">
              <w:rPr>
                <w:rFonts w:cs="Arial"/>
                <w:szCs w:val="24"/>
              </w:rPr>
              <w:t>-</w:t>
            </w:r>
          </w:p>
        </w:tc>
        <w:tc>
          <w:tcPr>
            <w:tcW w:w="409" w:type="pct"/>
            <w:shd w:val="clear" w:color="auto" w:fill="auto"/>
            <w:vAlign w:val="center"/>
          </w:tcPr>
          <w:p w14:paraId="2952E141" w14:textId="77777777" w:rsidR="00B9618C" w:rsidRPr="00534FC6" w:rsidRDefault="00B9618C" w:rsidP="00233A66">
            <w:pPr>
              <w:jc w:val="right"/>
              <w:rPr>
                <w:rFonts w:cs="Arial"/>
                <w:szCs w:val="24"/>
              </w:rPr>
            </w:pPr>
            <w:r w:rsidRPr="00534FC6">
              <w:rPr>
                <w:rFonts w:cs="Arial"/>
                <w:szCs w:val="24"/>
              </w:rPr>
              <w:t>(9,962)</w:t>
            </w:r>
          </w:p>
        </w:tc>
      </w:tr>
      <w:tr w:rsidR="00FA18E2" w:rsidRPr="00B16E84" w14:paraId="231F4288" w14:textId="77777777" w:rsidTr="00233A66">
        <w:tc>
          <w:tcPr>
            <w:tcW w:w="1325" w:type="pct"/>
            <w:shd w:val="clear" w:color="auto" w:fill="auto"/>
          </w:tcPr>
          <w:p w14:paraId="4BC4D0A5" w14:textId="77777777" w:rsidR="00B9618C" w:rsidRPr="00534FC6" w:rsidRDefault="00B9618C" w:rsidP="002C5DD1">
            <w:pPr>
              <w:rPr>
                <w:rFonts w:cs="Arial"/>
                <w:szCs w:val="24"/>
              </w:rPr>
            </w:pPr>
            <w:r w:rsidRPr="00534FC6">
              <w:rPr>
                <w:rFonts w:cs="Arial"/>
                <w:szCs w:val="24"/>
              </w:rPr>
              <w:t>Other comprehensive income and expenditure</w:t>
            </w:r>
          </w:p>
        </w:tc>
        <w:tc>
          <w:tcPr>
            <w:tcW w:w="398" w:type="pct"/>
            <w:shd w:val="clear" w:color="auto" w:fill="auto"/>
            <w:vAlign w:val="center"/>
          </w:tcPr>
          <w:p w14:paraId="58851518" w14:textId="77777777" w:rsidR="00B9618C" w:rsidRPr="00534FC6" w:rsidRDefault="00B9618C" w:rsidP="00233A66">
            <w:pPr>
              <w:jc w:val="right"/>
              <w:rPr>
                <w:rFonts w:cs="Arial"/>
                <w:szCs w:val="24"/>
              </w:rPr>
            </w:pPr>
            <w:r w:rsidRPr="00534FC6">
              <w:rPr>
                <w:rFonts w:cs="Arial"/>
                <w:szCs w:val="24"/>
              </w:rPr>
              <w:t>-</w:t>
            </w:r>
          </w:p>
        </w:tc>
        <w:tc>
          <w:tcPr>
            <w:tcW w:w="456" w:type="pct"/>
            <w:shd w:val="clear" w:color="auto" w:fill="auto"/>
            <w:vAlign w:val="center"/>
          </w:tcPr>
          <w:p w14:paraId="04871AAE" w14:textId="77777777" w:rsidR="00B9618C" w:rsidRPr="00534FC6" w:rsidRDefault="00B9618C" w:rsidP="00233A66">
            <w:pPr>
              <w:jc w:val="right"/>
              <w:rPr>
                <w:rFonts w:cs="Arial"/>
                <w:szCs w:val="24"/>
              </w:rPr>
            </w:pPr>
            <w:r w:rsidRPr="00534FC6">
              <w:rPr>
                <w:rFonts w:cs="Arial"/>
                <w:szCs w:val="24"/>
              </w:rPr>
              <w:t>-</w:t>
            </w:r>
          </w:p>
        </w:tc>
        <w:tc>
          <w:tcPr>
            <w:tcW w:w="397" w:type="pct"/>
            <w:vAlign w:val="center"/>
          </w:tcPr>
          <w:p w14:paraId="4E173A56" w14:textId="77777777" w:rsidR="00B9618C" w:rsidRPr="00534FC6" w:rsidRDefault="00B9618C" w:rsidP="00233A66">
            <w:pPr>
              <w:jc w:val="right"/>
              <w:rPr>
                <w:rFonts w:cs="Arial"/>
                <w:szCs w:val="24"/>
              </w:rPr>
            </w:pPr>
            <w:r w:rsidRPr="00534FC6">
              <w:rPr>
                <w:rFonts w:cs="Arial"/>
                <w:szCs w:val="24"/>
              </w:rPr>
              <w:t>-</w:t>
            </w:r>
          </w:p>
        </w:tc>
        <w:tc>
          <w:tcPr>
            <w:tcW w:w="402" w:type="pct"/>
            <w:shd w:val="clear" w:color="auto" w:fill="auto"/>
            <w:vAlign w:val="center"/>
          </w:tcPr>
          <w:p w14:paraId="6C25C6C3" w14:textId="77777777" w:rsidR="00B9618C" w:rsidRPr="00534FC6" w:rsidRDefault="00B9618C" w:rsidP="00233A66">
            <w:pPr>
              <w:jc w:val="right"/>
              <w:rPr>
                <w:rFonts w:cs="Arial"/>
                <w:szCs w:val="24"/>
              </w:rPr>
            </w:pPr>
            <w:r w:rsidRPr="00534FC6">
              <w:rPr>
                <w:rFonts w:cs="Arial"/>
                <w:szCs w:val="24"/>
              </w:rPr>
              <w:t>-</w:t>
            </w:r>
          </w:p>
        </w:tc>
        <w:tc>
          <w:tcPr>
            <w:tcW w:w="412" w:type="pct"/>
            <w:vAlign w:val="center"/>
          </w:tcPr>
          <w:p w14:paraId="004718A9" w14:textId="77777777" w:rsidR="00B9618C" w:rsidRPr="00534FC6" w:rsidRDefault="00B9618C" w:rsidP="00233A66">
            <w:pPr>
              <w:jc w:val="right"/>
              <w:rPr>
                <w:rFonts w:cs="Arial"/>
                <w:szCs w:val="24"/>
              </w:rPr>
            </w:pPr>
            <w:r w:rsidRPr="00534FC6">
              <w:rPr>
                <w:rFonts w:cs="Arial"/>
                <w:szCs w:val="24"/>
              </w:rPr>
              <w:t>-</w:t>
            </w:r>
          </w:p>
        </w:tc>
        <w:tc>
          <w:tcPr>
            <w:tcW w:w="396" w:type="pct"/>
            <w:shd w:val="clear" w:color="auto" w:fill="auto"/>
            <w:vAlign w:val="center"/>
          </w:tcPr>
          <w:p w14:paraId="4289BB93" w14:textId="77777777" w:rsidR="00B9618C" w:rsidRPr="00534FC6" w:rsidRDefault="00B9618C" w:rsidP="00233A66">
            <w:pPr>
              <w:jc w:val="right"/>
              <w:rPr>
                <w:rFonts w:cs="Arial"/>
                <w:szCs w:val="24"/>
              </w:rPr>
            </w:pPr>
            <w:r w:rsidRPr="00534FC6">
              <w:rPr>
                <w:rFonts w:cs="Arial"/>
                <w:szCs w:val="24"/>
              </w:rPr>
              <w:t>-</w:t>
            </w:r>
          </w:p>
        </w:tc>
        <w:tc>
          <w:tcPr>
            <w:tcW w:w="397" w:type="pct"/>
            <w:shd w:val="clear" w:color="auto" w:fill="auto"/>
            <w:vAlign w:val="center"/>
          </w:tcPr>
          <w:p w14:paraId="38EDC860" w14:textId="77777777" w:rsidR="00B9618C" w:rsidRPr="00534FC6" w:rsidRDefault="00B9618C" w:rsidP="00233A66">
            <w:pPr>
              <w:jc w:val="right"/>
              <w:rPr>
                <w:rFonts w:cs="Arial"/>
                <w:szCs w:val="24"/>
              </w:rPr>
            </w:pPr>
            <w:r w:rsidRPr="00534FC6">
              <w:rPr>
                <w:rFonts w:cs="Arial"/>
                <w:szCs w:val="24"/>
              </w:rPr>
              <w:t>-</w:t>
            </w:r>
          </w:p>
        </w:tc>
        <w:tc>
          <w:tcPr>
            <w:tcW w:w="408" w:type="pct"/>
            <w:shd w:val="clear" w:color="auto" w:fill="auto"/>
            <w:vAlign w:val="center"/>
          </w:tcPr>
          <w:p w14:paraId="152CE82A" w14:textId="2308A581" w:rsidR="00B9618C" w:rsidRPr="00534FC6" w:rsidRDefault="00B9618C" w:rsidP="00233A66">
            <w:pPr>
              <w:jc w:val="right"/>
              <w:rPr>
                <w:rFonts w:cs="Arial"/>
                <w:szCs w:val="24"/>
              </w:rPr>
            </w:pPr>
            <w:r w:rsidRPr="00534FC6">
              <w:rPr>
                <w:rFonts w:cs="Arial"/>
                <w:szCs w:val="24"/>
              </w:rPr>
              <w:t>24,009</w:t>
            </w:r>
          </w:p>
        </w:tc>
        <w:tc>
          <w:tcPr>
            <w:tcW w:w="409" w:type="pct"/>
            <w:shd w:val="clear" w:color="auto" w:fill="auto"/>
            <w:vAlign w:val="center"/>
          </w:tcPr>
          <w:p w14:paraId="76D34C33" w14:textId="380293B2" w:rsidR="00B9618C" w:rsidRPr="00534FC6" w:rsidRDefault="00B9618C" w:rsidP="00233A66">
            <w:pPr>
              <w:jc w:val="right"/>
              <w:rPr>
                <w:rFonts w:cs="Arial"/>
                <w:szCs w:val="24"/>
              </w:rPr>
            </w:pPr>
            <w:r w:rsidRPr="00534FC6">
              <w:rPr>
                <w:rFonts w:cs="Arial"/>
                <w:szCs w:val="24"/>
              </w:rPr>
              <w:t>24,009</w:t>
            </w:r>
          </w:p>
        </w:tc>
      </w:tr>
      <w:tr w:rsidR="00FA18E2" w:rsidRPr="00B16E84" w14:paraId="2D1EB13C" w14:textId="77777777" w:rsidTr="00233A66">
        <w:tc>
          <w:tcPr>
            <w:tcW w:w="1325" w:type="pct"/>
            <w:shd w:val="clear" w:color="auto" w:fill="auto"/>
          </w:tcPr>
          <w:p w14:paraId="01481495" w14:textId="77777777" w:rsidR="00B9618C" w:rsidRPr="00A02AD6" w:rsidRDefault="00B9618C" w:rsidP="00582882">
            <w:pPr>
              <w:rPr>
                <w:rFonts w:cs="Arial"/>
                <w:b/>
                <w:bCs/>
                <w:szCs w:val="24"/>
              </w:rPr>
            </w:pPr>
            <w:r w:rsidRPr="00A02AD6">
              <w:rPr>
                <w:rFonts w:cs="Arial"/>
                <w:b/>
                <w:bCs/>
                <w:szCs w:val="24"/>
              </w:rPr>
              <w:t>Total comprehensive income and expenditure</w:t>
            </w:r>
          </w:p>
        </w:tc>
        <w:tc>
          <w:tcPr>
            <w:tcW w:w="398" w:type="pct"/>
            <w:shd w:val="clear" w:color="auto" w:fill="auto"/>
            <w:vAlign w:val="center"/>
          </w:tcPr>
          <w:p w14:paraId="454A3BF2" w14:textId="77777777" w:rsidR="00B9618C" w:rsidRPr="00A02AD6" w:rsidRDefault="00B9618C" w:rsidP="00233A66">
            <w:pPr>
              <w:jc w:val="right"/>
              <w:rPr>
                <w:rFonts w:cs="Arial"/>
                <w:b/>
                <w:bCs/>
                <w:szCs w:val="24"/>
              </w:rPr>
            </w:pPr>
            <w:r w:rsidRPr="00A02AD6">
              <w:rPr>
                <w:rFonts w:cs="Arial"/>
                <w:b/>
                <w:bCs/>
                <w:szCs w:val="24"/>
              </w:rPr>
              <w:t>(9,962)</w:t>
            </w:r>
          </w:p>
        </w:tc>
        <w:tc>
          <w:tcPr>
            <w:tcW w:w="456" w:type="pct"/>
            <w:shd w:val="clear" w:color="auto" w:fill="auto"/>
            <w:vAlign w:val="center"/>
          </w:tcPr>
          <w:p w14:paraId="4BEA8603" w14:textId="55E8F705" w:rsidR="00B9618C" w:rsidRPr="00A02AD6" w:rsidRDefault="0066777B" w:rsidP="00233A66">
            <w:pPr>
              <w:jc w:val="right"/>
              <w:rPr>
                <w:rFonts w:cs="Arial"/>
                <w:b/>
                <w:bCs/>
                <w:szCs w:val="24"/>
              </w:rPr>
            </w:pPr>
            <w:r w:rsidRPr="00A02AD6">
              <w:rPr>
                <w:rFonts w:cs="Arial"/>
                <w:b/>
                <w:bCs/>
                <w:szCs w:val="24"/>
              </w:rPr>
              <w:t>-</w:t>
            </w:r>
          </w:p>
        </w:tc>
        <w:tc>
          <w:tcPr>
            <w:tcW w:w="397" w:type="pct"/>
            <w:shd w:val="clear" w:color="auto" w:fill="auto"/>
            <w:vAlign w:val="center"/>
          </w:tcPr>
          <w:p w14:paraId="7F23F0E3" w14:textId="77777777" w:rsidR="00B9618C" w:rsidRPr="00A02AD6" w:rsidRDefault="00B9618C" w:rsidP="00233A66">
            <w:pPr>
              <w:jc w:val="right"/>
              <w:rPr>
                <w:rFonts w:cs="Arial"/>
                <w:b/>
                <w:bCs/>
                <w:szCs w:val="24"/>
              </w:rPr>
            </w:pPr>
            <w:r w:rsidRPr="00A02AD6">
              <w:rPr>
                <w:rFonts w:cs="Arial"/>
                <w:b/>
                <w:bCs/>
                <w:szCs w:val="24"/>
              </w:rPr>
              <w:t>(9,962)</w:t>
            </w:r>
          </w:p>
        </w:tc>
        <w:tc>
          <w:tcPr>
            <w:tcW w:w="402" w:type="pct"/>
            <w:shd w:val="clear" w:color="auto" w:fill="auto"/>
            <w:vAlign w:val="center"/>
          </w:tcPr>
          <w:p w14:paraId="20DD1F77" w14:textId="65594F1C" w:rsidR="00B9618C" w:rsidRPr="00A02AD6" w:rsidRDefault="0066777B" w:rsidP="00233A66">
            <w:pPr>
              <w:jc w:val="right"/>
              <w:rPr>
                <w:rFonts w:cs="Arial"/>
                <w:b/>
                <w:bCs/>
                <w:szCs w:val="24"/>
              </w:rPr>
            </w:pPr>
            <w:r w:rsidRPr="00A02AD6">
              <w:rPr>
                <w:rFonts w:cs="Arial"/>
                <w:b/>
                <w:bCs/>
                <w:szCs w:val="24"/>
              </w:rPr>
              <w:t>-</w:t>
            </w:r>
          </w:p>
        </w:tc>
        <w:tc>
          <w:tcPr>
            <w:tcW w:w="412" w:type="pct"/>
            <w:shd w:val="clear" w:color="auto" w:fill="auto"/>
            <w:vAlign w:val="center"/>
          </w:tcPr>
          <w:p w14:paraId="5E0CDA64" w14:textId="2E3CCC46" w:rsidR="00B9618C" w:rsidRPr="00A02AD6" w:rsidRDefault="0066777B" w:rsidP="00233A66">
            <w:pPr>
              <w:jc w:val="right"/>
              <w:rPr>
                <w:rFonts w:cs="Arial"/>
                <w:b/>
                <w:bCs/>
                <w:szCs w:val="24"/>
              </w:rPr>
            </w:pPr>
            <w:r w:rsidRPr="00A02AD6">
              <w:rPr>
                <w:rFonts w:cs="Arial"/>
                <w:b/>
                <w:bCs/>
                <w:szCs w:val="24"/>
              </w:rPr>
              <w:t>-</w:t>
            </w:r>
          </w:p>
        </w:tc>
        <w:tc>
          <w:tcPr>
            <w:tcW w:w="396" w:type="pct"/>
            <w:shd w:val="clear" w:color="auto" w:fill="auto"/>
            <w:vAlign w:val="center"/>
          </w:tcPr>
          <w:p w14:paraId="2E231714" w14:textId="6D7570DE" w:rsidR="00B9618C" w:rsidRPr="00A02AD6" w:rsidRDefault="0066777B" w:rsidP="00233A66">
            <w:pPr>
              <w:jc w:val="right"/>
              <w:rPr>
                <w:rFonts w:cs="Arial"/>
                <w:b/>
                <w:bCs/>
                <w:szCs w:val="24"/>
              </w:rPr>
            </w:pPr>
            <w:r w:rsidRPr="00A02AD6">
              <w:rPr>
                <w:rFonts w:cs="Arial"/>
                <w:b/>
                <w:bCs/>
                <w:szCs w:val="24"/>
              </w:rPr>
              <w:t>-</w:t>
            </w:r>
          </w:p>
        </w:tc>
        <w:tc>
          <w:tcPr>
            <w:tcW w:w="397" w:type="pct"/>
            <w:shd w:val="clear" w:color="auto" w:fill="auto"/>
            <w:vAlign w:val="center"/>
          </w:tcPr>
          <w:p w14:paraId="1339318F" w14:textId="77777777" w:rsidR="00B9618C" w:rsidRPr="00A02AD6" w:rsidRDefault="00B9618C" w:rsidP="00233A66">
            <w:pPr>
              <w:jc w:val="right"/>
              <w:rPr>
                <w:rFonts w:cs="Arial"/>
                <w:b/>
                <w:bCs/>
                <w:szCs w:val="24"/>
              </w:rPr>
            </w:pPr>
            <w:r w:rsidRPr="00A02AD6">
              <w:rPr>
                <w:rFonts w:cs="Arial"/>
                <w:b/>
                <w:bCs/>
                <w:szCs w:val="24"/>
              </w:rPr>
              <w:t>(9,962)</w:t>
            </w:r>
          </w:p>
        </w:tc>
        <w:tc>
          <w:tcPr>
            <w:tcW w:w="408" w:type="pct"/>
            <w:shd w:val="clear" w:color="auto" w:fill="auto"/>
            <w:vAlign w:val="center"/>
          </w:tcPr>
          <w:p w14:paraId="142F05E1" w14:textId="0DD3C2B4" w:rsidR="00B9618C" w:rsidRPr="00A02AD6" w:rsidRDefault="00B9618C" w:rsidP="00233A66">
            <w:pPr>
              <w:jc w:val="right"/>
              <w:rPr>
                <w:rFonts w:cs="Arial"/>
                <w:b/>
                <w:bCs/>
                <w:szCs w:val="24"/>
              </w:rPr>
            </w:pPr>
            <w:r w:rsidRPr="00A02AD6">
              <w:rPr>
                <w:rFonts w:cs="Arial"/>
                <w:b/>
                <w:bCs/>
                <w:szCs w:val="24"/>
              </w:rPr>
              <w:t>24,009</w:t>
            </w:r>
          </w:p>
        </w:tc>
        <w:tc>
          <w:tcPr>
            <w:tcW w:w="409" w:type="pct"/>
            <w:shd w:val="clear" w:color="auto" w:fill="auto"/>
            <w:vAlign w:val="center"/>
          </w:tcPr>
          <w:p w14:paraId="6B0154CA" w14:textId="4A2A1501" w:rsidR="00B9618C" w:rsidRPr="00A02AD6" w:rsidRDefault="00B9618C" w:rsidP="00233A66">
            <w:pPr>
              <w:jc w:val="right"/>
              <w:rPr>
                <w:rFonts w:cs="Arial"/>
                <w:b/>
                <w:bCs/>
                <w:szCs w:val="24"/>
              </w:rPr>
            </w:pPr>
            <w:r w:rsidRPr="00A02AD6">
              <w:rPr>
                <w:rFonts w:cs="Arial"/>
                <w:b/>
                <w:bCs/>
                <w:szCs w:val="24"/>
              </w:rPr>
              <w:t>14,047</w:t>
            </w:r>
          </w:p>
        </w:tc>
      </w:tr>
    </w:tbl>
    <w:p w14:paraId="540656BA" w14:textId="77777777" w:rsidR="00FA18E2" w:rsidRDefault="00FA18E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213"/>
        <w:gridCol w:w="1390"/>
        <w:gridCol w:w="1210"/>
        <w:gridCol w:w="1225"/>
        <w:gridCol w:w="1257"/>
        <w:gridCol w:w="1207"/>
        <w:gridCol w:w="1210"/>
        <w:gridCol w:w="1244"/>
        <w:gridCol w:w="1247"/>
      </w:tblGrid>
      <w:tr w:rsidR="00FA18E2" w:rsidRPr="00B16E84" w14:paraId="5FC5C80B" w14:textId="77777777" w:rsidTr="00036C34">
        <w:trPr>
          <w:trHeight w:val="231"/>
        </w:trPr>
        <w:tc>
          <w:tcPr>
            <w:tcW w:w="5000" w:type="pct"/>
            <w:gridSpan w:val="10"/>
            <w:shd w:val="clear" w:color="auto" w:fill="D9D9D9" w:themeFill="background1" w:themeFillShade="D9"/>
          </w:tcPr>
          <w:p w14:paraId="47ECBAC4" w14:textId="61368689" w:rsidR="00FA18E2" w:rsidRPr="00BD79B2" w:rsidRDefault="00FA18E2" w:rsidP="002C5DD1">
            <w:pPr>
              <w:rPr>
                <w:rFonts w:cs="Arial"/>
                <w:b/>
                <w:bCs/>
                <w:szCs w:val="24"/>
              </w:rPr>
            </w:pPr>
            <w:r w:rsidRPr="00BD79B2">
              <w:rPr>
                <w:rFonts w:cs="Arial"/>
                <w:b/>
                <w:bCs/>
                <w:szCs w:val="24"/>
              </w:rPr>
              <w:t>Adjustments between accounting basis and funding basis under regulations</w:t>
            </w:r>
          </w:p>
        </w:tc>
      </w:tr>
      <w:tr w:rsidR="001C7B7D" w:rsidRPr="00B16E84" w14:paraId="35799840" w14:textId="77777777" w:rsidTr="00233A66">
        <w:tc>
          <w:tcPr>
            <w:tcW w:w="1325" w:type="pct"/>
            <w:shd w:val="clear" w:color="auto" w:fill="auto"/>
          </w:tcPr>
          <w:p w14:paraId="41983BD7" w14:textId="77777777" w:rsidR="00B9618C" w:rsidRPr="00534FC6" w:rsidRDefault="00B9618C" w:rsidP="002C5DD1">
            <w:pPr>
              <w:rPr>
                <w:rFonts w:cs="Arial"/>
                <w:szCs w:val="24"/>
              </w:rPr>
            </w:pPr>
            <w:r w:rsidRPr="00534FC6">
              <w:rPr>
                <w:rFonts w:cs="Arial"/>
                <w:szCs w:val="24"/>
              </w:rPr>
              <w:t>Charges for depreciation and impairment of non-current assets</w:t>
            </w:r>
          </w:p>
        </w:tc>
        <w:tc>
          <w:tcPr>
            <w:tcW w:w="398" w:type="pct"/>
            <w:shd w:val="clear" w:color="auto" w:fill="auto"/>
            <w:vAlign w:val="center"/>
          </w:tcPr>
          <w:p w14:paraId="083C8BE3" w14:textId="537603C7" w:rsidR="00B9618C" w:rsidRPr="00534FC6" w:rsidRDefault="00B9618C" w:rsidP="00233A66">
            <w:pPr>
              <w:jc w:val="right"/>
              <w:rPr>
                <w:rFonts w:cs="Arial"/>
                <w:szCs w:val="24"/>
              </w:rPr>
            </w:pPr>
            <w:r w:rsidRPr="00534FC6">
              <w:rPr>
                <w:rFonts w:cs="Arial"/>
                <w:szCs w:val="24"/>
              </w:rPr>
              <w:t>4,863</w:t>
            </w:r>
          </w:p>
        </w:tc>
        <w:tc>
          <w:tcPr>
            <w:tcW w:w="456" w:type="pct"/>
            <w:shd w:val="clear" w:color="auto" w:fill="auto"/>
            <w:vAlign w:val="center"/>
          </w:tcPr>
          <w:p w14:paraId="15CF42B5" w14:textId="717BD556" w:rsidR="00B9618C" w:rsidRPr="00534FC6" w:rsidRDefault="0066777B" w:rsidP="00233A66">
            <w:pPr>
              <w:jc w:val="right"/>
              <w:rPr>
                <w:rFonts w:cs="Arial"/>
                <w:szCs w:val="24"/>
              </w:rPr>
            </w:pPr>
            <w:r w:rsidRPr="00534FC6">
              <w:rPr>
                <w:rFonts w:cs="Arial"/>
                <w:szCs w:val="24"/>
              </w:rPr>
              <w:t>-</w:t>
            </w:r>
          </w:p>
        </w:tc>
        <w:tc>
          <w:tcPr>
            <w:tcW w:w="397" w:type="pct"/>
            <w:vAlign w:val="center"/>
          </w:tcPr>
          <w:p w14:paraId="4B3ED8EB" w14:textId="3CAA3122" w:rsidR="00B9618C" w:rsidRPr="00534FC6" w:rsidRDefault="00B9618C" w:rsidP="00233A66">
            <w:pPr>
              <w:jc w:val="right"/>
              <w:rPr>
                <w:rFonts w:cs="Arial"/>
                <w:szCs w:val="24"/>
              </w:rPr>
            </w:pPr>
            <w:r w:rsidRPr="00534FC6">
              <w:rPr>
                <w:rFonts w:cs="Arial"/>
                <w:szCs w:val="24"/>
              </w:rPr>
              <w:t>4,863</w:t>
            </w:r>
          </w:p>
        </w:tc>
        <w:tc>
          <w:tcPr>
            <w:tcW w:w="402" w:type="pct"/>
            <w:shd w:val="clear" w:color="auto" w:fill="auto"/>
            <w:vAlign w:val="center"/>
          </w:tcPr>
          <w:p w14:paraId="45148DEE" w14:textId="682BAACF" w:rsidR="00B9618C" w:rsidRPr="00534FC6" w:rsidRDefault="0066777B" w:rsidP="00233A66">
            <w:pPr>
              <w:jc w:val="right"/>
              <w:rPr>
                <w:rFonts w:cs="Arial"/>
                <w:szCs w:val="24"/>
              </w:rPr>
            </w:pPr>
            <w:r w:rsidRPr="00534FC6">
              <w:rPr>
                <w:rFonts w:cs="Arial"/>
                <w:szCs w:val="24"/>
              </w:rPr>
              <w:t>-</w:t>
            </w:r>
          </w:p>
        </w:tc>
        <w:tc>
          <w:tcPr>
            <w:tcW w:w="412" w:type="pct"/>
            <w:vAlign w:val="center"/>
          </w:tcPr>
          <w:p w14:paraId="4095C624" w14:textId="6E44AFA6" w:rsidR="00B9618C" w:rsidRPr="00534FC6" w:rsidRDefault="0066777B" w:rsidP="00233A66">
            <w:pPr>
              <w:jc w:val="right"/>
              <w:rPr>
                <w:rFonts w:cs="Arial"/>
                <w:szCs w:val="24"/>
              </w:rPr>
            </w:pPr>
            <w:r w:rsidRPr="00534FC6">
              <w:rPr>
                <w:rFonts w:cs="Arial"/>
                <w:szCs w:val="24"/>
              </w:rPr>
              <w:t>-</w:t>
            </w:r>
          </w:p>
        </w:tc>
        <w:tc>
          <w:tcPr>
            <w:tcW w:w="396" w:type="pct"/>
            <w:shd w:val="clear" w:color="auto" w:fill="auto"/>
            <w:vAlign w:val="center"/>
          </w:tcPr>
          <w:p w14:paraId="4CDF3562" w14:textId="5C135516" w:rsidR="00B9618C" w:rsidRPr="00534FC6" w:rsidRDefault="0066777B" w:rsidP="00233A66">
            <w:pPr>
              <w:jc w:val="right"/>
              <w:rPr>
                <w:rFonts w:cs="Arial"/>
                <w:szCs w:val="24"/>
              </w:rPr>
            </w:pPr>
            <w:r w:rsidRPr="00534FC6">
              <w:rPr>
                <w:rFonts w:cs="Arial"/>
                <w:szCs w:val="24"/>
              </w:rPr>
              <w:t>-</w:t>
            </w:r>
          </w:p>
        </w:tc>
        <w:tc>
          <w:tcPr>
            <w:tcW w:w="397" w:type="pct"/>
            <w:shd w:val="clear" w:color="auto" w:fill="auto"/>
            <w:vAlign w:val="center"/>
          </w:tcPr>
          <w:p w14:paraId="2A0FD66E" w14:textId="07E33085" w:rsidR="00B9618C" w:rsidRPr="00534FC6" w:rsidRDefault="00B9618C" w:rsidP="00233A66">
            <w:pPr>
              <w:jc w:val="right"/>
              <w:rPr>
                <w:rFonts w:cs="Arial"/>
                <w:szCs w:val="24"/>
              </w:rPr>
            </w:pPr>
            <w:r w:rsidRPr="00534FC6">
              <w:rPr>
                <w:rFonts w:cs="Arial"/>
                <w:szCs w:val="24"/>
              </w:rPr>
              <w:t xml:space="preserve">4,863 </w:t>
            </w:r>
          </w:p>
        </w:tc>
        <w:tc>
          <w:tcPr>
            <w:tcW w:w="408" w:type="pct"/>
            <w:shd w:val="clear" w:color="auto" w:fill="auto"/>
            <w:vAlign w:val="center"/>
          </w:tcPr>
          <w:p w14:paraId="3CA20E08" w14:textId="77777777" w:rsidR="00B9618C" w:rsidRPr="00534FC6" w:rsidRDefault="00B9618C" w:rsidP="00233A66">
            <w:pPr>
              <w:jc w:val="right"/>
              <w:rPr>
                <w:rFonts w:cs="Arial"/>
                <w:szCs w:val="24"/>
              </w:rPr>
            </w:pPr>
            <w:r w:rsidRPr="00534FC6">
              <w:rPr>
                <w:rFonts w:cs="Arial"/>
                <w:szCs w:val="24"/>
              </w:rPr>
              <w:t>(4,863)</w:t>
            </w:r>
          </w:p>
        </w:tc>
        <w:tc>
          <w:tcPr>
            <w:tcW w:w="409" w:type="pct"/>
            <w:shd w:val="clear" w:color="auto" w:fill="auto"/>
            <w:vAlign w:val="center"/>
          </w:tcPr>
          <w:p w14:paraId="30011B1B" w14:textId="77777777" w:rsidR="00B9618C" w:rsidRPr="00534FC6" w:rsidRDefault="00B9618C" w:rsidP="00233A66">
            <w:pPr>
              <w:jc w:val="right"/>
              <w:rPr>
                <w:rFonts w:cs="Arial"/>
                <w:szCs w:val="24"/>
              </w:rPr>
            </w:pPr>
            <w:r w:rsidRPr="00534FC6">
              <w:rPr>
                <w:rFonts w:cs="Arial"/>
                <w:szCs w:val="24"/>
              </w:rPr>
              <w:t>-</w:t>
            </w:r>
          </w:p>
        </w:tc>
      </w:tr>
      <w:tr w:rsidR="001C7B7D" w:rsidRPr="00B16E84" w14:paraId="3C464264" w14:textId="77777777" w:rsidTr="00233A66">
        <w:tc>
          <w:tcPr>
            <w:tcW w:w="1325" w:type="pct"/>
            <w:shd w:val="clear" w:color="auto" w:fill="auto"/>
          </w:tcPr>
          <w:p w14:paraId="14D2A6FE" w14:textId="77777777" w:rsidR="00B9618C" w:rsidRPr="00534FC6" w:rsidRDefault="00B9618C" w:rsidP="002C5DD1">
            <w:pPr>
              <w:rPr>
                <w:rFonts w:cs="Arial"/>
                <w:szCs w:val="24"/>
              </w:rPr>
            </w:pPr>
            <w:r w:rsidRPr="00534FC6">
              <w:rPr>
                <w:rFonts w:cs="Arial"/>
                <w:szCs w:val="24"/>
              </w:rPr>
              <w:t>Amortisation of intangible assets</w:t>
            </w:r>
          </w:p>
        </w:tc>
        <w:tc>
          <w:tcPr>
            <w:tcW w:w="398" w:type="pct"/>
            <w:shd w:val="clear" w:color="auto" w:fill="auto"/>
            <w:vAlign w:val="center"/>
          </w:tcPr>
          <w:p w14:paraId="705D2CA5" w14:textId="40E79639" w:rsidR="00B9618C" w:rsidRPr="00534FC6" w:rsidRDefault="00B9618C" w:rsidP="00233A66">
            <w:pPr>
              <w:jc w:val="right"/>
              <w:rPr>
                <w:rFonts w:cs="Arial"/>
                <w:szCs w:val="24"/>
              </w:rPr>
            </w:pPr>
            <w:r w:rsidRPr="00534FC6">
              <w:rPr>
                <w:rFonts w:cs="Arial"/>
                <w:szCs w:val="24"/>
              </w:rPr>
              <w:t xml:space="preserve">158 </w:t>
            </w:r>
          </w:p>
        </w:tc>
        <w:tc>
          <w:tcPr>
            <w:tcW w:w="456" w:type="pct"/>
            <w:shd w:val="clear" w:color="auto" w:fill="auto"/>
            <w:vAlign w:val="center"/>
          </w:tcPr>
          <w:p w14:paraId="4186B5FE" w14:textId="36B44199" w:rsidR="00B9618C" w:rsidRPr="00534FC6" w:rsidRDefault="0066777B" w:rsidP="00233A66">
            <w:pPr>
              <w:jc w:val="right"/>
              <w:rPr>
                <w:rFonts w:cs="Arial"/>
                <w:szCs w:val="24"/>
              </w:rPr>
            </w:pPr>
            <w:r w:rsidRPr="00534FC6">
              <w:rPr>
                <w:rFonts w:cs="Arial"/>
                <w:szCs w:val="24"/>
              </w:rPr>
              <w:t>-</w:t>
            </w:r>
          </w:p>
        </w:tc>
        <w:tc>
          <w:tcPr>
            <w:tcW w:w="397" w:type="pct"/>
            <w:vAlign w:val="center"/>
          </w:tcPr>
          <w:p w14:paraId="6800BB72" w14:textId="4F3812FC" w:rsidR="00B9618C" w:rsidRPr="00534FC6" w:rsidRDefault="00B9618C" w:rsidP="00233A66">
            <w:pPr>
              <w:jc w:val="right"/>
              <w:rPr>
                <w:rFonts w:cs="Arial"/>
                <w:szCs w:val="24"/>
              </w:rPr>
            </w:pPr>
            <w:r w:rsidRPr="00534FC6">
              <w:rPr>
                <w:rFonts w:cs="Arial"/>
                <w:szCs w:val="24"/>
              </w:rPr>
              <w:t>158</w:t>
            </w:r>
          </w:p>
        </w:tc>
        <w:tc>
          <w:tcPr>
            <w:tcW w:w="402" w:type="pct"/>
            <w:shd w:val="clear" w:color="auto" w:fill="auto"/>
            <w:vAlign w:val="center"/>
          </w:tcPr>
          <w:p w14:paraId="7F23ED03" w14:textId="6CB4087A" w:rsidR="00B9618C" w:rsidRPr="00534FC6" w:rsidRDefault="0066777B" w:rsidP="00233A66">
            <w:pPr>
              <w:jc w:val="right"/>
              <w:rPr>
                <w:rFonts w:cs="Arial"/>
                <w:szCs w:val="24"/>
              </w:rPr>
            </w:pPr>
            <w:r w:rsidRPr="00534FC6">
              <w:rPr>
                <w:rFonts w:cs="Arial"/>
                <w:szCs w:val="24"/>
              </w:rPr>
              <w:t>-</w:t>
            </w:r>
          </w:p>
        </w:tc>
        <w:tc>
          <w:tcPr>
            <w:tcW w:w="412" w:type="pct"/>
            <w:vAlign w:val="center"/>
          </w:tcPr>
          <w:p w14:paraId="20487BCF" w14:textId="51B62834" w:rsidR="00B9618C" w:rsidRPr="00534FC6" w:rsidRDefault="0066777B" w:rsidP="00233A66">
            <w:pPr>
              <w:jc w:val="right"/>
              <w:rPr>
                <w:rFonts w:cs="Arial"/>
                <w:szCs w:val="24"/>
              </w:rPr>
            </w:pPr>
            <w:r w:rsidRPr="00534FC6">
              <w:rPr>
                <w:rFonts w:cs="Arial"/>
                <w:szCs w:val="24"/>
              </w:rPr>
              <w:t>-</w:t>
            </w:r>
          </w:p>
        </w:tc>
        <w:tc>
          <w:tcPr>
            <w:tcW w:w="396" w:type="pct"/>
            <w:shd w:val="clear" w:color="auto" w:fill="auto"/>
            <w:vAlign w:val="center"/>
          </w:tcPr>
          <w:p w14:paraId="17C28773" w14:textId="543144B5" w:rsidR="00B9618C" w:rsidRPr="00534FC6" w:rsidRDefault="0066777B" w:rsidP="00233A66">
            <w:pPr>
              <w:jc w:val="right"/>
              <w:rPr>
                <w:rFonts w:cs="Arial"/>
                <w:szCs w:val="24"/>
              </w:rPr>
            </w:pPr>
            <w:r w:rsidRPr="00534FC6">
              <w:rPr>
                <w:rFonts w:cs="Arial"/>
                <w:szCs w:val="24"/>
              </w:rPr>
              <w:t>-</w:t>
            </w:r>
          </w:p>
        </w:tc>
        <w:tc>
          <w:tcPr>
            <w:tcW w:w="397" w:type="pct"/>
            <w:shd w:val="clear" w:color="auto" w:fill="auto"/>
            <w:vAlign w:val="center"/>
          </w:tcPr>
          <w:p w14:paraId="1CD2F2B0" w14:textId="0F7AE313" w:rsidR="00B9618C" w:rsidRPr="00534FC6" w:rsidRDefault="00B9618C" w:rsidP="00233A66">
            <w:pPr>
              <w:jc w:val="right"/>
              <w:rPr>
                <w:rFonts w:cs="Arial"/>
                <w:szCs w:val="24"/>
              </w:rPr>
            </w:pPr>
            <w:r w:rsidRPr="00534FC6">
              <w:rPr>
                <w:rFonts w:cs="Arial"/>
                <w:szCs w:val="24"/>
              </w:rPr>
              <w:t>158</w:t>
            </w:r>
          </w:p>
        </w:tc>
        <w:tc>
          <w:tcPr>
            <w:tcW w:w="408" w:type="pct"/>
            <w:shd w:val="clear" w:color="auto" w:fill="auto"/>
            <w:vAlign w:val="center"/>
          </w:tcPr>
          <w:p w14:paraId="63B50E58" w14:textId="77777777" w:rsidR="00B9618C" w:rsidRPr="00534FC6" w:rsidRDefault="00B9618C" w:rsidP="00233A66">
            <w:pPr>
              <w:jc w:val="right"/>
              <w:rPr>
                <w:rFonts w:cs="Arial"/>
                <w:szCs w:val="24"/>
              </w:rPr>
            </w:pPr>
            <w:r w:rsidRPr="00534FC6">
              <w:rPr>
                <w:rFonts w:cs="Arial"/>
                <w:szCs w:val="24"/>
              </w:rPr>
              <w:t>(158)</w:t>
            </w:r>
          </w:p>
        </w:tc>
        <w:tc>
          <w:tcPr>
            <w:tcW w:w="409" w:type="pct"/>
            <w:shd w:val="clear" w:color="auto" w:fill="auto"/>
            <w:vAlign w:val="center"/>
          </w:tcPr>
          <w:p w14:paraId="33F43FF4" w14:textId="1AB37AA8" w:rsidR="00B9618C" w:rsidRPr="00534FC6" w:rsidRDefault="00B9618C" w:rsidP="00233A66">
            <w:pPr>
              <w:jc w:val="right"/>
              <w:rPr>
                <w:rFonts w:cs="Arial"/>
                <w:szCs w:val="24"/>
              </w:rPr>
            </w:pPr>
            <w:r w:rsidRPr="00534FC6">
              <w:rPr>
                <w:rFonts w:cs="Arial"/>
                <w:szCs w:val="24"/>
              </w:rPr>
              <w:t>-</w:t>
            </w:r>
          </w:p>
        </w:tc>
      </w:tr>
      <w:tr w:rsidR="001C7B7D" w:rsidRPr="00B16E84" w14:paraId="52575A1F" w14:textId="77777777" w:rsidTr="00233A66">
        <w:tc>
          <w:tcPr>
            <w:tcW w:w="1325" w:type="pct"/>
            <w:shd w:val="clear" w:color="auto" w:fill="auto"/>
          </w:tcPr>
          <w:p w14:paraId="6E6DCC7E" w14:textId="77777777" w:rsidR="00B9618C" w:rsidRPr="00534FC6" w:rsidRDefault="00B9618C" w:rsidP="002C5DD1">
            <w:pPr>
              <w:rPr>
                <w:rFonts w:cs="Arial"/>
                <w:szCs w:val="24"/>
              </w:rPr>
            </w:pPr>
            <w:r w:rsidRPr="00534FC6">
              <w:rPr>
                <w:rFonts w:cs="Arial"/>
                <w:szCs w:val="24"/>
              </w:rPr>
              <w:t>Disposal of assets</w:t>
            </w:r>
          </w:p>
        </w:tc>
        <w:tc>
          <w:tcPr>
            <w:tcW w:w="398" w:type="pct"/>
            <w:shd w:val="clear" w:color="auto" w:fill="auto"/>
            <w:vAlign w:val="center"/>
          </w:tcPr>
          <w:p w14:paraId="054AF9A2" w14:textId="77777777" w:rsidR="00B9618C" w:rsidRPr="00534FC6" w:rsidRDefault="00B9618C" w:rsidP="00233A66">
            <w:pPr>
              <w:jc w:val="right"/>
              <w:rPr>
                <w:rFonts w:cs="Arial"/>
                <w:szCs w:val="24"/>
              </w:rPr>
            </w:pPr>
            <w:r w:rsidRPr="00534FC6">
              <w:rPr>
                <w:rFonts w:cs="Arial"/>
                <w:szCs w:val="24"/>
              </w:rPr>
              <w:t>(3)</w:t>
            </w:r>
          </w:p>
        </w:tc>
        <w:tc>
          <w:tcPr>
            <w:tcW w:w="456" w:type="pct"/>
            <w:shd w:val="clear" w:color="auto" w:fill="auto"/>
            <w:vAlign w:val="center"/>
          </w:tcPr>
          <w:p w14:paraId="28577912" w14:textId="3C456013" w:rsidR="00B9618C" w:rsidRPr="00534FC6" w:rsidRDefault="0066777B" w:rsidP="00233A66">
            <w:pPr>
              <w:jc w:val="right"/>
              <w:rPr>
                <w:rFonts w:cs="Arial"/>
                <w:szCs w:val="24"/>
              </w:rPr>
            </w:pPr>
            <w:r w:rsidRPr="00534FC6">
              <w:rPr>
                <w:rFonts w:cs="Arial"/>
                <w:szCs w:val="24"/>
              </w:rPr>
              <w:t>-</w:t>
            </w:r>
          </w:p>
        </w:tc>
        <w:tc>
          <w:tcPr>
            <w:tcW w:w="397" w:type="pct"/>
            <w:vAlign w:val="center"/>
          </w:tcPr>
          <w:p w14:paraId="3ECC6A60" w14:textId="77777777" w:rsidR="00B9618C" w:rsidRPr="00534FC6" w:rsidRDefault="00B9618C" w:rsidP="00233A66">
            <w:pPr>
              <w:jc w:val="right"/>
              <w:rPr>
                <w:rFonts w:cs="Arial"/>
                <w:szCs w:val="24"/>
              </w:rPr>
            </w:pPr>
            <w:r w:rsidRPr="00534FC6">
              <w:rPr>
                <w:rFonts w:cs="Arial"/>
                <w:szCs w:val="24"/>
              </w:rPr>
              <w:t>(3)</w:t>
            </w:r>
          </w:p>
        </w:tc>
        <w:tc>
          <w:tcPr>
            <w:tcW w:w="402" w:type="pct"/>
            <w:shd w:val="clear" w:color="auto" w:fill="auto"/>
            <w:vAlign w:val="center"/>
          </w:tcPr>
          <w:p w14:paraId="4319BF9D" w14:textId="0125AA3A" w:rsidR="00B9618C" w:rsidRPr="00534FC6" w:rsidRDefault="0066777B" w:rsidP="00233A66">
            <w:pPr>
              <w:jc w:val="right"/>
              <w:rPr>
                <w:rFonts w:cs="Arial"/>
                <w:szCs w:val="24"/>
              </w:rPr>
            </w:pPr>
            <w:r w:rsidRPr="00534FC6">
              <w:rPr>
                <w:rFonts w:cs="Arial"/>
                <w:szCs w:val="24"/>
              </w:rPr>
              <w:t>-</w:t>
            </w:r>
          </w:p>
        </w:tc>
        <w:tc>
          <w:tcPr>
            <w:tcW w:w="412" w:type="pct"/>
            <w:vAlign w:val="center"/>
          </w:tcPr>
          <w:p w14:paraId="4DD8C29A" w14:textId="1D0017B6" w:rsidR="00B9618C" w:rsidRPr="00534FC6" w:rsidRDefault="0066777B" w:rsidP="00233A66">
            <w:pPr>
              <w:jc w:val="right"/>
              <w:rPr>
                <w:rFonts w:cs="Arial"/>
                <w:szCs w:val="24"/>
              </w:rPr>
            </w:pPr>
            <w:r w:rsidRPr="00534FC6">
              <w:rPr>
                <w:rFonts w:cs="Arial"/>
                <w:szCs w:val="24"/>
              </w:rPr>
              <w:t>-</w:t>
            </w:r>
          </w:p>
        </w:tc>
        <w:tc>
          <w:tcPr>
            <w:tcW w:w="396" w:type="pct"/>
            <w:shd w:val="clear" w:color="auto" w:fill="auto"/>
            <w:vAlign w:val="center"/>
          </w:tcPr>
          <w:p w14:paraId="0FAE5C40" w14:textId="508CAD88" w:rsidR="00B9618C" w:rsidRPr="00534FC6" w:rsidRDefault="00B9618C" w:rsidP="00233A66">
            <w:pPr>
              <w:jc w:val="right"/>
              <w:rPr>
                <w:rFonts w:cs="Arial"/>
                <w:szCs w:val="24"/>
              </w:rPr>
            </w:pPr>
            <w:r w:rsidRPr="00534FC6">
              <w:rPr>
                <w:rFonts w:cs="Arial"/>
                <w:szCs w:val="24"/>
              </w:rPr>
              <w:t>3</w:t>
            </w:r>
          </w:p>
        </w:tc>
        <w:tc>
          <w:tcPr>
            <w:tcW w:w="397" w:type="pct"/>
            <w:shd w:val="clear" w:color="auto" w:fill="auto"/>
            <w:vAlign w:val="center"/>
          </w:tcPr>
          <w:p w14:paraId="2F15AF9C" w14:textId="7A635E86" w:rsidR="00B9618C" w:rsidRPr="00534FC6" w:rsidRDefault="00B9618C" w:rsidP="00233A66">
            <w:pPr>
              <w:jc w:val="right"/>
              <w:rPr>
                <w:rFonts w:cs="Arial"/>
                <w:szCs w:val="24"/>
              </w:rPr>
            </w:pPr>
            <w:r w:rsidRPr="00534FC6">
              <w:rPr>
                <w:rFonts w:cs="Arial"/>
                <w:szCs w:val="24"/>
              </w:rPr>
              <w:t>-</w:t>
            </w:r>
          </w:p>
        </w:tc>
        <w:tc>
          <w:tcPr>
            <w:tcW w:w="408" w:type="pct"/>
            <w:shd w:val="clear" w:color="auto" w:fill="auto"/>
            <w:vAlign w:val="center"/>
          </w:tcPr>
          <w:p w14:paraId="6DFEBB87" w14:textId="41535E4C" w:rsidR="00B9618C" w:rsidRPr="00534FC6" w:rsidRDefault="00B9618C" w:rsidP="00233A66">
            <w:pPr>
              <w:jc w:val="right"/>
              <w:rPr>
                <w:rFonts w:cs="Arial"/>
                <w:szCs w:val="24"/>
              </w:rPr>
            </w:pPr>
            <w:r w:rsidRPr="00534FC6">
              <w:rPr>
                <w:rFonts w:cs="Arial"/>
                <w:szCs w:val="24"/>
              </w:rPr>
              <w:t>-</w:t>
            </w:r>
          </w:p>
        </w:tc>
        <w:tc>
          <w:tcPr>
            <w:tcW w:w="409" w:type="pct"/>
            <w:shd w:val="clear" w:color="auto" w:fill="auto"/>
            <w:vAlign w:val="center"/>
          </w:tcPr>
          <w:p w14:paraId="606D0B4C" w14:textId="5A6FA398" w:rsidR="00B9618C" w:rsidRPr="00534FC6" w:rsidRDefault="00B9618C" w:rsidP="00233A66">
            <w:pPr>
              <w:jc w:val="right"/>
              <w:rPr>
                <w:rFonts w:cs="Arial"/>
                <w:szCs w:val="24"/>
              </w:rPr>
            </w:pPr>
            <w:r w:rsidRPr="00534FC6">
              <w:rPr>
                <w:rFonts w:cs="Arial"/>
                <w:szCs w:val="24"/>
              </w:rPr>
              <w:t>-</w:t>
            </w:r>
          </w:p>
        </w:tc>
      </w:tr>
      <w:tr w:rsidR="001C7B7D" w:rsidRPr="00B16E84" w14:paraId="04DB9869" w14:textId="77777777" w:rsidTr="00233A66">
        <w:tc>
          <w:tcPr>
            <w:tcW w:w="1325" w:type="pct"/>
            <w:shd w:val="clear" w:color="auto" w:fill="auto"/>
          </w:tcPr>
          <w:p w14:paraId="7C29263C" w14:textId="77777777" w:rsidR="00B9618C" w:rsidRPr="00534FC6" w:rsidRDefault="00B9618C" w:rsidP="002C5DD1">
            <w:pPr>
              <w:rPr>
                <w:rFonts w:cs="Arial"/>
                <w:szCs w:val="24"/>
              </w:rPr>
            </w:pPr>
            <w:r w:rsidRPr="00534FC6">
              <w:rPr>
                <w:rFonts w:cs="Arial"/>
                <w:szCs w:val="24"/>
              </w:rPr>
              <w:t>Capital grants unapplied</w:t>
            </w:r>
          </w:p>
        </w:tc>
        <w:tc>
          <w:tcPr>
            <w:tcW w:w="398" w:type="pct"/>
            <w:shd w:val="clear" w:color="auto" w:fill="auto"/>
            <w:vAlign w:val="center"/>
          </w:tcPr>
          <w:p w14:paraId="51ACB6DE" w14:textId="4C8B161C" w:rsidR="00B9618C" w:rsidRPr="00534FC6" w:rsidRDefault="00B9618C" w:rsidP="00233A66">
            <w:pPr>
              <w:jc w:val="right"/>
              <w:rPr>
                <w:rFonts w:cs="Arial"/>
                <w:szCs w:val="24"/>
              </w:rPr>
            </w:pPr>
            <w:r w:rsidRPr="00534FC6">
              <w:rPr>
                <w:rFonts w:cs="Arial"/>
                <w:szCs w:val="24"/>
              </w:rPr>
              <w:t>61</w:t>
            </w:r>
          </w:p>
        </w:tc>
        <w:tc>
          <w:tcPr>
            <w:tcW w:w="456" w:type="pct"/>
            <w:shd w:val="clear" w:color="auto" w:fill="auto"/>
            <w:vAlign w:val="center"/>
          </w:tcPr>
          <w:p w14:paraId="69F05237" w14:textId="4C839C68" w:rsidR="00B9618C" w:rsidRPr="00534FC6" w:rsidRDefault="0066777B" w:rsidP="00233A66">
            <w:pPr>
              <w:jc w:val="right"/>
              <w:rPr>
                <w:rFonts w:cs="Arial"/>
                <w:szCs w:val="24"/>
              </w:rPr>
            </w:pPr>
            <w:r w:rsidRPr="00534FC6">
              <w:rPr>
                <w:rFonts w:cs="Arial"/>
                <w:szCs w:val="24"/>
              </w:rPr>
              <w:t>-</w:t>
            </w:r>
          </w:p>
        </w:tc>
        <w:tc>
          <w:tcPr>
            <w:tcW w:w="397" w:type="pct"/>
            <w:vAlign w:val="center"/>
          </w:tcPr>
          <w:p w14:paraId="438EF394" w14:textId="084D596C" w:rsidR="00B9618C" w:rsidRPr="00534FC6" w:rsidRDefault="00B9618C" w:rsidP="00233A66">
            <w:pPr>
              <w:jc w:val="right"/>
              <w:rPr>
                <w:rFonts w:cs="Arial"/>
                <w:szCs w:val="24"/>
              </w:rPr>
            </w:pPr>
            <w:r w:rsidRPr="00534FC6">
              <w:rPr>
                <w:rFonts w:cs="Arial"/>
                <w:szCs w:val="24"/>
              </w:rPr>
              <w:t>61</w:t>
            </w:r>
          </w:p>
        </w:tc>
        <w:tc>
          <w:tcPr>
            <w:tcW w:w="402" w:type="pct"/>
            <w:shd w:val="clear" w:color="auto" w:fill="auto"/>
            <w:vAlign w:val="center"/>
          </w:tcPr>
          <w:p w14:paraId="5E23484F" w14:textId="279A7424" w:rsidR="00B9618C" w:rsidRPr="00534FC6" w:rsidRDefault="0066777B" w:rsidP="00233A66">
            <w:pPr>
              <w:jc w:val="right"/>
              <w:rPr>
                <w:rFonts w:cs="Arial"/>
                <w:szCs w:val="24"/>
              </w:rPr>
            </w:pPr>
            <w:r w:rsidRPr="00534FC6">
              <w:rPr>
                <w:rFonts w:cs="Arial"/>
                <w:szCs w:val="24"/>
              </w:rPr>
              <w:t>-</w:t>
            </w:r>
          </w:p>
        </w:tc>
        <w:tc>
          <w:tcPr>
            <w:tcW w:w="412" w:type="pct"/>
            <w:vAlign w:val="center"/>
          </w:tcPr>
          <w:p w14:paraId="0A99ECD9" w14:textId="77777777" w:rsidR="00B9618C" w:rsidRPr="00534FC6" w:rsidRDefault="00B9618C" w:rsidP="00233A66">
            <w:pPr>
              <w:jc w:val="right"/>
              <w:rPr>
                <w:rFonts w:cs="Arial"/>
                <w:szCs w:val="24"/>
              </w:rPr>
            </w:pPr>
            <w:r w:rsidRPr="00534FC6">
              <w:rPr>
                <w:rFonts w:cs="Arial"/>
                <w:szCs w:val="24"/>
              </w:rPr>
              <w:t>(61)</w:t>
            </w:r>
          </w:p>
        </w:tc>
        <w:tc>
          <w:tcPr>
            <w:tcW w:w="396" w:type="pct"/>
            <w:shd w:val="clear" w:color="auto" w:fill="auto"/>
            <w:vAlign w:val="center"/>
          </w:tcPr>
          <w:p w14:paraId="4E1FF4C2" w14:textId="6B6651F2" w:rsidR="00B9618C" w:rsidRPr="00534FC6" w:rsidRDefault="0066777B" w:rsidP="00233A66">
            <w:pPr>
              <w:jc w:val="right"/>
              <w:rPr>
                <w:rFonts w:cs="Arial"/>
                <w:szCs w:val="24"/>
              </w:rPr>
            </w:pPr>
            <w:r w:rsidRPr="00534FC6">
              <w:rPr>
                <w:rFonts w:cs="Arial"/>
                <w:szCs w:val="24"/>
              </w:rPr>
              <w:t>-</w:t>
            </w:r>
          </w:p>
        </w:tc>
        <w:tc>
          <w:tcPr>
            <w:tcW w:w="397" w:type="pct"/>
            <w:shd w:val="clear" w:color="auto" w:fill="auto"/>
            <w:vAlign w:val="center"/>
          </w:tcPr>
          <w:p w14:paraId="3AFD8B99" w14:textId="46FD6247" w:rsidR="00B9618C" w:rsidRPr="00534FC6" w:rsidRDefault="00B9618C" w:rsidP="00233A66">
            <w:pPr>
              <w:jc w:val="right"/>
              <w:rPr>
                <w:rFonts w:cs="Arial"/>
                <w:szCs w:val="24"/>
              </w:rPr>
            </w:pPr>
            <w:r w:rsidRPr="00534FC6">
              <w:rPr>
                <w:rFonts w:cs="Arial"/>
                <w:szCs w:val="24"/>
              </w:rPr>
              <w:t>-</w:t>
            </w:r>
          </w:p>
        </w:tc>
        <w:tc>
          <w:tcPr>
            <w:tcW w:w="408" w:type="pct"/>
            <w:shd w:val="clear" w:color="auto" w:fill="auto"/>
            <w:vAlign w:val="center"/>
          </w:tcPr>
          <w:p w14:paraId="2BE12D3F" w14:textId="7C77AC07" w:rsidR="00B9618C" w:rsidRPr="00534FC6" w:rsidRDefault="00B9618C" w:rsidP="00233A66">
            <w:pPr>
              <w:jc w:val="right"/>
              <w:rPr>
                <w:rFonts w:cs="Arial"/>
                <w:szCs w:val="24"/>
              </w:rPr>
            </w:pPr>
            <w:r w:rsidRPr="00534FC6">
              <w:rPr>
                <w:rFonts w:cs="Arial"/>
                <w:szCs w:val="24"/>
              </w:rPr>
              <w:t>-</w:t>
            </w:r>
          </w:p>
        </w:tc>
        <w:tc>
          <w:tcPr>
            <w:tcW w:w="409" w:type="pct"/>
            <w:shd w:val="clear" w:color="auto" w:fill="auto"/>
            <w:vAlign w:val="center"/>
          </w:tcPr>
          <w:p w14:paraId="78919A5B" w14:textId="380FF0A0" w:rsidR="00B9618C" w:rsidRPr="00534FC6" w:rsidRDefault="00B9618C" w:rsidP="00233A66">
            <w:pPr>
              <w:jc w:val="right"/>
              <w:rPr>
                <w:rFonts w:cs="Arial"/>
                <w:szCs w:val="24"/>
              </w:rPr>
            </w:pPr>
            <w:r w:rsidRPr="00534FC6">
              <w:rPr>
                <w:rFonts w:cs="Arial"/>
                <w:szCs w:val="24"/>
              </w:rPr>
              <w:t>-</w:t>
            </w:r>
          </w:p>
        </w:tc>
      </w:tr>
      <w:tr w:rsidR="001C7B7D" w:rsidRPr="00B16E84" w14:paraId="2766AF92" w14:textId="77777777" w:rsidTr="00233A66">
        <w:tc>
          <w:tcPr>
            <w:tcW w:w="1325" w:type="pct"/>
            <w:shd w:val="clear" w:color="auto" w:fill="auto"/>
          </w:tcPr>
          <w:p w14:paraId="7772B7A7" w14:textId="77777777" w:rsidR="00B9618C" w:rsidRPr="00534FC6" w:rsidRDefault="00B9618C" w:rsidP="002C5DD1">
            <w:pPr>
              <w:rPr>
                <w:rFonts w:cs="Arial"/>
                <w:szCs w:val="24"/>
              </w:rPr>
            </w:pPr>
            <w:r w:rsidRPr="00534FC6">
              <w:rPr>
                <w:rFonts w:cs="Arial"/>
                <w:szCs w:val="24"/>
              </w:rPr>
              <w:t>Provision for the repayment of debt</w:t>
            </w:r>
          </w:p>
        </w:tc>
        <w:tc>
          <w:tcPr>
            <w:tcW w:w="398" w:type="pct"/>
            <w:shd w:val="clear" w:color="auto" w:fill="auto"/>
            <w:vAlign w:val="center"/>
          </w:tcPr>
          <w:p w14:paraId="06FC74C3" w14:textId="785BC2BB" w:rsidR="00B9618C" w:rsidRPr="00534FC6" w:rsidRDefault="00B9618C" w:rsidP="00233A66">
            <w:pPr>
              <w:jc w:val="right"/>
              <w:rPr>
                <w:rFonts w:cs="Arial"/>
                <w:szCs w:val="24"/>
              </w:rPr>
            </w:pPr>
            <w:r w:rsidRPr="00534FC6">
              <w:rPr>
                <w:rFonts w:cs="Arial"/>
                <w:szCs w:val="24"/>
              </w:rPr>
              <w:t>(458)</w:t>
            </w:r>
          </w:p>
        </w:tc>
        <w:tc>
          <w:tcPr>
            <w:tcW w:w="456" w:type="pct"/>
            <w:shd w:val="clear" w:color="auto" w:fill="auto"/>
            <w:vAlign w:val="center"/>
          </w:tcPr>
          <w:p w14:paraId="1E181051" w14:textId="70142402" w:rsidR="00B9618C" w:rsidRPr="00534FC6" w:rsidRDefault="0066777B" w:rsidP="00233A66">
            <w:pPr>
              <w:jc w:val="right"/>
              <w:rPr>
                <w:rFonts w:cs="Arial"/>
                <w:szCs w:val="24"/>
              </w:rPr>
            </w:pPr>
            <w:r w:rsidRPr="00534FC6">
              <w:rPr>
                <w:rFonts w:cs="Arial"/>
                <w:szCs w:val="24"/>
              </w:rPr>
              <w:t>-</w:t>
            </w:r>
          </w:p>
        </w:tc>
        <w:tc>
          <w:tcPr>
            <w:tcW w:w="397" w:type="pct"/>
            <w:vAlign w:val="center"/>
          </w:tcPr>
          <w:p w14:paraId="1C36C51A" w14:textId="44DE7013" w:rsidR="00B9618C" w:rsidRPr="00534FC6" w:rsidRDefault="00B9618C" w:rsidP="00233A66">
            <w:pPr>
              <w:jc w:val="right"/>
              <w:rPr>
                <w:rFonts w:cs="Arial"/>
                <w:szCs w:val="24"/>
              </w:rPr>
            </w:pPr>
            <w:r w:rsidRPr="00534FC6">
              <w:rPr>
                <w:rFonts w:cs="Arial"/>
                <w:szCs w:val="24"/>
              </w:rPr>
              <w:t>(458)</w:t>
            </w:r>
          </w:p>
        </w:tc>
        <w:tc>
          <w:tcPr>
            <w:tcW w:w="402" w:type="pct"/>
            <w:shd w:val="clear" w:color="auto" w:fill="auto"/>
            <w:vAlign w:val="center"/>
          </w:tcPr>
          <w:p w14:paraId="7C342978" w14:textId="4F629056" w:rsidR="00B9618C" w:rsidRPr="00534FC6" w:rsidRDefault="0066777B" w:rsidP="00233A66">
            <w:pPr>
              <w:jc w:val="right"/>
              <w:rPr>
                <w:rFonts w:cs="Arial"/>
                <w:szCs w:val="24"/>
              </w:rPr>
            </w:pPr>
            <w:r w:rsidRPr="00534FC6">
              <w:rPr>
                <w:rFonts w:cs="Arial"/>
                <w:szCs w:val="24"/>
              </w:rPr>
              <w:t>-</w:t>
            </w:r>
          </w:p>
        </w:tc>
        <w:tc>
          <w:tcPr>
            <w:tcW w:w="412" w:type="pct"/>
            <w:vAlign w:val="center"/>
          </w:tcPr>
          <w:p w14:paraId="7827D52E" w14:textId="13480631" w:rsidR="00B9618C" w:rsidRPr="00534FC6" w:rsidRDefault="0066777B" w:rsidP="00233A66">
            <w:pPr>
              <w:jc w:val="right"/>
              <w:rPr>
                <w:rFonts w:cs="Arial"/>
                <w:szCs w:val="24"/>
              </w:rPr>
            </w:pPr>
            <w:r w:rsidRPr="00534FC6">
              <w:rPr>
                <w:rFonts w:cs="Arial"/>
                <w:szCs w:val="24"/>
              </w:rPr>
              <w:t>-</w:t>
            </w:r>
          </w:p>
        </w:tc>
        <w:tc>
          <w:tcPr>
            <w:tcW w:w="396" w:type="pct"/>
            <w:shd w:val="clear" w:color="auto" w:fill="auto"/>
            <w:vAlign w:val="center"/>
          </w:tcPr>
          <w:p w14:paraId="2B2A37D4" w14:textId="4D223C33" w:rsidR="00B9618C" w:rsidRPr="00534FC6" w:rsidRDefault="0066777B" w:rsidP="00233A66">
            <w:pPr>
              <w:jc w:val="right"/>
              <w:rPr>
                <w:rFonts w:cs="Arial"/>
                <w:szCs w:val="24"/>
              </w:rPr>
            </w:pPr>
            <w:r w:rsidRPr="00534FC6">
              <w:rPr>
                <w:rFonts w:cs="Arial"/>
                <w:szCs w:val="24"/>
              </w:rPr>
              <w:t>-</w:t>
            </w:r>
          </w:p>
        </w:tc>
        <w:tc>
          <w:tcPr>
            <w:tcW w:w="397" w:type="pct"/>
            <w:shd w:val="clear" w:color="auto" w:fill="auto"/>
            <w:vAlign w:val="center"/>
          </w:tcPr>
          <w:p w14:paraId="0DAC8C12" w14:textId="4D20BF8E" w:rsidR="00B9618C" w:rsidRPr="00534FC6" w:rsidRDefault="00B9618C" w:rsidP="00233A66">
            <w:pPr>
              <w:jc w:val="right"/>
              <w:rPr>
                <w:rFonts w:cs="Arial"/>
                <w:szCs w:val="24"/>
              </w:rPr>
            </w:pPr>
            <w:r w:rsidRPr="00534FC6">
              <w:rPr>
                <w:rFonts w:cs="Arial"/>
                <w:szCs w:val="24"/>
              </w:rPr>
              <w:t>(458)</w:t>
            </w:r>
          </w:p>
        </w:tc>
        <w:tc>
          <w:tcPr>
            <w:tcW w:w="408" w:type="pct"/>
            <w:shd w:val="clear" w:color="auto" w:fill="auto"/>
            <w:vAlign w:val="center"/>
          </w:tcPr>
          <w:p w14:paraId="2F865007" w14:textId="77777777" w:rsidR="00B9618C" w:rsidRPr="00534FC6" w:rsidRDefault="00B9618C" w:rsidP="00233A66">
            <w:pPr>
              <w:jc w:val="right"/>
              <w:rPr>
                <w:rFonts w:cs="Arial"/>
                <w:szCs w:val="24"/>
              </w:rPr>
            </w:pPr>
            <w:r w:rsidRPr="00534FC6">
              <w:rPr>
                <w:rFonts w:cs="Arial"/>
                <w:szCs w:val="24"/>
              </w:rPr>
              <w:t>458</w:t>
            </w:r>
          </w:p>
        </w:tc>
        <w:tc>
          <w:tcPr>
            <w:tcW w:w="409" w:type="pct"/>
            <w:shd w:val="clear" w:color="auto" w:fill="auto"/>
            <w:vAlign w:val="center"/>
          </w:tcPr>
          <w:p w14:paraId="4EB8ECF1" w14:textId="5E67A545" w:rsidR="00B9618C" w:rsidRPr="00534FC6" w:rsidRDefault="00B9618C" w:rsidP="00233A66">
            <w:pPr>
              <w:jc w:val="right"/>
              <w:rPr>
                <w:rFonts w:cs="Arial"/>
                <w:szCs w:val="24"/>
              </w:rPr>
            </w:pPr>
            <w:r w:rsidRPr="00534FC6">
              <w:rPr>
                <w:rFonts w:cs="Arial"/>
                <w:szCs w:val="24"/>
              </w:rPr>
              <w:t>-</w:t>
            </w:r>
          </w:p>
        </w:tc>
      </w:tr>
      <w:tr w:rsidR="001C7B7D" w:rsidRPr="00B16E84" w14:paraId="43E0BD8D" w14:textId="77777777" w:rsidTr="00233A66">
        <w:tc>
          <w:tcPr>
            <w:tcW w:w="1325" w:type="pct"/>
            <w:shd w:val="clear" w:color="auto" w:fill="auto"/>
          </w:tcPr>
          <w:p w14:paraId="296A3B99" w14:textId="77777777" w:rsidR="00B9618C" w:rsidRPr="00534FC6" w:rsidRDefault="00B9618C" w:rsidP="002C5DD1">
            <w:pPr>
              <w:rPr>
                <w:rFonts w:cs="Arial"/>
                <w:szCs w:val="24"/>
              </w:rPr>
            </w:pPr>
            <w:r w:rsidRPr="00534FC6">
              <w:rPr>
                <w:rFonts w:cs="Arial"/>
                <w:szCs w:val="24"/>
              </w:rPr>
              <w:t>Capital expenditure charged against General Fund Balance</w:t>
            </w:r>
          </w:p>
        </w:tc>
        <w:tc>
          <w:tcPr>
            <w:tcW w:w="398" w:type="pct"/>
            <w:shd w:val="clear" w:color="auto" w:fill="auto"/>
            <w:vAlign w:val="center"/>
          </w:tcPr>
          <w:p w14:paraId="6B7D21F7" w14:textId="77777777" w:rsidR="00B9618C" w:rsidRPr="00534FC6" w:rsidRDefault="00B9618C" w:rsidP="00233A66">
            <w:pPr>
              <w:jc w:val="right"/>
              <w:rPr>
                <w:rFonts w:cs="Arial"/>
                <w:szCs w:val="24"/>
              </w:rPr>
            </w:pPr>
            <w:r w:rsidRPr="00534FC6">
              <w:rPr>
                <w:rFonts w:cs="Arial"/>
                <w:szCs w:val="24"/>
              </w:rPr>
              <w:t>(2,373)</w:t>
            </w:r>
          </w:p>
        </w:tc>
        <w:tc>
          <w:tcPr>
            <w:tcW w:w="456" w:type="pct"/>
            <w:shd w:val="clear" w:color="auto" w:fill="auto"/>
            <w:vAlign w:val="center"/>
          </w:tcPr>
          <w:p w14:paraId="3A8CE236" w14:textId="4FB665F3" w:rsidR="00B9618C" w:rsidRPr="00534FC6" w:rsidRDefault="0066777B" w:rsidP="00233A66">
            <w:pPr>
              <w:jc w:val="right"/>
              <w:rPr>
                <w:rFonts w:cs="Arial"/>
                <w:szCs w:val="24"/>
              </w:rPr>
            </w:pPr>
            <w:r w:rsidRPr="00534FC6">
              <w:rPr>
                <w:rFonts w:cs="Arial"/>
                <w:szCs w:val="24"/>
              </w:rPr>
              <w:t>-</w:t>
            </w:r>
          </w:p>
        </w:tc>
        <w:tc>
          <w:tcPr>
            <w:tcW w:w="397" w:type="pct"/>
            <w:vAlign w:val="center"/>
          </w:tcPr>
          <w:p w14:paraId="49CF1798" w14:textId="77777777" w:rsidR="00B9618C" w:rsidRPr="00534FC6" w:rsidRDefault="00B9618C" w:rsidP="00233A66">
            <w:pPr>
              <w:jc w:val="right"/>
              <w:rPr>
                <w:rFonts w:cs="Arial"/>
                <w:szCs w:val="24"/>
              </w:rPr>
            </w:pPr>
            <w:r w:rsidRPr="00534FC6">
              <w:rPr>
                <w:rFonts w:cs="Arial"/>
                <w:szCs w:val="24"/>
              </w:rPr>
              <w:t>(2,373)</w:t>
            </w:r>
          </w:p>
        </w:tc>
        <w:tc>
          <w:tcPr>
            <w:tcW w:w="402" w:type="pct"/>
            <w:shd w:val="clear" w:color="auto" w:fill="auto"/>
            <w:vAlign w:val="center"/>
          </w:tcPr>
          <w:p w14:paraId="28C9043A" w14:textId="356C456C" w:rsidR="00B9618C" w:rsidRPr="00534FC6" w:rsidRDefault="0066777B" w:rsidP="00233A66">
            <w:pPr>
              <w:jc w:val="right"/>
              <w:rPr>
                <w:rFonts w:cs="Arial"/>
                <w:szCs w:val="24"/>
              </w:rPr>
            </w:pPr>
            <w:r w:rsidRPr="00534FC6">
              <w:rPr>
                <w:rFonts w:cs="Arial"/>
                <w:szCs w:val="24"/>
              </w:rPr>
              <w:t>-</w:t>
            </w:r>
          </w:p>
        </w:tc>
        <w:tc>
          <w:tcPr>
            <w:tcW w:w="412" w:type="pct"/>
            <w:vAlign w:val="center"/>
          </w:tcPr>
          <w:p w14:paraId="42B3EF06" w14:textId="15B0125C" w:rsidR="00B9618C" w:rsidRPr="00534FC6" w:rsidRDefault="0066777B" w:rsidP="00233A66">
            <w:pPr>
              <w:jc w:val="right"/>
              <w:rPr>
                <w:rFonts w:cs="Arial"/>
                <w:szCs w:val="24"/>
              </w:rPr>
            </w:pPr>
            <w:r w:rsidRPr="00534FC6">
              <w:rPr>
                <w:rFonts w:cs="Arial"/>
                <w:szCs w:val="24"/>
              </w:rPr>
              <w:t>-</w:t>
            </w:r>
          </w:p>
        </w:tc>
        <w:tc>
          <w:tcPr>
            <w:tcW w:w="396" w:type="pct"/>
            <w:shd w:val="clear" w:color="auto" w:fill="auto"/>
            <w:vAlign w:val="center"/>
          </w:tcPr>
          <w:p w14:paraId="0BE59DBD" w14:textId="1EBD09E6" w:rsidR="00B9618C" w:rsidRPr="00534FC6" w:rsidRDefault="0066777B" w:rsidP="00233A66">
            <w:pPr>
              <w:jc w:val="right"/>
              <w:rPr>
                <w:rFonts w:cs="Arial"/>
                <w:szCs w:val="24"/>
              </w:rPr>
            </w:pPr>
            <w:r w:rsidRPr="00534FC6">
              <w:rPr>
                <w:rFonts w:cs="Arial"/>
                <w:szCs w:val="24"/>
              </w:rPr>
              <w:t>-</w:t>
            </w:r>
          </w:p>
        </w:tc>
        <w:tc>
          <w:tcPr>
            <w:tcW w:w="397" w:type="pct"/>
            <w:shd w:val="clear" w:color="auto" w:fill="auto"/>
            <w:vAlign w:val="center"/>
          </w:tcPr>
          <w:p w14:paraId="02E10600" w14:textId="77777777" w:rsidR="00B9618C" w:rsidRPr="00534FC6" w:rsidRDefault="00B9618C" w:rsidP="00233A66">
            <w:pPr>
              <w:jc w:val="right"/>
              <w:rPr>
                <w:rFonts w:cs="Arial"/>
                <w:szCs w:val="24"/>
              </w:rPr>
            </w:pPr>
            <w:r w:rsidRPr="00534FC6">
              <w:rPr>
                <w:rFonts w:cs="Arial"/>
                <w:szCs w:val="24"/>
              </w:rPr>
              <w:t>(2,373)</w:t>
            </w:r>
          </w:p>
        </w:tc>
        <w:tc>
          <w:tcPr>
            <w:tcW w:w="408" w:type="pct"/>
            <w:shd w:val="clear" w:color="auto" w:fill="auto"/>
            <w:vAlign w:val="center"/>
          </w:tcPr>
          <w:p w14:paraId="0DAFD32B" w14:textId="244C432D" w:rsidR="00B9618C" w:rsidRPr="00534FC6" w:rsidRDefault="00B9618C" w:rsidP="00233A66">
            <w:pPr>
              <w:jc w:val="right"/>
              <w:rPr>
                <w:rFonts w:cs="Arial"/>
                <w:szCs w:val="24"/>
              </w:rPr>
            </w:pPr>
            <w:r w:rsidRPr="00534FC6">
              <w:rPr>
                <w:rFonts w:cs="Arial"/>
                <w:szCs w:val="24"/>
              </w:rPr>
              <w:t>2,373</w:t>
            </w:r>
          </w:p>
        </w:tc>
        <w:tc>
          <w:tcPr>
            <w:tcW w:w="409" w:type="pct"/>
            <w:shd w:val="clear" w:color="auto" w:fill="auto"/>
            <w:vAlign w:val="center"/>
          </w:tcPr>
          <w:p w14:paraId="2D44CFB2" w14:textId="47599B5F" w:rsidR="00B9618C" w:rsidRPr="00534FC6" w:rsidRDefault="00B9618C" w:rsidP="00233A66">
            <w:pPr>
              <w:jc w:val="right"/>
              <w:rPr>
                <w:rFonts w:cs="Arial"/>
                <w:szCs w:val="24"/>
              </w:rPr>
            </w:pPr>
            <w:r w:rsidRPr="00534FC6">
              <w:rPr>
                <w:rFonts w:cs="Arial"/>
                <w:szCs w:val="24"/>
              </w:rPr>
              <w:t>-</w:t>
            </w:r>
          </w:p>
        </w:tc>
      </w:tr>
      <w:tr w:rsidR="001C7B7D" w:rsidRPr="00B16E84" w14:paraId="6990CD20" w14:textId="77777777" w:rsidTr="00233A66">
        <w:tc>
          <w:tcPr>
            <w:tcW w:w="1325" w:type="pct"/>
            <w:shd w:val="clear" w:color="auto" w:fill="auto"/>
          </w:tcPr>
          <w:p w14:paraId="1FD4948E" w14:textId="77777777" w:rsidR="00B9618C" w:rsidRPr="00534FC6" w:rsidRDefault="00B9618C" w:rsidP="002C5DD1">
            <w:pPr>
              <w:rPr>
                <w:rFonts w:cs="Arial"/>
                <w:szCs w:val="24"/>
              </w:rPr>
            </w:pPr>
            <w:r w:rsidRPr="00534FC6">
              <w:rPr>
                <w:rFonts w:cs="Arial"/>
                <w:szCs w:val="24"/>
              </w:rPr>
              <w:t>Amount by which the Code and the statutory pension costs differ</w:t>
            </w:r>
          </w:p>
        </w:tc>
        <w:tc>
          <w:tcPr>
            <w:tcW w:w="398" w:type="pct"/>
            <w:shd w:val="clear" w:color="auto" w:fill="auto"/>
            <w:vAlign w:val="center"/>
          </w:tcPr>
          <w:p w14:paraId="3953C641" w14:textId="4BCDF60E" w:rsidR="00B9618C" w:rsidRPr="00534FC6" w:rsidRDefault="00B9618C" w:rsidP="00233A66">
            <w:pPr>
              <w:jc w:val="right"/>
              <w:rPr>
                <w:rFonts w:cs="Arial"/>
                <w:szCs w:val="24"/>
              </w:rPr>
            </w:pPr>
            <w:r w:rsidRPr="00534FC6">
              <w:rPr>
                <w:rFonts w:cs="Arial"/>
                <w:szCs w:val="24"/>
              </w:rPr>
              <w:t>9,130</w:t>
            </w:r>
          </w:p>
        </w:tc>
        <w:tc>
          <w:tcPr>
            <w:tcW w:w="456" w:type="pct"/>
            <w:shd w:val="clear" w:color="auto" w:fill="auto"/>
            <w:vAlign w:val="center"/>
          </w:tcPr>
          <w:p w14:paraId="5DE98E11" w14:textId="2371F39F" w:rsidR="00B9618C" w:rsidRPr="00534FC6" w:rsidRDefault="0066777B" w:rsidP="00233A66">
            <w:pPr>
              <w:jc w:val="right"/>
              <w:rPr>
                <w:rFonts w:cs="Arial"/>
                <w:szCs w:val="24"/>
              </w:rPr>
            </w:pPr>
            <w:r w:rsidRPr="00534FC6">
              <w:rPr>
                <w:rFonts w:cs="Arial"/>
                <w:szCs w:val="24"/>
              </w:rPr>
              <w:t>-</w:t>
            </w:r>
          </w:p>
        </w:tc>
        <w:tc>
          <w:tcPr>
            <w:tcW w:w="397" w:type="pct"/>
            <w:vAlign w:val="center"/>
          </w:tcPr>
          <w:p w14:paraId="63FC15F0" w14:textId="1E15166A" w:rsidR="00B9618C" w:rsidRPr="00534FC6" w:rsidRDefault="00B9618C" w:rsidP="00233A66">
            <w:pPr>
              <w:jc w:val="right"/>
              <w:rPr>
                <w:rFonts w:cs="Arial"/>
                <w:szCs w:val="24"/>
              </w:rPr>
            </w:pPr>
            <w:r w:rsidRPr="00534FC6">
              <w:rPr>
                <w:rFonts w:cs="Arial"/>
                <w:szCs w:val="24"/>
              </w:rPr>
              <w:t>9,130</w:t>
            </w:r>
          </w:p>
        </w:tc>
        <w:tc>
          <w:tcPr>
            <w:tcW w:w="402" w:type="pct"/>
            <w:shd w:val="clear" w:color="auto" w:fill="auto"/>
            <w:vAlign w:val="center"/>
          </w:tcPr>
          <w:p w14:paraId="58E28A61" w14:textId="5531720D" w:rsidR="00B9618C" w:rsidRPr="00534FC6" w:rsidRDefault="0066777B" w:rsidP="00233A66">
            <w:pPr>
              <w:jc w:val="right"/>
              <w:rPr>
                <w:rFonts w:cs="Arial"/>
                <w:szCs w:val="24"/>
              </w:rPr>
            </w:pPr>
            <w:r w:rsidRPr="00534FC6">
              <w:rPr>
                <w:rFonts w:cs="Arial"/>
                <w:szCs w:val="24"/>
              </w:rPr>
              <w:t>-</w:t>
            </w:r>
          </w:p>
        </w:tc>
        <w:tc>
          <w:tcPr>
            <w:tcW w:w="412" w:type="pct"/>
            <w:vAlign w:val="center"/>
          </w:tcPr>
          <w:p w14:paraId="05E37E30" w14:textId="64F15116" w:rsidR="00B9618C" w:rsidRPr="00534FC6" w:rsidRDefault="0066777B" w:rsidP="00233A66">
            <w:pPr>
              <w:jc w:val="right"/>
              <w:rPr>
                <w:rFonts w:cs="Arial"/>
                <w:szCs w:val="24"/>
              </w:rPr>
            </w:pPr>
            <w:r w:rsidRPr="00534FC6">
              <w:rPr>
                <w:rFonts w:cs="Arial"/>
                <w:szCs w:val="24"/>
              </w:rPr>
              <w:t>-</w:t>
            </w:r>
          </w:p>
        </w:tc>
        <w:tc>
          <w:tcPr>
            <w:tcW w:w="396" w:type="pct"/>
            <w:shd w:val="clear" w:color="auto" w:fill="auto"/>
            <w:vAlign w:val="center"/>
          </w:tcPr>
          <w:p w14:paraId="036CADD7" w14:textId="18C09635" w:rsidR="00B9618C" w:rsidRPr="00534FC6" w:rsidRDefault="0066777B" w:rsidP="00233A66">
            <w:pPr>
              <w:jc w:val="right"/>
              <w:rPr>
                <w:rFonts w:cs="Arial"/>
                <w:szCs w:val="24"/>
              </w:rPr>
            </w:pPr>
            <w:r w:rsidRPr="00534FC6">
              <w:rPr>
                <w:rFonts w:cs="Arial"/>
                <w:szCs w:val="24"/>
              </w:rPr>
              <w:t>-</w:t>
            </w:r>
          </w:p>
        </w:tc>
        <w:tc>
          <w:tcPr>
            <w:tcW w:w="397" w:type="pct"/>
            <w:shd w:val="clear" w:color="auto" w:fill="auto"/>
            <w:vAlign w:val="center"/>
          </w:tcPr>
          <w:p w14:paraId="7B55BFA2" w14:textId="465414F5" w:rsidR="00B9618C" w:rsidRPr="00534FC6" w:rsidRDefault="00B9618C" w:rsidP="00233A66">
            <w:pPr>
              <w:jc w:val="right"/>
              <w:rPr>
                <w:rFonts w:cs="Arial"/>
                <w:szCs w:val="24"/>
              </w:rPr>
            </w:pPr>
            <w:r w:rsidRPr="00534FC6">
              <w:rPr>
                <w:rFonts w:cs="Arial"/>
                <w:szCs w:val="24"/>
              </w:rPr>
              <w:t>9,130</w:t>
            </w:r>
          </w:p>
        </w:tc>
        <w:tc>
          <w:tcPr>
            <w:tcW w:w="408" w:type="pct"/>
            <w:shd w:val="clear" w:color="auto" w:fill="auto"/>
            <w:vAlign w:val="center"/>
          </w:tcPr>
          <w:p w14:paraId="23A5A257" w14:textId="77777777" w:rsidR="00B9618C" w:rsidRPr="00534FC6" w:rsidRDefault="00B9618C" w:rsidP="00233A66">
            <w:pPr>
              <w:jc w:val="right"/>
              <w:rPr>
                <w:rFonts w:cs="Arial"/>
                <w:szCs w:val="24"/>
              </w:rPr>
            </w:pPr>
            <w:r w:rsidRPr="00534FC6">
              <w:rPr>
                <w:rFonts w:cs="Arial"/>
                <w:szCs w:val="24"/>
              </w:rPr>
              <w:t>(9,130)</w:t>
            </w:r>
          </w:p>
        </w:tc>
        <w:tc>
          <w:tcPr>
            <w:tcW w:w="409" w:type="pct"/>
            <w:shd w:val="clear" w:color="auto" w:fill="auto"/>
            <w:vAlign w:val="center"/>
          </w:tcPr>
          <w:p w14:paraId="24519A15" w14:textId="7F99E640" w:rsidR="00B9618C" w:rsidRPr="00534FC6" w:rsidRDefault="00B9618C" w:rsidP="00233A66">
            <w:pPr>
              <w:jc w:val="right"/>
              <w:rPr>
                <w:rFonts w:cs="Arial"/>
                <w:szCs w:val="24"/>
              </w:rPr>
            </w:pPr>
            <w:r w:rsidRPr="00534FC6">
              <w:rPr>
                <w:rFonts w:cs="Arial"/>
                <w:szCs w:val="24"/>
              </w:rPr>
              <w:t>-</w:t>
            </w:r>
          </w:p>
        </w:tc>
      </w:tr>
      <w:tr w:rsidR="001C7B7D" w:rsidRPr="00B16E84" w14:paraId="167D8679" w14:textId="77777777" w:rsidTr="00233A66">
        <w:trPr>
          <w:trHeight w:val="287"/>
        </w:trPr>
        <w:tc>
          <w:tcPr>
            <w:tcW w:w="1325" w:type="pct"/>
            <w:shd w:val="clear" w:color="auto" w:fill="auto"/>
          </w:tcPr>
          <w:p w14:paraId="731A38FC" w14:textId="77777777" w:rsidR="00B9618C" w:rsidRPr="00534FC6" w:rsidRDefault="00B9618C" w:rsidP="002C5DD1">
            <w:pPr>
              <w:rPr>
                <w:rFonts w:cs="Arial"/>
                <w:szCs w:val="24"/>
              </w:rPr>
            </w:pPr>
            <w:r w:rsidRPr="00534FC6">
              <w:rPr>
                <w:rFonts w:cs="Arial"/>
                <w:szCs w:val="24"/>
              </w:rPr>
              <w:t>Amount by which the Code and the statutory collection fund income differ</w:t>
            </w:r>
          </w:p>
        </w:tc>
        <w:tc>
          <w:tcPr>
            <w:tcW w:w="398" w:type="pct"/>
            <w:shd w:val="clear" w:color="auto" w:fill="auto"/>
            <w:vAlign w:val="center"/>
          </w:tcPr>
          <w:p w14:paraId="50091F1F" w14:textId="77777777" w:rsidR="00B9618C" w:rsidRPr="00534FC6" w:rsidRDefault="00B9618C" w:rsidP="00233A66">
            <w:pPr>
              <w:jc w:val="right"/>
              <w:rPr>
                <w:rFonts w:cs="Arial"/>
                <w:szCs w:val="24"/>
              </w:rPr>
            </w:pPr>
            <w:r w:rsidRPr="00534FC6">
              <w:rPr>
                <w:rFonts w:cs="Arial"/>
                <w:szCs w:val="24"/>
              </w:rPr>
              <w:t>(1,585)</w:t>
            </w:r>
          </w:p>
        </w:tc>
        <w:tc>
          <w:tcPr>
            <w:tcW w:w="456" w:type="pct"/>
            <w:shd w:val="clear" w:color="auto" w:fill="auto"/>
            <w:vAlign w:val="center"/>
          </w:tcPr>
          <w:p w14:paraId="08FBC09B" w14:textId="659BD428" w:rsidR="00B9618C" w:rsidRPr="00534FC6" w:rsidRDefault="0066777B" w:rsidP="00233A66">
            <w:pPr>
              <w:jc w:val="right"/>
              <w:rPr>
                <w:rFonts w:cs="Arial"/>
                <w:szCs w:val="24"/>
              </w:rPr>
            </w:pPr>
            <w:r w:rsidRPr="00534FC6">
              <w:rPr>
                <w:rFonts w:cs="Arial"/>
                <w:szCs w:val="24"/>
              </w:rPr>
              <w:t>-</w:t>
            </w:r>
          </w:p>
        </w:tc>
        <w:tc>
          <w:tcPr>
            <w:tcW w:w="397" w:type="pct"/>
            <w:vAlign w:val="center"/>
          </w:tcPr>
          <w:p w14:paraId="3D18B3B4" w14:textId="77777777" w:rsidR="00B9618C" w:rsidRPr="00534FC6" w:rsidRDefault="00B9618C" w:rsidP="00233A66">
            <w:pPr>
              <w:jc w:val="right"/>
              <w:rPr>
                <w:rFonts w:cs="Arial"/>
                <w:szCs w:val="24"/>
              </w:rPr>
            </w:pPr>
            <w:r w:rsidRPr="00534FC6">
              <w:rPr>
                <w:rFonts w:cs="Arial"/>
                <w:szCs w:val="24"/>
              </w:rPr>
              <w:t>(1,585)</w:t>
            </w:r>
          </w:p>
        </w:tc>
        <w:tc>
          <w:tcPr>
            <w:tcW w:w="402" w:type="pct"/>
            <w:shd w:val="clear" w:color="auto" w:fill="auto"/>
            <w:vAlign w:val="center"/>
          </w:tcPr>
          <w:p w14:paraId="77B2DF79" w14:textId="2F4F213C" w:rsidR="00B9618C" w:rsidRPr="00534FC6" w:rsidRDefault="0066777B" w:rsidP="00233A66">
            <w:pPr>
              <w:jc w:val="right"/>
              <w:rPr>
                <w:rFonts w:cs="Arial"/>
                <w:szCs w:val="24"/>
              </w:rPr>
            </w:pPr>
            <w:r w:rsidRPr="00534FC6">
              <w:rPr>
                <w:rFonts w:cs="Arial"/>
                <w:szCs w:val="24"/>
              </w:rPr>
              <w:t>-</w:t>
            </w:r>
          </w:p>
        </w:tc>
        <w:tc>
          <w:tcPr>
            <w:tcW w:w="412" w:type="pct"/>
            <w:vAlign w:val="center"/>
          </w:tcPr>
          <w:p w14:paraId="2434120E" w14:textId="09BAB432" w:rsidR="00B9618C" w:rsidRPr="00534FC6" w:rsidRDefault="0066777B" w:rsidP="00233A66">
            <w:pPr>
              <w:jc w:val="right"/>
              <w:rPr>
                <w:rFonts w:cs="Arial"/>
                <w:szCs w:val="24"/>
              </w:rPr>
            </w:pPr>
            <w:r w:rsidRPr="00534FC6">
              <w:rPr>
                <w:rFonts w:cs="Arial"/>
                <w:szCs w:val="24"/>
              </w:rPr>
              <w:t>-</w:t>
            </w:r>
          </w:p>
        </w:tc>
        <w:tc>
          <w:tcPr>
            <w:tcW w:w="396" w:type="pct"/>
            <w:shd w:val="clear" w:color="auto" w:fill="auto"/>
            <w:vAlign w:val="center"/>
          </w:tcPr>
          <w:p w14:paraId="7CA5688B" w14:textId="5A9F9AE2" w:rsidR="00B9618C" w:rsidRPr="00534FC6" w:rsidRDefault="0066777B" w:rsidP="00233A66">
            <w:pPr>
              <w:jc w:val="right"/>
              <w:rPr>
                <w:rFonts w:cs="Arial"/>
                <w:szCs w:val="24"/>
              </w:rPr>
            </w:pPr>
            <w:r w:rsidRPr="00534FC6">
              <w:rPr>
                <w:rFonts w:cs="Arial"/>
                <w:szCs w:val="24"/>
              </w:rPr>
              <w:t>-</w:t>
            </w:r>
          </w:p>
        </w:tc>
        <w:tc>
          <w:tcPr>
            <w:tcW w:w="397" w:type="pct"/>
            <w:shd w:val="clear" w:color="auto" w:fill="auto"/>
            <w:vAlign w:val="center"/>
          </w:tcPr>
          <w:p w14:paraId="70A884F2" w14:textId="77777777" w:rsidR="00B9618C" w:rsidRPr="00534FC6" w:rsidRDefault="00B9618C" w:rsidP="00233A66">
            <w:pPr>
              <w:jc w:val="right"/>
              <w:rPr>
                <w:rFonts w:cs="Arial"/>
                <w:szCs w:val="24"/>
              </w:rPr>
            </w:pPr>
            <w:r w:rsidRPr="00534FC6">
              <w:rPr>
                <w:rFonts w:cs="Arial"/>
                <w:szCs w:val="24"/>
              </w:rPr>
              <w:t>(1,585)</w:t>
            </w:r>
          </w:p>
        </w:tc>
        <w:tc>
          <w:tcPr>
            <w:tcW w:w="408" w:type="pct"/>
            <w:shd w:val="clear" w:color="auto" w:fill="auto"/>
            <w:vAlign w:val="center"/>
          </w:tcPr>
          <w:p w14:paraId="0C0119D9" w14:textId="32AEC3ED" w:rsidR="00B9618C" w:rsidRPr="00534FC6" w:rsidRDefault="00B9618C" w:rsidP="00233A66">
            <w:pPr>
              <w:jc w:val="right"/>
              <w:rPr>
                <w:rFonts w:cs="Arial"/>
                <w:szCs w:val="24"/>
              </w:rPr>
            </w:pPr>
            <w:r w:rsidRPr="00534FC6">
              <w:rPr>
                <w:rFonts w:cs="Arial"/>
                <w:szCs w:val="24"/>
              </w:rPr>
              <w:t>1,585</w:t>
            </w:r>
          </w:p>
        </w:tc>
        <w:tc>
          <w:tcPr>
            <w:tcW w:w="409" w:type="pct"/>
            <w:shd w:val="clear" w:color="auto" w:fill="auto"/>
            <w:vAlign w:val="center"/>
          </w:tcPr>
          <w:p w14:paraId="21495CE5" w14:textId="1303CF2B" w:rsidR="00B9618C" w:rsidRPr="00534FC6" w:rsidRDefault="00B9618C" w:rsidP="00233A66">
            <w:pPr>
              <w:jc w:val="right"/>
              <w:rPr>
                <w:rFonts w:cs="Arial"/>
                <w:szCs w:val="24"/>
              </w:rPr>
            </w:pPr>
            <w:r w:rsidRPr="00534FC6">
              <w:rPr>
                <w:rFonts w:cs="Arial"/>
                <w:szCs w:val="24"/>
              </w:rPr>
              <w:t>-</w:t>
            </w:r>
          </w:p>
        </w:tc>
      </w:tr>
      <w:tr w:rsidR="001C7B7D" w:rsidRPr="00B16E84" w14:paraId="775CF92F" w14:textId="77777777" w:rsidTr="00233A66">
        <w:trPr>
          <w:trHeight w:val="269"/>
        </w:trPr>
        <w:tc>
          <w:tcPr>
            <w:tcW w:w="1325" w:type="pct"/>
            <w:shd w:val="clear" w:color="auto" w:fill="auto"/>
          </w:tcPr>
          <w:p w14:paraId="689C9C28" w14:textId="3D548DFD" w:rsidR="00B9618C" w:rsidRPr="00A02AD6" w:rsidRDefault="00B330D3" w:rsidP="00582882">
            <w:pPr>
              <w:rPr>
                <w:rFonts w:cs="Arial"/>
                <w:b/>
                <w:bCs/>
                <w:szCs w:val="24"/>
              </w:rPr>
            </w:pPr>
            <w:r w:rsidRPr="00A02AD6">
              <w:rPr>
                <w:rFonts w:cs="Arial"/>
                <w:b/>
                <w:bCs/>
                <w:szCs w:val="24"/>
              </w:rPr>
              <w:t>Adjustments total</w:t>
            </w:r>
          </w:p>
        </w:tc>
        <w:tc>
          <w:tcPr>
            <w:tcW w:w="398" w:type="pct"/>
            <w:shd w:val="clear" w:color="auto" w:fill="auto"/>
            <w:vAlign w:val="center"/>
          </w:tcPr>
          <w:p w14:paraId="5B1FA051" w14:textId="4BF6FB33" w:rsidR="00B9618C" w:rsidRPr="00A02AD6" w:rsidRDefault="00B9618C" w:rsidP="00233A66">
            <w:pPr>
              <w:jc w:val="right"/>
              <w:rPr>
                <w:rFonts w:cs="Arial"/>
                <w:b/>
                <w:bCs/>
                <w:szCs w:val="24"/>
              </w:rPr>
            </w:pPr>
            <w:r w:rsidRPr="00A02AD6">
              <w:rPr>
                <w:rFonts w:cs="Arial"/>
                <w:b/>
                <w:bCs/>
                <w:szCs w:val="24"/>
              </w:rPr>
              <w:t>9,793</w:t>
            </w:r>
          </w:p>
        </w:tc>
        <w:tc>
          <w:tcPr>
            <w:tcW w:w="456" w:type="pct"/>
            <w:shd w:val="clear" w:color="auto" w:fill="auto"/>
            <w:vAlign w:val="center"/>
          </w:tcPr>
          <w:p w14:paraId="675631F1" w14:textId="5436F7CD" w:rsidR="00B9618C" w:rsidRPr="00A02AD6" w:rsidRDefault="00B9618C" w:rsidP="00233A66">
            <w:pPr>
              <w:jc w:val="right"/>
              <w:rPr>
                <w:rFonts w:cs="Arial"/>
                <w:b/>
                <w:bCs/>
                <w:szCs w:val="24"/>
              </w:rPr>
            </w:pPr>
            <w:r w:rsidRPr="00A02AD6">
              <w:rPr>
                <w:rFonts w:cs="Arial"/>
                <w:b/>
                <w:bCs/>
                <w:szCs w:val="24"/>
              </w:rPr>
              <w:t>-</w:t>
            </w:r>
          </w:p>
        </w:tc>
        <w:tc>
          <w:tcPr>
            <w:tcW w:w="397" w:type="pct"/>
            <w:vAlign w:val="center"/>
          </w:tcPr>
          <w:p w14:paraId="70C6E7AE" w14:textId="6D91CDF1" w:rsidR="00B9618C" w:rsidRPr="00A02AD6" w:rsidRDefault="00B9618C" w:rsidP="00233A66">
            <w:pPr>
              <w:jc w:val="right"/>
              <w:rPr>
                <w:rFonts w:cs="Arial"/>
                <w:b/>
                <w:bCs/>
                <w:szCs w:val="24"/>
              </w:rPr>
            </w:pPr>
            <w:r w:rsidRPr="00A02AD6">
              <w:rPr>
                <w:rFonts w:cs="Arial"/>
                <w:b/>
                <w:bCs/>
                <w:szCs w:val="24"/>
              </w:rPr>
              <w:t>9,793</w:t>
            </w:r>
          </w:p>
        </w:tc>
        <w:tc>
          <w:tcPr>
            <w:tcW w:w="402" w:type="pct"/>
            <w:shd w:val="clear" w:color="auto" w:fill="auto"/>
            <w:vAlign w:val="center"/>
          </w:tcPr>
          <w:p w14:paraId="19B2E517" w14:textId="56AD2673" w:rsidR="00B9618C" w:rsidRPr="00A02AD6" w:rsidRDefault="00B9618C" w:rsidP="00233A66">
            <w:pPr>
              <w:jc w:val="right"/>
              <w:rPr>
                <w:rFonts w:cs="Arial"/>
                <w:b/>
                <w:bCs/>
                <w:szCs w:val="24"/>
              </w:rPr>
            </w:pPr>
            <w:r w:rsidRPr="00A02AD6">
              <w:rPr>
                <w:rFonts w:cs="Arial"/>
                <w:b/>
                <w:bCs/>
                <w:szCs w:val="24"/>
              </w:rPr>
              <w:t>-</w:t>
            </w:r>
          </w:p>
        </w:tc>
        <w:tc>
          <w:tcPr>
            <w:tcW w:w="412" w:type="pct"/>
            <w:vAlign w:val="center"/>
          </w:tcPr>
          <w:p w14:paraId="7F0B65F7" w14:textId="77777777" w:rsidR="00B9618C" w:rsidRPr="00A02AD6" w:rsidRDefault="00B9618C" w:rsidP="00233A66">
            <w:pPr>
              <w:jc w:val="right"/>
              <w:rPr>
                <w:rFonts w:cs="Arial"/>
                <w:b/>
                <w:bCs/>
                <w:szCs w:val="24"/>
              </w:rPr>
            </w:pPr>
            <w:r w:rsidRPr="00A02AD6">
              <w:rPr>
                <w:rFonts w:cs="Arial"/>
                <w:b/>
                <w:bCs/>
                <w:szCs w:val="24"/>
              </w:rPr>
              <w:t>(61)</w:t>
            </w:r>
          </w:p>
        </w:tc>
        <w:tc>
          <w:tcPr>
            <w:tcW w:w="396" w:type="pct"/>
            <w:shd w:val="clear" w:color="auto" w:fill="auto"/>
            <w:vAlign w:val="center"/>
          </w:tcPr>
          <w:p w14:paraId="7353A0ED" w14:textId="2853A008" w:rsidR="00B9618C" w:rsidRPr="00A02AD6" w:rsidRDefault="00B9618C" w:rsidP="00233A66">
            <w:pPr>
              <w:jc w:val="right"/>
              <w:rPr>
                <w:rFonts w:cs="Arial"/>
                <w:b/>
                <w:bCs/>
                <w:szCs w:val="24"/>
              </w:rPr>
            </w:pPr>
            <w:r w:rsidRPr="00A02AD6">
              <w:rPr>
                <w:rFonts w:cs="Arial"/>
                <w:b/>
                <w:bCs/>
                <w:szCs w:val="24"/>
              </w:rPr>
              <w:t>3</w:t>
            </w:r>
          </w:p>
        </w:tc>
        <w:tc>
          <w:tcPr>
            <w:tcW w:w="397" w:type="pct"/>
            <w:shd w:val="clear" w:color="auto" w:fill="auto"/>
            <w:vAlign w:val="center"/>
          </w:tcPr>
          <w:p w14:paraId="6A518906" w14:textId="4792FE13" w:rsidR="00B9618C" w:rsidRPr="00A02AD6" w:rsidRDefault="00B9618C" w:rsidP="00233A66">
            <w:pPr>
              <w:jc w:val="right"/>
              <w:rPr>
                <w:rFonts w:cs="Arial"/>
                <w:b/>
                <w:bCs/>
                <w:szCs w:val="24"/>
              </w:rPr>
            </w:pPr>
            <w:r w:rsidRPr="00A02AD6">
              <w:rPr>
                <w:rFonts w:cs="Arial"/>
                <w:b/>
                <w:bCs/>
                <w:szCs w:val="24"/>
              </w:rPr>
              <w:t>9,735</w:t>
            </w:r>
          </w:p>
        </w:tc>
        <w:tc>
          <w:tcPr>
            <w:tcW w:w="408" w:type="pct"/>
            <w:shd w:val="clear" w:color="auto" w:fill="auto"/>
            <w:vAlign w:val="center"/>
          </w:tcPr>
          <w:p w14:paraId="55029ECB" w14:textId="77777777" w:rsidR="00B9618C" w:rsidRPr="00A02AD6" w:rsidRDefault="00B9618C" w:rsidP="00233A66">
            <w:pPr>
              <w:jc w:val="right"/>
              <w:rPr>
                <w:rFonts w:cs="Arial"/>
                <w:b/>
                <w:bCs/>
                <w:szCs w:val="24"/>
              </w:rPr>
            </w:pPr>
            <w:r w:rsidRPr="00A02AD6">
              <w:rPr>
                <w:rFonts w:cs="Arial"/>
                <w:b/>
                <w:bCs/>
                <w:szCs w:val="24"/>
              </w:rPr>
              <w:t>(9,735)</w:t>
            </w:r>
          </w:p>
        </w:tc>
        <w:tc>
          <w:tcPr>
            <w:tcW w:w="409" w:type="pct"/>
            <w:shd w:val="clear" w:color="auto" w:fill="auto"/>
            <w:vAlign w:val="center"/>
          </w:tcPr>
          <w:p w14:paraId="6092B600" w14:textId="77777777" w:rsidR="00B9618C" w:rsidRPr="00A02AD6" w:rsidRDefault="00B9618C" w:rsidP="00233A66">
            <w:pPr>
              <w:jc w:val="right"/>
              <w:rPr>
                <w:rFonts w:cs="Arial"/>
                <w:b/>
                <w:bCs/>
                <w:szCs w:val="24"/>
              </w:rPr>
            </w:pPr>
            <w:r w:rsidRPr="00A02AD6">
              <w:rPr>
                <w:rFonts w:cs="Arial"/>
                <w:b/>
                <w:bCs/>
                <w:szCs w:val="24"/>
              </w:rPr>
              <w:t>-</w:t>
            </w:r>
          </w:p>
        </w:tc>
      </w:tr>
      <w:tr w:rsidR="00FA18E2" w:rsidRPr="00B16E84" w14:paraId="18F549B5" w14:textId="77777777" w:rsidTr="00611673">
        <w:trPr>
          <w:trHeight w:val="243"/>
        </w:trPr>
        <w:tc>
          <w:tcPr>
            <w:tcW w:w="1325" w:type="pct"/>
            <w:shd w:val="clear" w:color="auto" w:fill="BD2716"/>
          </w:tcPr>
          <w:p w14:paraId="07570DB5" w14:textId="77777777" w:rsidR="00FA18E2" w:rsidRPr="00036C34" w:rsidRDefault="00FA18E2" w:rsidP="00FA18E2">
            <w:pPr>
              <w:rPr>
                <w:rFonts w:cs="Arial"/>
                <w:b/>
                <w:bCs/>
                <w:color w:val="FFFFFF" w:themeColor="background1"/>
                <w:szCs w:val="24"/>
              </w:rPr>
            </w:pPr>
          </w:p>
        </w:tc>
        <w:tc>
          <w:tcPr>
            <w:tcW w:w="398" w:type="pct"/>
            <w:shd w:val="clear" w:color="auto" w:fill="BD2716"/>
            <w:vAlign w:val="center"/>
          </w:tcPr>
          <w:p w14:paraId="15AD7F5D" w14:textId="77777777" w:rsidR="00FA18E2" w:rsidRPr="00036C34" w:rsidRDefault="00FA18E2" w:rsidP="00611673">
            <w:pPr>
              <w:jc w:val="right"/>
              <w:rPr>
                <w:rFonts w:cs="Arial"/>
                <w:color w:val="FFFFFF" w:themeColor="background1"/>
                <w:szCs w:val="24"/>
              </w:rPr>
            </w:pPr>
            <w:r w:rsidRPr="00036C34">
              <w:rPr>
                <w:rFonts w:cs="Arial"/>
                <w:color w:val="FFFFFF" w:themeColor="background1"/>
                <w:szCs w:val="24"/>
              </w:rPr>
              <w:t>General fund</w:t>
            </w:r>
          </w:p>
          <w:p w14:paraId="31B59034" w14:textId="3BFBE116" w:rsidR="00FA18E2" w:rsidRPr="00036C34" w:rsidRDefault="00FA18E2" w:rsidP="00611673">
            <w:pPr>
              <w:jc w:val="right"/>
              <w:rPr>
                <w:rFonts w:cs="Arial"/>
                <w:b/>
                <w:bCs/>
                <w:color w:val="FFFFFF" w:themeColor="background1"/>
                <w:szCs w:val="24"/>
              </w:rPr>
            </w:pPr>
            <w:r w:rsidRPr="00036C34">
              <w:rPr>
                <w:rFonts w:cs="Arial"/>
                <w:color w:val="FFFFFF" w:themeColor="background1"/>
                <w:szCs w:val="24"/>
              </w:rPr>
              <w:t>£000</w:t>
            </w:r>
          </w:p>
        </w:tc>
        <w:tc>
          <w:tcPr>
            <w:tcW w:w="456" w:type="pct"/>
            <w:shd w:val="clear" w:color="auto" w:fill="BD2716"/>
            <w:vAlign w:val="center"/>
          </w:tcPr>
          <w:p w14:paraId="48F6DBB6" w14:textId="77777777" w:rsidR="00FA18E2" w:rsidRPr="00036C34" w:rsidRDefault="00FA18E2" w:rsidP="00611673">
            <w:pPr>
              <w:jc w:val="right"/>
              <w:rPr>
                <w:rFonts w:cs="Arial"/>
                <w:color w:val="FFFFFF" w:themeColor="background1"/>
                <w:szCs w:val="24"/>
              </w:rPr>
            </w:pPr>
            <w:r w:rsidRPr="00036C34">
              <w:rPr>
                <w:rFonts w:cs="Arial"/>
                <w:color w:val="FFFFFF" w:themeColor="background1"/>
                <w:szCs w:val="24"/>
              </w:rPr>
              <w:t>Earmarked reserves</w:t>
            </w:r>
          </w:p>
          <w:p w14:paraId="1D69DE41" w14:textId="4157C356" w:rsidR="00FA18E2" w:rsidRPr="00036C34" w:rsidRDefault="00FA18E2" w:rsidP="00611673">
            <w:pPr>
              <w:jc w:val="right"/>
              <w:rPr>
                <w:rFonts w:cs="Arial"/>
                <w:b/>
                <w:bCs/>
                <w:color w:val="FFFFFF" w:themeColor="background1"/>
                <w:szCs w:val="24"/>
              </w:rPr>
            </w:pPr>
            <w:r w:rsidRPr="00036C34">
              <w:rPr>
                <w:rFonts w:cs="Arial"/>
                <w:color w:val="FFFFFF" w:themeColor="background1"/>
                <w:szCs w:val="24"/>
              </w:rPr>
              <w:t>£000</w:t>
            </w:r>
          </w:p>
        </w:tc>
        <w:tc>
          <w:tcPr>
            <w:tcW w:w="397" w:type="pct"/>
            <w:shd w:val="clear" w:color="auto" w:fill="BD2716"/>
            <w:vAlign w:val="center"/>
          </w:tcPr>
          <w:p w14:paraId="5EED9B7F" w14:textId="77777777" w:rsidR="00FA18E2" w:rsidRPr="00036C34" w:rsidRDefault="00FA18E2" w:rsidP="00611673">
            <w:pPr>
              <w:jc w:val="right"/>
              <w:rPr>
                <w:rFonts w:cs="Arial"/>
                <w:color w:val="FFFFFF" w:themeColor="background1"/>
                <w:szCs w:val="24"/>
              </w:rPr>
            </w:pPr>
            <w:r w:rsidRPr="00036C34">
              <w:rPr>
                <w:rFonts w:cs="Arial"/>
                <w:color w:val="FFFFFF" w:themeColor="background1"/>
                <w:szCs w:val="24"/>
              </w:rPr>
              <w:t>Total General Fund Balance</w:t>
            </w:r>
          </w:p>
          <w:p w14:paraId="01802268" w14:textId="5C734E7F" w:rsidR="00FA18E2" w:rsidRPr="00036C34" w:rsidRDefault="00FA18E2" w:rsidP="00611673">
            <w:pPr>
              <w:jc w:val="right"/>
              <w:rPr>
                <w:rFonts w:cs="Arial"/>
                <w:b/>
                <w:bCs/>
                <w:color w:val="FFFFFF" w:themeColor="background1"/>
                <w:szCs w:val="24"/>
              </w:rPr>
            </w:pPr>
            <w:r w:rsidRPr="00036C34">
              <w:rPr>
                <w:rFonts w:cs="Arial"/>
                <w:color w:val="FFFFFF" w:themeColor="background1"/>
                <w:szCs w:val="24"/>
              </w:rPr>
              <w:t>£000</w:t>
            </w:r>
          </w:p>
        </w:tc>
        <w:tc>
          <w:tcPr>
            <w:tcW w:w="402" w:type="pct"/>
            <w:shd w:val="clear" w:color="auto" w:fill="BD2716"/>
            <w:vAlign w:val="center"/>
          </w:tcPr>
          <w:p w14:paraId="4E97458A" w14:textId="77777777" w:rsidR="00FA18E2" w:rsidRPr="00036C34" w:rsidRDefault="00FA18E2" w:rsidP="00611673">
            <w:pPr>
              <w:jc w:val="right"/>
              <w:rPr>
                <w:rFonts w:cs="Arial"/>
                <w:color w:val="FFFFFF" w:themeColor="background1"/>
                <w:szCs w:val="24"/>
              </w:rPr>
            </w:pPr>
            <w:r w:rsidRPr="00036C34">
              <w:rPr>
                <w:rFonts w:cs="Arial"/>
                <w:color w:val="FFFFFF" w:themeColor="background1"/>
                <w:szCs w:val="24"/>
              </w:rPr>
              <w:t xml:space="preserve">Capital funding </w:t>
            </w:r>
            <w:proofErr w:type="gramStart"/>
            <w:r w:rsidRPr="00036C34">
              <w:rPr>
                <w:rFonts w:cs="Arial"/>
                <w:color w:val="FFFFFF" w:themeColor="background1"/>
                <w:szCs w:val="24"/>
              </w:rPr>
              <w:t>reserve</w:t>
            </w:r>
            <w:proofErr w:type="gramEnd"/>
          </w:p>
          <w:p w14:paraId="2BB4AB80" w14:textId="1C538C16" w:rsidR="00FA18E2" w:rsidRPr="00036C34" w:rsidRDefault="00FA18E2" w:rsidP="00611673">
            <w:pPr>
              <w:jc w:val="right"/>
              <w:rPr>
                <w:rFonts w:cs="Arial"/>
                <w:b/>
                <w:bCs/>
                <w:color w:val="FFFFFF" w:themeColor="background1"/>
                <w:szCs w:val="24"/>
              </w:rPr>
            </w:pPr>
            <w:r w:rsidRPr="00036C34">
              <w:rPr>
                <w:rFonts w:cs="Arial"/>
                <w:color w:val="FFFFFF" w:themeColor="background1"/>
                <w:szCs w:val="24"/>
              </w:rPr>
              <w:t>£000</w:t>
            </w:r>
          </w:p>
        </w:tc>
        <w:tc>
          <w:tcPr>
            <w:tcW w:w="412" w:type="pct"/>
            <w:shd w:val="clear" w:color="auto" w:fill="BD2716"/>
            <w:vAlign w:val="center"/>
          </w:tcPr>
          <w:p w14:paraId="4C31F05F" w14:textId="77777777" w:rsidR="00FA18E2" w:rsidRPr="00036C34" w:rsidRDefault="00FA18E2" w:rsidP="00611673">
            <w:pPr>
              <w:jc w:val="right"/>
              <w:rPr>
                <w:rFonts w:cs="Arial"/>
                <w:color w:val="FFFFFF" w:themeColor="background1"/>
                <w:szCs w:val="24"/>
              </w:rPr>
            </w:pPr>
            <w:r w:rsidRPr="00036C34">
              <w:rPr>
                <w:rFonts w:cs="Arial"/>
                <w:color w:val="FFFFFF" w:themeColor="background1"/>
                <w:szCs w:val="24"/>
              </w:rPr>
              <w:t xml:space="preserve">Capital grant unapplied </w:t>
            </w:r>
            <w:proofErr w:type="gramStart"/>
            <w:r w:rsidRPr="00036C34">
              <w:rPr>
                <w:rFonts w:cs="Arial"/>
                <w:color w:val="FFFFFF" w:themeColor="background1"/>
                <w:szCs w:val="24"/>
              </w:rPr>
              <w:t>reserve</w:t>
            </w:r>
            <w:proofErr w:type="gramEnd"/>
          </w:p>
          <w:p w14:paraId="4D241E6C" w14:textId="32DF582F" w:rsidR="00FA18E2" w:rsidRPr="00036C34" w:rsidRDefault="00FA18E2" w:rsidP="00611673">
            <w:pPr>
              <w:jc w:val="right"/>
              <w:rPr>
                <w:rFonts w:cs="Arial"/>
                <w:b/>
                <w:bCs/>
                <w:color w:val="FFFFFF" w:themeColor="background1"/>
                <w:szCs w:val="24"/>
              </w:rPr>
            </w:pPr>
            <w:r w:rsidRPr="00036C34">
              <w:rPr>
                <w:rFonts w:cs="Arial"/>
                <w:color w:val="FFFFFF" w:themeColor="background1"/>
                <w:szCs w:val="24"/>
              </w:rPr>
              <w:t>£000</w:t>
            </w:r>
          </w:p>
        </w:tc>
        <w:tc>
          <w:tcPr>
            <w:tcW w:w="396" w:type="pct"/>
            <w:shd w:val="clear" w:color="auto" w:fill="BD2716"/>
            <w:vAlign w:val="center"/>
          </w:tcPr>
          <w:p w14:paraId="3D46DD97" w14:textId="77777777" w:rsidR="00FA18E2" w:rsidRPr="00036C34" w:rsidRDefault="00FA18E2" w:rsidP="00611673">
            <w:pPr>
              <w:jc w:val="right"/>
              <w:rPr>
                <w:rFonts w:cs="Arial"/>
                <w:color w:val="FFFFFF" w:themeColor="background1"/>
                <w:szCs w:val="24"/>
              </w:rPr>
            </w:pPr>
            <w:r w:rsidRPr="00036C34">
              <w:rPr>
                <w:rFonts w:cs="Arial"/>
                <w:color w:val="FFFFFF" w:themeColor="background1"/>
                <w:szCs w:val="24"/>
              </w:rPr>
              <w:t xml:space="preserve">Capital receipts </w:t>
            </w:r>
            <w:proofErr w:type="gramStart"/>
            <w:r w:rsidRPr="00036C34">
              <w:rPr>
                <w:rFonts w:cs="Arial"/>
                <w:color w:val="FFFFFF" w:themeColor="background1"/>
                <w:szCs w:val="24"/>
              </w:rPr>
              <w:t>reserve</w:t>
            </w:r>
            <w:proofErr w:type="gramEnd"/>
          </w:p>
          <w:p w14:paraId="7DB0012A" w14:textId="62AFAD84" w:rsidR="00FA18E2" w:rsidRPr="00036C34" w:rsidRDefault="00FA18E2" w:rsidP="00611673">
            <w:pPr>
              <w:jc w:val="right"/>
              <w:rPr>
                <w:rFonts w:cs="Arial"/>
                <w:b/>
                <w:bCs/>
                <w:color w:val="FFFFFF" w:themeColor="background1"/>
                <w:szCs w:val="24"/>
              </w:rPr>
            </w:pPr>
            <w:r w:rsidRPr="00036C34">
              <w:rPr>
                <w:rFonts w:cs="Arial"/>
                <w:color w:val="FFFFFF" w:themeColor="background1"/>
                <w:szCs w:val="24"/>
              </w:rPr>
              <w:t>£000</w:t>
            </w:r>
          </w:p>
        </w:tc>
        <w:tc>
          <w:tcPr>
            <w:tcW w:w="397" w:type="pct"/>
            <w:shd w:val="clear" w:color="auto" w:fill="BD2716"/>
            <w:vAlign w:val="center"/>
          </w:tcPr>
          <w:p w14:paraId="08A07B9F" w14:textId="77777777" w:rsidR="00FA18E2" w:rsidRPr="00036C34" w:rsidRDefault="00FA18E2" w:rsidP="00611673">
            <w:pPr>
              <w:jc w:val="right"/>
              <w:rPr>
                <w:rFonts w:cs="Arial"/>
                <w:color w:val="FFFFFF" w:themeColor="background1"/>
                <w:szCs w:val="24"/>
              </w:rPr>
            </w:pPr>
            <w:r w:rsidRPr="00036C34">
              <w:rPr>
                <w:rFonts w:cs="Arial"/>
                <w:color w:val="FFFFFF" w:themeColor="background1"/>
                <w:szCs w:val="24"/>
              </w:rPr>
              <w:t>Total usable reserves</w:t>
            </w:r>
          </w:p>
          <w:p w14:paraId="6429AE61" w14:textId="0FB32E00" w:rsidR="00FA18E2" w:rsidRPr="00036C34" w:rsidRDefault="00FA18E2" w:rsidP="00611673">
            <w:pPr>
              <w:jc w:val="right"/>
              <w:rPr>
                <w:rFonts w:cs="Arial"/>
                <w:b/>
                <w:bCs/>
                <w:color w:val="FFFFFF" w:themeColor="background1"/>
                <w:szCs w:val="24"/>
              </w:rPr>
            </w:pPr>
            <w:r w:rsidRPr="00036C34">
              <w:rPr>
                <w:rFonts w:cs="Arial"/>
                <w:color w:val="FFFFFF" w:themeColor="background1"/>
                <w:szCs w:val="24"/>
              </w:rPr>
              <w:t>£000</w:t>
            </w:r>
          </w:p>
        </w:tc>
        <w:tc>
          <w:tcPr>
            <w:tcW w:w="408" w:type="pct"/>
            <w:shd w:val="clear" w:color="auto" w:fill="BD2716"/>
            <w:vAlign w:val="center"/>
          </w:tcPr>
          <w:p w14:paraId="67F8620E" w14:textId="77777777" w:rsidR="00FA18E2" w:rsidRPr="00036C34" w:rsidRDefault="00FA18E2" w:rsidP="00611673">
            <w:pPr>
              <w:jc w:val="right"/>
              <w:rPr>
                <w:rFonts w:cs="Arial"/>
                <w:color w:val="FFFFFF" w:themeColor="background1"/>
                <w:szCs w:val="24"/>
              </w:rPr>
            </w:pPr>
            <w:r w:rsidRPr="00036C34">
              <w:rPr>
                <w:rFonts w:cs="Arial"/>
                <w:color w:val="FFFFFF" w:themeColor="background1"/>
                <w:szCs w:val="24"/>
              </w:rPr>
              <w:t>Unusable reserves</w:t>
            </w:r>
          </w:p>
          <w:p w14:paraId="2E139E79" w14:textId="372B5337" w:rsidR="00FA18E2" w:rsidRPr="00036C34" w:rsidRDefault="00FA18E2" w:rsidP="00611673">
            <w:pPr>
              <w:jc w:val="right"/>
              <w:rPr>
                <w:rFonts w:cs="Arial"/>
                <w:b/>
                <w:bCs/>
                <w:color w:val="FFFFFF" w:themeColor="background1"/>
                <w:szCs w:val="24"/>
              </w:rPr>
            </w:pPr>
            <w:r w:rsidRPr="00036C34">
              <w:rPr>
                <w:rFonts w:cs="Arial"/>
                <w:color w:val="FFFFFF" w:themeColor="background1"/>
                <w:szCs w:val="24"/>
              </w:rPr>
              <w:t>£000</w:t>
            </w:r>
          </w:p>
        </w:tc>
        <w:tc>
          <w:tcPr>
            <w:tcW w:w="409" w:type="pct"/>
            <w:shd w:val="clear" w:color="auto" w:fill="BD2716"/>
            <w:vAlign w:val="center"/>
          </w:tcPr>
          <w:p w14:paraId="4C897C7D" w14:textId="77777777" w:rsidR="00FA18E2" w:rsidRPr="00036C34" w:rsidRDefault="00FA18E2" w:rsidP="00611673">
            <w:pPr>
              <w:jc w:val="right"/>
              <w:rPr>
                <w:rFonts w:cs="Arial"/>
                <w:color w:val="FFFFFF" w:themeColor="background1"/>
                <w:szCs w:val="24"/>
              </w:rPr>
            </w:pPr>
            <w:r w:rsidRPr="00036C34">
              <w:rPr>
                <w:rFonts w:cs="Arial"/>
                <w:color w:val="FFFFFF" w:themeColor="background1"/>
                <w:szCs w:val="24"/>
              </w:rPr>
              <w:t>Total Authority reserves</w:t>
            </w:r>
          </w:p>
          <w:p w14:paraId="41B35CA0" w14:textId="517996E9" w:rsidR="00FA18E2" w:rsidRPr="00036C34" w:rsidRDefault="00FA18E2" w:rsidP="00611673">
            <w:pPr>
              <w:jc w:val="right"/>
              <w:rPr>
                <w:rFonts w:cs="Arial"/>
                <w:b/>
                <w:bCs/>
                <w:color w:val="FFFFFF" w:themeColor="background1"/>
                <w:szCs w:val="24"/>
              </w:rPr>
            </w:pPr>
            <w:r w:rsidRPr="00036C34">
              <w:rPr>
                <w:rFonts w:cs="Arial"/>
                <w:color w:val="FFFFFF" w:themeColor="background1"/>
                <w:szCs w:val="24"/>
              </w:rPr>
              <w:t>£000</w:t>
            </w:r>
          </w:p>
        </w:tc>
      </w:tr>
      <w:tr w:rsidR="00FA18E2" w:rsidRPr="00B16E84" w14:paraId="2E91ED86" w14:textId="77777777" w:rsidTr="00233A66">
        <w:trPr>
          <w:trHeight w:val="243"/>
        </w:trPr>
        <w:tc>
          <w:tcPr>
            <w:tcW w:w="1325" w:type="pct"/>
            <w:shd w:val="clear" w:color="auto" w:fill="auto"/>
          </w:tcPr>
          <w:p w14:paraId="44D08273" w14:textId="77777777" w:rsidR="00FA18E2" w:rsidRPr="00A02AD6" w:rsidRDefault="00FA18E2" w:rsidP="00FA18E2">
            <w:pPr>
              <w:rPr>
                <w:rFonts w:cs="Arial"/>
                <w:b/>
                <w:bCs/>
                <w:szCs w:val="24"/>
              </w:rPr>
            </w:pPr>
            <w:r w:rsidRPr="00A02AD6">
              <w:rPr>
                <w:rFonts w:cs="Arial"/>
                <w:b/>
                <w:bCs/>
                <w:szCs w:val="24"/>
              </w:rPr>
              <w:t>Net increase/decrease before transfers to earmarked reserves</w:t>
            </w:r>
          </w:p>
        </w:tc>
        <w:tc>
          <w:tcPr>
            <w:tcW w:w="398" w:type="pct"/>
            <w:shd w:val="clear" w:color="auto" w:fill="auto"/>
            <w:vAlign w:val="center"/>
          </w:tcPr>
          <w:p w14:paraId="0E2951B8" w14:textId="7C80967B" w:rsidR="00FA18E2" w:rsidRPr="00A02AD6" w:rsidRDefault="00FA18E2" w:rsidP="00233A66">
            <w:pPr>
              <w:jc w:val="right"/>
              <w:rPr>
                <w:rFonts w:cs="Arial"/>
                <w:b/>
                <w:bCs/>
                <w:szCs w:val="24"/>
              </w:rPr>
            </w:pPr>
            <w:r w:rsidRPr="00A02AD6">
              <w:rPr>
                <w:rFonts w:cs="Arial"/>
                <w:b/>
                <w:bCs/>
                <w:szCs w:val="24"/>
              </w:rPr>
              <w:t>(169)</w:t>
            </w:r>
          </w:p>
        </w:tc>
        <w:tc>
          <w:tcPr>
            <w:tcW w:w="456" w:type="pct"/>
            <w:shd w:val="clear" w:color="auto" w:fill="auto"/>
            <w:vAlign w:val="center"/>
          </w:tcPr>
          <w:p w14:paraId="6230AE73" w14:textId="3B7E622F" w:rsidR="00FA18E2" w:rsidRPr="00A02AD6" w:rsidRDefault="00FA18E2" w:rsidP="00233A66">
            <w:pPr>
              <w:jc w:val="right"/>
              <w:rPr>
                <w:rFonts w:cs="Arial"/>
                <w:b/>
                <w:bCs/>
                <w:szCs w:val="24"/>
              </w:rPr>
            </w:pPr>
            <w:r w:rsidRPr="00A02AD6">
              <w:rPr>
                <w:rFonts w:cs="Arial"/>
                <w:b/>
                <w:bCs/>
                <w:szCs w:val="24"/>
              </w:rPr>
              <w:t>-</w:t>
            </w:r>
          </w:p>
        </w:tc>
        <w:tc>
          <w:tcPr>
            <w:tcW w:w="397" w:type="pct"/>
            <w:vAlign w:val="center"/>
          </w:tcPr>
          <w:p w14:paraId="00A14ADF" w14:textId="0519483D" w:rsidR="00FA18E2" w:rsidRPr="00A02AD6" w:rsidRDefault="00FA18E2" w:rsidP="00233A66">
            <w:pPr>
              <w:jc w:val="right"/>
              <w:rPr>
                <w:rFonts w:cs="Arial"/>
                <w:b/>
                <w:bCs/>
                <w:szCs w:val="24"/>
              </w:rPr>
            </w:pPr>
            <w:r w:rsidRPr="00A02AD6">
              <w:rPr>
                <w:rFonts w:cs="Arial"/>
                <w:b/>
                <w:bCs/>
                <w:szCs w:val="24"/>
              </w:rPr>
              <w:t>(169)</w:t>
            </w:r>
          </w:p>
        </w:tc>
        <w:tc>
          <w:tcPr>
            <w:tcW w:w="402" w:type="pct"/>
            <w:shd w:val="clear" w:color="auto" w:fill="auto"/>
            <w:vAlign w:val="center"/>
          </w:tcPr>
          <w:p w14:paraId="46C1FF5D" w14:textId="4A249F7C" w:rsidR="00FA18E2" w:rsidRPr="00A02AD6" w:rsidRDefault="00FA18E2" w:rsidP="00233A66">
            <w:pPr>
              <w:jc w:val="right"/>
              <w:rPr>
                <w:rFonts w:cs="Arial"/>
                <w:b/>
                <w:bCs/>
                <w:szCs w:val="24"/>
              </w:rPr>
            </w:pPr>
            <w:r w:rsidRPr="00A02AD6">
              <w:rPr>
                <w:rFonts w:cs="Arial"/>
                <w:b/>
                <w:bCs/>
                <w:szCs w:val="24"/>
              </w:rPr>
              <w:t xml:space="preserve">- </w:t>
            </w:r>
          </w:p>
        </w:tc>
        <w:tc>
          <w:tcPr>
            <w:tcW w:w="412" w:type="pct"/>
            <w:vAlign w:val="center"/>
          </w:tcPr>
          <w:p w14:paraId="1B6E6F07" w14:textId="77777777" w:rsidR="00FA18E2" w:rsidRPr="00A02AD6" w:rsidRDefault="00FA18E2" w:rsidP="00233A66">
            <w:pPr>
              <w:jc w:val="right"/>
              <w:rPr>
                <w:rFonts w:cs="Arial"/>
                <w:b/>
                <w:bCs/>
                <w:szCs w:val="24"/>
              </w:rPr>
            </w:pPr>
            <w:r w:rsidRPr="00A02AD6">
              <w:rPr>
                <w:rFonts w:cs="Arial"/>
                <w:b/>
                <w:bCs/>
                <w:szCs w:val="24"/>
              </w:rPr>
              <w:t>(61)</w:t>
            </w:r>
          </w:p>
        </w:tc>
        <w:tc>
          <w:tcPr>
            <w:tcW w:w="396" w:type="pct"/>
            <w:shd w:val="clear" w:color="auto" w:fill="auto"/>
            <w:vAlign w:val="center"/>
          </w:tcPr>
          <w:p w14:paraId="76A60F1F" w14:textId="3F0A4776" w:rsidR="00FA18E2" w:rsidRPr="00A02AD6" w:rsidRDefault="00FA18E2" w:rsidP="00233A66">
            <w:pPr>
              <w:jc w:val="right"/>
              <w:rPr>
                <w:rFonts w:cs="Arial"/>
                <w:b/>
                <w:bCs/>
                <w:szCs w:val="24"/>
              </w:rPr>
            </w:pPr>
            <w:r w:rsidRPr="00A02AD6">
              <w:rPr>
                <w:rFonts w:cs="Arial"/>
                <w:b/>
                <w:bCs/>
                <w:szCs w:val="24"/>
              </w:rPr>
              <w:t>3</w:t>
            </w:r>
          </w:p>
        </w:tc>
        <w:tc>
          <w:tcPr>
            <w:tcW w:w="397" w:type="pct"/>
            <w:shd w:val="clear" w:color="auto" w:fill="auto"/>
            <w:vAlign w:val="center"/>
          </w:tcPr>
          <w:p w14:paraId="5B9EFF36" w14:textId="0864549C" w:rsidR="00FA18E2" w:rsidRPr="00A02AD6" w:rsidRDefault="00FA18E2" w:rsidP="00233A66">
            <w:pPr>
              <w:jc w:val="right"/>
              <w:rPr>
                <w:rFonts w:cs="Arial"/>
                <w:b/>
                <w:bCs/>
                <w:szCs w:val="24"/>
              </w:rPr>
            </w:pPr>
            <w:r w:rsidRPr="00A02AD6">
              <w:rPr>
                <w:rFonts w:cs="Arial"/>
                <w:b/>
                <w:bCs/>
                <w:szCs w:val="24"/>
              </w:rPr>
              <w:t>(228)</w:t>
            </w:r>
          </w:p>
        </w:tc>
        <w:tc>
          <w:tcPr>
            <w:tcW w:w="408" w:type="pct"/>
            <w:shd w:val="clear" w:color="auto" w:fill="auto"/>
            <w:vAlign w:val="center"/>
          </w:tcPr>
          <w:p w14:paraId="7DB1AAA2" w14:textId="26BEDDAD" w:rsidR="00FA18E2" w:rsidRPr="00A02AD6" w:rsidRDefault="00FA18E2" w:rsidP="00233A66">
            <w:pPr>
              <w:jc w:val="right"/>
              <w:rPr>
                <w:rFonts w:cs="Arial"/>
                <w:b/>
                <w:bCs/>
                <w:szCs w:val="24"/>
              </w:rPr>
            </w:pPr>
            <w:r w:rsidRPr="00A02AD6">
              <w:rPr>
                <w:rFonts w:cs="Arial"/>
                <w:b/>
                <w:bCs/>
                <w:szCs w:val="24"/>
              </w:rPr>
              <w:t>14,275</w:t>
            </w:r>
          </w:p>
        </w:tc>
        <w:tc>
          <w:tcPr>
            <w:tcW w:w="409" w:type="pct"/>
            <w:shd w:val="clear" w:color="auto" w:fill="auto"/>
            <w:vAlign w:val="center"/>
          </w:tcPr>
          <w:p w14:paraId="23EBF7E6" w14:textId="709490E5" w:rsidR="00FA18E2" w:rsidRPr="00A02AD6" w:rsidRDefault="00FA18E2" w:rsidP="00233A66">
            <w:pPr>
              <w:jc w:val="right"/>
              <w:rPr>
                <w:rFonts w:cs="Arial"/>
                <w:b/>
                <w:bCs/>
                <w:szCs w:val="24"/>
              </w:rPr>
            </w:pPr>
            <w:r w:rsidRPr="00A02AD6">
              <w:rPr>
                <w:rFonts w:cs="Arial"/>
                <w:b/>
                <w:bCs/>
                <w:szCs w:val="24"/>
              </w:rPr>
              <w:t>14,047</w:t>
            </w:r>
          </w:p>
        </w:tc>
      </w:tr>
      <w:tr w:rsidR="00FA18E2" w:rsidRPr="00B16E84" w14:paraId="4B0A7D01" w14:textId="77777777" w:rsidTr="00233A66">
        <w:tc>
          <w:tcPr>
            <w:tcW w:w="1325" w:type="pct"/>
            <w:shd w:val="clear" w:color="auto" w:fill="auto"/>
          </w:tcPr>
          <w:p w14:paraId="3967B4B8" w14:textId="77777777" w:rsidR="00FA18E2" w:rsidRPr="00534FC6" w:rsidRDefault="00FA18E2" w:rsidP="00FA18E2">
            <w:pPr>
              <w:spacing w:before="240"/>
              <w:rPr>
                <w:rFonts w:cs="Arial"/>
                <w:szCs w:val="24"/>
              </w:rPr>
            </w:pPr>
            <w:r w:rsidRPr="00534FC6">
              <w:rPr>
                <w:rFonts w:cs="Arial"/>
                <w:szCs w:val="24"/>
              </w:rPr>
              <w:t>Transfers (to)/from earmarked reserves</w:t>
            </w:r>
          </w:p>
        </w:tc>
        <w:tc>
          <w:tcPr>
            <w:tcW w:w="398" w:type="pct"/>
            <w:shd w:val="clear" w:color="auto" w:fill="auto"/>
            <w:vAlign w:val="center"/>
          </w:tcPr>
          <w:p w14:paraId="5A8CD4F4" w14:textId="7FA45DD9" w:rsidR="00FA18E2" w:rsidRPr="00534FC6" w:rsidRDefault="00FA18E2" w:rsidP="00233A66">
            <w:pPr>
              <w:spacing w:before="240"/>
              <w:jc w:val="right"/>
              <w:rPr>
                <w:rFonts w:cs="Arial"/>
                <w:szCs w:val="24"/>
              </w:rPr>
            </w:pPr>
            <w:r w:rsidRPr="00534FC6">
              <w:rPr>
                <w:rFonts w:cs="Arial"/>
                <w:szCs w:val="24"/>
              </w:rPr>
              <w:t>690</w:t>
            </w:r>
          </w:p>
        </w:tc>
        <w:tc>
          <w:tcPr>
            <w:tcW w:w="456" w:type="pct"/>
            <w:shd w:val="clear" w:color="auto" w:fill="auto"/>
            <w:vAlign w:val="center"/>
          </w:tcPr>
          <w:p w14:paraId="67D273DF" w14:textId="77777777" w:rsidR="00FA18E2" w:rsidRPr="00534FC6" w:rsidRDefault="00FA18E2" w:rsidP="00233A66">
            <w:pPr>
              <w:spacing w:before="240"/>
              <w:jc w:val="right"/>
              <w:rPr>
                <w:rFonts w:cs="Arial"/>
                <w:szCs w:val="24"/>
              </w:rPr>
            </w:pPr>
            <w:r w:rsidRPr="00534FC6">
              <w:rPr>
                <w:rFonts w:cs="Arial"/>
                <w:szCs w:val="24"/>
              </w:rPr>
              <w:t>(690)</w:t>
            </w:r>
          </w:p>
        </w:tc>
        <w:tc>
          <w:tcPr>
            <w:tcW w:w="397" w:type="pct"/>
            <w:vAlign w:val="center"/>
          </w:tcPr>
          <w:p w14:paraId="0FB42D0C" w14:textId="6FA1B8CC" w:rsidR="00FA18E2" w:rsidRPr="00534FC6" w:rsidRDefault="00FA18E2" w:rsidP="00233A66">
            <w:pPr>
              <w:spacing w:before="240"/>
              <w:jc w:val="right"/>
              <w:rPr>
                <w:rFonts w:cs="Arial"/>
                <w:szCs w:val="24"/>
              </w:rPr>
            </w:pPr>
            <w:r w:rsidRPr="00534FC6">
              <w:rPr>
                <w:rFonts w:cs="Arial"/>
                <w:szCs w:val="24"/>
              </w:rPr>
              <w:t>-</w:t>
            </w:r>
          </w:p>
        </w:tc>
        <w:tc>
          <w:tcPr>
            <w:tcW w:w="402" w:type="pct"/>
            <w:shd w:val="clear" w:color="auto" w:fill="auto"/>
            <w:vAlign w:val="center"/>
          </w:tcPr>
          <w:p w14:paraId="0E30E294" w14:textId="2A3B5A81" w:rsidR="00FA18E2" w:rsidRPr="00534FC6" w:rsidRDefault="00FA18E2" w:rsidP="00233A66">
            <w:pPr>
              <w:spacing w:before="240"/>
              <w:jc w:val="right"/>
              <w:rPr>
                <w:rFonts w:cs="Arial"/>
                <w:szCs w:val="24"/>
              </w:rPr>
            </w:pPr>
            <w:r w:rsidRPr="00534FC6">
              <w:rPr>
                <w:rFonts w:cs="Arial"/>
                <w:szCs w:val="24"/>
              </w:rPr>
              <w:t>-</w:t>
            </w:r>
          </w:p>
        </w:tc>
        <w:tc>
          <w:tcPr>
            <w:tcW w:w="412" w:type="pct"/>
            <w:vAlign w:val="center"/>
          </w:tcPr>
          <w:p w14:paraId="04710A9B" w14:textId="420BCC06" w:rsidR="00FA18E2" w:rsidRPr="00534FC6" w:rsidRDefault="00FA18E2" w:rsidP="00233A66">
            <w:pPr>
              <w:spacing w:before="240"/>
              <w:jc w:val="right"/>
              <w:rPr>
                <w:rFonts w:cs="Arial"/>
                <w:szCs w:val="24"/>
              </w:rPr>
            </w:pPr>
            <w:r w:rsidRPr="00534FC6">
              <w:rPr>
                <w:rFonts w:cs="Arial"/>
                <w:szCs w:val="24"/>
              </w:rPr>
              <w:t>-</w:t>
            </w:r>
          </w:p>
        </w:tc>
        <w:tc>
          <w:tcPr>
            <w:tcW w:w="396" w:type="pct"/>
            <w:shd w:val="clear" w:color="auto" w:fill="auto"/>
            <w:vAlign w:val="center"/>
          </w:tcPr>
          <w:p w14:paraId="7FB090AE" w14:textId="599ECEC1" w:rsidR="00FA18E2" w:rsidRPr="00534FC6" w:rsidRDefault="00FA18E2" w:rsidP="00233A66">
            <w:pPr>
              <w:spacing w:before="240"/>
              <w:jc w:val="right"/>
              <w:rPr>
                <w:rFonts w:cs="Arial"/>
                <w:szCs w:val="24"/>
              </w:rPr>
            </w:pPr>
            <w:r w:rsidRPr="00534FC6">
              <w:rPr>
                <w:rFonts w:cs="Arial"/>
                <w:szCs w:val="24"/>
              </w:rPr>
              <w:t>-</w:t>
            </w:r>
          </w:p>
        </w:tc>
        <w:tc>
          <w:tcPr>
            <w:tcW w:w="397" w:type="pct"/>
            <w:shd w:val="clear" w:color="auto" w:fill="auto"/>
            <w:vAlign w:val="center"/>
          </w:tcPr>
          <w:p w14:paraId="33AB6224" w14:textId="3C6EB461" w:rsidR="00FA18E2" w:rsidRPr="00534FC6" w:rsidRDefault="00FA18E2" w:rsidP="00233A66">
            <w:pPr>
              <w:spacing w:before="240"/>
              <w:jc w:val="right"/>
              <w:rPr>
                <w:rFonts w:cs="Arial"/>
                <w:szCs w:val="24"/>
              </w:rPr>
            </w:pPr>
            <w:r w:rsidRPr="00534FC6">
              <w:rPr>
                <w:rFonts w:cs="Arial"/>
                <w:szCs w:val="24"/>
              </w:rPr>
              <w:t>-</w:t>
            </w:r>
          </w:p>
        </w:tc>
        <w:tc>
          <w:tcPr>
            <w:tcW w:w="408" w:type="pct"/>
            <w:shd w:val="clear" w:color="auto" w:fill="auto"/>
            <w:vAlign w:val="center"/>
          </w:tcPr>
          <w:p w14:paraId="50E0CD87" w14:textId="7E0AC726" w:rsidR="00FA18E2" w:rsidRPr="00534FC6" w:rsidRDefault="00FA18E2" w:rsidP="00233A66">
            <w:pPr>
              <w:spacing w:before="240"/>
              <w:jc w:val="right"/>
              <w:rPr>
                <w:rFonts w:cs="Arial"/>
                <w:szCs w:val="24"/>
              </w:rPr>
            </w:pPr>
            <w:r w:rsidRPr="00534FC6">
              <w:rPr>
                <w:rFonts w:cs="Arial"/>
                <w:szCs w:val="24"/>
              </w:rPr>
              <w:t>-</w:t>
            </w:r>
          </w:p>
        </w:tc>
        <w:tc>
          <w:tcPr>
            <w:tcW w:w="409" w:type="pct"/>
            <w:shd w:val="clear" w:color="auto" w:fill="auto"/>
            <w:vAlign w:val="center"/>
          </w:tcPr>
          <w:p w14:paraId="5B3994B3" w14:textId="16F3A349" w:rsidR="00FA18E2" w:rsidRPr="00534FC6" w:rsidRDefault="00FA18E2" w:rsidP="00233A66">
            <w:pPr>
              <w:spacing w:before="240"/>
              <w:jc w:val="right"/>
              <w:rPr>
                <w:rFonts w:cs="Arial"/>
                <w:szCs w:val="24"/>
              </w:rPr>
            </w:pPr>
            <w:r w:rsidRPr="00534FC6">
              <w:rPr>
                <w:rFonts w:cs="Arial"/>
                <w:szCs w:val="24"/>
              </w:rPr>
              <w:t>-</w:t>
            </w:r>
          </w:p>
        </w:tc>
      </w:tr>
      <w:tr w:rsidR="00FA18E2" w:rsidRPr="00B16E84" w14:paraId="3BB46925" w14:textId="77777777" w:rsidTr="00233A66">
        <w:tc>
          <w:tcPr>
            <w:tcW w:w="1325" w:type="pct"/>
            <w:shd w:val="clear" w:color="auto" w:fill="auto"/>
          </w:tcPr>
          <w:p w14:paraId="6C6A715E" w14:textId="77777777" w:rsidR="00FA18E2" w:rsidRPr="00534FC6" w:rsidRDefault="00FA18E2" w:rsidP="00FA18E2">
            <w:pPr>
              <w:rPr>
                <w:rFonts w:cs="Arial"/>
                <w:szCs w:val="24"/>
              </w:rPr>
            </w:pPr>
            <w:r w:rsidRPr="00534FC6">
              <w:rPr>
                <w:rFonts w:cs="Arial"/>
                <w:szCs w:val="24"/>
              </w:rPr>
              <w:t>Transfers (to)/from capital funding reserve</w:t>
            </w:r>
          </w:p>
        </w:tc>
        <w:tc>
          <w:tcPr>
            <w:tcW w:w="398" w:type="pct"/>
            <w:shd w:val="clear" w:color="auto" w:fill="auto"/>
            <w:vAlign w:val="center"/>
          </w:tcPr>
          <w:p w14:paraId="4A8C1377" w14:textId="77777777" w:rsidR="00FA18E2" w:rsidRPr="00534FC6" w:rsidRDefault="00FA18E2" w:rsidP="00233A66">
            <w:pPr>
              <w:jc w:val="right"/>
              <w:rPr>
                <w:rFonts w:cs="Arial"/>
                <w:szCs w:val="24"/>
              </w:rPr>
            </w:pPr>
            <w:r w:rsidRPr="00534FC6">
              <w:rPr>
                <w:rFonts w:cs="Arial"/>
                <w:szCs w:val="24"/>
              </w:rPr>
              <w:t>(346)</w:t>
            </w:r>
          </w:p>
        </w:tc>
        <w:tc>
          <w:tcPr>
            <w:tcW w:w="456" w:type="pct"/>
            <w:shd w:val="clear" w:color="auto" w:fill="auto"/>
            <w:vAlign w:val="center"/>
          </w:tcPr>
          <w:p w14:paraId="7AD3A0DB" w14:textId="77777777" w:rsidR="00FA18E2" w:rsidRPr="00534FC6" w:rsidRDefault="00FA18E2" w:rsidP="00233A66">
            <w:pPr>
              <w:jc w:val="right"/>
              <w:rPr>
                <w:rFonts w:cs="Arial"/>
                <w:szCs w:val="24"/>
              </w:rPr>
            </w:pPr>
            <w:r w:rsidRPr="00534FC6">
              <w:rPr>
                <w:rFonts w:cs="Arial"/>
                <w:szCs w:val="24"/>
              </w:rPr>
              <w:t>(337)</w:t>
            </w:r>
          </w:p>
        </w:tc>
        <w:tc>
          <w:tcPr>
            <w:tcW w:w="397" w:type="pct"/>
            <w:vAlign w:val="center"/>
          </w:tcPr>
          <w:p w14:paraId="23CEEF97" w14:textId="77777777" w:rsidR="00FA18E2" w:rsidRPr="00534FC6" w:rsidRDefault="00FA18E2" w:rsidP="00233A66">
            <w:pPr>
              <w:jc w:val="right"/>
              <w:rPr>
                <w:rFonts w:cs="Arial"/>
                <w:szCs w:val="24"/>
              </w:rPr>
            </w:pPr>
            <w:r w:rsidRPr="00534FC6">
              <w:rPr>
                <w:rFonts w:cs="Arial"/>
                <w:szCs w:val="24"/>
              </w:rPr>
              <w:t>(683)</w:t>
            </w:r>
          </w:p>
        </w:tc>
        <w:tc>
          <w:tcPr>
            <w:tcW w:w="402" w:type="pct"/>
            <w:shd w:val="clear" w:color="auto" w:fill="auto"/>
            <w:vAlign w:val="center"/>
          </w:tcPr>
          <w:p w14:paraId="54CA3B69" w14:textId="77777777" w:rsidR="00FA18E2" w:rsidRPr="00534FC6" w:rsidRDefault="00FA18E2" w:rsidP="00233A66">
            <w:pPr>
              <w:jc w:val="right"/>
              <w:rPr>
                <w:rFonts w:cs="Arial"/>
                <w:szCs w:val="24"/>
              </w:rPr>
            </w:pPr>
            <w:r w:rsidRPr="00534FC6">
              <w:rPr>
                <w:rFonts w:cs="Arial"/>
                <w:szCs w:val="24"/>
              </w:rPr>
              <w:t>(294)</w:t>
            </w:r>
          </w:p>
        </w:tc>
        <w:tc>
          <w:tcPr>
            <w:tcW w:w="412" w:type="pct"/>
            <w:vAlign w:val="center"/>
          </w:tcPr>
          <w:p w14:paraId="6D5616E4" w14:textId="7E86FBCE" w:rsidR="00FA18E2" w:rsidRPr="00534FC6" w:rsidRDefault="00FA18E2" w:rsidP="00233A66">
            <w:pPr>
              <w:jc w:val="right"/>
              <w:rPr>
                <w:rFonts w:cs="Arial"/>
                <w:szCs w:val="24"/>
              </w:rPr>
            </w:pPr>
            <w:r w:rsidRPr="00534FC6">
              <w:rPr>
                <w:rFonts w:cs="Arial"/>
                <w:szCs w:val="24"/>
              </w:rPr>
              <w:t>-</w:t>
            </w:r>
          </w:p>
        </w:tc>
        <w:tc>
          <w:tcPr>
            <w:tcW w:w="396" w:type="pct"/>
            <w:shd w:val="clear" w:color="auto" w:fill="auto"/>
            <w:vAlign w:val="center"/>
          </w:tcPr>
          <w:p w14:paraId="1AB90A50" w14:textId="1B77098C" w:rsidR="00FA18E2" w:rsidRPr="00534FC6" w:rsidRDefault="00FA18E2" w:rsidP="00233A66">
            <w:pPr>
              <w:jc w:val="right"/>
              <w:rPr>
                <w:rFonts w:cs="Arial"/>
                <w:szCs w:val="24"/>
              </w:rPr>
            </w:pPr>
            <w:r w:rsidRPr="00534FC6">
              <w:rPr>
                <w:rFonts w:cs="Arial"/>
                <w:szCs w:val="24"/>
              </w:rPr>
              <w:t>-</w:t>
            </w:r>
          </w:p>
        </w:tc>
        <w:tc>
          <w:tcPr>
            <w:tcW w:w="397" w:type="pct"/>
            <w:shd w:val="clear" w:color="auto" w:fill="auto"/>
            <w:vAlign w:val="center"/>
          </w:tcPr>
          <w:p w14:paraId="47CD5EAD" w14:textId="77777777" w:rsidR="00FA18E2" w:rsidRPr="00534FC6" w:rsidRDefault="00FA18E2" w:rsidP="00233A66">
            <w:pPr>
              <w:jc w:val="right"/>
              <w:rPr>
                <w:rFonts w:cs="Arial"/>
                <w:szCs w:val="24"/>
              </w:rPr>
            </w:pPr>
            <w:r w:rsidRPr="00534FC6">
              <w:rPr>
                <w:rFonts w:cs="Arial"/>
                <w:szCs w:val="24"/>
              </w:rPr>
              <w:t>(977)</w:t>
            </w:r>
          </w:p>
        </w:tc>
        <w:tc>
          <w:tcPr>
            <w:tcW w:w="408" w:type="pct"/>
            <w:shd w:val="clear" w:color="auto" w:fill="auto"/>
            <w:vAlign w:val="center"/>
          </w:tcPr>
          <w:p w14:paraId="2CB5F4DB" w14:textId="2AEDDCB9" w:rsidR="00FA18E2" w:rsidRPr="00534FC6" w:rsidRDefault="00FA18E2" w:rsidP="00233A66">
            <w:pPr>
              <w:jc w:val="right"/>
              <w:rPr>
                <w:rFonts w:cs="Arial"/>
                <w:szCs w:val="24"/>
              </w:rPr>
            </w:pPr>
            <w:r w:rsidRPr="00534FC6">
              <w:rPr>
                <w:rFonts w:cs="Arial"/>
                <w:szCs w:val="24"/>
              </w:rPr>
              <w:t>977</w:t>
            </w:r>
          </w:p>
        </w:tc>
        <w:tc>
          <w:tcPr>
            <w:tcW w:w="409" w:type="pct"/>
            <w:shd w:val="clear" w:color="auto" w:fill="auto"/>
            <w:vAlign w:val="center"/>
          </w:tcPr>
          <w:p w14:paraId="5B7F3F83" w14:textId="65AF73A0" w:rsidR="00FA18E2" w:rsidRPr="00534FC6" w:rsidRDefault="00FA18E2" w:rsidP="00233A66">
            <w:pPr>
              <w:jc w:val="right"/>
              <w:rPr>
                <w:rFonts w:cs="Arial"/>
                <w:szCs w:val="24"/>
              </w:rPr>
            </w:pPr>
            <w:r w:rsidRPr="00534FC6">
              <w:rPr>
                <w:rFonts w:cs="Arial"/>
                <w:szCs w:val="24"/>
              </w:rPr>
              <w:t>-</w:t>
            </w:r>
          </w:p>
        </w:tc>
      </w:tr>
      <w:tr w:rsidR="00FA18E2" w:rsidRPr="00B16E84" w14:paraId="624E3286" w14:textId="77777777" w:rsidTr="00233A66">
        <w:tc>
          <w:tcPr>
            <w:tcW w:w="1325" w:type="pct"/>
            <w:shd w:val="clear" w:color="auto" w:fill="auto"/>
          </w:tcPr>
          <w:p w14:paraId="13328124" w14:textId="77777777" w:rsidR="00FA18E2" w:rsidRPr="00534FC6" w:rsidRDefault="00FA18E2" w:rsidP="00FA18E2">
            <w:pPr>
              <w:rPr>
                <w:rFonts w:cs="Arial"/>
                <w:szCs w:val="24"/>
              </w:rPr>
            </w:pPr>
            <w:r w:rsidRPr="00534FC6">
              <w:rPr>
                <w:rFonts w:cs="Arial"/>
                <w:szCs w:val="24"/>
              </w:rPr>
              <w:t>Transfers (to)/from accumulated absences adjustment account</w:t>
            </w:r>
          </w:p>
        </w:tc>
        <w:tc>
          <w:tcPr>
            <w:tcW w:w="398" w:type="pct"/>
            <w:shd w:val="clear" w:color="auto" w:fill="auto"/>
            <w:vAlign w:val="center"/>
          </w:tcPr>
          <w:p w14:paraId="13910D9C" w14:textId="77777777" w:rsidR="00FA18E2" w:rsidRPr="00534FC6" w:rsidRDefault="00FA18E2" w:rsidP="00233A66">
            <w:pPr>
              <w:jc w:val="right"/>
              <w:rPr>
                <w:rFonts w:cs="Arial"/>
                <w:szCs w:val="24"/>
              </w:rPr>
            </w:pPr>
            <w:r w:rsidRPr="00534FC6">
              <w:rPr>
                <w:rFonts w:cs="Arial"/>
                <w:szCs w:val="24"/>
              </w:rPr>
              <w:t>(102)</w:t>
            </w:r>
          </w:p>
        </w:tc>
        <w:tc>
          <w:tcPr>
            <w:tcW w:w="456" w:type="pct"/>
            <w:shd w:val="clear" w:color="auto" w:fill="auto"/>
            <w:vAlign w:val="center"/>
          </w:tcPr>
          <w:p w14:paraId="3EC3D0BF" w14:textId="40B5EF24" w:rsidR="00FA18E2" w:rsidRPr="00534FC6" w:rsidRDefault="00FA18E2" w:rsidP="00233A66">
            <w:pPr>
              <w:jc w:val="right"/>
              <w:rPr>
                <w:rFonts w:cs="Arial"/>
                <w:szCs w:val="24"/>
              </w:rPr>
            </w:pPr>
            <w:r w:rsidRPr="00534FC6">
              <w:rPr>
                <w:rFonts w:cs="Arial"/>
                <w:szCs w:val="24"/>
              </w:rPr>
              <w:t>-</w:t>
            </w:r>
          </w:p>
        </w:tc>
        <w:tc>
          <w:tcPr>
            <w:tcW w:w="397" w:type="pct"/>
            <w:vAlign w:val="center"/>
          </w:tcPr>
          <w:p w14:paraId="792BF644" w14:textId="77777777" w:rsidR="00FA18E2" w:rsidRPr="00534FC6" w:rsidRDefault="00FA18E2" w:rsidP="00233A66">
            <w:pPr>
              <w:jc w:val="right"/>
              <w:rPr>
                <w:rFonts w:cs="Arial"/>
                <w:szCs w:val="24"/>
              </w:rPr>
            </w:pPr>
            <w:r w:rsidRPr="00534FC6">
              <w:rPr>
                <w:rFonts w:cs="Arial"/>
                <w:szCs w:val="24"/>
              </w:rPr>
              <w:t>(102)</w:t>
            </w:r>
          </w:p>
        </w:tc>
        <w:tc>
          <w:tcPr>
            <w:tcW w:w="402" w:type="pct"/>
            <w:shd w:val="clear" w:color="auto" w:fill="auto"/>
            <w:vAlign w:val="center"/>
          </w:tcPr>
          <w:p w14:paraId="26938877" w14:textId="1EA40329" w:rsidR="00FA18E2" w:rsidRPr="00534FC6" w:rsidRDefault="00FA18E2" w:rsidP="00233A66">
            <w:pPr>
              <w:jc w:val="right"/>
              <w:rPr>
                <w:rFonts w:cs="Arial"/>
                <w:szCs w:val="24"/>
              </w:rPr>
            </w:pPr>
            <w:r w:rsidRPr="00534FC6">
              <w:rPr>
                <w:rFonts w:cs="Arial"/>
                <w:szCs w:val="24"/>
              </w:rPr>
              <w:t>-</w:t>
            </w:r>
          </w:p>
        </w:tc>
        <w:tc>
          <w:tcPr>
            <w:tcW w:w="412" w:type="pct"/>
            <w:vAlign w:val="center"/>
          </w:tcPr>
          <w:p w14:paraId="04E6F727" w14:textId="1519EF86" w:rsidR="00FA18E2" w:rsidRPr="00534FC6" w:rsidRDefault="00FA18E2" w:rsidP="00233A66">
            <w:pPr>
              <w:jc w:val="right"/>
              <w:rPr>
                <w:rFonts w:cs="Arial"/>
                <w:szCs w:val="24"/>
              </w:rPr>
            </w:pPr>
            <w:r w:rsidRPr="00534FC6">
              <w:rPr>
                <w:rFonts w:cs="Arial"/>
                <w:szCs w:val="24"/>
              </w:rPr>
              <w:t>-</w:t>
            </w:r>
          </w:p>
        </w:tc>
        <w:tc>
          <w:tcPr>
            <w:tcW w:w="396" w:type="pct"/>
            <w:shd w:val="clear" w:color="auto" w:fill="auto"/>
            <w:vAlign w:val="center"/>
          </w:tcPr>
          <w:p w14:paraId="2BA4564E" w14:textId="1F06A0ED" w:rsidR="00FA18E2" w:rsidRPr="00534FC6" w:rsidRDefault="00FA18E2" w:rsidP="00233A66">
            <w:pPr>
              <w:jc w:val="right"/>
              <w:rPr>
                <w:rFonts w:cs="Arial"/>
                <w:szCs w:val="24"/>
              </w:rPr>
            </w:pPr>
            <w:r w:rsidRPr="00534FC6">
              <w:rPr>
                <w:rFonts w:cs="Arial"/>
                <w:szCs w:val="24"/>
              </w:rPr>
              <w:t>-</w:t>
            </w:r>
          </w:p>
        </w:tc>
        <w:tc>
          <w:tcPr>
            <w:tcW w:w="397" w:type="pct"/>
            <w:shd w:val="clear" w:color="auto" w:fill="auto"/>
            <w:vAlign w:val="center"/>
          </w:tcPr>
          <w:p w14:paraId="5A8FBE95" w14:textId="77777777" w:rsidR="00FA18E2" w:rsidRPr="00534FC6" w:rsidRDefault="00FA18E2" w:rsidP="00233A66">
            <w:pPr>
              <w:jc w:val="right"/>
              <w:rPr>
                <w:rFonts w:cs="Arial"/>
                <w:szCs w:val="24"/>
              </w:rPr>
            </w:pPr>
            <w:r w:rsidRPr="00534FC6">
              <w:rPr>
                <w:rFonts w:cs="Arial"/>
                <w:szCs w:val="24"/>
              </w:rPr>
              <w:t>(102)</w:t>
            </w:r>
          </w:p>
        </w:tc>
        <w:tc>
          <w:tcPr>
            <w:tcW w:w="408" w:type="pct"/>
            <w:shd w:val="clear" w:color="auto" w:fill="auto"/>
            <w:vAlign w:val="center"/>
          </w:tcPr>
          <w:p w14:paraId="578F4892" w14:textId="47C9FCA3" w:rsidR="00FA18E2" w:rsidRPr="00534FC6" w:rsidRDefault="00FA18E2" w:rsidP="00233A66">
            <w:pPr>
              <w:jc w:val="right"/>
              <w:rPr>
                <w:rFonts w:cs="Arial"/>
                <w:szCs w:val="24"/>
              </w:rPr>
            </w:pPr>
            <w:r w:rsidRPr="00534FC6">
              <w:rPr>
                <w:rFonts w:cs="Arial"/>
                <w:szCs w:val="24"/>
              </w:rPr>
              <w:t>102</w:t>
            </w:r>
          </w:p>
        </w:tc>
        <w:tc>
          <w:tcPr>
            <w:tcW w:w="409" w:type="pct"/>
            <w:shd w:val="clear" w:color="auto" w:fill="auto"/>
            <w:vAlign w:val="center"/>
          </w:tcPr>
          <w:p w14:paraId="2EDFFF34" w14:textId="5913BFBC" w:rsidR="00FA18E2" w:rsidRPr="00534FC6" w:rsidRDefault="00FA18E2" w:rsidP="00233A66">
            <w:pPr>
              <w:jc w:val="right"/>
              <w:rPr>
                <w:rFonts w:cs="Arial"/>
                <w:szCs w:val="24"/>
              </w:rPr>
            </w:pPr>
            <w:r w:rsidRPr="00534FC6">
              <w:rPr>
                <w:rFonts w:cs="Arial"/>
                <w:szCs w:val="24"/>
              </w:rPr>
              <w:t>-</w:t>
            </w:r>
          </w:p>
        </w:tc>
      </w:tr>
      <w:tr w:rsidR="00FA18E2" w:rsidRPr="00B16E84" w14:paraId="65FF5D1E" w14:textId="77777777" w:rsidTr="00233A66">
        <w:tc>
          <w:tcPr>
            <w:tcW w:w="1325" w:type="pct"/>
            <w:shd w:val="clear" w:color="auto" w:fill="auto"/>
          </w:tcPr>
          <w:p w14:paraId="6CF52734" w14:textId="77777777" w:rsidR="00FA18E2" w:rsidRPr="00A02AD6" w:rsidRDefault="00FA18E2" w:rsidP="00FA18E2">
            <w:pPr>
              <w:rPr>
                <w:rFonts w:cs="Arial"/>
                <w:b/>
                <w:bCs/>
                <w:szCs w:val="24"/>
              </w:rPr>
            </w:pPr>
            <w:r w:rsidRPr="00A02AD6">
              <w:rPr>
                <w:rFonts w:cs="Arial"/>
                <w:b/>
                <w:bCs/>
                <w:szCs w:val="24"/>
              </w:rPr>
              <w:t xml:space="preserve">Net </w:t>
            </w:r>
            <w:proofErr w:type="spellStart"/>
            <w:r w:rsidRPr="00A02AD6">
              <w:rPr>
                <w:rFonts w:cs="Arial"/>
                <w:b/>
                <w:bCs/>
                <w:szCs w:val="24"/>
              </w:rPr>
              <w:t>tfr</w:t>
            </w:r>
            <w:proofErr w:type="spellEnd"/>
            <w:r w:rsidRPr="00A02AD6">
              <w:rPr>
                <w:rFonts w:cs="Arial"/>
                <w:b/>
                <w:bCs/>
                <w:szCs w:val="24"/>
              </w:rPr>
              <w:t xml:space="preserve"> (to)/from earmarked reserves</w:t>
            </w:r>
          </w:p>
        </w:tc>
        <w:tc>
          <w:tcPr>
            <w:tcW w:w="398" w:type="pct"/>
            <w:shd w:val="clear" w:color="auto" w:fill="auto"/>
            <w:vAlign w:val="center"/>
          </w:tcPr>
          <w:p w14:paraId="13EDDEA5" w14:textId="4896C0DC" w:rsidR="00FA18E2" w:rsidRPr="00A02AD6" w:rsidRDefault="00FA18E2" w:rsidP="00233A66">
            <w:pPr>
              <w:jc w:val="right"/>
              <w:rPr>
                <w:rFonts w:cs="Arial"/>
                <w:b/>
                <w:bCs/>
                <w:szCs w:val="24"/>
              </w:rPr>
            </w:pPr>
            <w:r w:rsidRPr="00A02AD6">
              <w:rPr>
                <w:rFonts w:cs="Arial"/>
                <w:b/>
                <w:bCs/>
                <w:szCs w:val="24"/>
              </w:rPr>
              <w:t>242</w:t>
            </w:r>
          </w:p>
        </w:tc>
        <w:tc>
          <w:tcPr>
            <w:tcW w:w="456" w:type="pct"/>
            <w:shd w:val="clear" w:color="auto" w:fill="auto"/>
            <w:vAlign w:val="center"/>
          </w:tcPr>
          <w:p w14:paraId="27831105" w14:textId="77777777" w:rsidR="00FA18E2" w:rsidRPr="00A02AD6" w:rsidRDefault="00FA18E2" w:rsidP="00233A66">
            <w:pPr>
              <w:jc w:val="right"/>
              <w:rPr>
                <w:rFonts w:cs="Arial"/>
                <w:b/>
                <w:bCs/>
                <w:szCs w:val="24"/>
              </w:rPr>
            </w:pPr>
            <w:r w:rsidRPr="00A02AD6">
              <w:rPr>
                <w:rFonts w:cs="Arial"/>
                <w:b/>
                <w:bCs/>
                <w:szCs w:val="24"/>
              </w:rPr>
              <w:t>(1,027)</w:t>
            </w:r>
          </w:p>
        </w:tc>
        <w:tc>
          <w:tcPr>
            <w:tcW w:w="397" w:type="pct"/>
            <w:vAlign w:val="center"/>
          </w:tcPr>
          <w:p w14:paraId="6A30C5AE" w14:textId="77777777" w:rsidR="00FA18E2" w:rsidRPr="00A02AD6" w:rsidRDefault="00FA18E2" w:rsidP="00233A66">
            <w:pPr>
              <w:jc w:val="right"/>
              <w:rPr>
                <w:rFonts w:cs="Arial"/>
                <w:b/>
                <w:bCs/>
                <w:szCs w:val="24"/>
              </w:rPr>
            </w:pPr>
            <w:r w:rsidRPr="00A02AD6">
              <w:rPr>
                <w:rFonts w:cs="Arial"/>
                <w:b/>
                <w:bCs/>
                <w:szCs w:val="24"/>
              </w:rPr>
              <w:t>(785)</w:t>
            </w:r>
          </w:p>
        </w:tc>
        <w:tc>
          <w:tcPr>
            <w:tcW w:w="402" w:type="pct"/>
            <w:shd w:val="clear" w:color="auto" w:fill="auto"/>
            <w:vAlign w:val="center"/>
          </w:tcPr>
          <w:p w14:paraId="6C1C8E62" w14:textId="77777777" w:rsidR="00FA18E2" w:rsidRPr="00A02AD6" w:rsidRDefault="00FA18E2" w:rsidP="00233A66">
            <w:pPr>
              <w:jc w:val="right"/>
              <w:rPr>
                <w:rFonts w:cs="Arial"/>
                <w:b/>
                <w:bCs/>
                <w:szCs w:val="24"/>
              </w:rPr>
            </w:pPr>
            <w:r w:rsidRPr="00A02AD6">
              <w:rPr>
                <w:rFonts w:cs="Arial"/>
                <w:b/>
                <w:bCs/>
                <w:szCs w:val="24"/>
              </w:rPr>
              <w:t>(294)</w:t>
            </w:r>
          </w:p>
        </w:tc>
        <w:tc>
          <w:tcPr>
            <w:tcW w:w="412" w:type="pct"/>
            <w:vAlign w:val="center"/>
          </w:tcPr>
          <w:p w14:paraId="1E8F2E34" w14:textId="128E7B0C" w:rsidR="00FA18E2" w:rsidRPr="00A02AD6" w:rsidRDefault="00FA18E2" w:rsidP="00233A66">
            <w:pPr>
              <w:jc w:val="right"/>
              <w:rPr>
                <w:rFonts w:cs="Arial"/>
                <w:b/>
                <w:bCs/>
                <w:szCs w:val="24"/>
              </w:rPr>
            </w:pPr>
            <w:r w:rsidRPr="00A02AD6">
              <w:rPr>
                <w:rFonts w:cs="Arial"/>
                <w:b/>
                <w:bCs/>
                <w:szCs w:val="24"/>
              </w:rPr>
              <w:t>-</w:t>
            </w:r>
          </w:p>
        </w:tc>
        <w:tc>
          <w:tcPr>
            <w:tcW w:w="396" w:type="pct"/>
            <w:shd w:val="clear" w:color="auto" w:fill="auto"/>
            <w:vAlign w:val="center"/>
          </w:tcPr>
          <w:p w14:paraId="75EC4A3E" w14:textId="5DD1ABB7" w:rsidR="00FA18E2" w:rsidRPr="00A02AD6" w:rsidRDefault="00FA18E2" w:rsidP="00233A66">
            <w:pPr>
              <w:jc w:val="right"/>
              <w:rPr>
                <w:rFonts w:cs="Arial"/>
                <w:b/>
                <w:bCs/>
                <w:szCs w:val="24"/>
              </w:rPr>
            </w:pPr>
            <w:r w:rsidRPr="00A02AD6">
              <w:rPr>
                <w:rFonts w:cs="Arial"/>
                <w:b/>
                <w:bCs/>
                <w:szCs w:val="24"/>
              </w:rPr>
              <w:t>-</w:t>
            </w:r>
          </w:p>
        </w:tc>
        <w:tc>
          <w:tcPr>
            <w:tcW w:w="397" w:type="pct"/>
            <w:shd w:val="clear" w:color="auto" w:fill="auto"/>
            <w:vAlign w:val="center"/>
          </w:tcPr>
          <w:p w14:paraId="04E92610" w14:textId="77777777" w:rsidR="00FA18E2" w:rsidRPr="00A02AD6" w:rsidRDefault="00FA18E2" w:rsidP="00233A66">
            <w:pPr>
              <w:jc w:val="right"/>
              <w:rPr>
                <w:rFonts w:cs="Arial"/>
                <w:b/>
                <w:bCs/>
                <w:szCs w:val="24"/>
              </w:rPr>
            </w:pPr>
            <w:r w:rsidRPr="00A02AD6">
              <w:rPr>
                <w:rFonts w:cs="Arial"/>
                <w:b/>
                <w:bCs/>
                <w:szCs w:val="24"/>
              </w:rPr>
              <w:t>(1,079)</w:t>
            </w:r>
          </w:p>
        </w:tc>
        <w:tc>
          <w:tcPr>
            <w:tcW w:w="408" w:type="pct"/>
            <w:shd w:val="clear" w:color="auto" w:fill="auto"/>
            <w:vAlign w:val="center"/>
          </w:tcPr>
          <w:p w14:paraId="7F65D8E6" w14:textId="0256676A" w:rsidR="00FA18E2" w:rsidRPr="00A02AD6" w:rsidRDefault="00FA18E2" w:rsidP="00233A66">
            <w:pPr>
              <w:jc w:val="right"/>
              <w:rPr>
                <w:rFonts w:cs="Arial"/>
                <w:b/>
                <w:bCs/>
                <w:szCs w:val="24"/>
              </w:rPr>
            </w:pPr>
            <w:r w:rsidRPr="00A02AD6">
              <w:rPr>
                <w:rFonts w:cs="Arial"/>
                <w:b/>
                <w:bCs/>
                <w:szCs w:val="24"/>
              </w:rPr>
              <w:t>1,079</w:t>
            </w:r>
          </w:p>
        </w:tc>
        <w:tc>
          <w:tcPr>
            <w:tcW w:w="409" w:type="pct"/>
            <w:shd w:val="clear" w:color="auto" w:fill="auto"/>
            <w:vAlign w:val="center"/>
          </w:tcPr>
          <w:p w14:paraId="013EEC64" w14:textId="131DB31E" w:rsidR="00FA18E2" w:rsidRPr="00A02AD6" w:rsidRDefault="00FA18E2" w:rsidP="00233A66">
            <w:pPr>
              <w:jc w:val="right"/>
              <w:rPr>
                <w:rFonts w:cs="Arial"/>
                <w:b/>
                <w:bCs/>
                <w:szCs w:val="24"/>
              </w:rPr>
            </w:pPr>
            <w:r w:rsidRPr="00A02AD6">
              <w:rPr>
                <w:rFonts w:cs="Arial"/>
                <w:b/>
                <w:bCs/>
                <w:szCs w:val="24"/>
              </w:rPr>
              <w:t>-</w:t>
            </w:r>
          </w:p>
        </w:tc>
      </w:tr>
      <w:tr w:rsidR="00FA18E2" w:rsidRPr="00B16E84" w14:paraId="70C2F243" w14:textId="77777777" w:rsidTr="00233A66">
        <w:tc>
          <w:tcPr>
            <w:tcW w:w="1325" w:type="pct"/>
            <w:shd w:val="clear" w:color="auto" w:fill="auto"/>
          </w:tcPr>
          <w:p w14:paraId="79FEF973" w14:textId="77777777" w:rsidR="00FA18E2" w:rsidRPr="00534FC6" w:rsidRDefault="00FA18E2" w:rsidP="00FA18E2">
            <w:pPr>
              <w:rPr>
                <w:rFonts w:cs="Arial"/>
                <w:szCs w:val="24"/>
              </w:rPr>
            </w:pPr>
            <w:r w:rsidRPr="00534FC6">
              <w:rPr>
                <w:rFonts w:cs="Arial"/>
                <w:szCs w:val="24"/>
              </w:rPr>
              <w:t>Increase/(Decrease) in the year</w:t>
            </w:r>
          </w:p>
        </w:tc>
        <w:tc>
          <w:tcPr>
            <w:tcW w:w="398" w:type="pct"/>
            <w:shd w:val="clear" w:color="auto" w:fill="auto"/>
            <w:vAlign w:val="center"/>
          </w:tcPr>
          <w:p w14:paraId="45B49A20" w14:textId="09E4A89C" w:rsidR="00FA18E2" w:rsidRPr="00534FC6" w:rsidRDefault="00FA18E2" w:rsidP="00233A66">
            <w:pPr>
              <w:jc w:val="right"/>
              <w:rPr>
                <w:rFonts w:cs="Arial"/>
                <w:szCs w:val="24"/>
              </w:rPr>
            </w:pPr>
            <w:r w:rsidRPr="00534FC6">
              <w:rPr>
                <w:rFonts w:cs="Arial"/>
                <w:szCs w:val="24"/>
              </w:rPr>
              <w:t>73</w:t>
            </w:r>
          </w:p>
        </w:tc>
        <w:tc>
          <w:tcPr>
            <w:tcW w:w="456" w:type="pct"/>
            <w:shd w:val="clear" w:color="auto" w:fill="auto"/>
            <w:vAlign w:val="center"/>
          </w:tcPr>
          <w:p w14:paraId="3C89A673" w14:textId="77777777" w:rsidR="00FA18E2" w:rsidRPr="00534FC6" w:rsidRDefault="00FA18E2" w:rsidP="00233A66">
            <w:pPr>
              <w:jc w:val="right"/>
              <w:rPr>
                <w:rFonts w:cs="Arial"/>
                <w:szCs w:val="24"/>
              </w:rPr>
            </w:pPr>
            <w:r w:rsidRPr="00534FC6">
              <w:rPr>
                <w:rFonts w:cs="Arial"/>
                <w:szCs w:val="24"/>
              </w:rPr>
              <w:t>(1,027)</w:t>
            </w:r>
          </w:p>
        </w:tc>
        <w:tc>
          <w:tcPr>
            <w:tcW w:w="397" w:type="pct"/>
            <w:vAlign w:val="center"/>
          </w:tcPr>
          <w:p w14:paraId="07C3680A" w14:textId="77777777" w:rsidR="00FA18E2" w:rsidRPr="00534FC6" w:rsidRDefault="00FA18E2" w:rsidP="00233A66">
            <w:pPr>
              <w:jc w:val="right"/>
              <w:rPr>
                <w:rFonts w:cs="Arial"/>
                <w:szCs w:val="24"/>
              </w:rPr>
            </w:pPr>
            <w:r w:rsidRPr="00534FC6">
              <w:rPr>
                <w:rFonts w:cs="Arial"/>
                <w:szCs w:val="24"/>
              </w:rPr>
              <w:t>(954)</w:t>
            </w:r>
          </w:p>
        </w:tc>
        <w:tc>
          <w:tcPr>
            <w:tcW w:w="402" w:type="pct"/>
            <w:shd w:val="clear" w:color="auto" w:fill="auto"/>
            <w:vAlign w:val="center"/>
          </w:tcPr>
          <w:p w14:paraId="6E7B0E70" w14:textId="77777777" w:rsidR="00FA18E2" w:rsidRPr="00534FC6" w:rsidRDefault="00FA18E2" w:rsidP="00233A66">
            <w:pPr>
              <w:jc w:val="right"/>
              <w:rPr>
                <w:rFonts w:cs="Arial"/>
                <w:szCs w:val="24"/>
              </w:rPr>
            </w:pPr>
            <w:r w:rsidRPr="00534FC6">
              <w:rPr>
                <w:rFonts w:cs="Arial"/>
                <w:szCs w:val="24"/>
              </w:rPr>
              <w:t>(294)</w:t>
            </w:r>
          </w:p>
        </w:tc>
        <w:tc>
          <w:tcPr>
            <w:tcW w:w="412" w:type="pct"/>
            <w:vAlign w:val="center"/>
          </w:tcPr>
          <w:p w14:paraId="01E5D17B" w14:textId="77777777" w:rsidR="00FA18E2" w:rsidRPr="00534FC6" w:rsidRDefault="00FA18E2" w:rsidP="00233A66">
            <w:pPr>
              <w:jc w:val="right"/>
              <w:rPr>
                <w:rFonts w:cs="Arial"/>
                <w:szCs w:val="24"/>
              </w:rPr>
            </w:pPr>
            <w:r w:rsidRPr="00534FC6">
              <w:rPr>
                <w:rFonts w:cs="Arial"/>
                <w:szCs w:val="24"/>
              </w:rPr>
              <w:t>(61)</w:t>
            </w:r>
          </w:p>
        </w:tc>
        <w:tc>
          <w:tcPr>
            <w:tcW w:w="396" w:type="pct"/>
            <w:shd w:val="clear" w:color="auto" w:fill="auto"/>
            <w:vAlign w:val="center"/>
          </w:tcPr>
          <w:p w14:paraId="68A219A6" w14:textId="417E8F67" w:rsidR="00FA18E2" w:rsidRPr="00534FC6" w:rsidRDefault="00FA18E2" w:rsidP="00233A66">
            <w:pPr>
              <w:jc w:val="right"/>
              <w:rPr>
                <w:rFonts w:cs="Arial"/>
                <w:szCs w:val="24"/>
              </w:rPr>
            </w:pPr>
            <w:r w:rsidRPr="00534FC6">
              <w:rPr>
                <w:rFonts w:cs="Arial"/>
                <w:szCs w:val="24"/>
              </w:rPr>
              <w:t>3</w:t>
            </w:r>
          </w:p>
        </w:tc>
        <w:tc>
          <w:tcPr>
            <w:tcW w:w="397" w:type="pct"/>
            <w:shd w:val="clear" w:color="auto" w:fill="auto"/>
            <w:vAlign w:val="center"/>
          </w:tcPr>
          <w:p w14:paraId="2DBED777" w14:textId="6039E6ED" w:rsidR="00FA18E2" w:rsidRPr="00534FC6" w:rsidRDefault="00FA18E2" w:rsidP="00233A66">
            <w:pPr>
              <w:jc w:val="right"/>
              <w:rPr>
                <w:rFonts w:cs="Arial"/>
                <w:szCs w:val="24"/>
              </w:rPr>
            </w:pPr>
            <w:r w:rsidRPr="00534FC6">
              <w:rPr>
                <w:rFonts w:cs="Arial"/>
                <w:szCs w:val="24"/>
              </w:rPr>
              <w:t>(1,306)</w:t>
            </w:r>
          </w:p>
        </w:tc>
        <w:tc>
          <w:tcPr>
            <w:tcW w:w="408" w:type="pct"/>
            <w:shd w:val="clear" w:color="auto" w:fill="auto"/>
            <w:vAlign w:val="center"/>
          </w:tcPr>
          <w:p w14:paraId="0D5CB8C4" w14:textId="2F504998" w:rsidR="00FA18E2" w:rsidRPr="00534FC6" w:rsidRDefault="00FA18E2" w:rsidP="00233A66">
            <w:pPr>
              <w:jc w:val="right"/>
              <w:rPr>
                <w:rFonts w:cs="Arial"/>
                <w:szCs w:val="24"/>
              </w:rPr>
            </w:pPr>
            <w:r w:rsidRPr="00534FC6">
              <w:rPr>
                <w:rFonts w:cs="Arial"/>
                <w:szCs w:val="24"/>
              </w:rPr>
              <w:t>15,351</w:t>
            </w:r>
          </w:p>
        </w:tc>
        <w:tc>
          <w:tcPr>
            <w:tcW w:w="409" w:type="pct"/>
            <w:shd w:val="clear" w:color="auto" w:fill="auto"/>
            <w:vAlign w:val="center"/>
          </w:tcPr>
          <w:p w14:paraId="3928E416" w14:textId="2484373C" w:rsidR="00FA18E2" w:rsidRPr="00534FC6" w:rsidRDefault="00FA18E2" w:rsidP="00233A66">
            <w:pPr>
              <w:jc w:val="right"/>
              <w:rPr>
                <w:rFonts w:cs="Arial"/>
                <w:szCs w:val="24"/>
              </w:rPr>
            </w:pPr>
            <w:r w:rsidRPr="00534FC6">
              <w:rPr>
                <w:rFonts w:cs="Arial"/>
                <w:szCs w:val="24"/>
              </w:rPr>
              <w:t>14,047</w:t>
            </w:r>
          </w:p>
        </w:tc>
      </w:tr>
      <w:tr w:rsidR="00FA18E2" w:rsidRPr="00AF3DCD" w14:paraId="1F5AB8FA" w14:textId="77777777" w:rsidTr="00233A66">
        <w:tc>
          <w:tcPr>
            <w:tcW w:w="1325" w:type="pct"/>
            <w:shd w:val="clear" w:color="auto" w:fill="auto"/>
          </w:tcPr>
          <w:p w14:paraId="61F7BA7C" w14:textId="77777777" w:rsidR="00FA18E2" w:rsidRPr="00A02AD6" w:rsidRDefault="00FA18E2" w:rsidP="00FA18E2">
            <w:pPr>
              <w:rPr>
                <w:rFonts w:cs="Arial"/>
                <w:b/>
                <w:bCs/>
                <w:szCs w:val="24"/>
              </w:rPr>
            </w:pPr>
            <w:r w:rsidRPr="00A02AD6">
              <w:rPr>
                <w:rFonts w:cs="Arial"/>
                <w:b/>
                <w:bCs/>
                <w:szCs w:val="24"/>
              </w:rPr>
              <w:t xml:space="preserve">Balance </w:t>
            </w:r>
            <w:proofErr w:type="gramStart"/>
            <w:r w:rsidRPr="00A02AD6">
              <w:rPr>
                <w:rFonts w:cs="Arial"/>
                <w:b/>
                <w:bCs/>
                <w:szCs w:val="24"/>
              </w:rPr>
              <w:t>at</w:t>
            </w:r>
            <w:proofErr w:type="gramEnd"/>
            <w:r w:rsidRPr="00A02AD6">
              <w:rPr>
                <w:rFonts w:cs="Arial"/>
                <w:b/>
                <w:bCs/>
                <w:szCs w:val="24"/>
              </w:rPr>
              <w:t xml:space="preserve"> 31 March 2022 carried forwards</w:t>
            </w:r>
          </w:p>
        </w:tc>
        <w:tc>
          <w:tcPr>
            <w:tcW w:w="398" w:type="pct"/>
            <w:shd w:val="clear" w:color="auto" w:fill="auto"/>
            <w:vAlign w:val="center"/>
          </w:tcPr>
          <w:p w14:paraId="77BA1FC1" w14:textId="7E29CE42" w:rsidR="00FA18E2" w:rsidRPr="00A02AD6" w:rsidRDefault="00FA18E2" w:rsidP="00233A66">
            <w:pPr>
              <w:jc w:val="right"/>
              <w:rPr>
                <w:rFonts w:cs="Arial"/>
                <w:b/>
                <w:bCs/>
                <w:szCs w:val="24"/>
              </w:rPr>
            </w:pPr>
            <w:r w:rsidRPr="00A02AD6">
              <w:rPr>
                <w:rFonts w:cs="Arial"/>
                <w:b/>
                <w:bCs/>
                <w:szCs w:val="24"/>
              </w:rPr>
              <w:t>6,536</w:t>
            </w:r>
          </w:p>
        </w:tc>
        <w:tc>
          <w:tcPr>
            <w:tcW w:w="456" w:type="pct"/>
            <w:shd w:val="clear" w:color="auto" w:fill="auto"/>
            <w:vAlign w:val="center"/>
          </w:tcPr>
          <w:p w14:paraId="3A6120DB" w14:textId="76590620" w:rsidR="00FA18E2" w:rsidRPr="00A02AD6" w:rsidRDefault="00FA18E2" w:rsidP="00233A66">
            <w:pPr>
              <w:jc w:val="right"/>
              <w:rPr>
                <w:rFonts w:cs="Arial"/>
                <w:b/>
                <w:bCs/>
                <w:szCs w:val="24"/>
              </w:rPr>
            </w:pPr>
            <w:r w:rsidRPr="00A02AD6">
              <w:rPr>
                <w:rFonts w:cs="Arial"/>
                <w:b/>
                <w:bCs/>
                <w:szCs w:val="24"/>
              </w:rPr>
              <w:t>9,742</w:t>
            </w:r>
          </w:p>
        </w:tc>
        <w:tc>
          <w:tcPr>
            <w:tcW w:w="397" w:type="pct"/>
            <w:vAlign w:val="center"/>
          </w:tcPr>
          <w:p w14:paraId="3B364135" w14:textId="3574DC0A" w:rsidR="00FA18E2" w:rsidRPr="00A02AD6" w:rsidRDefault="00FA18E2" w:rsidP="00233A66">
            <w:pPr>
              <w:jc w:val="right"/>
              <w:rPr>
                <w:rFonts w:cs="Arial"/>
                <w:b/>
                <w:bCs/>
                <w:szCs w:val="24"/>
              </w:rPr>
            </w:pPr>
            <w:r w:rsidRPr="00A02AD6">
              <w:rPr>
                <w:rFonts w:cs="Arial"/>
                <w:b/>
                <w:bCs/>
                <w:szCs w:val="24"/>
              </w:rPr>
              <w:t>16,278</w:t>
            </w:r>
          </w:p>
        </w:tc>
        <w:tc>
          <w:tcPr>
            <w:tcW w:w="402" w:type="pct"/>
            <w:shd w:val="clear" w:color="auto" w:fill="auto"/>
            <w:vAlign w:val="center"/>
          </w:tcPr>
          <w:p w14:paraId="2B706B51" w14:textId="73A9A546" w:rsidR="00FA18E2" w:rsidRPr="00A02AD6" w:rsidRDefault="00FA18E2" w:rsidP="00233A66">
            <w:pPr>
              <w:jc w:val="right"/>
              <w:rPr>
                <w:rFonts w:cs="Arial"/>
                <w:b/>
                <w:bCs/>
                <w:szCs w:val="24"/>
              </w:rPr>
            </w:pPr>
            <w:r w:rsidRPr="00A02AD6">
              <w:rPr>
                <w:rFonts w:cs="Arial"/>
                <w:b/>
                <w:bCs/>
                <w:szCs w:val="24"/>
              </w:rPr>
              <w:t>17,672</w:t>
            </w:r>
          </w:p>
        </w:tc>
        <w:tc>
          <w:tcPr>
            <w:tcW w:w="412" w:type="pct"/>
            <w:vAlign w:val="center"/>
          </w:tcPr>
          <w:p w14:paraId="12D1CCD5" w14:textId="16848DF4" w:rsidR="00FA18E2" w:rsidRPr="00A02AD6" w:rsidRDefault="00FA18E2" w:rsidP="00233A66">
            <w:pPr>
              <w:jc w:val="right"/>
              <w:rPr>
                <w:rFonts w:cs="Arial"/>
                <w:b/>
                <w:bCs/>
                <w:szCs w:val="24"/>
              </w:rPr>
            </w:pPr>
            <w:r w:rsidRPr="00A02AD6">
              <w:rPr>
                <w:rFonts w:cs="Arial"/>
                <w:b/>
                <w:bCs/>
                <w:szCs w:val="24"/>
              </w:rPr>
              <w:t>40</w:t>
            </w:r>
          </w:p>
        </w:tc>
        <w:tc>
          <w:tcPr>
            <w:tcW w:w="396" w:type="pct"/>
            <w:shd w:val="clear" w:color="auto" w:fill="auto"/>
            <w:vAlign w:val="center"/>
          </w:tcPr>
          <w:p w14:paraId="15ABC905" w14:textId="09C1D37F" w:rsidR="00FA18E2" w:rsidRPr="00A02AD6" w:rsidRDefault="00FA18E2" w:rsidP="00233A66">
            <w:pPr>
              <w:jc w:val="right"/>
              <w:rPr>
                <w:rFonts w:cs="Arial"/>
                <w:b/>
                <w:bCs/>
                <w:szCs w:val="24"/>
              </w:rPr>
            </w:pPr>
            <w:r w:rsidRPr="00A02AD6">
              <w:rPr>
                <w:rFonts w:cs="Arial"/>
                <w:b/>
                <w:bCs/>
                <w:szCs w:val="24"/>
              </w:rPr>
              <w:t>1,683</w:t>
            </w:r>
          </w:p>
        </w:tc>
        <w:tc>
          <w:tcPr>
            <w:tcW w:w="397" w:type="pct"/>
            <w:shd w:val="clear" w:color="auto" w:fill="auto"/>
            <w:vAlign w:val="center"/>
          </w:tcPr>
          <w:p w14:paraId="7A4B7CC9" w14:textId="5A0CB696" w:rsidR="00FA18E2" w:rsidRPr="00A02AD6" w:rsidRDefault="00FA18E2" w:rsidP="00233A66">
            <w:pPr>
              <w:jc w:val="right"/>
              <w:rPr>
                <w:rFonts w:cs="Arial"/>
                <w:b/>
                <w:bCs/>
                <w:szCs w:val="24"/>
              </w:rPr>
            </w:pPr>
            <w:r w:rsidRPr="00A02AD6">
              <w:rPr>
                <w:rFonts w:cs="Arial"/>
                <w:b/>
                <w:bCs/>
                <w:szCs w:val="24"/>
              </w:rPr>
              <w:t>35,673</w:t>
            </w:r>
          </w:p>
        </w:tc>
        <w:tc>
          <w:tcPr>
            <w:tcW w:w="408" w:type="pct"/>
            <w:shd w:val="clear" w:color="auto" w:fill="auto"/>
            <w:vAlign w:val="center"/>
          </w:tcPr>
          <w:p w14:paraId="3CFF1F29" w14:textId="16F66A96" w:rsidR="00FA18E2" w:rsidRPr="00A02AD6" w:rsidRDefault="00FA18E2" w:rsidP="00233A66">
            <w:pPr>
              <w:jc w:val="right"/>
              <w:rPr>
                <w:rFonts w:cs="Arial"/>
                <w:b/>
                <w:bCs/>
                <w:szCs w:val="24"/>
              </w:rPr>
            </w:pPr>
            <w:r w:rsidRPr="00A02AD6">
              <w:rPr>
                <w:rFonts w:cs="Arial"/>
                <w:b/>
                <w:bCs/>
                <w:szCs w:val="24"/>
              </w:rPr>
              <w:t>(789,359)</w:t>
            </w:r>
          </w:p>
        </w:tc>
        <w:tc>
          <w:tcPr>
            <w:tcW w:w="409" w:type="pct"/>
            <w:shd w:val="clear" w:color="auto" w:fill="auto"/>
            <w:vAlign w:val="center"/>
          </w:tcPr>
          <w:p w14:paraId="225B305A" w14:textId="2B296075" w:rsidR="00FA18E2" w:rsidRPr="00A02AD6" w:rsidRDefault="00FA18E2" w:rsidP="00233A66">
            <w:pPr>
              <w:jc w:val="right"/>
              <w:rPr>
                <w:rFonts w:cs="Arial"/>
                <w:b/>
                <w:bCs/>
                <w:szCs w:val="24"/>
              </w:rPr>
            </w:pPr>
            <w:r w:rsidRPr="00A02AD6">
              <w:rPr>
                <w:rFonts w:cs="Arial"/>
                <w:b/>
                <w:bCs/>
                <w:szCs w:val="24"/>
              </w:rPr>
              <w:t>(753,686)</w:t>
            </w:r>
          </w:p>
        </w:tc>
      </w:tr>
    </w:tbl>
    <w:p w14:paraId="12FE9547" w14:textId="04F23773" w:rsidR="00BE07C7" w:rsidRDefault="00BE07C7" w:rsidP="005D04CB">
      <w:pPr>
        <w:pStyle w:val="Heading1"/>
        <w:rPr>
          <w:sz w:val="22"/>
        </w:rPr>
        <w:sectPr w:rsidR="00BE07C7" w:rsidSect="0050229D">
          <w:pgSz w:w="16840" w:h="11907" w:orient="landscape" w:code="9"/>
          <w:pgMar w:top="1134" w:right="851" w:bottom="851" w:left="737" w:header="720" w:footer="720" w:gutter="0"/>
          <w:cols w:space="720"/>
          <w:docGrid w:linePitch="326"/>
        </w:sectPr>
      </w:pPr>
    </w:p>
    <w:p w14:paraId="19D662B0" w14:textId="1600BA80" w:rsidR="0058297D" w:rsidRPr="0089432E" w:rsidRDefault="002618EE" w:rsidP="00490917">
      <w:pPr>
        <w:pStyle w:val="Heading1"/>
        <w:rPr>
          <w:szCs w:val="24"/>
        </w:rPr>
      </w:pPr>
      <w:bookmarkStart w:id="18" w:name="_Toc166761530"/>
      <w:r w:rsidRPr="0089432E">
        <w:rPr>
          <w:szCs w:val="24"/>
        </w:rPr>
        <w:lastRenderedPageBreak/>
        <w:t>Balance Sheet</w:t>
      </w:r>
      <w:bookmarkEnd w:id="18"/>
    </w:p>
    <w:p w14:paraId="4DC6F97B" w14:textId="77777777" w:rsidR="00490917" w:rsidRPr="0089432E" w:rsidRDefault="00490917" w:rsidP="00490917">
      <w:pPr>
        <w:rPr>
          <w:szCs w:val="24"/>
        </w:rPr>
      </w:pPr>
    </w:p>
    <w:tbl>
      <w:tblPr>
        <w:tblW w:w="46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0"/>
        <w:gridCol w:w="1276"/>
        <w:gridCol w:w="1701"/>
        <w:gridCol w:w="1701"/>
      </w:tblGrid>
      <w:tr w:rsidR="00FA18E2" w:rsidRPr="0089432E" w14:paraId="4FB80715" w14:textId="77777777" w:rsidTr="00611673">
        <w:trPr>
          <w:cantSplit/>
          <w:tblHeader/>
        </w:trPr>
        <w:tc>
          <w:tcPr>
            <w:tcW w:w="2684" w:type="pct"/>
            <w:shd w:val="clear" w:color="auto" w:fill="BD2716"/>
          </w:tcPr>
          <w:p w14:paraId="760967EE" w14:textId="77777777" w:rsidR="00FA18E2" w:rsidRPr="00036C34" w:rsidRDefault="00FA18E2" w:rsidP="00F238FE">
            <w:pPr>
              <w:jc w:val="center"/>
              <w:rPr>
                <w:color w:val="FFFFFF" w:themeColor="background1"/>
                <w:szCs w:val="24"/>
              </w:rPr>
            </w:pPr>
          </w:p>
        </w:tc>
        <w:tc>
          <w:tcPr>
            <w:tcW w:w="632" w:type="pct"/>
            <w:shd w:val="clear" w:color="auto" w:fill="BD2716"/>
            <w:vAlign w:val="center"/>
          </w:tcPr>
          <w:p w14:paraId="2F599137" w14:textId="254DD1F7" w:rsidR="00FA18E2" w:rsidRPr="00036C34" w:rsidRDefault="00FA18E2" w:rsidP="00611673">
            <w:pPr>
              <w:rPr>
                <w:color w:val="FFFFFF" w:themeColor="background1"/>
                <w:szCs w:val="24"/>
              </w:rPr>
            </w:pPr>
            <w:r w:rsidRPr="00036C34">
              <w:rPr>
                <w:color w:val="FFFFFF" w:themeColor="background1"/>
                <w:szCs w:val="24"/>
              </w:rPr>
              <w:t>Notes</w:t>
            </w:r>
          </w:p>
        </w:tc>
        <w:tc>
          <w:tcPr>
            <w:tcW w:w="842" w:type="pct"/>
            <w:shd w:val="clear" w:color="auto" w:fill="BD2716"/>
            <w:vAlign w:val="center"/>
          </w:tcPr>
          <w:p w14:paraId="25B8EB6A" w14:textId="67B53FB3" w:rsidR="00FA18E2" w:rsidRPr="00036C34" w:rsidRDefault="00FA18E2" w:rsidP="00611673">
            <w:pPr>
              <w:jc w:val="right"/>
              <w:rPr>
                <w:color w:val="FFFFFF" w:themeColor="background1"/>
                <w:szCs w:val="24"/>
              </w:rPr>
            </w:pPr>
            <w:proofErr w:type="gramStart"/>
            <w:r w:rsidRPr="00036C34">
              <w:rPr>
                <w:color w:val="FFFFFF" w:themeColor="background1"/>
                <w:szCs w:val="24"/>
              </w:rPr>
              <w:t>At</w:t>
            </w:r>
            <w:proofErr w:type="gramEnd"/>
            <w:r w:rsidRPr="00036C34">
              <w:rPr>
                <w:color w:val="FFFFFF" w:themeColor="background1"/>
                <w:szCs w:val="24"/>
              </w:rPr>
              <w:t xml:space="preserve"> 31 March 2023</w:t>
            </w:r>
          </w:p>
          <w:p w14:paraId="61E5179C" w14:textId="4C4D4D18" w:rsidR="00FA18E2" w:rsidRPr="00036C34" w:rsidRDefault="00FA18E2" w:rsidP="00611673">
            <w:pPr>
              <w:jc w:val="right"/>
              <w:rPr>
                <w:color w:val="FFFFFF" w:themeColor="background1"/>
                <w:szCs w:val="24"/>
              </w:rPr>
            </w:pPr>
            <w:r w:rsidRPr="00036C34">
              <w:rPr>
                <w:color w:val="FFFFFF" w:themeColor="background1"/>
                <w:szCs w:val="24"/>
              </w:rPr>
              <w:t>£000</w:t>
            </w:r>
          </w:p>
        </w:tc>
        <w:tc>
          <w:tcPr>
            <w:tcW w:w="842" w:type="pct"/>
            <w:shd w:val="clear" w:color="auto" w:fill="BD2716"/>
            <w:vAlign w:val="center"/>
          </w:tcPr>
          <w:p w14:paraId="4EB1BD33" w14:textId="77777777" w:rsidR="00FA18E2" w:rsidRPr="00036C34" w:rsidRDefault="00FA18E2" w:rsidP="00611673">
            <w:pPr>
              <w:jc w:val="right"/>
              <w:rPr>
                <w:color w:val="FFFFFF" w:themeColor="background1"/>
                <w:szCs w:val="24"/>
              </w:rPr>
            </w:pPr>
            <w:proofErr w:type="gramStart"/>
            <w:r w:rsidRPr="00036C34">
              <w:rPr>
                <w:color w:val="FFFFFF" w:themeColor="background1"/>
                <w:szCs w:val="24"/>
              </w:rPr>
              <w:t>At</w:t>
            </w:r>
            <w:proofErr w:type="gramEnd"/>
            <w:r w:rsidRPr="00036C34">
              <w:rPr>
                <w:color w:val="FFFFFF" w:themeColor="background1"/>
                <w:szCs w:val="24"/>
              </w:rPr>
              <w:t xml:space="preserve"> 31 March 2022</w:t>
            </w:r>
          </w:p>
          <w:p w14:paraId="7512E387" w14:textId="0B6A6C5E" w:rsidR="00FA18E2" w:rsidRPr="00036C34" w:rsidRDefault="00FA18E2" w:rsidP="00611673">
            <w:pPr>
              <w:jc w:val="right"/>
              <w:rPr>
                <w:color w:val="FFFFFF" w:themeColor="background1"/>
                <w:szCs w:val="24"/>
              </w:rPr>
            </w:pPr>
            <w:r w:rsidRPr="00036C34">
              <w:rPr>
                <w:color w:val="FFFFFF" w:themeColor="background1"/>
                <w:szCs w:val="24"/>
              </w:rPr>
              <w:t>£000</w:t>
            </w:r>
          </w:p>
        </w:tc>
      </w:tr>
      <w:tr w:rsidR="00233A66" w:rsidRPr="0089432E" w14:paraId="335DBE40" w14:textId="77777777" w:rsidTr="00036C34">
        <w:tc>
          <w:tcPr>
            <w:tcW w:w="5000" w:type="pct"/>
            <w:gridSpan w:val="4"/>
            <w:shd w:val="clear" w:color="auto" w:fill="D9D9D9" w:themeFill="background1" w:themeFillShade="D9"/>
          </w:tcPr>
          <w:p w14:paraId="4B0383D7" w14:textId="028AFEFA" w:rsidR="00233A66" w:rsidRPr="0089432E" w:rsidRDefault="00233A66" w:rsidP="00F238FE">
            <w:pPr>
              <w:pStyle w:val="CommentText"/>
              <w:tabs>
                <w:tab w:val="decimal" w:pos="601"/>
                <w:tab w:val="decimal" w:pos="723"/>
              </w:tabs>
              <w:rPr>
                <w:sz w:val="24"/>
                <w:szCs w:val="24"/>
              </w:rPr>
            </w:pPr>
            <w:r w:rsidRPr="0089432E">
              <w:rPr>
                <w:b/>
                <w:sz w:val="24"/>
                <w:szCs w:val="24"/>
              </w:rPr>
              <w:t>Long-Term Assets</w:t>
            </w:r>
          </w:p>
        </w:tc>
      </w:tr>
      <w:tr w:rsidR="00FA18E2" w:rsidRPr="0089432E" w14:paraId="2F6E96CD" w14:textId="77777777" w:rsidTr="00233A66">
        <w:tc>
          <w:tcPr>
            <w:tcW w:w="2684" w:type="pct"/>
          </w:tcPr>
          <w:p w14:paraId="111FF313" w14:textId="77777777" w:rsidR="00FA18E2" w:rsidRPr="0089432E" w:rsidRDefault="00FA18E2" w:rsidP="00FA18E2">
            <w:pPr>
              <w:rPr>
                <w:szCs w:val="24"/>
              </w:rPr>
            </w:pPr>
            <w:r w:rsidRPr="0089432E">
              <w:rPr>
                <w:szCs w:val="24"/>
              </w:rPr>
              <w:t>Property, Plant &amp; Equipment</w:t>
            </w:r>
          </w:p>
        </w:tc>
        <w:tc>
          <w:tcPr>
            <w:tcW w:w="632" w:type="pct"/>
            <w:vAlign w:val="bottom"/>
          </w:tcPr>
          <w:p w14:paraId="03643996" w14:textId="3AA53426" w:rsidR="00FA18E2" w:rsidRPr="00FA18E2" w:rsidRDefault="00BD79B2" w:rsidP="00FA18E2">
            <w:pPr>
              <w:jc w:val="center"/>
              <w:rPr>
                <w:rStyle w:val="Hyperlink"/>
              </w:rPr>
            </w:pPr>
            <w:hyperlink w:anchor="N6" w:history="1">
              <w:r w:rsidR="00FA18E2" w:rsidRPr="0089432E">
                <w:rPr>
                  <w:rStyle w:val="Hyperlink"/>
                  <w:szCs w:val="24"/>
                </w:rPr>
                <w:t>6</w:t>
              </w:r>
            </w:hyperlink>
          </w:p>
        </w:tc>
        <w:tc>
          <w:tcPr>
            <w:tcW w:w="842" w:type="pct"/>
            <w:vAlign w:val="center"/>
          </w:tcPr>
          <w:p w14:paraId="11BCEBE2" w14:textId="72AA1E95" w:rsidR="00FA18E2" w:rsidRPr="0089432E" w:rsidRDefault="00FA18E2" w:rsidP="00233A66">
            <w:pPr>
              <w:pStyle w:val="CommentText"/>
              <w:tabs>
                <w:tab w:val="decimal" w:pos="1350"/>
              </w:tabs>
              <w:jc w:val="right"/>
              <w:rPr>
                <w:sz w:val="24"/>
                <w:szCs w:val="24"/>
              </w:rPr>
            </w:pPr>
            <w:r w:rsidRPr="0089432E">
              <w:rPr>
                <w:sz w:val="24"/>
                <w:szCs w:val="24"/>
              </w:rPr>
              <w:t>125,717</w:t>
            </w:r>
          </w:p>
        </w:tc>
        <w:tc>
          <w:tcPr>
            <w:tcW w:w="842" w:type="pct"/>
            <w:shd w:val="clear" w:color="auto" w:fill="auto"/>
            <w:vAlign w:val="center"/>
          </w:tcPr>
          <w:p w14:paraId="236C3432" w14:textId="5AEC3BB3" w:rsidR="00FA18E2" w:rsidRPr="0089432E" w:rsidRDefault="00FA18E2" w:rsidP="00233A66">
            <w:pPr>
              <w:pStyle w:val="CommentText"/>
              <w:tabs>
                <w:tab w:val="decimal" w:pos="1350"/>
              </w:tabs>
              <w:jc w:val="right"/>
              <w:rPr>
                <w:sz w:val="24"/>
                <w:szCs w:val="24"/>
              </w:rPr>
            </w:pPr>
            <w:r w:rsidRPr="0089432E">
              <w:rPr>
                <w:sz w:val="24"/>
                <w:szCs w:val="24"/>
              </w:rPr>
              <w:t>108,637</w:t>
            </w:r>
          </w:p>
        </w:tc>
      </w:tr>
      <w:tr w:rsidR="00FA18E2" w:rsidRPr="0089432E" w14:paraId="7980527F" w14:textId="77777777" w:rsidTr="00233A66">
        <w:tc>
          <w:tcPr>
            <w:tcW w:w="2684" w:type="pct"/>
          </w:tcPr>
          <w:p w14:paraId="3BF45836" w14:textId="77777777" w:rsidR="00FA18E2" w:rsidRPr="0089432E" w:rsidRDefault="00FA18E2" w:rsidP="00FA18E2">
            <w:pPr>
              <w:rPr>
                <w:szCs w:val="24"/>
              </w:rPr>
            </w:pPr>
            <w:r w:rsidRPr="0089432E">
              <w:rPr>
                <w:szCs w:val="24"/>
              </w:rPr>
              <w:t>Intangible Assets</w:t>
            </w:r>
          </w:p>
        </w:tc>
        <w:tc>
          <w:tcPr>
            <w:tcW w:w="632" w:type="pct"/>
          </w:tcPr>
          <w:p w14:paraId="5E44D793" w14:textId="6ECE6E84" w:rsidR="00FA18E2" w:rsidRPr="00FA18E2" w:rsidRDefault="00BD79B2" w:rsidP="00FA18E2">
            <w:pPr>
              <w:jc w:val="center"/>
              <w:rPr>
                <w:rStyle w:val="Hyperlink"/>
              </w:rPr>
            </w:pPr>
            <w:hyperlink w:anchor="N7" w:history="1">
              <w:r w:rsidR="00FA18E2" w:rsidRPr="0089432E">
                <w:rPr>
                  <w:rStyle w:val="Hyperlink"/>
                  <w:szCs w:val="24"/>
                </w:rPr>
                <w:t>7</w:t>
              </w:r>
            </w:hyperlink>
          </w:p>
        </w:tc>
        <w:tc>
          <w:tcPr>
            <w:tcW w:w="842" w:type="pct"/>
            <w:vAlign w:val="center"/>
          </w:tcPr>
          <w:p w14:paraId="27E8EF3A" w14:textId="3701E1EB" w:rsidR="00FA18E2" w:rsidRPr="0089432E" w:rsidRDefault="00FA18E2" w:rsidP="00233A66">
            <w:pPr>
              <w:pStyle w:val="CommentText"/>
              <w:tabs>
                <w:tab w:val="decimal" w:pos="1350"/>
              </w:tabs>
              <w:jc w:val="right"/>
              <w:rPr>
                <w:sz w:val="24"/>
                <w:szCs w:val="24"/>
              </w:rPr>
            </w:pPr>
            <w:r w:rsidRPr="0089432E">
              <w:rPr>
                <w:sz w:val="24"/>
                <w:szCs w:val="24"/>
              </w:rPr>
              <w:t>906</w:t>
            </w:r>
          </w:p>
        </w:tc>
        <w:tc>
          <w:tcPr>
            <w:tcW w:w="842" w:type="pct"/>
            <w:shd w:val="clear" w:color="auto" w:fill="auto"/>
            <w:vAlign w:val="center"/>
          </w:tcPr>
          <w:p w14:paraId="6F6A82A0" w14:textId="2EEC0582" w:rsidR="00FA18E2" w:rsidRPr="0089432E" w:rsidRDefault="00FA18E2" w:rsidP="00233A66">
            <w:pPr>
              <w:pStyle w:val="CommentText"/>
              <w:tabs>
                <w:tab w:val="decimal" w:pos="1350"/>
              </w:tabs>
              <w:jc w:val="right"/>
              <w:rPr>
                <w:sz w:val="24"/>
                <w:szCs w:val="24"/>
              </w:rPr>
            </w:pPr>
            <w:r w:rsidRPr="0089432E">
              <w:rPr>
                <w:sz w:val="24"/>
                <w:szCs w:val="24"/>
              </w:rPr>
              <w:t>523</w:t>
            </w:r>
          </w:p>
        </w:tc>
      </w:tr>
      <w:tr w:rsidR="00FA18E2" w:rsidRPr="0089432E" w14:paraId="6B594B69" w14:textId="77777777" w:rsidTr="00233A66">
        <w:tc>
          <w:tcPr>
            <w:tcW w:w="2684" w:type="pct"/>
          </w:tcPr>
          <w:p w14:paraId="04B6221F" w14:textId="77777777" w:rsidR="00FA18E2" w:rsidRPr="0089432E" w:rsidRDefault="00FA18E2" w:rsidP="00FA18E2">
            <w:pPr>
              <w:rPr>
                <w:szCs w:val="24"/>
              </w:rPr>
            </w:pPr>
            <w:r w:rsidRPr="0089432E">
              <w:rPr>
                <w:szCs w:val="24"/>
              </w:rPr>
              <w:t>Long-Term Investments</w:t>
            </w:r>
          </w:p>
        </w:tc>
        <w:tc>
          <w:tcPr>
            <w:tcW w:w="632" w:type="pct"/>
          </w:tcPr>
          <w:p w14:paraId="66C4079A" w14:textId="0072C08F" w:rsidR="00FA18E2" w:rsidRPr="00FA18E2" w:rsidRDefault="00BD79B2" w:rsidP="00FA18E2">
            <w:pPr>
              <w:jc w:val="center"/>
              <w:rPr>
                <w:rStyle w:val="Hyperlink"/>
              </w:rPr>
            </w:pPr>
            <w:hyperlink w:anchor="N8" w:history="1">
              <w:r w:rsidR="00FA18E2" w:rsidRPr="0089432E">
                <w:rPr>
                  <w:rStyle w:val="Hyperlink"/>
                  <w:szCs w:val="24"/>
                </w:rPr>
                <w:t>8</w:t>
              </w:r>
            </w:hyperlink>
          </w:p>
        </w:tc>
        <w:tc>
          <w:tcPr>
            <w:tcW w:w="842" w:type="pct"/>
            <w:vAlign w:val="center"/>
          </w:tcPr>
          <w:p w14:paraId="5A47B090" w14:textId="120F0F20" w:rsidR="00FA18E2" w:rsidRPr="0089432E" w:rsidRDefault="00FA18E2" w:rsidP="00233A66">
            <w:pPr>
              <w:pStyle w:val="CommentText"/>
              <w:tabs>
                <w:tab w:val="decimal" w:pos="1350"/>
              </w:tabs>
              <w:jc w:val="right"/>
              <w:rPr>
                <w:sz w:val="24"/>
                <w:szCs w:val="24"/>
              </w:rPr>
            </w:pPr>
            <w:r w:rsidRPr="0089432E">
              <w:rPr>
                <w:sz w:val="24"/>
                <w:szCs w:val="24"/>
              </w:rPr>
              <w:t>-</w:t>
            </w:r>
          </w:p>
        </w:tc>
        <w:tc>
          <w:tcPr>
            <w:tcW w:w="842" w:type="pct"/>
            <w:shd w:val="clear" w:color="auto" w:fill="auto"/>
            <w:vAlign w:val="center"/>
          </w:tcPr>
          <w:p w14:paraId="0F218D8F" w14:textId="11E948D2" w:rsidR="00FA18E2" w:rsidRPr="0089432E" w:rsidRDefault="00FA18E2" w:rsidP="00233A66">
            <w:pPr>
              <w:pStyle w:val="CommentText"/>
              <w:tabs>
                <w:tab w:val="decimal" w:pos="1350"/>
              </w:tabs>
              <w:jc w:val="right"/>
              <w:rPr>
                <w:sz w:val="24"/>
                <w:szCs w:val="24"/>
              </w:rPr>
            </w:pPr>
            <w:r w:rsidRPr="0089432E">
              <w:rPr>
                <w:sz w:val="24"/>
                <w:szCs w:val="24"/>
              </w:rPr>
              <w:t>5,000</w:t>
            </w:r>
          </w:p>
        </w:tc>
      </w:tr>
      <w:tr w:rsidR="00FA18E2" w:rsidRPr="0089432E" w14:paraId="4AD2E55A" w14:textId="77777777" w:rsidTr="00233A66">
        <w:tc>
          <w:tcPr>
            <w:tcW w:w="2684" w:type="pct"/>
          </w:tcPr>
          <w:p w14:paraId="3699EA90" w14:textId="254CE36E" w:rsidR="00FA18E2" w:rsidRPr="0089432E" w:rsidRDefault="00FA18E2" w:rsidP="00FA18E2">
            <w:pPr>
              <w:rPr>
                <w:szCs w:val="24"/>
              </w:rPr>
            </w:pPr>
            <w:r w:rsidRPr="0089432E">
              <w:rPr>
                <w:szCs w:val="24"/>
              </w:rPr>
              <w:t>Local Government Pension Scheme</w:t>
            </w:r>
          </w:p>
        </w:tc>
        <w:tc>
          <w:tcPr>
            <w:tcW w:w="632" w:type="pct"/>
          </w:tcPr>
          <w:p w14:paraId="73C18BE8" w14:textId="4D51D224" w:rsidR="00FA18E2" w:rsidRPr="00FA18E2" w:rsidRDefault="00BD79B2" w:rsidP="00FA18E2">
            <w:pPr>
              <w:jc w:val="center"/>
              <w:rPr>
                <w:rStyle w:val="Hyperlink"/>
              </w:rPr>
            </w:pPr>
            <w:hyperlink w:anchor="N15" w:history="1">
              <w:r w:rsidR="00FA18E2" w:rsidRPr="0089432E">
                <w:rPr>
                  <w:rStyle w:val="Hyperlink"/>
                  <w:szCs w:val="24"/>
                </w:rPr>
                <w:t>15</w:t>
              </w:r>
            </w:hyperlink>
          </w:p>
        </w:tc>
        <w:tc>
          <w:tcPr>
            <w:tcW w:w="842" w:type="pct"/>
            <w:vAlign w:val="center"/>
          </w:tcPr>
          <w:p w14:paraId="49C86A15" w14:textId="09649C01" w:rsidR="00FA18E2" w:rsidRPr="0089432E" w:rsidRDefault="00FA18E2" w:rsidP="00233A66">
            <w:pPr>
              <w:pStyle w:val="CommentText"/>
              <w:tabs>
                <w:tab w:val="decimal" w:pos="1350"/>
              </w:tabs>
              <w:jc w:val="right"/>
              <w:rPr>
                <w:sz w:val="24"/>
                <w:szCs w:val="24"/>
              </w:rPr>
            </w:pPr>
            <w:r w:rsidRPr="0089432E">
              <w:rPr>
                <w:sz w:val="24"/>
                <w:szCs w:val="24"/>
              </w:rPr>
              <w:t>-</w:t>
            </w:r>
          </w:p>
        </w:tc>
        <w:tc>
          <w:tcPr>
            <w:tcW w:w="842" w:type="pct"/>
            <w:shd w:val="clear" w:color="auto" w:fill="auto"/>
            <w:vAlign w:val="center"/>
          </w:tcPr>
          <w:p w14:paraId="289A8451" w14:textId="11BDC17D" w:rsidR="00FA18E2" w:rsidRPr="0089432E" w:rsidRDefault="00FA18E2" w:rsidP="00233A66">
            <w:pPr>
              <w:pStyle w:val="CommentText"/>
              <w:tabs>
                <w:tab w:val="decimal" w:pos="1350"/>
              </w:tabs>
              <w:jc w:val="right"/>
              <w:rPr>
                <w:sz w:val="24"/>
                <w:szCs w:val="24"/>
              </w:rPr>
            </w:pPr>
            <w:r w:rsidRPr="0089432E">
              <w:rPr>
                <w:sz w:val="24"/>
                <w:szCs w:val="24"/>
              </w:rPr>
              <w:t>-</w:t>
            </w:r>
          </w:p>
        </w:tc>
      </w:tr>
      <w:tr w:rsidR="00FA18E2" w:rsidRPr="0089432E" w14:paraId="237B57EA" w14:textId="77777777" w:rsidTr="00233A66">
        <w:tc>
          <w:tcPr>
            <w:tcW w:w="2684" w:type="pct"/>
          </w:tcPr>
          <w:p w14:paraId="5EDFA5D7" w14:textId="50274D83" w:rsidR="00FA18E2" w:rsidRPr="0089432E" w:rsidRDefault="00FA18E2" w:rsidP="00FA18E2">
            <w:pPr>
              <w:rPr>
                <w:bCs/>
                <w:szCs w:val="24"/>
              </w:rPr>
            </w:pPr>
            <w:r w:rsidRPr="0089432E">
              <w:rPr>
                <w:bCs/>
                <w:szCs w:val="24"/>
              </w:rPr>
              <w:t>Long-Term Assets total</w:t>
            </w:r>
          </w:p>
        </w:tc>
        <w:tc>
          <w:tcPr>
            <w:tcW w:w="632" w:type="pct"/>
          </w:tcPr>
          <w:p w14:paraId="0B46DEE8" w14:textId="77777777" w:rsidR="00FA18E2" w:rsidRPr="00FA18E2" w:rsidRDefault="00FA18E2" w:rsidP="00FA18E2">
            <w:pPr>
              <w:jc w:val="center"/>
              <w:rPr>
                <w:rStyle w:val="Hyperlink"/>
              </w:rPr>
            </w:pPr>
          </w:p>
        </w:tc>
        <w:tc>
          <w:tcPr>
            <w:tcW w:w="842" w:type="pct"/>
            <w:vAlign w:val="center"/>
          </w:tcPr>
          <w:p w14:paraId="44EA07F7" w14:textId="6321304D" w:rsidR="00FA18E2" w:rsidRPr="0089432E" w:rsidRDefault="00FA18E2" w:rsidP="00233A66">
            <w:pPr>
              <w:pStyle w:val="CommentText"/>
              <w:tabs>
                <w:tab w:val="decimal" w:pos="1350"/>
              </w:tabs>
              <w:jc w:val="right"/>
              <w:rPr>
                <w:sz w:val="24"/>
                <w:szCs w:val="24"/>
              </w:rPr>
            </w:pPr>
            <w:r w:rsidRPr="0089432E">
              <w:rPr>
                <w:sz w:val="24"/>
                <w:szCs w:val="24"/>
              </w:rPr>
              <w:t>126,623</w:t>
            </w:r>
          </w:p>
        </w:tc>
        <w:tc>
          <w:tcPr>
            <w:tcW w:w="842" w:type="pct"/>
            <w:shd w:val="clear" w:color="auto" w:fill="auto"/>
            <w:vAlign w:val="center"/>
          </w:tcPr>
          <w:p w14:paraId="6241291A" w14:textId="0B341484" w:rsidR="00FA18E2" w:rsidRPr="0089432E" w:rsidRDefault="00FA18E2" w:rsidP="00233A66">
            <w:pPr>
              <w:pStyle w:val="CommentText"/>
              <w:tabs>
                <w:tab w:val="decimal" w:pos="1350"/>
              </w:tabs>
              <w:jc w:val="right"/>
              <w:rPr>
                <w:sz w:val="24"/>
                <w:szCs w:val="24"/>
              </w:rPr>
            </w:pPr>
            <w:r w:rsidRPr="0089432E">
              <w:rPr>
                <w:sz w:val="24"/>
                <w:szCs w:val="24"/>
              </w:rPr>
              <w:t>114,160</w:t>
            </w:r>
          </w:p>
        </w:tc>
      </w:tr>
    </w:tbl>
    <w:p w14:paraId="6F3A0AD9" w14:textId="77777777" w:rsidR="00FA18E2" w:rsidRDefault="00FA18E2"/>
    <w:tbl>
      <w:tblPr>
        <w:tblW w:w="46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0"/>
        <w:gridCol w:w="1276"/>
        <w:gridCol w:w="1701"/>
        <w:gridCol w:w="1701"/>
      </w:tblGrid>
      <w:tr w:rsidR="00233A66" w:rsidRPr="0089432E" w14:paraId="28F43B9A" w14:textId="77777777" w:rsidTr="00036C34">
        <w:tc>
          <w:tcPr>
            <w:tcW w:w="5000" w:type="pct"/>
            <w:gridSpan w:val="4"/>
            <w:shd w:val="clear" w:color="auto" w:fill="D9D9D9" w:themeFill="background1" w:themeFillShade="D9"/>
          </w:tcPr>
          <w:p w14:paraId="72C5CA71" w14:textId="2EB7E633" w:rsidR="00233A66" w:rsidRPr="0089432E" w:rsidRDefault="00233A66" w:rsidP="00F32423">
            <w:pPr>
              <w:tabs>
                <w:tab w:val="decimal" w:pos="601"/>
                <w:tab w:val="decimal" w:pos="1350"/>
              </w:tabs>
              <w:rPr>
                <w:szCs w:val="24"/>
              </w:rPr>
            </w:pPr>
            <w:r w:rsidRPr="0089432E">
              <w:rPr>
                <w:b/>
                <w:szCs w:val="24"/>
              </w:rPr>
              <w:t>Current Assets</w:t>
            </w:r>
          </w:p>
        </w:tc>
      </w:tr>
      <w:tr w:rsidR="00FA18E2" w:rsidRPr="0089432E" w14:paraId="4ED860C4" w14:textId="77777777" w:rsidTr="00233A66">
        <w:tc>
          <w:tcPr>
            <w:tcW w:w="2684" w:type="pct"/>
          </w:tcPr>
          <w:p w14:paraId="44AC8B40" w14:textId="77777777" w:rsidR="00FA18E2" w:rsidRPr="0089432E" w:rsidRDefault="00FA18E2" w:rsidP="00FA18E2">
            <w:pPr>
              <w:rPr>
                <w:szCs w:val="24"/>
              </w:rPr>
            </w:pPr>
            <w:r w:rsidRPr="0089432E">
              <w:rPr>
                <w:szCs w:val="24"/>
              </w:rPr>
              <w:t>Inventories</w:t>
            </w:r>
          </w:p>
        </w:tc>
        <w:tc>
          <w:tcPr>
            <w:tcW w:w="632" w:type="pct"/>
          </w:tcPr>
          <w:p w14:paraId="0B5C6E20" w14:textId="77777777" w:rsidR="00FA18E2" w:rsidRPr="0089432E" w:rsidRDefault="00FA18E2" w:rsidP="00FA18E2">
            <w:pPr>
              <w:pStyle w:val="CommentText"/>
              <w:tabs>
                <w:tab w:val="decimal" w:pos="1350"/>
              </w:tabs>
              <w:jc w:val="right"/>
              <w:rPr>
                <w:sz w:val="24"/>
                <w:szCs w:val="24"/>
              </w:rPr>
            </w:pPr>
          </w:p>
        </w:tc>
        <w:tc>
          <w:tcPr>
            <w:tcW w:w="842" w:type="pct"/>
            <w:vAlign w:val="center"/>
          </w:tcPr>
          <w:p w14:paraId="2A66E30E" w14:textId="20983CAD" w:rsidR="00FA18E2" w:rsidRPr="0089432E" w:rsidRDefault="00FA18E2" w:rsidP="00233A66">
            <w:pPr>
              <w:pStyle w:val="CommentText"/>
              <w:tabs>
                <w:tab w:val="decimal" w:pos="1350"/>
              </w:tabs>
              <w:jc w:val="right"/>
              <w:rPr>
                <w:sz w:val="24"/>
                <w:szCs w:val="24"/>
              </w:rPr>
            </w:pPr>
            <w:r w:rsidRPr="0089432E">
              <w:rPr>
                <w:sz w:val="24"/>
                <w:szCs w:val="24"/>
              </w:rPr>
              <w:t>310</w:t>
            </w:r>
          </w:p>
        </w:tc>
        <w:tc>
          <w:tcPr>
            <w:tcW w:w="842" w:type="pct"/>
            <w:shd w:val="clear" w:color="auto" w:fill="auto"/>
            <w:vAlign w:val="center"/>
          </w:tcPr>
          <w:p w14:paraId="495F4317" w14:textId="73F323B3" w:rsidR="00FA18E2" w:rsidRPr="0089432E" w:rsidRDefault="00FA18E2" w:rsidP="00233A66">
            <w:pPr>
              <w:pStyle w:val="CommentText"/>
              <w:tabs>
                <w:tab w:val="decimal" w:pos="1350"/>
              </w:tabs>
              <w:jc w:val="right"/>
              <w:rPr>
                <w:sz w:val="24"/>
                <w:szCs w:val="24"/>
              </w:rPr>
            </w:pPr>
            <w:r w:rsidRPr="0089432E">
              <w:rPr>
                <w:sz w:val="24"/>
                <w:szCs w:val="24"/>
              </w:rPr>
              <w:t>257</w:t>
            </w:r>
          </w:p>
        </w:tc>
      </w:tr>
      <w:tr w:rsidR="00FA18E2" w:rsidRPr="0089432E" w14:paraId="22C73D30" w14:textId="77777777" w:rsidTr="00233A66">
        <w:tc>
          <w:tcPr>
            <w:tcW w:w="2684" w:type="pct"/>
          </w:tcPr>
          <w:p w14:paraId="0819A495" w14:textId="2B4A68D4" w:rsidR="00FA18E2" w:rsidRPr="0089432E" w:rsidRDefault="00FA18E2" w:rsidP="00FA18E2">
            <w:pPr>
              <w:rPr>
                <w:szCs w:val="24"/>
              </w:rPr>
            </w:pPr>
            <w:r w:rsidRPr="0089432E">
              <w:rPr>
                <w:szCs w:val="24"/>
              </w:rPr>
              <w:t>Short-Term Investments</w:t>
            </w:r>
          </w:p>
        </w:tc>
        <w:tc>
          <w:tcPr>
            <w:tcW w:w="632" w:type="pct"/>
          </w:tcPr>
          <w:p w14:paraId="44E5CE6B" w14:textId="0F3BB338" w:rsidR="00FA18E2" w:rsidRPr="00FA18E2" w:rsidRDefault="00BD79B2" w:rsidP="00FA18E2">
            <w:pPr>
              <w:jc w:val="center"/>
              <w:rPr>
                <w:rStyle w:val="Hyperlink"/>
              </w:rPr>
            </w:pPr>
            <w:hyperlink w:anchor="N8" w:history="1">
              <w:r w:rsidR="00FA18E2" w:rsidRPr="0089432E">
                <w:rPr>
                  <w:rStyle w:val="Hyperlink"/>
                  <w:szCs w:val="24"/>
                </w:rPr>
                <w:t>8</w:t>
              </w:r>
            </w:hyperlink>
          </w:p>
        </w:tc>
        <w:tc>
          <w:tcPr>
            <w:tcW w:w="842" w:type="pct"/>
            <w:vAlign w:val="center"/>
          </w:tcPr>
          <w:p w14:paraId="5ACB8F9D" w14:textId="73F97AB8" w:rsidR="00FA18E2" w:rsidRPr="0089432E" w:rsidRDefault="00FA18E2" w:rsidP="00233A66">
            <w:pPr>
              <w:pStyle w:val="CommentText"/>
              <w:tabs>
                <w:tab w:val="decimal" w:pos="1350"/>
              </w:tabs>
              <w:jc w:val="right"/>
              <w:rPr>
                <w:sz w:val="24"/>
                <w:szCs w:val="24"/>
              </w:rPr>
            </w:pPr>
            <w:r w:rsidRPr="0089432E">
              <w:rPr>
                <w:sz w:val="24"/>
                <w:szCs w:val="24"/>
              </w:rPr>
              <w:t>15,000</w:t>
            </w:r>
          </w:p>
        </w:tc>
        <w:tc>
          <w:tcPr>
            <w:tcW w:w="842" w:type="pct"/>
            <w:shd w:val="clear" w:color="auto" w:fill="auto"/>
            <w:vAlign w:val="center"/>
          </w:tcPr>
          <w:p w14:paraId="4992FAF0" w14:textId="05473D1B" w:rsidR="00FA18E2" w:rsidRPr="0089432E" w:rsidRDefault="00FA18E2" w:rsidP="00233A66">
            <w:pPr>
              <w:pStyle w:val="CommentText"/>
              <w:tabs>
                <w:tab w:val="decimal" w:pos="1350"/>
              </w:tabs>
              <w:jc w:val="right"/>
              <w:rPr>
                <w:sz w:val="24"/>
                <w:szCs w:val="24"/>
              </w:rPr>
            </w:pPr>
            <w:r w:rsidRPr="0089432E">
              <w:rPr>
                <w:sz w:val="24"/>
                <w:szCs w:val="24"/>
              </w:rPr>
              <w:t>10,000</w:t>
            </w:r>
          </w:p>
        </w:tc>
      </w:tr>
      <w:tr w:rsidR="00FA18E2" w:rsidRPr="0089432E" w14:paraId="65768B4B" w14:textId="77777777" w:rsidTr="00233A66">
        <w:tc>
          <w:tcPr>
            <w:tcW w:w="2684" w:type="pct"/>
          </w:tcPr>
          <w:p w14:paraId="50910678" w14:textId="0ACDF279" w:rsidR="00FA18E2" w:rsidRPr="0089432E" w:rsidRDefault="00FA18E2" w:rsidP="00FA18E2">
            <w:pPr>
              <w:rPr>
                <w:szCs w:val="24"/>
              </w:rPr>
            </w:pPr>
            <w:r w:rsidRPr="0089432E">
              <w:rPr>
                <w:szCs w:val="24"/>
              </w:rPr>
              <w:t>Short-Term Debtors</w:t>
            </w:r>
          </w:p>
        </w:tc>
        <w:tc>
          <w:tcPr>
            <w:tcW w:w="632" w:type="pct"/>
          </w:tcPr>
          <w:p w14:paraId="31553430" w14:textId="00572797" w:rsidR="00FA18E2" w:rsidRPr="00FA18E2" w:rsidRDefault="00BD79B2" w:rsidP="00FA18E2">
            <w:pPr>
              <w:jc w:val="center"/>
              <w:rPr>
                <w:rStyle w:val="Hyperlink"/>
              </w:rPr>
            </w:pPr>
            <w:hyperlink w:anchor="N9" w:history="1">
              <w:r w:rsidR="00FA18E2" w:rsidRPr="0089432E">
                <w:rPr>
                  <w:rStyle w:val="Hyperlink"/>
                  <w:szCs w:val="24"/>
                </w:rPr>
                <w:t>9</w:t>
              </w:r>
            </w:hyperlink>
          </w:p>
        </w:tc>
        <w:tc>
          <w:tcPr>
            <w:tcW w:w="842" w:type="pct"/>
            <w:vAlign w:val="center"/>
          </w:tcPr>
          <w:p w14:paraId="66B211AB" w14:textId="3F2CB62A" w:rsidR="00FA18E2" w:rsidRPr="0089432E" w:rsidRDefault="00FA18E2" w:rsidP="00233A66">
            <w:pPr>
              <w:pStyle w:val="CommentText"/>
              <w:tabs>
                <w:tab w:val="decimal" w:pos="1350"/>
              </w:tabs>
              <w:jc w:val="right"/>
              <w:rPr>
                <w:sz w:val="24"/>
                <w:szCs w:val="24"/>
              </w:rPr>
            </w:pPr>
            <w:r w:rsidRPr="0089432E">
              <w:rPr>
                <w:sz w:val="24"/>
                <w:szCs w:val="24"/>
              </w:rPr>
              <w:t>16,763</w:t>
            </w:r>
          </w:p>
        </w:tc>
        <w:tc>
          <w:tcPr>
            <w:tcW w:w="842" w:type="pct"/>
            <w:shd w:val="clear" w:color="auto" w:fill="auto"/>
            <w:vAlign w:val="center"/>
          </w:tcPr>
          <w:p w14:paraId="08634E3C" w14:textId="2A658260" w:rsidR="00FA18E2" w:rsidRPr="0089432E" w:rsidRDefault="00FA18E2" w:rsidP="00233A66">
            <w:pPr>
              <w:pStyle w:val="CommentText"/>
              <w:tabs>
                <w:tab w:val="decimal" w:pos="1350"/>
              </w:tabs>
              <w:jc w:val="right"/>
              <w:rPr>
                <w:sz w:val="24"/>
                <w:szCs w:val="24"/>
              </w:rPr>
            </w:pPr>
            <w:r w:rsidRPr="0089432E">
              <w:rPr>
                <w:sz w:val="24"/>
                <w:szCs w:val="24"/>
              </w:rPr>
              <w:t>12,888</w:t>
            </w:r>
          </w:p>
        </w:tc>
      </w:tr>
      <w:tr w:rsidR="00FA18E2" w:rsidRPr="0089432E" w14:paraId="114D9BE9" w14:textId="77777777" w:rsidTr="00233A66">
        <w:tc>
          <w:tcPr>
            <w:tcW w:w="2684" w:type="pct"/>
          </w:tcPr>
          <w:p w14:paraId="6B0C0EBB" w14:textId="77777777" w:rsidR="00FA18E2" w:rsidRPr="0089432E" w:rsidRDefault="00FA18E2" w:rsidP="00FA18E2">
            <w:pPr>
              <w:rPr>
                <w:szCs w:val="24"/>
              </w:rPr>
            </w:pPr>
            <w:r w:rsidRPr="0089432E">
              <w:rPr>
                <w:szCs w:val="24"/>
              </w:rPr>
              <w:t>Cash &amp; Cash Equivalents</w:t>
            </w:r>
          </w:p>
        </w:tc>
        <w:tc>
          <w:tcPr>
            <w:tcW w:w="632" w:type="pct"/>
          </w:tcPr>
          <w:p w14:paraId="583A6042" w14:textId="2A9680D5" w:rsidR="00FA18E2" w:rsidRPr="00FA18E2" w:rsidRDefault="00BD79B2" w:rsidP="00FA18E2">
            <w:pPr>
              <w:jc w:val="center"/>
              <w:rPr>
                <w:rStyle w:val="Hyperlink"/>
              </w:rPr>
            </w:pPr>
            <w:hyperlink w:anchor="N10" w:history="1">
              <w:r w:rsidR="00FA18E2" w:rsidRPr="0089432E">
                <w:rPr>
                  <w:rStyle w:val="Hyperlink"/>
                  <w:szCs w:val="24"/>
                </w:rPr>
                <w:t>10</w:t>
              </w:r>
            </w:hyperlink>
          </w:p>
        </w:tc>
        <w:tc>
          <w:tcPr>
            <w:tcW w:w="842" w:type="pct"/>
            <w:vAlign w:val="center"/>
          </w:tcPr>
          <w:p w14:paraId="489DFF37" w14:textId="2CBFE17E" w:rsidR="00FA18E2" w:rsidRPr="0089432E" w:rsidRDefault="00FA18E2" w:rsidP="00233A66">
            <w:pPr>
              <w:pStyle w:val="CommentText"/>
              <w:tabs>
                <w:tab w:val="decimal" w:pos="1350"/>
              </w:tabs>
              <w:jc w:val="right"/>
              <w:rPr>
                <w:sz w:val="24"/>
                <w:szCs w:val="24"/>
              </w:rPr>
            </w:pPr>
            <w:r w:rsidRPr="0089432E">
              <w:rPr>
                <w:sz w:val="24"/>
                <w:szCs w:val="24"/>
              </w:rPr>
              <w:t>16,317</w:t>
            </w:r>
          </w:p>
        </w:tc>
        <w:tc>
          <w:tcPr>
            <w:tcW w:w="842" w:type="pct"/>
            <w:shd w:val="clear" w:color="auto" w:fill="auto"/>
            <w:vAlign w:val="center"/>
          </w:tcPr>
          <w:p w14:paraId="43E0CDB0" w14:textId="3812371C" w:rsidR="00FA18E2" w:rsidRPr="0089432E" w:rsidRDefault="00FA18E2" w:rsidP="00233A66">
            <w:pPr>
              <w:tabs>
                <w:tab w:val="decimal" w:pos="1350"/>
              </w:tabs>
              <w:jc w:val="right"/>
              <w:rPr>
                <w:szCs w:val="24"/>
              </w:rPr>
            </w:pPr>
            <w:r w:rsidRPr="0089432E">
              <w:rPr>
                <w:szCs w:val="24"/>
              </w:rPr>
              <w:t>17,896</w:t>
            </w:r>
          </w:p>
        </w:tc>
      </w:tr>
      <w:tr w:rsidR="00FA18E2" w:rsidRPr="0089432E" w14:paraId="6E20B2F6" w14:textId="77777777" w:rsidTr="00233A66">
        <w:trPr>
          <w:trHeight w:val="182"/>
        </w:trPr>
        <w:tc>
          <w:tcPr>
            <w:tcW w:w="2684" w:type="pct"/>
          </w:tcPr>
          <w:p w14:paraId="13A28AC3" w14:textId="54D5EB18" w:rsidR="00FA18E2" w:rsidRPr="0089432E" w:rsidRDefault="00FA18E2" w:rsidP="00FA18E2">
            <w:pPr>
              <w:rPr>
                <w:szCs w:val="24"/>
              </w:rPr>
            </w:pPr>
            <w:r w:rsidRPr="0089432E">
              <w:rPr>
                <w:szCs w:val="24"/>
              </w:rPr>
              <w:t>Current Assets total</w:t>
            </w:r>
          </w:p>
        </w:tc>
        <w:tc>
          <w:tcPr>
            <w:tcW w:w="632" w:type="pct"/>
          </w:tcPr>
          <w:p w14:paraId="5587BAAD" w14:textId="77777777" w:rsidR="00FA18E2" w:rsidRPr="0089432E" w:rsidRDefault="00FA18E2" w:rsidP="00FA18E2">
            <w:pPr>
              <w:pStyle w:val="CommentText"/>
              <w:tabs>
                <w:tab w:val="decimal" w:pos="1350"/>
              </w:tabs>
              <w:jc w:val="right"/>
              <w:rPr>
                <w:sz w:val="24"/>
                <w:szCs w:val="24"/>
              </w:rPr>
            </w:pPr>
          </w:p>
        </w:tc>
        <w:tc>
          <w:tcPr>
            <w:tcW w:w="842" w:type="pct"/>
            <w:vAlign w:val="center"/>
          </w:tcPr>
          <w:p w14:paraId="5DB228D7" w14:textId="528BBABD" w:rsidR="00FA18E2" w:rsidRPr="0089432E" w:rsidRDefault="00FA18E2" w:rsidP="00233A66">
            <w:pPr>
              <w:pStyle w:val="CommentText"/>
              <w:tabs>
                <w:tab w:val="decimal" w:pos="1350"/>
              </w:tabs>
              <w:jc w:val="right"/>
              <w:rPr>
                <w:sz w:val="24"/>
                <w:szCs w:val="24"/>
              </w:rPr>
            </w:pPr>
            <w:r w:rsidRPr="0089432E">
              <w:rPr>
                <w:sz w:val="24"/>
                <w:szCs w:val="24"/>
              </w:rPr>
              <w:t>48,390</w:t>
            </w:r>
          </w:p>
        </w:tc>
        <w:tc>
          <w:tcPr>
            <w:tcW w:w="842" w:type="pct"/>
            <w:shd w:val="clear" w:color="auto" w:fill="auto"/>
            <w:vAlign w:val="center"/>
          </w:tcPr>
          <w:p w14:paraId="7EDD236E" w14:textId="78C6BD14" w:rsidR="00FA18E2" w:rsidRPr="0089432E" w:rsidRDefault="00FA18E2" w:rsidP="00233A66">
            <w:pPr>
              <w:pStyle w:val="CommentText"/>
              <w:tabs>
                <w:tab w:val="decimal" w:pos="1350"/>
              </w:tabs>
              <w:jc w:val="right"/>
              <w:rPr>
                <w:sz w:val="24"/>
                <w:szCs w:val="24"/>
              </w:rPr>
            </w:pPr>
            <w:r w:rsidRPr="0089432E">
              <w:rPr>
                <w:sz w:val="24"/>
                <w:szCs w:val="24"/>
              </w:rPr>
              <w:t>41,041</w:t>
            </w:r>
          </w:p>
        </w:tc>
      </w:tr>
    </w:tbl>
    <w:p w14:paraId="20BF2C6E" w14:textId="77777777" w:rsidR="00FA18E2" w:rsidRDefault="00FA18E2"/>
    <w:tbl>
      <w:tblPr>
        <w:tblW w:w="46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0"/>
        <w:gridCol w:w="1276"/>
        <w:gridCol w:w="1701"/>
        <w:gridCol w:w="1701"/>
      </w:tblGrid>
      <w:tr w:rsidR="00233A66" w:rsidRPr="0089432E" w14:paraId="29A85218" w14:textId="77777777" w:rsidTr="00036C34">
        <w:tc>
          <w:tcPr>
            <w:tcW w:w="5000" w:type="pct"/>
            <w:gridSpan w:val="4"/>
            <w:shd w:val="clear" w:color="auto" w:fill="D9D9D9" w:themeFill="background1" w:themeFillShade="D9"/>
          </w:tcPr>
          <w:p w14:paraId="4FA02FE7" w14:textId="53B47043" w:rsidR="00233A66" w:rsidRPr="0089432E" w:rsidRDefault="00233A66" w:rsidP="00F32423">
            <w:pPr>
              <w:tabs>
                <w:tab w:val="decimal" w:pos="601"/>
                <w:tab w:val="decimal" w:pos="792"/>
                <w:tab w:val="decimal" w:pos="1350"/>
              </w:tabs>
              <w:rPr>
                <w:szCs w:val="24"/>
              </w:rPr>
            </w:pPr>
            <w:r w:rsidRPr="0089432E">
              <w:rPr>
                <w:b/>
                <w:szCs w:val="24"/>
              </w:rPr>
              <w:t>Current Liabilities</w:t>
            </w:r>
          </w:p>
        </w:tc>
      </w:tr>
      <w:tr w:rsidR="00FA18E2" w:rsidRPr="0089432E" w14:paraId="1743A6FC" w14:textId="77777777" w:rsidTr="00233A66">
        <w:tc>
          <w:tcPr>
            <w:tcW w:w="2684" w:type="pct"/>
          </w:tcPr>
          <w:p w14:paraId="0891E470" w14:textId="1BFCA8E6" w:rsidR="00FA18E2" w:rsidRPr="0089432E" w:rsidRDefault="00FA18E2" w:rsidP="00FA18E2">
            <w:pPr>
              <w:rPr>
                <w:szCs w:val="24"/>
              </w:rPr>
            </w:pPr>
            <w:r w:rsidRPr="0089432E">
              <w:rPr>
                <w:szCs w:val="24"/>
              </w:rPr>
              <w:t>Other Short-Term Liabilities</w:t>
            </w:r>
          </w:p>
        </w:tc>
        <w:tc>
          <w:tcPr>
            <w:tcW w:w="632" w:type="pct"/>
          </w:tcPr>
          <w:p w14:paraId="4FC16D61" w14:textId="11F40776" w:rsidR="00FA18E2" w:rsidRPr="00FA18E2" w:rsidRDefault="00BD79B2" w:rsidP="00FA18E2">
            <w:pPr>
              <w:jc w:val="center"/>
              <w:rPr>
                <w:rStyle w:val="Hyperlink"/>
              </w:rPr>
            </w:pPr>
            <w:hyperlink w:anchor="N8" w:history="1">
              <w:r w:rsidR="00FA18E2" w:rsidRPr="0089432E">
                <w:rPr>
                  <w:rStyle w:val="Hyperlink"/>
                  <w:szCs w:val="24"/>
                </w:rPr>
                <w:t>8</w:t>
              </w:r>
            </w:hyperlink>
          </w:p>
        </w:tc>
        <w:tc>
          <w:tcPr>
            <w:tcW w:w="842" w:type="pct"/>
            <w:vAlign w:val="center"/>
          </w:tcPr>
          <w:p w14:paraId="5FF559FA" w14:textId="69F3F9C2" w:rsidR="00FA18E2" w:rsidRPr="0089432E" w:rsidRDefault="00FA18E2" w:rsidP="00233A66">
            <w:pPr>
              <w:pStyle w:val="CommentText"/>
              <w:tabs>
                <w:tab w:val="decimal" w:pos="1350"/>
              </w:tabs>
              <w:jc w:val="right"/>
              <w:rPr>
                <w:sz w:val="24"/>
                <w:szCs w:val="24"/>
              </w:rPr>
            </w:pPr>
            <w:r w:rsidRPr="0089432E">
              <w:rPr>
                <w:sz w:val="24"/>
                <w:szCs w:val="24"/>
              </w:rPr>
              <w:t>(558)</w:t>
            </w:r>
          </w:p>
        </w:tc>
        <w:tc>
          <w:tcPr>
            <w:tcW w:w="842" w:type="pct"/>
            <w:shd w:val="clear" w:color="auto" w:fill="auto"/>
            <w:vAlign w:val="center"/>
          </w:tcPr>
          <w:p w14:paraId="5FD7A2A8" w14:textId="60A971EC" w:rsidR="00FA18E2" w:rsidRPr="0089432E" w:rsidRDefault="00FA18E2" w:rsidP="00233A66">
            <w:pPr>
              <w:tabs>
                <w:tab w:val="decimal" w:pos="1350"/>
              </w:tabs>
              <w:jc w:val="right"/>
              <w:rPr>
                <w:szCs w:val="24"/>
              </w:rPr>
            </w:pPr>
            <w:r w:rsidRPr="0089432E">
              <w:rPr>
                <w:szCs w:val="24"/>
              </w:rPr>
              <w:t>(492)</w:t>
            </w:r>
          </w:p>
        </w:tc>
      </w:tr>
      <w:tr w:rsidR="00FA18E2" w:rsidRPr="0089432E" w14:paraId="7549EB55" w14:textId="77777777" w:rsidTr="00233A66">
        <w:tc>
          <w:tcPr>
            <w:tcW w:w="2684" w:type="pct"/>
          </w:tcPr>
          <w:p w14:paraId="0D3640A2" w14:textId="1E90D3E5" w:rsidR="00FA18E2" w:rsidRPr="0089432E" w:rsidRDefault="00FA18E2" w:rsidP="00FA18E2">
            <w:pPr>
              <w:rPr>
                <w:szCs w:val="24"/>
              </w:rPr>
            </w:pPr>
            <w:r w:rsidRPr="0089432E">
              <w:rPr>
                <w:szCs w:val="24"/>
              </w:rPr>
              <w:t>Short-Term Creditors</w:t>
            </w:r>
          </w:p>
        </w:tc>
        <w:tc>
          <w:tcPr>
            <w:tcW w:w="632" w:type="pct"/>
          </w:tcPr>
          <w:p w14:paraId="443A5ADE" w14:textId="59CF02B2" w:rsidR="00FA18E2" w:rsidRPr="00FA18E2" w:rsidRDefault="00BD79B2" w:rsidP="00FA18E2">
            <w:pPr>
              <w:jc w:val="center"/>
              <w:rPr>
                <w:rStyle w:val="Hyperlink"/>
              </w:rPr>
            </w:pPr>
            <w:hyperlink w:anchor="N11" w:history="1">
              <w:r w:rsidR="00FA18E2" w:rsidRPr="0089432E">
                <w:rPr>
                  <w:rStyle w:val="Hyperlink"/>
                  <w:szCs w:val="24"/>
                </w:rPr>
                <w:t>11</w:t>
              </w:r>
            </w:hyperlink>
          </w:p>
        </w:tc>
        <w:tc>
          <w:tcPr>
            <w:tcW w:w="842" w:type="pct"/>
            <w:vAlign w:val="center"/>
          </w:tcPr>
          <w:p w14:paraId="755A5094" w14:textId="4A8DFD47" w:rsidR="00FA18E2" w:rsidRPr="0089432E" w:rsidRDefault="00FA18E2" w:rsidP="00233A66">
            <w:pPr>
              <w:pStyle w:val="CommentText"/>
              <w:tabs>
                <w:tab w:val="decimal" w:pos="1350"/>
              </w:tabs>
              <w:jc w:val="right"/>
              <w:rPr>
                <w:sz w:val="24"/>
                <w:szCs w:val="24"/>
              </w:rPr>
            </w:pPr>
            <w:r w:rsidRPr="0089432E">
              <w:rPr>
                <w:sz w:val="24"/>
                <w:szCs w:val="24"/>
              </w:rPr>
              <w:t>(10,258)</w:t>
            </w:r>
          </w:p>
        </w:tc>
        <w:tc>
          <w:tcPr>
            <w:tcW w:w="842" w:type="pct"/>
            <w:shd w:val="clear" w:color="auto" w:fill="auto"/>
            <w:vAlign w:val="center"/>
          </w:tcPr>
          <w:p w14:paraId="6E4BF6DD" w14:textId="72E26F11" w:rsidR="00FA18E2" w:rsidRPr="0089432E" w:rsidRDefault="00FA18E2" w:rsidP="00233A66">
            <w:pPr>
              <w:tabs>
                <w:tab w:val="decimal" w:pos="1350"/>
              </w:tabs>
              <w:jc w:val="right"/>
              <w:rPr>
                <w:szCs w:val="24"/>
              </w:rPr>
            </w:pPr>
            <w:r w:rsidRPr="0089432E">
              <w:rPr>
                <w:szCs w:val="24"/>
              </w:rPr>
              <w:t>(9,296)</w:t>
            </w:r>
          </w:p>
        </w:tc>
      </w:tr>
      <w:tr w:rsidR="00FA18E2" w:rsidRPr="0089432E" w14:paraId="6E1B7B90" w14:textId="77777777" w:rsidTr="00233A66">
        <w:tc>
          <w:tcPr>
            <w:tcW w:w="2684" w:type="pct"/>
          </w:tcPr>
          <w:p w14:paraId="3FC19443" w14:textId="125D4B3A" w:rsidR="00FA18E2" w:rsidRPr="0089432E" w:rsidRDefault="00FA18E2" w:rsidP="00FA18E2">
            <w:pPr>
              <w:rPr>
                <w:szCs w:val="24"/>
              </w:rPr>
            </w:pPr>
            <w:r w:rsidRPr="0089432E">
              <w:rPr>
                <w:szCs w:val="24"/>
              </w:rPr>
              <w:t>Current Liabilities total</w:t>
            </w:r>
          </w:p>
        </w:tc>
        <w:tc>
          <w:tcPr>
            <w:tcW w:w="632" w:type="pct"/>
          </w:tcPr>
          <w:p w14:paraId="2123CB3D" w14:textId="77777777" w:rsidR="00FA18E2" w:rsidRPr="0089432E" w:rsidRDefault="00FA18E2" w:rsidP="00FA18E2">
            <w:pPr>
              <w:pStyle w:val="CommentText"/>
              <w:tabs>
                <w:tab w:val="decimal" w:pos="1350"/>
              </w:tabs>
              <w:jc w:val="right"/>
              <w:rPr>
                <w:sz w:val="24"/>
                <w:szCs w:val="24"/>
              </w:rPr>
            </w:pPr>
          </w:p>
        </w:tc>
        <w:tc>
          <w:tcPr>
            <w:tcW w:w="842" w:type="pct"/>
            <w:vAlign w:val="center"/>
          </w:tcPr>
          <w:p w14:paraId="00619F91" w14:textId="0DBCDAD5" w:rsidR="00FA18E2" w:rsidRPr="0089432E" w:rsidRDefault="00FA18E2" w:rsidP="00233A66">
            <w:pPr>
              <w:pStyle w:val="CommentText"/>
              <w:tabs>
                <w:tab w:val="decimal" w:pos="1350"/>
              </w:tabs>
              <w:jc w:val="right"/>
              <w:rPr>
                <w:sz w:val="24"/>
                <w:szCs w:val="24"/>
              </w:rPr>
            </w:pPr>
            <w:r w:rsidRPr="0089432E">
              <w:rPr>
                <w:sz w:val="24"/>
                <w:szCs w:val="24"/>
              </w:rPr>
              <w:t>(10,816)</w:t>
            </w:r>
          </w:p>
        </w:tc>
        <w:tc>
          <w:tcPr>
            <w:tcW w:w="842" w:type="pct"/>
            <w:shd w:val="clear" w:color="auto" w:fill="auto"/>
            <w:vAlign w:val="center"/>
          </w:tcPr>
          <w:p w14:paraId="06BCD108" w14:textId="6FA71996" w:rsidR="00FA18E2" w:rsidRPr="0089432E" w:rsidRDefault="00FA18E2" w:rsidP="00233A66">
            <w:pPr>
              <w:tabs>
                <w:tab w:val="decimal" w:pos="1350"/>
              </w:tabs>
              <w:jc w:val="right"/>
              <w:rPr>
                <w:szCs w:val="24"/>
              </w:rPr>
            </w:pPr>
            <w:r w:rsidRPr="0089432E">
              <w:rPr>
                <w:szCs w:val="24"/>
              </w:rPr>
              <w:t>(9,788)</w:t>
            </w:r>
          </w:p>
        </w:tc>
      </w:tr>
    </w:tbl>
    <w:p w14:paraId="61184CB4" w14:textId="77777777" w:rsidR="00FA18E2" w:rsidRDefault="00FA18E2"/>
    <w:tbl>
      <w:tblPr>
        <w:tblW w:w="46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0"/>
        <w:gridCol w:w="1276"/>
        <w:gridCol w:w="1701"/>
        <w:gridCol w:w="1701"/>
      </w:tblGrid>
      <w:tr w:rsidR="00233A66" w:rsidRPr="0089432E" w14:paraId="27F6061F" w14:textId="77777777" w:rsidTr="00036C34">
        <w:tc>
          <w:tcPr>
            <w:tcW w:w="5000" w:type="pct"/>
            <w:gridSpan w:val="4"/>
            <w:shd w:val="clear" w:color="auto" w:fill="D9D9D9" w:themeFill="background1" w:themeFillShade="D9"/>
          </w:tcPr>
          <w:p w14:paraId="1C6C4436" w14:textId="16D6C305" w:rsidR="00233A66" w:rsidRPr="0089432E" w:rsidRDefault="00233A66" w:rsidP="00F32423">
            <w:pPr>
              <w:tabs>
                <w:tab w:val="decimal" w:pos="601"/>
                <w:tab w:val="decimal" w:pos="703"/>
                <w:tab w:val="decimal" w:pos="1350"/>
              </w:tabs>
              <w:rPr>
                <w:szCs w:val="24"/>
              </w:rPr>
            </w:pPr>
            <w:r w:rsidRPr="0089432E">
              <w:rPr>
                <w:b/>
                <w:szCs w:val="24"/>
              </w:rPr>
              <w:t>Long-Term Liabilities</w:t>
            </w:r>
          </w:p>
        </w:tc>
      </w:tr>
      <w:tr w:rsidR="00FA18E2" w:rsidRPr="0089432E" w14:paraId="43ED1FCE" w14:textId="77777777" w:rsidTr="00233A66">
        <w:tc>
          <w:tcPr>
            <w:tcW w:w="2684" w:type="pct"/>
          </w:tcPr>
          <w:p w14:paraId="04B39D92" w14:textId="02A0F20D" w:rsidR="00FA18E2" w:rsidRPr="0089432E" w:rsidRDefault="00FA18E2" w:rsidP="00FA18E2">
            <w:pPr>
              <w:tabs>
                <w:tab w:val="left" w:pos="3900"/>
              </w:tabs>
              <w:rPr>
                <w:szCs w:val="24"/>
              </w:rPr>
            </w:pPr>
            <w:r w:rsidRPr="0089432E">
              <w:rPr>
                <w:szCs w:val="24"/>
              </w:rPr>
              <w:t>Provisions</w:t>
            </w:r>
            <w:r w:rsidRPr="0089432E">
              <w:rPr>
                <w:szCs w:val="24"/>
              </w:rPr>
              <w:tab/>
            </w:r>
          </w:p>
        </w:tc>
        <w:tc>
          <w:tcPr>
            <w:tcW w:w="632" w:type="pct"/>
          </w:tcPr>
          <w:p w14:paraId="3760958F" w14:textId="5591A414" w:rsidR="00FA18E2" w:rsidRPr="00FA18E2" w:rsidRDefault="00BD79B2" w:rsidP="00FA18E2">
            <w:pPr>
              <w:jc w:val="center"/>
              <w:rPr>
                <w:rStyle w:val="Hyperlink"/>
              </w:rPr>
            </w:pPr>
            <w:hyperlink w:anchor="N12" w:history="1">
              <w:r w:rsidR="00FA18E2" w:rsidRPr="0089432E">
                <w:rPr>
                  <w:rStyle w:val="Hyperlink"/>
                  <w:szCs w:val="24"/>
                </w:rPr>
                <w:t>12</w:t>
              </w:r>
            </w:hyperlink>
          </w:p>
        </w:tc>
        <w:tc>
          <w:tcPr>
            <w:tcW w:w="842" w:type="pct"/>
            <w:vAlign w:val="center"/>
          </w:tcPr>
          <w:p w14:paraId="79B0A3A8" w14:textId="6830E8D1" w:rsidR="00FA18E2" w:rsidRPr="0089432E" w:rsidRDefault="00FA18E2" w:rsidP="00233A66">
            <w:pPr>
              <w:pStyle w:val="CommentText"/>
              <w:tabs>
                <w:tab w:val="decimal" w:pos="1350"/>
              </w:tabs>
              <w:jc w:val="right"/>
              <w:rPr>
                <w:sz w:val="24"/>
                <w:szCs w:val="24"/>
              </w:rPr>
            </w:pPr>
            <w:r w:rsidRPr="0089432E">
              <w:rPr>
                <w:sz w:val="24"/>
                <w:szCs w:val="24"/>
              </w:rPr>
              <w:t>(1,239)</w:t>
            </w:r>
          </w:p>
        </w:tc>
        <w:tc>
          <w:tcPr>
            <w:tcW w:w="842" w:type="pct"/>
            <w:shd w:val="clear" w:color="auto" w:fill="auto"/>
            <w:vAlign w:val="center"/>
          </w:tcPr>
          <w:p w14:paraId="040F40B8" w14:textId="670B5139" w:rsidR="00FA18E2" w:rsidRPr="0089432E" w:rsidRDefault="00FA18E2" w:rsidP="00233A66">
            <w:pPr>
              <w:pStyle w:val="CommentText"/>
              <w:tabs>
                <w:tab w:val="decimal" w:pos="1350"/>
              </w:tabs>
              <w:jc w:val="right"/>
              <w:rPr>
                <w:sz w:val="24"/>
                <w:szCs w:val="24"/>
              </w:rPr>
            </w:pPr>
            <w:r w:rsidRPr="0089432E">
              <w:rPr>
                <w:sz w:val="24"/>
                <w:szCs w:val="24"/>
              </w:rPr>
              <w:t>(1,447)</w:t>
            </w:r>
          </w:p>
        </w:tc>
      </w:tr>
      <w:tr w:rsidR="00FA18E2" w:rsidRPr="0089432E" w14:paraId="2D3B9564" w14:textId="77777777" w:rsidTr="00233A66">
        <w:tc>
          <w:tcPr>
            <w:tcW w:w="2684" w:type="pct"/>
          </w:tcPr>
          <w:p w14:paraId="7E042688" w14:textId="58B200C5" w:rsidR="00FA18E2" w:rsidRPr="0089432E" w:rsidRDefault="00FA18E2" w:rsidP="00FA18E2">
            <w:pPr>
              <w:rPr>
                <w:szCs w:val="24"/>
              </w:rPr>
            </w:pPr>
            <w:r w:rsidRPr="0089432E">
              <w:rPr>
                <w:szCs w:val="24"/>
              </w:rPr>
              <w:t>Long-Term Borrowing</w:t>
            </w:r>
          </w:p>
        </w:tc>
        <w:tc>
          <w:tcPr>
            <w:tcW w:w="632" w:type="pct"/>
          </w:tcPr>
          <w:p w14:paraId="7F4FB273" w14:textId="4F5063AA" w:rsidR="00FA18E2" w:rsidRPr="00FA18E2" w:rsidRDefault="00BD79B2" w:rsidP="00FA18E2">
            <w:pPr>
              <w:jc w:val="center"/>
              <w:rPr>
                <w:rStyle w:val="Hyperlink"/>
              </w:rPr>
            </w:pPr>
            <w:hyperlink w:anchor="N8" w:history="1">
              <w:r w:rsidR="00FA18E2" w:rsidRPr="0089432E">
                <w:rPr>
                  <w:rStyle w:val="Hyperlink"/>
                  <w:szCs w:val="24"/>
                </w:rPr>
                <w:t>8</w:t>
              </w:r>
            </w:hyperlink>
          </w:p>
        </w:tc>
        <w:tc>
          <w:tcPr>
            <w:tcW w:w="842" w:type="pct"/>
            <w:vAlign w:val="center"/>
          </w:tcPr>
          <w:p w14:paraId="004736CE" w14:textId="0F565D8D" w:rsidR="00FA18E2" w:rsidRPr="0089432E" w:rsidRDefault="00FA18E2" w:rsidP="00233A66">
            <w:pPr>
              <w:pStyle w:val="CommentText"/>
              <w:tabs>
                <w:tab w:val="decimal" w:pos="1350"/>
              </w:tabs>
              <w:jc w:val="right"/>
              <w:rPr>
                <w:sz w:val="24"/>
                <w:szCs w:val="24"/>
              </w:rPr>
            </w:pPr>
            <w:r w:rsidRPr="0089432E">
              <w:rPr>
                <w:sz w:val="24"/>
                <w:szCs w:val="24"/>
              </w:rPr>
              <w:t>(2,000)</w:t>
            </w:r>
          </w:p>
        </w:tc>
        <w:tc>
          <w:tcPr>
            <w:tcW w:w="842" w:type="pct"/>
            <w:shd w:val="clear" w:color="auto" w:fill="auto"/>
            <w:vAlign w:val="center"/>
          </w:tcPr>
          <w:p w14:paraId="27FE3670" w14:textId="53DE51F5" w:rsidR="00FA18E2" w:rsidRPr="0089432E" w:rsidRDefault="00FA18E2" w:rsidP="00233A66">
            <w:pPr>
              <w:pStyle w:val="CommentText"/>
              <w:tabs>
                <w:tab w:val="decimal" w:pos="1350"/>
              </w:tabs>
              <w:jc w:val="right"/>
              <w:rPr>
                <w:sz w:val="24"/>
                <w:szCs w:val="24"/>
              </w:rPr>
            </w:pPr>
            <w:r w:rsidRPr="0089432E">
              <w:rPr>
                <w:sz w:val="24"/>
                <w:szCs w:val="24"/>
              </w:rPr>
              <w:t>(2,000)</w:t>
            </w:r>
          </w:p>
        </w:tc>
      </w:tr>
      <w:tr w:rsidR="00FA18E2" w:rsidRPr="0089432E" w14:paraId="6C35C4CF" w14:textId="77777777" w:rsidTr="00233A66">
        <w:tc>
          <w:tcPr>
            <w:tcW w:w="2684" w:type="pct"/>
            <w:vAlign w:val="center"/>
          </w:tcPr>
          <w:p w14:paraId="400AF1D2" w14:textId="53D82DDF" w:rsidR="00FA18E2" w:rsidRPr="0089432E" w:rsidRDefault="00FA18E2" w:rsidP="00FA18E2">
            <w:pPr>
              <w:rPr>
                <w:szCs w:val="24"/>
              </w:rPr>
            </w:pPr>
            <w:r w:rsidRPr="0089432E">
              <w:rPr>
                <w:szCs w:val="24"/>
              </w:rPr>
              <w:t>Other Long-Term Liabilities</w:t>
            </w:r>
          </w:p>
        </w:tc>
        <w:tc>
          <w:tcPr>
            <w:tcW w:w="632" w:type="pct"/>
          </w:tcPr>
          <w:p w14:paraId="0C821935" w14:textId="5A0C46C6" w:rsidR="00FA18E2" w:rsidRPr="00FA18E2" w:rsidRDefault="00BD79B2" w:rsidP="00FA18E2">
            <w:pPr>
              <w:jc w:val="center"/>
              <w:rPr>
                <w:rStyle w:val="Hyperlink"/>
              </w:rPr>
            </w:pPr>
            <w:hyperlink w:anchor="N13" w:history="1">
              <w:r w:rsidR="00FA18E2" w:rsidRPr="0089432E">
                <w:rPr>
                  <w:rStyle w:val="Hyperlink"/>
                  <w:szCs w:val="24"/>
                </w:rPr>
                <w:t>13</w:t>
              </w:r>
            </w:hyperlink>
          </w:p>
        </w:tc>
        <w:tc>
          <w:tcPr>
            <w:tcW w:w="842" w:type="pct"/>
            <w:vAlign w:val="center"/>
          </w:tcPr>
          <w:p w14:paraId="7EEBE724" w14:textId="2F7DE9E1" w:rsidR="00FA18E2" w:rsidRPr="0089432E" w:rsidRDefault="00FA18E2" w:rsidP="00233A66">
            <w:pPr>
              <w:pStyle w:val="CommentText"/>
              <w:tabs>
                <w:tab w:val="decimal" w:pos="1350"/>
              </w:tabs>
              <w:jc w:val="right"/>
              <w:rPr>
                <w:sz w:val="24"/>
                <w:szCs w:val="24"/>
              </w:rPr>
            </w:pPr>
            <w:r w:rsidRPr="0089432E">
              <w:rPr>
                <w:sz w:val="24"/>
                <w:szCs w:val="24"/>
              </w:rPr>
              <w:t>(663,449)</w:t>
            </w:r>
          </w:p>
        </w:tc>
        <w:tc>
          <w:tcPr>
            <w:tcW w:w="842" w:type="pct"/>
            <w:shd w:val="clear" w:color="auto" w:fill="auto"/>
            <w:vAlign w:val="center"/>
          </w:tcPr>
          <w:p w14:paraId="385ED89D" w14:textId="42959162" w:rsidR="00FA18E2" w:rsidRPr="0089432E" w:rsidRDefault="00FA18E2" w:rsidP="00233A66">
            <w:pPr>
              <w:tabs>
                <w:tab w:val="decimal" w:pos="1350"/>
              </w:tabs>
              <w:jc w:val="right"/>
              <w:rPr>
                <w:szCs w:val="24"/>
              </w:rPr>
            </w:pPr>
            <w:r w:rsidRPr="0089432E">
              <w:rPr>
                <w:szCs w:val="24"/>
              </w:rPr>
              <w:t>(895,652)</w:t>
            </w:r>
          </w:p>
        </w:tc>
      </w:tr>
      <w:tr w:rsidR="00FA18E2" w:rsidRPr="0089432E" w14:paraId="4A7FDAF3" w14:textId="77777777" w:rsidTr="00233A66">
        <w:tc>
          <w:tcPr>
            <w:tcW w:w="2684" w:type="pct"/>
          </w:tcPr>
          <w:p w14:paraId="650E09D2" w14:textId="2BF5314C" w:rsidR="00FA18E2" w:rsidRPr="0089432E" w:rsidRDefault="00FA18E2" w:rsidP="00FA18E2">
            <w:pPr>
              <w:pStyle w:val="CommentText"/>
              <w:rPr>
                <w:sz w:val="24"/>
                <w:szCs w:val="24"/>
              </w:rPr>
            </w:pPr>
            <w:r w:rsidRPr="0089432E">
              <w:rPr>
                <w:sz w:val="24"/>
                <w:szCs w:val="24"/>
              </w:rPr>
              <w:t>Long-Term Liabilities total</w:t>
            </w:r>
          </w:p>
        </w:tc>
        <w:tc>
          <w:tcPr>
            <w:tcW w:w="632" w:type="pct"/>
          </w:tcPr>
          <w:p w14:paraId="0AF685F1" w14:textId="77777777" w:rsidR="00FA18E2" w:rsidRPr="0089432E" w:rsidRDefault="00FA18E2" w:rsidP="00FA18E2">
            <w:pPr>
              <w:pStyle w:val="CommentText"/>
              <w:tabs>
                <w:tab w:val="decimal" w:pos="1350"/>
              </w:tabs>
              <w:jc w:val="right"/>
              <w:rPr>
                <w:sz w:val="24"/>
                <w:szCs w:val="24"/>
              </w:rPr>
            </w:pPr>
          </w:p>
        </w:tc>
        <w:tc>
          <w:tcPr>
            <w:tcW w:w="842" w:type="pct"/>
            <w:vAlign w:val="center"/>
          </w:tcPr>
          <w:p w14:paraId="669BAA3C" w14:textId="760DD021" w:rsidR="00FA18E2" w:rsidRPr="0089432E" w:rsidRDefault="00FA18E2" w:rsidP="00233A66">
            <w:pPr>
              <w:pStyle w:val="CommentText"/>
              <w:tabs>
                <w:tab w:val="decimal" w:pos="1350"/>
              </w:tabs>
              <w:jc w:val="right"/>
              <w:rPr>
                <w:sz w:val="24"/>
                <w:szCs w:val="24"/>
              </w:rPr>
            </w:pPr>
            <w:r w:rsidRPr="0089432E">
              <w:rPr>
                <w:sz w:val="24"/>
                <w:szCs w:val="24"/>
              </w:rPr>
              <w:t>(666,688)</w:t>
            </w:r>
          </w:p>
        </w:tc>
        <w:tc>
          <w:tcPr>
            <w:tcW w:w="842" w:type="pct"/>
            <w:shd w:val="clear" w:color="auto" w:fill="auto"/>
            <w:vAlign w:val="center"/>
          </w:tcPr>
          <w:p w14:paraId="4CD72395" w14:textId="6A4FBCFC" w:rsidR="00FA18E2" w:rsidRPr="0089432E" w:rsidRDefault="00FA18E2" w:rsidP="00233A66">
            <w:pPr>
              <w:tabs>
                <w:tab w:val="decimal" w:pos="1350"/>
              </w:tabs>
              <w:jc w:val="right"/>
              <w:rPr>
                <w:szCs w:val="24"/>
              </w:rPr>
            </w:pPr>
            <w:r w:rsidRPr="0089432E">
              <w:rPr>
                <w:szCs w:val="24"/>
              </w:rPr>
              <w:t>(899,099)</w:t>
            </w:r>
          </w:p>
        </w:tc>
      </w:tr>
    </w:tbl>
    <w:p w14:paraId="165F26C0" w14:textId="77777777" w:rsidR="00F32423" w:rsidRDefault="00F32423"/>
    <w:tbl>
      <w:tblPr>
        <w:tblW w:w="46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0"/>
        <w:gridCol w:w="1276"/>
        <w:gridCol w:w="1701"/>
        <w:gridCol w:w="1701"/>
      </w:tblGrid>
      <w:tr w:rsidR="00FA18E2" w:rsidRPr="0089432E" w14:paraId="3907ADF3" w14:textId="77777777" w:rsidTr="00233A66">
        <w:tc>
          <w:tcPr>
            <w:tcW w:w="2684" w:type="pct"/>
          </w:tcPr>
          <w:p w14:paraId="7C453D70" w14:textId="77777777" w:rsidR="00FA18E2" w:rsidRPr="0089432E" w:rsidRDefault="00FA18E2" w:rsidP="00FA18E2">
            <w:pPr>
              <w:rPr>
                <w:b/>
                <w:szCs w:val="24"/>
              </w:rPr>
            </w:pPr>
            <w:r w:rsidRPr="0089432E">
              <w:rPr>
                <w:b/>
                <w:szCs w:val="24"/>
              </w:rPr>
              <w:t xml:space="preserve">Net Liabilities </w:t>
            </w:r>
          </w:p>
        </w:tc>
        <w:tc>
          <w:tcPr>
            <w:tcW w:w="632" w:type="pct"/>
          </w:tcPr>
          <w:p w14:paraId="10D180C1" w14:textId="77777777" w:rsidR="00FA18E2" w:rsidRPr="0089432E" w:rsidRDefault="00FA18E2" w:rsidP="00FA18E2">
            <w:pPr>
              <w:pStyle w:val="CommentText"/>
              <w:tabs>
                <w:tab w:val="decimal" w:pos="1350"/>
              </w:tabs>
              <w:jc w:val="right"/>
              <w:rPr>
                <w:sz w:val="24"/>
                <w:szCs w:val="24"/>
              </w:rPr>
            </w:pPr>
          </w:p>
        </w:tc>
        <w:tc>
          <w:tcPr>
            <w:tcW w:w="842" w:type="pct"/>
            <w:vAlign w:val="center"/>
          </w:tcPr>
          <w:p w14:paraId="0752F770" w14:textId="2E7D1D15" w:rsidR="00FA18E2" w:rsidRPr="00F32423" w:rsidRDefault="00FA18E2" w:rsidP="00233A66">
            <w:pPr>
              <w:pStyle w:val="CommentText"/>
              <w:tabs>
                <w:tab w:val="decimal" w:pos="1350"/>
              </w:tabs>
              <w:jc w:val="right"/>
              <w:rPr>
                <w:b/>
                <w:bCs/>
                <w:sz w:val="24"/>
                <w:szCs w:val="24"/>
              </w:rPr>
            </w:pPr>
            <w:r w:rsidRPr="00F32423">
              <w:rPr>
                <w:b/>
                <w:bCs/>
                <w:sz w:val="24"/>
                <w:szCs w:val="24"/>
              </w:rPr>
              <w:t>(502,491)</w:t>
            </w:r>
          </w:p>
        </w:tc>
        <w:tc>
          <w:tcPr>
            <w:tcW w:w="842" w:type="pct"/>
            <w:shd w:val="clear" w:color="auto" w:fill="auto"/>
            <w:vAlign w:val="center"/>
          </w:tcPr>
          <w:p w14:paraId="0BD9BC60" w14:textId="1AEB445D" w:rsidR="00FA18E2" w:rsidRPr="00F32423" w:rsidRDefault="00FA18E2" w:rsidP="00233A66">
            <w:pPr>
              <w:pStyle w:val="CommentText"/>
              <w:tabs>
                <w:tab w:val="decimal" w:pos="1350"/>
              </w:tabs>
              <w:jc w:val="right"/>
              <w:rPr>
                <w:b/>
                <w:bCs/>
                <w:sz w:val="24"/>
                <w:szCs w:val="24"/>
              </w:rPr>
            </w:pPr>
            <w:r w:rsidRPr="00F32423">
              <w:rPr>
                <w:b/>
                <w:bCs/>
                <w:sz w:val="24"/>
                <w:szCs w:val="24"/>
              </w:rPr>
              <w:t>(753,686)</w:t>
            </w:r>
          </w:p>
        </w:tc>
      </w:tr>
    </w:tbl>
    <w:p w14:paraId="5B5E4161" w14:textId="77777777" w:rsidR="00F32423" w:rsidRDefault="00F32423"/>
    <w:tbl>
      <w:tblPr>
        <w:tblW w:w="46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0"/>
        <w:gridCol w:w="1276"/>
        <w:gridCol w:w="1701"/>
        <w:gridCol w:w="1701"/>
      </w:tblGrid>
      <w:tr w:rsidR="00233A66" w:rsidRPr="0089432E" w14:paraId="22B85105" w14:textId="77777777" w:rsidTr="00036C34">
        <w:tc>
          <w:tcPr>
            <w:tcW w:w="5000" w:type="pct"/>
            <w:gridSpan w:val="4"/>
            <w:shd w:val="clear" w:color="auto" w:fill="D9D9D9" w:themeFill="background1" w:themeFillShade="D9"/>
          </w:tcPr>
          <w:p w14:paraId="3D773EFD" w14:textId="5992B682" w:rsidR="00233A66" w:rsidRPr="00233A66" w:rsidRDefault="00233A66" w:rsidP="00233A66">
            <w:pPr>
              <w:pStyle w:val="CommentText"/>
              <w:tabs>
                <w:tab w:val="decimal" w:pos="1350"/>
              </w:tabs>
              <w:rPr>
                <w:sz w:val="24"/>
                <w:szCs w:val="24"/>
              </w:rPr>
            </w:pPr>
            <w:r w:rsidRPr="00233A66">
              <w:rPr>
                <w:b/>
                <w:sz w:val="24"/>
                <w:szCs w:val="24"/>
              </w:rPr>
              <w:t>Usable Reserves</w:t>
            </w:r>
          </w:p>
        </w:tc>
      </w:tr>
      <w:tr w:rsidR="00FA18E2" w:rsidRPr="0089432E" w14:paraId="1A22FF8C" w14:textId="77777777" w:rsidTr="00233A66">
        <w:tc>
          <w:tcPr>
            <w:tcW w:w="2684" w:type="pct"/>
          </w:tcPr>
          <w:p w14:paraId="5780D26F" w14:textId="77777777" w:rsidR="00FA18E2" w:rsidRPr="0089432E" w:rsidRDefault="00FA18E2" w:rsidP="00F32423">
            <w:pPr>
              <w:rPr>
                <w:szCs w:val="24"/>
              </w:rPr>
            </w:pPr>
            <w:r w:rsidRPr="0089432E">
              <w:rPr>
                <w:szCs w:val="24"/>
              </w:rPr>
              <w:t>Revenue Reserves</w:t>
            </w:r>
          </w:p>
        </w:tc>
        <w:tc>
          <w:tcPr>
            <w:tcW w:w="632" w:type="pct"/>
          </w:tcPr>
          <w:p w14:paraId="074CB05C" w14:textId="054A6184" w:rsidR="00FA18E2" w:rsidRPr="00FA18E2" w:rsidRDefault="00BD79B2" w:rsidP="00F32423">
            <w:pPr>
              <w:jc w:val="center"/>
              <w:rPr>
                <w:rStyle w:val="Hyperlink"/>
              </w:rPr>
            </w:pPr>
            <w:hyperlink w:anchor="N16" w:history="1">
              <w:r w:rsidR="00FA18E2" w:rsidRPr="0089432E">
                <w:rPr>
                  <w:rStyle w:val="Hyperlink"/>
                  <w:szCs w:val="24"/>
                </w:rPr>
                <w:t>16</w:t>
              </w:r>
            </w:hyperlink>
          </w:p>
        </w:tc>
        <w:tc>
          <w:tcPr>
            <w:tcW w:w="842" w:type="pct"/>
            <w:vAlign w:val="center"/>
          </w:tcPr>
          <w:p w14:paraId="0415D9CC" w14:textId="50452296" w:rsidR="00FA18E2" w:rsidRPr="0089432E" w:rsidRDefault="00FA18E2" w:rsidP="00233A66">
            <w:pPr>
              <w:pStyle w:val="CommentText"/>
              <w:tabs>
                <w:tab w:val="decimal" w:pos="1350"/>
              </w:tabs>
              <w:jc w:val="right"/>
              <w:rPr>
                <w:sz w:val="24"/>
                <w:szCs w:val="24"/>
              </w:rPr>
            </w:pPr>
            <w:r w:rsidRPr="0089432E">
              <w:rPr>
                <w:sz w:val="24"/>
                <w:szCs w:val="24"/>
              </w:rPr>
              <w:t>(14,145)</w:t>
            </w:r>
          </w:p>
        </w:tc>
        <w:tc>
          <w:tcPr>
            <w:tcW w:w="842" w:type="pct"/>
            <w:shd w:val="clear" w:color="auto" w:fill="auto"/>
            <w:vAlign w:val="center"/>
          </w:tcPr>
          <w:p w14:paraId="78B7DFDA" w14:textId="78892F82" w:rsidR="00FA18E2" w:rsidRPr="0089432E" w:rsidRDefault="00FA18E2" w:rsidP="00233A66">
            <w:pPr>
              <w:pStyle w:val="CommentText"/>
              <w:tabs>
                <w:tab w:val="decimal" w:pos="1350"/>
              </w:tabs>
              <w:jc w:val="right"/>
              <w:rPr>
                <w:sz w:val="24"/>
                <w:szCs w:val="24"/>
              </w:rPr>
            </w:pPr>
            <w:r w:rsidRPr="0089432E">
              <w:rPr>
                <w:sz w:val="24"/>
                <w:szCs w:val="24"/>
              </w:rPr>
              <w:t>(16,278)</w:t>
            </w:r>
          </w:p>
        </w:tc>
      </w:tr>
      <w:tr w:rsidR="00FA18E2" w:rsidRPr="0089432E" w14:paraId="4AAA4BBE" w14:textId="77777777" w:rsidTr="00233A66">
        <w:tc>
          <w:tcPr>
            <w:tcW w:w="2684" w:type="pct"/>
          </w:tcPr>
          <w:p w14:paraId="163FBB61" w14:textId="77777777" w:rsidR="00FA18E2" w:rsidRPr="0089432E" w:rsidRDefault="00FA18E2" w:rsidP="00F32423">
            <w:pPr>
              <w:rPr>
                <w:szCs w:val="24"/>
              </w:rPr>
            </w:pPr>
            <w:r w:rsidRPr="0089432E">
              <w:rPr>
                <w:szCs w:val="24"/>
              </w:rPr>
              <w:t>Capital Funding Reserve</w:t>
            </w:r>
          </w:p>
        </w:tc>
        <w:tc>
          <w:tcPr>
            <w:tcW w:w="632" w:type="pct"/>
          </w:tcPr>
          <w:p w14:paraId="099659AA" w14:textId="118BC432" w:rsidR="00FA18E2" w:rsidRPr="00FA18E2" w:rsidRDefault="00BD79B2" w:rsidP="00F32423">
            <w:pPr>
              <w:jc w:val="center"/>
              <w:rPr>
                <w:rStyle w:val="Hyperlink"/>
              </w:rPr>
            </w:pPr>
            <w:hyperlink w:anchor="N16" w:history="1">
              <w:r w:rsidR="00FA18E2" w:rsidRPr="0089432E">
                <w:rPr>
                  <w:rStyle w:val="Hyperlink"/>
                  <w:szCs w:val="24"/>
                </w:rPr>
                <w:t>16</w:t>
              </w:r>
            </w:hyperlink>
          </w:p>
        </w:tc>
        <w:tc>
          <w:tcPr>
            <w:tcW w:w="842" w:type="pct"/>
            <w:vAlign w:val="center"/>
          </w:tcPr>
          <w:p w14:paraId="26042AD1" w14:textId="24166110" w:rsidR="00FA18E2" w:rsidRPr="0089432E" w:rsidRDefault="00FA18E2" w:rsidP="00233A66">
            <w:pPr>
              <w:pStyle w:val="CommentText"/>
              <w:tabs>
                <w:tab w:val="decimal" w:pos="1350"/>
              </w:tabs>
              <w:jc w:val="right"/>
              <w:rPr>
                <w:sz w:val="24"/>
                <w:szCs w:val="24"/>
              </w:rPr>
            </w:pPr>
            <w:r w:rsidRPr="0089432E">
              <w:rPr>
                <w:sz w:val="24"/>
                <w:szCs w:val="24"/>
              </w:rPr>
              <w:t>(20,344)</w:t>
            </w:r>
          </w:p>
        </w:tc>
        <w:tc>
          <w:tcPr>
            <w:tcW w:w="842" w:type="pct"/>
            <w:shd w:val="clear" w:color="auto" w:fill="auto"/>
            <w:vAlign w:val="center"/>
          </w:tcPr>
          <w:p w14:paraId="2B416EF0" w14:textId="433073BF" w:rsidR="00FA18E2" w:rsidRPr="0089432E" w:rsidRDefault="00FA18E2" w:rsidP="00233A66">
            <w:pPr>
              <w:tabs>
                <w:tab w:val="decimal" w:pos="1350"/>
              </w:tabs>
              <w:jc w:val="right"/>
              <w:rPr>
                <w:szCs w:val="24"/>
              </w:rPr>
            </w:pPr>
            <w:r w:rsidRPr="0089432E">
              <w:rPr>
                <w:szCs w:val="24"/>
              </w:rPr>
              <w:t>(17,672)</w:t>
            </w:r>
          </w:p>
        </w:tc>
      </w:tr>
      <w:tr w:rsidR="00FA18E2" w:rsidRPr="0089432E" w14:paraId="315CBBC3" w14:textId="77777777" w:rsidTr="00233A66">
        <w:tc>
          <w:tcPr>
            <w:tcW w:w="2684" w:type="pct"/>
          </w:tcPr>
          <w:p w14:paraId="67E9AE8B" w14:textId="77777777" w:rsidR="00FA18E2" w:rsidRPr="0089432E" w:rsidRDefault="00FA18E2" w:rsidP="00F32423">
            <w:pPr>
              <w:rPr>
                <w:szCs w:val="24"/>
              </w:rPr>
            </w:pPr>
            <w:r w:rsidRPr="0089432E">
              <w:rPr>
                <w:szCs w:val="24"/>
              </w:rPr>
              <w:t>Capital Grants Unapplied Account</w:t>
            </w:r>
          </w:p>
        </w:tc>
        <w:tc>
          <w:tcPr>
            <w:tcW w:w="632" w:type="pct"/>
          </w:tcPr>
          <w:p w14:paraId="10298C0F" w14:textId="39F27154" w:rsidR="00FA18E2" w:rsidRPr="00FA18E2" w:rsidRDefault="00BD79B2" w:rsidP="00F32423">
            <w:pPr>
              <w:jc w:val="center"/>
              <w:rPr>
                <w:rStyle w:val="Hyperlink"/>
              </w:rPr>
            </w:pPr>
            <w:hyperlink w:anchor="N16" w:history="1">
              <w:r w:rsidR="00FA18E2" w:rsidRPr="0089432E">
                <w:rPr>
                  <w:rStyle w:val="Hyperlink"/>
                  <w:szCs w:val="24"/>
                </w:rPr>
                <w:t>16</w:t>
              </w:r>
            </w:hyperlink>
          </w:p>
        </w:tc>
        <w:tc>
          <w:tcPr>
            <w:tcW w:w="842" w:type="pct"/>
            <w:vAlign w:val="center"/>
          </w:tcPr>
          <w:p w14:paraId="0AD9FB45" w14:textId="67FA80BC" w:rsidR="00FA18E2" w:rsidRPr="0089432E" w:rsidRDefault="00FA18E2" w:rsidP="00233A66">
            <w:pPr>
              <w:pStyle w:val="CommentText"/>
              <w:tabs>
                <w:tab w:val="decimal" w:pos="1350"/>
              </w:tabs>
              <w:jc w:val="right"/>
              <w:rPr>
                <w:sz w:val="24"/>
                <w:szCs w:val="24"/>
              </w:rPr>
            </w:pPr>
            <w:r w:rsidRPr="0089432E">
              <w:rPr>
                <w:sz w:val="24"/>
                <w:szCs w:val="24"/>
              </w:rPr>
              <w:t>(27)</w:t>
            </w:r>
          </w:p>
        </w:tc>
        <w:tc>
          <w:tcPr>
            <w:tcW w:w="842" w:type="pct"/>
            <w:shd w:val="clear" w:color="auto" w:fill="auto"/>
            <w:vAlign w:val="center"/>
          </w:tcPr>
          <w:p w14:paraId="0FE6DA6B" w14:textId="711F847E" w:rsidR="00FA18E2" w:rsidRPr="0089432E" w:rsidRDefault="00FA18E2" w:rsidP="00233A66">
            <w:pPr>
              <w:tabs>
                <w:tab w:val="decimal" w:pos="1350"/>
              </w:tabs>
              <w:jc w:val="right"/>
              <w:rPr>
                <w:szCs w:val="24"/>
              </w:rPr>
            </w:pPr>
            <w:r w:rsidRPr="0089432E">
              <w:rPr>
                <w:szCs w:val="24"/>
              </w:rPr>
              <w:t>(40)</w:t>
            </w:r>
          </w:p>
        </w:tc>
      </w:tr>
      <w:tr w:rsidR="00FA18E2" w:rsidRPr="0089432E" w14:paraId="00F6B3DD" w14:textId="77777777" w:rsidTr="00233A66">
        <w:tc>
          <w:tcPr>
            <w:tcW w:w="2684" w:type="pct"/>
          </w:tcPr>
          <w:p w14:paraId="7255C046" w14:textId="77777777" w:rsidR="00FA18E2" w:rsidRPr="0089432E" w:rsidRDefault="00FA18E2" w:rsidP="00F32423">
            <w:pPr>
              <w:rPr>
                <w:szCs w:val="24"/>
              </w:rPr>
            </w:pPr>
            <w:r w:rsidRPr="0089432E">
              <w:rPr>
                <w:szCs w:val="24"/>
              </w:rPr>
              <w:t>Usable Capital Receipts Reserve</w:t>
            </w:r>
          </w:p>
        </w:tc>
        <w:tc>
          <w:tcPr>
            <w:tcW w:w="632" w:type="pct"/>
          </w:tcPr>
          <w:p w14:paraId="794E62B7" w14:textId="24F28214" w:rsidR="00FA18E2" w:rsidRPr="00FA18E2" w:rsidRDefault="00BD79B2" w:rsidP="00F32423">
            <w:pPr>
              <w:jc w:val="center"/>
              <w:rPr>
                <w:rStyle w:val="Hyperlink"/>
              </w:rPr>
            </w:pPr>
            <w:hyperlink w:anchor="N16" w:history="1">
              <w:r w:rsidR="00FA18E2" w:rsidRPr="0089432E">
                <w:rPr>
                  <w:rStyle w:val="Hyperlink"/>
                  <w:szCs w:val="24"/>
                </w:rPr>
                <w:t>16</w:t>
              </w:r>
            </w:hyperlink>
          </w:p>
        </w:tc>
        <w:tc>
          <w:tcPr>
            <w:tcW w:w="842" w:type="pct"/>
            <w:vAlign w:val="center"/>
          </w:tcPr>
          <w:p w14:paraId="5EBE202F" w14:textId="24EED42C" w:rsidR="00FA18E2" w:rsidRPr="0089432E" w:rsidRDefault="00FA18E2" w:rsidP="00233A66">
            <w:pPr>
              <w:pStyle w:val="CommentText"/>
              <w:tabs>
                <w:tab w:val="decimal" w:pos="1350"/>
              </w:tabs>
              <w:jc w:val="right"/>
              <w:rPr>
                <w:sz w:val="24"/>
                <w:szCs w:val="24"/>
              </w:rPr>
            </w:pPr>
            <w:r w:rsidRPr="0089432E">
              <w:rPr>
                <w:sz w:val="24"/>
                <w:szCs w:val="24"/>
              </w:rPr>
              <w:t>(1,692)</w:t>
            </w:r>
          </w:p>
        </w:tc>
        <w:tc>
          <w:tcPr>
            <w:tcW w:w="842" w:type="pct"/>
            <w:shd w:val="clear" w:color="auto" w:fill="auto"/>
            <w:vAlign w:val="center"/>
          </w:tcPr>
          <w:p w14:paraId="4B3AEBC5" w14:textId="438507D0" w:rsidR="00FA18E2" w:rsidRPr="0089432E" w:rsidRDefault="00FA18E2" w:rsidP="00233A66">
            <w:pPr>
              <w:tabs>
                <w:tab w:val="decimal" w:pos="1350"/>
              </w:tabs>
              <w:jc w:val="right"/>
              <w:rPr>
                <w:szCs w:val="24"/>
              </w:rPr>
            </w:pPr>
            <w:r w:rsidRPr="0089432E">
              <w:rPr>
                <w:szCs w:val="24"/>
              </w:rPr>
              <w:t>(1,683)</w:t>
            </w:r>
          </w:p>
        </w:tc>
      </w:tr>
      <w:tr w:rsidR="00FA18E2" w:rsidRPr="0089432E" w14:paraId="7E7C63B6" w14:textId="77777777" w:rsidTr="00233A66">
        <w:tc>
          <w:tcPr>
            <w:tcW w:w="2684" w:type="pct"/>
          </w:tcPr>
          <w:p w14:paraId="371EF47D" w14:textId="5932F186" w:rsidR="00FA18E2" w:rsidRPr="00F32423" w:rsidRDefault="00FA18E2" w:rsidP="00F32423">
            <w:pPr>
              <w:rPr>
                <w:bCs/>
                <w:szCs w:val="24"/>
              </w:rPr>
            </w:pPr>
            <w:r w:rsidRPr="00F32423">
              <w:rPr>
                <w:bCs/>
                <w:szCs w:val="24"/>
              </w:rPr>
              <w:t>Usable Reserves</w:t>
            </w:r>
            <w:r w:rsidR="00F32423">
              <w:rPr>
                <w:bCs/>
                <w:szCs w:val="24"/>
              </w:rPr>
              <w:t xml:space="preserve"> total</w:t>
            </w:r>
          </w:p>
        </w:tc>
        <w:tc>
          <w:tcPr>
            <w:tcW w:w="632" w:type="pct"/>
          </w:tcPr>
          <w:p w14:paraId="30B55C80" w14:textId="0674F596" w:rsidR="00FA18E2" w:rsidRPr="00FA18E2" w:rsidRDefault="00BD79B2" w:rsidP="00F32423">
            <w:pPr>
              <w:jc w:val="center"/>
              <w:rPr>
                <w:rStyle w:val="Hyperlink"/>
              </w:rPr>
            </w:pPr>
            <w:hyperlink w:anchor="N16" w:history="1">
              <w:r w:rsidR="00FA18E2" w:rsidRPr="0089432E">
                <w:rPr>
                  <w:rStyle w:val="Hyperlink"/>
                  <w:szCs w:val="24"/>
                </w:rPr>
                <w:t>16</w:t>
              </w:r>
            </w:hyperlink>
          </w:p>
        </w:tc>
        <w:tc>
          <w:tcPr>
            <w:tcW w:w="842" w:type="pct"/>
            <w:vAlign w:val="center"/>
          </w:tcPr>
          <w:p w14:paraId="399641AE" w14:textId="4F2DF24D" w:rsidR="00FA18E2" w:rsidRPr="0089432E" w:rsidRDefault="00FA18E2" w:rsidP="00233A66">
            <w:pPr>
              <w:pStyle w:val="CommentText"/>
              <w:tabs>
                <w:tab w:val="decimal" w:pos="1350"/>
              </w:tabs>
              <w:jc w:val="right"/>
              <w:rPr>
                <w:sz w:val="24"/>
                <w:szCs w:val="24"/>
              </w:rPr>
            </w:pPr>
            <w:r w:rsidRPr="0089432E">
              <w:rPr>
                <w:sz w:val="24"/>
                <w:szCs w:val="24"/>
              </w:rPr>
              <w:t>(36,208)</w:t>
            </w:r>
          </w:p>
        </w:tc>
        <w:tc>
          <w:tcPr>
            <w:tcW w:w="842" w:type="pct"/>
            <w:shd w:val="clear" w:color="auto" w:fill="auto"/>
            <w:vAlign w:val="center"/>
          </w:tcPr>
          <w:p w14:paraId="287397EE" w14:textId="731CCC1E" w:rsidR="00FA18E2" w:rsidRPr="0089432E" w:rsidRDefault="00FA18E2" w:rsidP="00233A66">
            <w:pPr>
              <w:tabs>
                <w:tab w:val="decimal" w:pos="1350"/>
              </w:tabs>
              <w:jc w:val="right"/>
              <w:rPr>
                <w:szCs w:val="24"/>
              </w:rPr>
            </w:pPr>
            <w:r w:rsidRPr="0089432E">
              <w:rPr>
                <w:szCs w:val="24"/>
              </w:rPr>
              <w:t>(35,673)</w:t>
            </w:r>
          </w:p>
        </w:tc>
      </w:tr>
    </w:tbl>
    <w:p w14:paraId="49FF17D4" w14:textId="1ACDDED9" w:rsidR="00F32423" w:rsidRDefault="00F32423"/>
    <w:p w14:paraId="66EAFC94" w14:textId="77777777" w:rsidR="00F32423" w:rsidRDefault="00F32423">
      <w:r>
        <w:br w:type="page"/>
      </w:r>
    </w:p>
    <w:p w14:paraId="71CE84E9" w14:textId="77777777" w:rsidR="00F32423" w:rsidRDefault="00F32423"/>
    <w:tbl>
      <w:tblPr>
        <w:tblW w:w="46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0"/>
        <w:gridCol w:w="1276"/>
        <w:gridCol w:w="1701"/>
        <w:gridCol w:w="1701"/>
      </w:tblGrid>
      <w:tr w:rsidR="00F32423" w:rsidRPr="0089432E" w14:paraId="2DF7DF7F" w14:textId="77777777" w:rsidTr="00611673">
        <w:tc>
          <w:tcPr>
            <w:tcW w:w="2684" w:type="pct"/>
            <w:shd w:val="clear" w:color="auto" w:fill="BD2716"/>
          </w:tcPr>
          <w:p w14:paraId="0F56B118" w14:textId="77777777" w:rsidR="00F32423" w:rsidRPr="00036C34" w:rsidRDefault="00F32423" w:rsidP="00FA18E2">
            <w:pPr>
              <w:spacing w:before="240"/>
              <w:rPr>
                <w:b/>
                <w:color w:val="FFFFFF" w:themeColor="background1"/>
                <w:szCs w:val="24"/>
              </w:rPr>
            </w:pPr>
          </w:p>
        </w:tc>
        <w:tc>
          <w:tcPr>
            <w:tcW w:w="632" w:type="pct"/>
            <w:shd w:val="clear" w:color="auto" w:fill="BD2716"/>
            <w:vAlign w:val="center"/>
          </w:tcPr>
          <w:p w14:paraId="0BD4A736" w14:textId="76458E58" w:rsidR="00F32423" w:rsidRPr="00036C34" w:rsidRDefault="00F32423" w:rsidP="00611673">
            <w:pPr>
              <w:spacing w:before="240"/>
              <w:rPr>
                <w:rStyle w:val="Hyperlink"/>
                <w:color w:val="FFFFFF" w:themeColor="background1"/>
                <w:u w:val="none"/>
              </w:rPr>
            </w:pPr>
            <w:r w:rsidRPr="00036C34">
              <w:rPr>
                <w:rStyle w:val="Hyperlink"/>
                <w:color w:val="FFFFFF" w:themeColor="background1"/>
                <w:u w:val="none"/>
              </w:rPr>
              <w:t>Notes</w:t>
            </w:r>
          </w:p>
        </w:tc>
        <w:tc>
          <w:tcPr>
            <w:tcW w:w="842" w:type="pct"/>
            <w:shd w:val="clear" w:color="auto" w:fill="BD2716"/>
            <w:vAlign w:val="center"/>
          </w:tcPr>
          <w:p w14:paraId="1C70B22D" w14:textId="77777777" w:rsidR="00F32423" w:rsidRPr="00036C34" w:rsidRDefault="00F32423" w:rsidP="00611673">
            <w:pPr>
              <w:jc w:val="right"/>
              <w:rPr>
                <w:color w:val="FFFFFF" w:themeColor="background1"/>
                <w:szCs w:val="24"/>
              </w:rPr>
            </w:pPr>
            <w:proofErr w:type="gramStart"/>
            <w:r w:rsidRPr="00036C34">
              <w:rPr>
                <w:color w:val="FFFFFF" w:themeColor="background1"/>
                <w:szCs w:val="24"/>
              </w:rPr>
              <w:t>At</w:t>
            </w:r>
            <w:proofErr w:type="gramEnd"/>
            <w:r w:rsidRPr="00036C34">
              <w:rPr>
                <w:color w:val="FFFFFF" w:themeColor="background1"/>
                <w:szCs w:val="24"/>
              </w:rPr>
              <w:t xml:space="preserve"> 31 March 2023</w:t>
            </w:r>
          </w:p>
          <w:p w14:paraId="781F6CA6" w14:textId="18D41D31" w:rsidR="00F32423" w:rsidRPr="00036C34" w:rsidRDefault="00F32423" w:rsidP="00611673">
            <w:pPr>
              <w:jc w:val="right"/>
              <w:rPr>
                <w:color w:val="FFFFFF" w:themeColor="background1"/>
                <w:szCs w:val="24"/>
              </w:rPr>
            </w:pPr>
            <w:r w:rsidRPr="00036C34">
              <w:rPr>
                <w:color w:val="FFFFFF" w:themeColor="background1"/>
                <w:szCs w:val="24"/>
              </w:rPr>
              <w:t>£000</w:t>
            </w:r>
          </w:p>
        </w:tc>
        <w:tc>
          <w:tcPr>
            <w:tcW w:w="842" w:type="pct"/>
            <w:shd w:val="clear" w:color="auto" w:fill="BD2716"/>
            <w:vAlign w:val="center"/>
          </w:tcPr>
          <w:p w14:paraId="6C6D1668" w14:textId="77777777" w:rsidR="00F32423" w:rsidRPr="00036C34" w:rsidRDefault="00F32423" w:rsidP="00611673">
            <w:pPr>
              <w:jc w:val="right"/>
              <w:rPr>
                <w:color w:val="FFFFFF" w:themeColor="background1"/>
                <w:szCs w:val="24"/>
              </w:rPr>
            </w:pPr>
            <w:proofErr w:type="gramStart"/>
            <w:r w:rsidRPr="00036C34">
              <w:rPr>
                <w:color w:val="FFFFFF" w:themeColor="background1"/>
                <w:szCs w:val="24"/>
              </w:rPr>
              <w:t>At</w:t>
            </w:r>
            <w:proofErr w:type="gramEnd"/>
            <w:r w:rsidRPr="00036C34">
              <w:rPr>
                <w:color w:val="FFFFFF" w:themeColor="background1"/>
                <w:szCs w:val="24"/>
              </w:rPr>
              <w:t xml:space="preserve"> 31 March 2022</w:t>
            </w:r>
          </w:p>
          <w:p w14:paraId="689818AF" w14:textId="6CDCC48C" w:rsidR="00F32423" w:rsidRPr="00036C34" w:rsidRDefault="00F32423" w:rsidP="00611673">
            <w:pPr>
              <w:jc w:val="right"/>
              <w:rPr>
                <w:color w:val="FFFFFF" w:themeColor="background1"/>
                <w:szCs w:val="24"/>
              </w:rPr>
            </w:pPr>
            <w:r w:rsidRPr="00036C34">
              <w:rPr>
                <w:color w:val="FFFFFF" w:themeColor="background1"/>
                <w:szCs w:val="24"/>
              </w:rPr>
              <w:t>£000</w:t>
            </w:r>
          </w:p>
        </w:tc>
      </w:tr>
      <w:tr w:rsidR="00233A66" w:rsidRPr="0089432E" w14:paraId="5F6CD18A" w14:textId="77777777" w:rsidTr="00036C34">
        <w:tc>
          <w:tcPr>
            <w:tcW w:w="5000" w:type="pct"/>
            <w:gridSpan w:val="4"/>
            <w:shd w:val="clear" w:color="auto" w:fill="D9D9D9" w:themeFill="background1" w:themeFillShade="D9"/>
          </w:tcPr>
          <w:p w14:paraId="611E3890" w14:textId="4B4838CA" w:rsidR="00233A66" w:rsidRPr="0089432E" w:rsidRDefault="00233A66" w:rsidP="00233A66">
            <w:pPr>
              <w:tabs>
                <w:tab w:val="decimal" w:pos="1350"/>
              </w:tabs>
              <w:rPr>
                <w:szCs w:val="24"/>
              </w:rPr>
            </w:pPr>
            <w:r w:rsidRPr="0089432E">
              <w:rPr>
                <w:b/>
                <w:szCs w:val="24"/>
              </w:rPr>
              <w:t>Unusable Reserves</w:t>
            </w:r>
          </w:p>
        </w:tc>
      </w:tr>
      <w:tr w:rsidR="00FA18E2" w:rsidRPr="0089432E" w14:paraId="6A9F6680" w14:textId="77777777" w:rsidTr="00233A66">
        <w:tc>
          <w:tcPr>
            <w:tcW w:w="2684" w:type="pct"/>
          </w:tcPr>
          <w:p w14:paraId="5A364972" w14:textId="77777777" w:rsidR="00FA18E2" w:rsidRPr="0089432E" w:rsidRDefault="00FA18E2" w:rsidP="00F32423">
            <w:pPr>
              <w:rPr>
                <w:szCs w:val="24"/>
              </w:rPr>
            </w:pPr>
            <w:r w:rsidRPr="0089432E">
              <w:rPr>
                <w:szCs w:val="24"/>
              </w:rPr>
              <w:t>Revaluation Reserve</w:t>
            </w:r>
          </w:p>
        </w:tc>
        <w:tc>
          <w:tcPr>
            <w:tcW w:w="632" w:type="pct"/>
          </w:tcPr>
          <w:p w14:paraId="7ABA47C1" w14:textId="4FFE376F" w:rsidR="00FA18E2" w:rsidRPr="00FA18E2" w:rsidRDefault="00BD79B2" w:rsidP="00F32423">
            <w:pPr>
              <w:jc w:val="center"/>
              <w:rPr>
                <w:rStyle w:val="Hyperlink"/>
              </w:rPr>
            </w:pPr>
            <w:hyperlink w:anchor="N18" w:history="1">
              <w:r w:rsidR="00FA18E2" w:rsidRPr="0089432E">
                <w:rPr>
                  <w:rStyle w:val="Hyperlink"/>
                  <w:szCs w:val="24"/>
                </w:rPr>
                <w:t>18</w:t>
              </w:r>
            </w:hyperlink>
          </w:p>
        </w:tc>
        <w:tc>
          <w:tcPr>
            <w:tcW w:w="842" w:type="pct"/>
            <w:vAlign w:val="center"/>
          </w:tcPr>
          <w:p w14:paraId="6FAC6EC8" w14:textId="38AA5CE3" w:rsidR="00FA18E2" w:rsidRPr="0089432E" w:rsidRDefault="00FA18E2" w:rsidP="00233A66">
            <w:pPr>
              <w:pStyle w:val="CommentText"/>
              <w:tabs>
                <w:tab w:val="decimal" w:pos="1350"/>
              </w:tabs>
              <w:jc w:val="right"/>
              <w:rPr>
                <w:sz w:val="24"/>
                <w:szCs w:val="24"/>
              </w:rPr>
            </w:pPr>
            <w:r w:rsidRPr="0089432E">
              <w:rPr>
                <w:sz w:val="24"/>
                <w:szCs w:val="24"/>
              </w:rPr>
              <w:t>(75,306)</w:t>
            </w:r>
          </w:p>
        </w:tc>
        <w:tc>
          <w:tcPr>
            <w:tcW w:w="842" w:type="pct"/>
            <w:shd w:val="clear" w:color="auto" w:fill="auto"/>
            <w:vAlign w:val="center"/>
          </w:tcPr>
          <w:p w14:paraId="48AF4FCF" w14:textId="5E450B3B" w:rsidR="00FA18E2" w:rsidRPr="0089432E" w:rsidRDefault="00FA18E2" w:rsidP="00233A66">
            <w:pPr>
              <w:tabs>
                <w:tab w:val="decimal" w:pos="1350"/>
              </w:tabs>
              <w:jc w:val="right"/>
              <w:rPr>
                <w:szCs w:val="24"/>
              </w:rPr>
            </w:pPr>
            <w:r w:rsidRPr="0089432E">
              <w:rPr>
                <w:szCs w:val="24"/>
              </w:rPr>
              <w:t>(56,221)</w:t>
            </w:r>
          </w:p>
        </w:tc>
      </w:tr>
      <w:tr w:rsidR="00FA18E2" w:rsidRPr="0089432E" w14:paraId="756E60B9" w14:textId="77777777" w:rsidTr="00233A66">
        <w:tc>
          <w:tcPr>
            <w:tcW w:w="2684" w:type="pct"/>
          </w:tcPr>
          <w:p w14:paraId="384A834B" w14:textId="77777777" w:rsidR="00FA18E2" w:rsidRPr="0089432E" w:rsidRDefault="00FA18E2" w:rsidP="00F32423">
            <w:pPr>
              <w:rPr>
                <w:szCs w:val="24"/>
              </w:rPr>
            </w:pPr>
            <w:r w:rsidRPr="0089432E">
              <w:rPr>
                <w:szCs w:val="24"/>
              </w:rPr>
              <w:t>Capital Adjustment Account</w:t>
            </w:r>
          </w:p>
        </w:tc>
        <w:tc>
          <w:tcPr>
            <w:tcW w:w="632" w:type="pct"/>
          </w:tcPr>
          <w:p w14:paraId="0BCC69D6" w14:textId="66A18326" w:rsidR="00FA18E2" w:rsidRPr="00FA18E2" w:rsidRDefault="00BD79B2" w:rsidP="00F32423">
            <w:pPr>
              <w:jc w:val="center"/>
              <w:rPr>
                <w:rStyle w:val="Hyperlink"/>
              </w:rPr>
            </w:pPr>
            <w:hyperlink w:anchor="N18" w:history="1">
              <w:r w:rsidR="00FA18E2" w:rsidRPr="0089432E">
                <w:rPr>
                  <w:rStyle w:val="Hyperlink"/>
                  <w:szCs w:val="24"/>
                </w:rPr>
                <w:t>18</w:t>
              </w:r>
            </w:hyperlink>
          </w:p>
        </w:tc>
        <w:tc>
          <w:tcPr>
            <w:tcW w:w="842" w:type="pct"/>
            <w:vAlign w:val="center"/>
          </w:tcPr>
          <w:p w14:paraId="1D9BA399" w14:textId="575FA867" w:rsidR="00FA18E2" w:rsidRPr="0089432E" w:rsidRDefault="00FA18E2" w:rsidP="00233A66">
            <w:pPr>
              <w:pStyle w:val="CommentText"/>
              <w:tabs>
                <w:tab w:val="decimal" w:pos="1350"/>
              </w:tabs>
              <w:jc w:val="right"/>
              <w:rPr>
                <w:sz w:val="24"/>
                <w:szCs w:val="24"/>
              </w:rPr>
            </w:pPr>
            <w:r w:rsidRPr="0089432E">
              <w:rPr>
                <w:sz w:val="24"/>
                <w:szCs w:val="24"/>
              </w:rPr>
              <w:t>(38,281)</w:t>
            </w:r>
          </w:p>
        </w:tc>
        <w:tc>
          <w:tcPr>
            <w:tcW w:w="842" w:type="pct"/>
            <w:shd w:val="clear" w:color="auto" w:fill="auto"/>
            <w:vAlign w:val="center"/>
          </w:tcPr>
          <w:p w14:paraId="6ECDE742" w14:textId="6147A8EA" w:rsidR="00FA18E2" w:rsidRPr="0089432E" w:rsidRDefault="00FA18E2" w:rsidP="00233A66">
            <w:pPr>
              <w:tabs>
                <w:tab w:val="decimal" w:pos="1350"/>
              </w:tabs>
              <w:jc w:val="right"/>
              <w:rPr>
                <w:szCs w:val="24"/>
              </w:rPr>
            </w:pPr>
            <w:r w:rsidRPr="0089432E">
              <w:rPr>
                <w:szCs w:val="24"/>
              </w:rPr>
              <w:t>(39,469)</w:t>
            </w:r>
          </w:p>
        </w:tc>
      </w:tr>
      <w:tr w:rsidR="00FA18E2" w:rsidRPr="0089432E" w14:paraId="287EAC33" w14:textId="77777777" w:rsidTr="00233A66">
        <w:tc>
          <w:tcPr>
            <w:tcW w:w="2684" w:type="pct"/>
          </w:tcPr>
          <w:p w14:paraId="5243A135" w14:textId="77777777" w:rsidR="00FA18E2" w:rsidRPr="0089432E" w:rsidRDefault="00FA18E2" w:rsidP="00F32423">
            <w:pPr>
              <w:rPr>
                <w:szCs w:val="24"/>
              </w:rPr>
            </w:pPr>
            <w:r w:rsidRPr="0089432E">
              <w:rPr>
                <w:szCs w:val="24"/>
              </w:rPr>
              <w:t>Pension Reserve</w:t>
            </w:r>
          </w:p>
        </w:tc>
        <w:tc>
          <w:tcPr>
            <w:tcW w:w="632" w:type="pct"/>
          </w:tcPr>
          <w:p w14:paraId="25B3BFD5" w14:textId="205EA7CB" w:rsidR="00FA18E2" w:rsidRPr="00FA18E2" w:rsidRDefault="00BD79B2" w:rsidP="00F32423">
            <w:pPr>
              <w:jc w:val="center"/>
              <w:rPr>
                <w:rStyle w:val="Hyperlink"/>
              </w:rPr>
            </w:pPr>
            <w:hyperlink w:anchor="N13" w:history="1">
              <w:r w:rsidR="00FA18E2" w:rsidRPr="0089432E">
                <w:rPr>
                  <w:rStyle w:val="Hyperlink"/>
                  <w:szCs w:val="24"/>
                </w:rPr>
                <w:t>13</w:t>
              </w:r>
            </w:hyperlink>
            <w:r w:rsidR="007641BA">
              <w:rPr>
                <w:rStyle w:val="Hyperlink"/>
                <w:szCs w:val="24"/>
              </w:rPr>
              <w:t>/</w:t>
            </w:r>
            <w:hyperlink w:anchor="N15" w:history="1">
              <w:r w:rsidR="00FA18E2" w:rsidRPr="0089432E">
                <w:rPr>
                  <w:rStyle w:val="Hyperlink"/>
                  <w:szCs w:val="24"/>
                </w:rPr>
                <w:t>15</w:t>
              </w:r>
            </w:hyperlink>
            <w:r w:rsidR="007641BA">
              <w:rPr>
                <w:rStyle w:val="Hyperlink"/>
                <w:szCs w:val="24"/>
              </w:rPr>
              <w:t>/</w:t>
            </w:r>
            <w:hyperlink w:anchor="N18" w:history="1">
              <w:r w:rsidR="00FA18E2" w:rsidRPr="0089432E">
                <w:rPr>
                  <w:rStyle w:val="Hyperlink"/>
                  <w:szCs w:val="24"/>
                </w:rPr>
                <w:t>18</w:t>
              </w:r>
            </w:hyperlink>
          </w:p>
        </w:tc>
        <w:tc>
          <w:tcPr>
            <w:tcW w:w="842" w:type="pct"/>
            <w:vAlign w:val="center"/>
          </w:tcPr>
          <w:p w14:paraId="078C5103" w14:textId="3C04F83B" w:rsidR="00FA18E2" w:rsidRPr="0089432E" w:rsidRDefault="00FA18E2" w:rsidP="00233A66">
            <w:pPr>
              <w:pStyle w:val="CommentText"/>
              <w:tabs>
                <w:tab w:val="decimal" w:pos="1350"/>
              </w:tabs>
              <w:jc w:val="right"/>
              <w:rPr>
                <w:sz w:val="24"/>
                <w:szCs w:val="24"/>
              </w:rPr>
            </w:pPr>
            <w:r w:rsidRPr="0089432E">
              <w:rPr>
                <w:sz w:val="24"/>
                <w:szCs w:val="24"/>
              </w:rPr>
              <w:t>651,536</w:t>
            </w:r>
          </w:p>
        </w:tc>
        <w:tc>
          <w:tcPr>
            <w:tcW w:w="842" w:type="pct"/>
            <w:shd w:val="clear" w:color="auto" w:fill="auto"/>
            <w:vAlign w:val="center"/>
          </w:tcPr>
          <w:p w14:paraId="30A3753A" w14:textId="387CA1ED" w:rsidR="00FA18E2" w:rsidRPr="0089432E" w:rsidRDefault="00FA18E2" w:rsidP="00233A66">
            <w:pPr>
              <w:tabs>
                <w:tab w:val="decimal" w:pos="1350"/>
              </w:tabs>
              <w:jc w:val="right"/>
              <w:rPr>
                <w:szCs w:val="24"/>
              </w:rPr>
            </w:pPr>
            <w:r w:rsidRPr="0089432E">
              <w:rPr>
                <w:szCs w:val="24"/>
              </w:rPr>
              <w:t>883,434</w:t>
            </w:r>
          </w:p>
        </w:tc>
      </w:tr>
      <w:tr w:rsidR="00FA18E2" w:rsidRPr="0089432E" w14:paraId="569FD4F8" w14:textId="77777777" w:rsidTr="00233A66">
        <w:tc>
          <w:tcPr>
            <w:tcW w:w="2684" w:type="pct"/>
          </w:tcPr>
          <w:p w14:paraId="1F056D18" w14:textId="77777777" w:rsidR="00FA18E2" w:rsidRPr="0089432E" w:rsidRDefault="00FA18E2" w:rsidP="00F32423">
            <w:pPr>
              <w:rPr>
                <w:szCs w:val="24"/>
              </w:rPr>
            </w:pPr>
            <w:r w:rsidRPr="0089432E">
              <w:rPr>
                <w:szCs w:val="24"/>
              </w:rPr>
              <w:t>Collection Fund Adjustment Account</w:t>
            </w:r>
          </w:p>
        </w:tc>
        <w:tc>
          <w:tcPr>
            <w:tcW w:w="632" w:type="pct"/>
          </w:tcPr>
          <w:p w14:paraId="6E28249C" w14:textId="45ED4D5B" w:rsidR="00FA18E2" w:rsidRPr="00FA18E2" w:rsidRDefault="00BD79B2" w:rsidP="00F32423">
            <w:pPr>
              <w:jc w:val="center"/>
              <w:rPr>
                <w:rStyle w:val="Hyperlink"/>
              </w:rPr>
            </w:pPr>
            <w:hyperlink w:anchor="N18" w:history="1">
              <w:r w:rsidR="00FA18E2" w:rsidRPr="0089432E">
                <w:rPr>
                  <w:rStyle w:val="Hyperlink"/>
                  <w:szCs w:val="24"/>
                </w:rPr>
                <w:t>18</w:t>
              </w:r>
            </w:hyperlink>
          </w:p>
        </w:tc>
        <w:tc>
          <w:tcPr>
            <w:tcW w:w="842" w:type="pct"/>
            <w:vAlign w:val="center"/>
          </w:tcPr>
          <w:p w14:paraId="2E36E4F9" w14:textId="7BD32465" w:rsidR="00FA18E2" w:rsidRPr="0089432E" w:rsidRDefault="00FA18E2" w:rsidP="00233A66">
            <w:pPr>
              <w:pStyle w:val="CommentText"/>
              <w:tabs>
                <w:tab w:val="decimal" w:pos="1350"/>
              </w:tabs>
              <w:jc w:val="right"/>
              <w:rPr>
                <w:sz w:val="24"/>
                <w:szCs w:val="24"/>
              </w:rPr>
            </w:pPr>
            <w:r w:rsidRPr="0089432E">
              <w:rPr>
                <w:sz w:val="24"/>
                <w:szCs w:val="24"/>
              </w:rPr>
              <w:t>(207)</w:t>
            </w:r>
          </w:p>
        </w:tc>
        <w:tc>
          <w:tcPr>
            <w:tcW w:w="842" w:type="pct"/>
            <w:shd w:val="clear" w:color="auto" w:fill="auto"/>
            <w:vAlign w:val="center"/>
          </w:tcPr>
          <w:p w14:paraId="49CCE2A2" w14:textId="26420F9C" w:rsidR="00FA18E2" w:rsidRPr="0089432E" w:rsidRDefault="00FA18E2" w:rsidP="00233A66">
            <w:pPr>
              <w:tabs>
                <w:tab w:val="decimal" w:pos="1350"/>
              </w:tabs>
              <w:jc w:val="right"/>
              <w:rPr>
                <w:szCs w:val="24"/>
              </w:rPr>
            </w:pPr>
            <w:r w:rsidRPr="0089432E">
              <w:rPr>
                <w:szCs w:val="24"/>
              </w:rPr>
              <w:t>776</w:t>
            </w:r>
          </w:p>
        </w:tc>
      </w:tr>
      <w:tr w:rsidR="00FA18E2" w:rsidRPr="0089432E" w14:paraId="4C1488AA" w14:textId="77777777" w:rsidTr="00233A66">
        <w:trPr>
          <w:trHeight w:val="197"/>
        </w:trPr>
        <w:tc>
          <w:tcPr>
            <w:tcW w:w="2684" w:type="pct"/>
          </w:tcPr>
          <w:p w14:paraId="17481394" w14:textId="77777777" w:rsidR="00FA18E2" w:rsidRPr="0089432E" w:rsidRDefault="00FA18E2" w:rsidP="00F32423">
            <w:pPr>
              <w:rPr>
                <w:szCs w:val="24"/>
              </w:rPr>
            </w:pPr>
            <w:r w:rsidRPr="0089432E">
              <w:rPr>
                <w:szCs w:val="24"/>
              </w:rPr>
              <w:t>Accumulated Absences Adjustment Account</w:t>
            </w:r>
          </w:p>
        </w:tc>
        <w:tc>
          <w:tcPr>
            <w:tcW w:w="632" w:type="pct"/>
          </w:tcPr>
          <w:p w14:paraId="56AFAA4C" w14:textId="3BBD7FDD" w:rsidR="00FA18E2" w:rsidRPr="00FA18E2" w:rsidRDefault="00BD79B2" w:rsidP="00F32423">
            <w:pPr>
              <w:jc w:val="center"/>
              <w:rPr>
                <w:rStyle w:val="Hyperlink"/>
              </w:rPr>
            </w:pPr>
            <w:hyperlink w:anchor="N18" w:history="1">
              <w:r w:rsidR="00FA18E2" w:rsidRPr="0089432E">
                <w:rPr>
                  <w:rStyle w:val="Hyperlink"/>
                  <w:szCs w:val="24"/>
                </w:rPr>
                <w:t>18</w:t>
              </w:r>
            </w:hyperlink>
          </w:p>
        </w:tc>
        <w:tc>
          <w:tcPr>
            <w:tcW w:w="842" w:type="pct"/>
            <w:vAlign w:val="center"/>
          </w:tcPr>
          <w:p w14:paraId="4323C9AA" w14:textId="1511607F" w:rsidR="00FA18E2" w:rsidRPr="0089432E" w:rsidRDefault="00FA18E2" w:rsidP="00233A66">
            <w:pPr>
              <w:pStyle w:val="CommentText"/>
              <w:tabs>
                <w:tab w:val="decimal" w:pos="1350"/>
              </w:tabs>
              <w:jc w:val="right"/>
              <w:rPr>
                <w:sz w:val="24"/>
                <w:szCs w:val="24"/>
              </w:rPr>
            </w:pPr>
            <w:r w:rsidRPr="0089432E">
              <w:rPr>
                <w:sz w:val="24"/>
                <w:szCs w:val="24"/>
              </w:rPr>
              <w:t>957</w:t>
            </w:r>
          </w:p>
        </w:tc>
        <w:tc>
          <w:tcPr>
            <w:tcW w:w="842" w:type="pct"/>
            <w:shd w:val="clear" w:color="auto" w:fill="auto"/>
            <w:vAlign w:val="center"/>
          </w:tcPr>
          <w:p w14:paraId="4B104182" w14:textId="55C843ED" w:rsidR="00FA18E2" w:rsidRPr="0089432E" w:rsidRDefault="00FA18E2" w:rsidP="00233A66">
            <w:pPr>
              <w:tabs>
                <w:tab w:val="decimal" w:pos="1350"/>
              </w:tabs>
              <w:jc w:val="right"/>
              <w:rPr>
                <w:szCs w:val="24"/>
              </w:rPr>
            </w:pPr>
            <w:r w:rsidRPr="0089432E">
              <w:rPr>
                <w:szCs w:val="24"/>
              </w:rPr>
              <w:t>839</w:t>
            </w:r>
          </w:p>
        </w:tc>
      </w:tr>
      <w:tr w:rsidR="00FA18E2" w:rsidRPr="0089432E" w14:paraId="75F617FB" w14:textId="77777777" w:rsidTr="00233A66">
        <w:tc>
          <w:tcPr>
            <w:tcW w:w="2684" w:type="pct"/>
          </w:tcPr>
          <w:p w14:paraId="0444D5A1" w14:textId="205DD539" w:rsidR="00FA18E2" w:rsidRPr="00F32423" w:rsidRDefault="00FA18E2" w:rsidP="00F32423">
            <w:pPr>
              <w:rPr>
                <w:bCs/>
                <w:szCs w:val="24"/>
              </w:rPr>
            </w:pPr>
            <w:r w:rsidRPr="00F32423">
              <w:rPr>
                <w:bCs/>
                <w:szCs w:val="24"/>
              </w:rPr>
              <w:t>Unusable Reserves</w:t>
            </w:r>
            <w:r w:rsidR="00F32423">
              <w:rPr>
                <w:bCs/>
                <w:szCs w:val="24"/>
              </w:rPr>
              <w:t xml:space="preserve"> total</w:t>
            </w:r>
          </w:p>
        </w:tc>
        <w:tc>
          <w:tcPr>
            <w:tcW w:w="632" w:type="pct"/>
          </w:tcPr>
          <w:p w14:paraId="24A4B6B7" w14:textId="6FDF1906" w:rsidR="00FA18E2" w:rsidRPr="00FA18E2" w:rsidRDefault="00BD79B2" w:rsidP="00F32423">
            <w:pPr>
              <w:jc w:val="center"/>
              <w:rPr>
                <w:rStyle w:val="Hyperlink"/>
              </w:rPr>
            </w:pPr>
            <w:hyperlink w:anchor="N18" w:history="1">
              <w:r w:rsidR="00FA18E2" w:rsidRPr="0089432E">
                <w:rPr>
                  <w:rStyle w:val="Hyperlink"/>
                  <w:szCs w:val="24"/>
                </w:rPr>
                <w:t>18</w:t>
              </w:r>
            </w:hyperlink>
          </w:p>
        </w:tc>
        <w:tc>
          <w:tcPr>
            <w:tcW w:w="842" w:type="pct"/>
            <w:vAlign w:val="center"/>
          </w:tcPr>
          <w:p w14:paraId="5FC4393C" w14:textId="2C250E5C" w:rsidR="00FA18E2" w:rsidRPr="0089432E" w:rsidRDefault="00FA18E2" w:rsidP="00233A66">
            <w:pPr>
              <w:pStyle w:val="CommentText"/>
              <w:tabs>
                <w:tab w:val="decimal" w:pos="1350"/>
              </w:tabs>
              <w:jc w:val="right"/>
              <w:rPr>
                <w:sz w:val="24"/>
                <w:szCs w:val="24"/>
              </w:rPr>
            </w:pPr>
            <w:r w:rsidRPr="0089432E">
              <w:rPr>
                <w:sz w:val="24"/>
                <w:szCs w:val="24"/>
              </w:rPr>
              <w:t>538,699</w:t>
            </w:r>
          </w:p>
        </w:tc>
        <w:tc>
          <w:tcPr>
            <w:tcW w:w="842" w:type="pct"/>
            <w:shd w:val="clear" w:color="auto" w:fill="auto"/>
            <w:vAlign w:val="center"/>
          </w:tcPr>
          <w:p w14:paraId="3445A428" w14:textId="5DFBA20D" w:rsidR="00FA18E2" w:rsidRPr="0089432E" w:rsidRDefault="00FA18E2" w:rsidP="00233A66">
            <w:pPr>
              <w:tabs>
                <w:tab w:val="decimal" w:pos="1350"/>
              </w:tabs>
              <w:jc w:val="right"/>
              <w:rPr>
                <w:szCs w:val="24"/>
              </w:rPr>
            </w:pPr>
            <w:r w:rsidRPr="0089432E">
              <w:rPr>
                <w:szCs w:val="24"/>
              </w:rPr>
              <w:t>789,359</w:t>
            </w:r>
          </w:p>
        </w:tc>
      </w:tr>
    </w:tbl>
    <w:p w14:paraId="4AC9B057" w14:textId="77777777" w:rsidR="00F32423" w:rsidRDefault="00F32423"/>
    <w:tbl>
      <w:tblPr>
        <w:tblW w:w="46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0"/>
        <w:gridCol w:w="1276"/>
        <w:gridCol w:w="1701"/>
        <w:gridCol w:w="1701"/>
      </w:tblGrid>
      <w:tr w:rsidR="00FA18E2" w:rsidRPr="0089432E" w14:paraId="71CD8CCE" w14:textId="77777777" w:rsidTr="00233A66">
        <w:tc>
          <w:tcPr>
            <w:tcW w:w="2684" w:type="pct"/>
          </w:tcPr>
          <w:p w14:paraId="61024DB4" w14:textId="77777777" w:rsidR="00FA18E2" w:rsidRPr="0089432E" w:rsidRDefault="00FA18E2" w:rsidP="00FA18E2">
            <w:pPr>
              <w:rPr>
                <w:b/>
                <w:szCs w:val="24"/>
              </w:rPr>
            </w:pPr>
            <w:r w:rsidRPr="0089432E">
              <w:rPr>
                <w:b/>
                <w:szCs w:val="24"/>
              </w:rPr>
              <w:t>Total Reserves</w:t>
            </w:r>
          </w:p>
        </w:tc>
        <w:tc>
          <w:tcPr>
            <w:tcW w:w="632" w:type="pct"/>
          </w:tcPr>
          <w:p w14:paraId="1A936933" w14:textId="77777777" w:rsidR="00FA18E2" w:rsidRPr="0089432E" w:rsidRDefault="00FA18E2" w:rsidP="00FA18E2">
            <w:pPr>
              <w:pStyle w:val="CommentText"/>
              <w:tabs>
                <w:tab w:val="decimal" w:pos="1350"/>
              </w:tabs>
              <w:jc w:val="right"/>
              <w:rPr>
                <w:sz w:val="24"/>
                <w:szCs w:val="24"/>
              </w:rPr>
            </w:pPr>
          </w:p>
        </w:tc>
        <w:tc>
          <w:tcPr>
            <w:tcW w:w="842" w:type="pct"/>
            <w:vAlign w:val="center"/>
          </w:tcPr>
          <w:p w14:paraId="306BEE40" w14:textId="5E025568" w:rsidR="00FA18E2" w:rsidRPr="00F32423" w:rsidRDefault="00FA18E2" w:rsidP="00233A66">
            <w:pPr>
              <w:pStyle w:val="CommentText"/>
              <w:tabs>
                <w:tab w:val="decimal" w:pos="1350"/>
              </w:tabs>
              <w:jc w:val="right"/>
              <w:rPr>
                <w:b/>
                <w:bCs/>
                <w:sz w:val="24"/>
                <w:szCs w:val="24"/>
              </w:rPr>
            </w:pPr>
            <w:r w:rsidRPr="00F32423">
              <w:rPr>
                <w:b/>
                <w:bCs/>
                <w:sz w:val="24"/>
                <w:szCs w:val="24"/>
              </w:rPr>
              <w:t>502,491</w:t>
            </w:r>
          </w:p>
        </w:tc>
        <w:tc>
          <w:tcPr>
            <w:tcW w:w="842" w:type="pct"/>
            <w:shd w:val="clear" w:color="auto" w:fill="auto"/>
            <w:vAlign w:val="center"/>
          </w:tcPr>
          <w:p w14:paraId="37F7ACEC" w14:textId="1374D747" w:rsidR="00FA18E2" w:rsidRPr="00F32423" w:rsidRDefault="00FA18E2" w:rsidP="00233A66">
            <w:pPr>
              <w:pStyle w:val="CommentText"/>
              <w:tabs>
                <w:tab w:val="decimal" w:pos="1350"/>
              </w:tabs>
              <w:jc w:val="right"/>
              <w:rPr>
                <w:b/>
                <w:bCs/>
                <w:sz w:val="24"/>
                <w:szCs w:val="24"/>
              </w:rPr>
            </w:pPr>
            <w:r w:rsidRPr="00F32423">
              <w:rPr>
                <w:b/>
                <w:bCs/>
                <w:sz w:val="24"/>
                <w:szCs w:val="24"/>
              </w:rPr>
              <w:t>753,686</w:t>
            </w:r>
          </w:p>
        </w:tc>
      </w:tr>
    </w:tbl>
    <w:p w14:paraId="0B814987" w14:textId="77777777" w:rsidR="00BE07C7" w:rsidRPr="0089432E" w:rsidRDefault="00BE07C7" w:rsidP="00C37996">
      <w:pPr>
        <w:jc w:val="both"/>
        <w:rPr>
          <w:szCs w:val="24"/>
        </w:rPr>
      </w:pPr>
    </w:p>
    <w:p w14:paraId="33641819" w14:textId="749F0D73" w:rsidR="00A32EA2" w:rsidRPr="005D04CB" w:rsidRDefault="00C37996" w:rsidP="00FA71D8">
      <w:pPr>
        <w:rPr>
          <w:szCs w:val="24"/>
        </w:rPr>
      </w:pPr>
      <w:r w:rsidRPr="005D04CB">
        <w:rPr>
          <w:szCs w:val="24"/>
        </w:rPr>
        <w:t xml:space="preserve">This Statement of Accounts is that upon which the Auditor should enter his certificate and opinion. It presents a true and fair view of the financial position of the Authority </w:t>
      </w:r>
      <w:proofErr w:type="gramStart"/>
      <w:r w:rsidRPr="005D04CB">
        <w:rPr>
          <w:szCs w:val="24"/>
        </w:rPr>
        <w:t>at</w:t>
      </w:r>
      <w:proofErr w:type="gramEnd"/>
      <w:r w:rsidRPr="005D04CB">
        <w:rPr>
          <w:szCs w:val="24"/>
        </w:rPr>
        <w:t xml:space="preserve"> 31 March </w:t>
      </w:r>
      <w:r w:rsidR="000870F3" w:rsidRPr="005D04CB">
        <w:rPr>
          <w:szCs w:val="24"/>
        </w:rPr>
        <w:t>202</w:t>
      </w:r>
      <w:r w:rsidR="00B9618C" w:rsidRPr="005D04CB">
        <w:rPr>
          <w:szCs w:val="24"/>
        </w:rPr>
        <w:t>3</w:t>
      </w:r>
      <w:r w:rsidR="000870F3" w:rsidRPr="005D04CB">
        <w:rPr>
          <w:szCs w:val="24"/>
        </w:rPr>
        <w:t xml:space="preserve"> </w:t>
      </w:r>
      <w:r w:rsidRPr="005D04CB">
        <w:rPr>
          <w:szCs w:val="24"/>
        </w:rPr>
        <w:t>and its income and expenditure for the year then ended.</w:t>
      </w:r>
    </w:p>
    <w:p w14:paraId="2139A82C" w14:textId="77777777" w:rsidR="000870F3" w:rsidRPr="000E606D" w:rsidRDefault="000870F3" w:rsidP="00C37996">
      <w:pPr>
        <w:jc w:val="both"/>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1661"/>
        <w:gridCol w:w="4391"/>
      </w:tblGrid>
      <w:tr w:rsidR="00EB128F" w:rsidRPr="000E606D" w14:paraId="39E4C1FB" w14:textId="77777777" w:rsidTr="00773567">
        <w:trPr>
          <w:trHeight w:val="729"/>
        </w:trPr>
        <w:tc>
          <w:tcPr>
            <w:tcW w:w="4415" w:type="dxa"/>
          </w:tcPr>
          <w:p w14:paraId="3B59139A" w14:textId="2B9783DF" w:rsidR="00EF1CEF" w:rsidRPr="000E606D" w:rsidRDefault="00D062BC" w:rsidP="00EF1CEF">
            <w:pPr>
              <w:jc w:val="both"/>
              <w:rPr>
                <w:rFonts w:ascii="Brush Script MT" w:hAnsi="Brush Script MT"/>
                <w:sz w:val="48"/>
                <w:szCs w:val="48"/>
              </w:rPr>
            </w:pPr>
            <w:r w:rsidRPr="000E606D">
              <w:rPr>
                <w:rFonts w:ascii="Brush Script MT" w:hAnsi="Brush Script MT"/>
                <w:sz w:val="48"/>
                <w:szCs w:val="48"/>
              </w:rPr>
              <w:t>Steven Brown</w:t>
            </w:r>
          </w:p>
          <w:p w14:paraId="21FD3FD7" w14:textId="4503BC3C" w:rsidR="00EB128F" w:rsidRPr="000E606D" w:rsidRDefault="00EB128F" w:rsidP="00C37996">
            <w:pPr>
              <w:jc w:val="both"/>
              <w:rPr>
                <w:sz w:val="20"/>
              </w:rPr>
            </w:pPr>
          </w:p>
        </w:tc>
        <w:tc>
          <w:tcPr>
            <w:tcW w:w="1661" w:type="dxa"/>
          </w:tcPr>
          <w:p w14:paraId="0B86DCE5" w14:textId="77777777" w:rsidR="00EB128F" w:rsidRPr="000E606D" w:rsidRDefault="00EB128F" w:rsidP="00C37996">
            <w:pPr>
              <w:jc w:val="both"/>
              <w:rPr>
                <w:sz w:val="20"/>
              </w:rPr>
            </w:pPr>
          </w:p>
        </w:tc>
        <w:tc>
          <w:tcPr>
            <w:tcW w:w="4391" w:type="dxa"/>
          </w:tcPr>
          <w:p w14:paraId="558B0C9D" w14:textId="70431C44" w:rsidR="00B51D8C" w:rsidRPr="000E606D" w:rsidRDefault="00B51D8C" w:rsidP="00B51D8C">
            <w:pPr>
              <w:jc w:val="both"/>
              <w:rPr>
                <w:rFonts w:ascii="Brush Script MT" w:hAnsi="Brush Script MT"/>
                <w:sz w:val="48"/>
                <w:szCs w:val="48"/>
              </w:rPr>
            </w:pPr>
            <w:r>
              <w:rPr>
                <w:rFonts w:ascii="Brush Script MT" w:hAnsi="Brush Script MT"/>
                <w:sz w:val="48"/>
                <w:szCs w:val="48"/>
              </w:rPr>
              <w:t>John Shedwick</w:t>
            </w:r>
          </w:p>
          <w:p w14:paraId="4FD50319" w14:textId="54E15A40" w:rsidR="00EB128F" w:rsidRPr="000E606D" w:rsidRDefault="00EB128F" w:rsidP="00654C0D">
            <w:pPr>
              <w:jc w:val="both"/>
              <w:rPr>
                <w:sz w:val="20"/>
              </w:rPr>
            </w:pPr>
          </w:p>
        </w:tc>
      </w:tr>
      <w:tr w:rsidR="00EB128F" w:rsidRPr="000E606D" w14:paraId="77CCDD32" w14:textId="77777777" w:rsidTr="00773567">
        <w:tc>
          <w:tcPr>
            <w:tcW w:w="4415" w:type="dxa"/>
          </w:tcPr>
          <w:p w14:paraId="206052FB" w14:textId="5BE1CCDD" w:rsidR="00D062BC" w:rsidRPr="005D04CB" w:rsidRDefault="00D062BC" w:rsidP="00D062BC">
            <w:pPr>
              <w:jc w:val="both"/>
              <w:rPr>
                <w:szCs w:val="24"/>
              </w:rPr>
            </w:pPr>
            <w:r w:rsidRPr="005D04CB">
              <w:rPr>
                <w:szCs w:val="24"/>
              </w:rPr>
              <w:t>Steven Brown CGMA</w:t>
            </w:r>
          </w:p>
          <w:p w14:paraId="4DA198D2" w14:textId="77777777" w:rsidR="00EB128F" w:rsidRPr="005D04CB" w:rsidRDefault="00EB128F" w:rsidP="00EB128F">
            <w:pPr>
              <w:rPr>
                <w:szCs w:val="24"/>
              </w:rPr>
            </w:pPr>
            <w:r w:rsidRPr="005D04CB">
              <w:rPr>
                <w:szCs w:val="24"/>
              </w:rPr>
              <w:t>Treasurer to the Combined Fire Authority</w:t>
            </w:r>
          </w:p>
          <w:p w14:paraId="4B708C13" w14:textId="44DEF91D" w:rsidR="00EB128F" w:rsidRPr="005D04CB" w:rsidRDefault="00B51D8C" w:rsidP="00EB128F">
            <w:pPr>
              <w:jc w:val="both"/>
              <w:rPr>
                <w:szCs w:val="24"/>
              </w:rPr>
            </w:pPr>
            <w:r>
              <w:rPr>
                <w:szCs w:val="24"/>
              </w:rPr>
              <w:t>28</w:t>
            </w:r>
            <w:r w:rsidRPr="00B51D8C">
              <w:rPr>
                <w:szCs w:val="24"/>
                <w:vertAlign w:val="superscript"/>
              </w:rPr>
              <w:t>th</w:t>
            </w:r>
            <w:r>
              <w:rPr>
                <w:szCs w:val="24"/>
              </w:rPr>
              <w:t xml:space="preserve"> March 2024</w:t>
            </w:r>
          </w:p>
        </w:tc>
        <w:tc>
          <w:tcPr>
            <w:tcW w:w="1661" w:type="dxa"/>
          </w:tcPr>
          <w:p w14:paraId="37BAA24C" w14:textId="77777777" w:rsidR="00EB128F" w:rsidRPr="005D04CB" w:rsidRDefault="00EB128F" w:rsidP="00C37996">
            <w:pPr>
              <w:jc w:val="both"/>
              <w:rPr>
                <w:szCs w:val="24"/>
              </w:rPr>
            </w:pPr>
          </w:p>
        </w:tc>
        <w:tc>
          <w:tcPr>
            <w:tcW w:w="4391" w:type="dxa"/>
          </w:tcPr>
          <w:p w14:paraId="0DF11EF2" w14:textId="27D78183" w:rsidR="00EB128F" w:rsidRPr="005D04CB" w:rsidRDefault="00B506C4" w:rsidP="00EB128F">
            <w:pPr>
              <w:rPr>
                <w:szCs w:val="24"/>
              </w:rPr>
            </w:pPr>
            <w:r w:rsidRPr="005D04CB">
              <w:rPr>
                <w:szCs w:val="24"/>
              </w:rPr>
              <w:t>John Shedwick</w:t>
            </w:r>
          </w:p>
          <w:p w14:paraId="763CDB83" w14:textId="77777777" w:rsidR="00EB128F" w:rsidRPr="005D04CB" w:rsidRDefault="00EB128F" w:rsidP="00EB128F">
            <w:pPr>
              <w:rPr>
                <w:szCs w:val="24"/>
              </w:rPr>
            </w:pPr>
            <w:r w:rsidRPr="005D04CB">
              <w:rPr>
                <w:szCs w:val="24"/>
              </w:rPr>
              <w:t>Chair of Audit Committee</w:t>
            </w:r>
          </w:p>
          <w:p w14:paraId="17BE3A3C" w14:textId="6F9F155D" w:rsidR="00EB128F" w:rsidRPr="005D04CB" w:rsidRDefault="00B51D8C" w:rsidP="00EB128F">
            <w:pPr>
              <w:jc w:val="both"/>
              <w:rPr>
                <w:szCs w:val="24"/>
              </w:rPr>
            </w:pPr>
            <w:r>
              <w:rPr>
                <w:szCs w:val="24"/>
              </w:rPr>
              <w:t>28</w:t>
            </w:r>
            <w:r w:rsidRPr="00B51D8C">
              <w:rPr>
                <w:szCs w:val="24"/>
                <w:vertAlign w:val="superscript"/>
              </w:rPr>
              <w:t>th</w:t>
            </w:r>
            <w:r>
              <w:rPr>
                <w:szCs w:val="24"/>
              </w:rPr>
              <w:t xml:space="preserve"> March 2024</w:t>
            </w:r>
          </w:p>
        </w:tc>
      </w:tr>
    </w:tbl>
    <w:p w14:paraId="2C29AB01" w14:textId="77777777" w:rsidR="00773567" w:rsidRPr="000E606D" w:rsidRDefault="00773567" w:rsidP="00D90216">
      <w:pPr>
        <w:tabs>
          <w:tab w:val="left" w:pos="720"/>
          <w:tab w:val="right" w:pos="5760"/>
        </w:tabs>
        <w:jc w:val="center"/>
        <w:rPr>
          <w:b/>
          <w:sz w:val="22"/>
        </w:rPr>
      </w:pPr>
    </w:p>
    <w:p w14:paraId="5FBE98CF" w14:textId="77777777" w:rsidR="005D04CB" w:rsidRDefault="005D04CB">
      <w:pPr>
        <w:rPr>
          <w:b/>
          <w:sz w:val="22"/>
          <w:szCs w:val="22"/>
        </w:rPr>
      </w:pPr>
      <w:bookmarkStart w:id="19" w:name="Cashflow"/>
      <w:bookmarkEnd w:id="19"/>
      <w:r>
        <w:rPr>
          <w:sz w:val="22"/>
          <w:szCs w:val="22"/>
        </w:rPr>
        <w:br w:type="page"/>
      </w:r>
    </w:p>
    <w:p w14:paraId="55922220" w14:textId="5FAFB1BC" w:rsidR="00D90216" w:rsidRPr="00FA71D8" w:rsidRDefault="005C1944" w:rsidP="00FA71D8">
      <w:pPr>
        <w:pStyle w:val="Heading1"/>
        <w:rPr>
          <w:szCs w:val="24"/>
        </w:rPr>
      </w:pPr>
      <w:bookmarkStart w:id="20" w:name="_Toc166761531"/>
      <w:r>
        <w:rPr>
          <w:szCs w:val="24"/>
        </w:rPr>
        <w:lastRenderedPageBreak/>
        <w:t>Cash Flow Statement</w:t>
      </w:r>
      <w:bookmarkEnd w:id="20"/>
    </w:p>
    <w:p w14:paraId="6233FA84" w14:textId="77777777" w:rsidR="00D90216" w:rsidRPr="00FA71D8" w:rsidRDefault="00D90216" w:rsidP="00FA71D8">
      <w:pPr>
        <w:ind w:left="540" w:hanging="540"/>
        <w:rPr>
          <w:szCs w:val="24"/>
          <w:u w:val="single"/>
        </w:rPr>
      </w:pPr>
    </w:p>
    <w:p w14:paraId="7F1E926F" w14:textId="6F07706C" w:rsidR="00D90216" w:rsidRPr="00FA71D8" w:rsidRDefault="00D90216" w:rsidP="00FA71D8">
      <w:pPr>
        <w:rPr>
          <w:szCs w:val="24"/>
        </w:rPr>
      </w:pPr>
      <w:r w:rsidRPr="00FA71D8">
        <w:rPr>
          <w:szCs w:val="24"/>
        </w:rPr>
        <w:t>The cash flow statement shows the changes in cash and cash equivalents of the Authority during the reporting period. The statement shows how the Authority generates and uses cash and cash equivalents by classifying cash flows as operating, investing and financing activities. The amounts of net cash flows arising from operating activities is an indicator of the extent to which the operations are funded by way of taxation and grant income or from the recipients of services provided by the Authority. Investing activities represent the extent to which cash outflows have been made for resources which are intended to contribute to the Author</w:t>
      </w:r>
      <w:r w:rsidR="00F73C99" w:rsidRPr="00FA71D8">
        <w:rPr>
          <w:szCs w:val="24"/>
        </w:rPr>
        <w:t>ity’s future service delivery.</w:t>
      </w:r>
    </w:p>
    <w:p w14:paraId="52E4AF86" w14:textId="77777777" w:rsidR="00D90216" w:rsidRPr="000E606D" w:rsidRDefault="00D90216" w:rsidP="00D90216">
      <w:pPr>
        <w:rPr>
          <w:sz w:val="22"/>
        </w:rPr>
      </w:pP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1100"/>
        <w:gridCol w:w="1134"/>
        <w:gridCol w:w="1134"/>
        <w:gridCol w:w="1134"/>
        <w:gridCol w:w="1134"/>
      </w:tblGrid>
      <w:tr w:rsidR="00F32423" w:rsidRPr="000E606D" w14:paraId="271FFD36" w14:textId="77777777" w:rsidTr="00611673">
        <w:trPr>
          <w:trHeight w:hRule="exact" w:val="578"/>
          <w:tblHeader/>
        </w:trPr>
        <w:tc>
          <w:tcPr>
            <w:tcW w:w="4927" w:type="dxa"/>
            <w:shd w:val="clear" w:color="auto" w:fill="BD2716"/>
          </w:tcPr>
          <w:p w14:paraId="60F71C1E" w14:textId="77777777" w:rsidR="00F32423" w:rsidRPr="00036C34" w:rsidRDefault="00F32423" w:rsidP="00F32423">
            <w:pPr>
              <w:pStyle w:val="Footer"/>
              <w:tabs>
                <w:tab w:val="clear" w:pos="4153"/>
                <w:tab w:val="clear" w:pos="8306"/>
                <w:tab w:val="left" w:pos="284"/>
              </w:tabs>
              <w:rPr>
                <w:color w:val="FFFFFF" w:themeColor="background1"/>
                <w:szCs w:val="24"/>
              </w:rPr>
            </w:pPr>
          </w:p>
        </w:tc>
        <w:tc>
          <w:tcPr>
            <w:tcW w:w="1100" w:type="dxa"/>
            <w:shd w:val="clear" w:color="auto" w:fill="BD2716"/>
            <w:vAlign w:val="center"/>
          </w:tcPr>
          <w:p w14:paraId="54DAA8D4" w14:textId="2D96C9E8" w:rsidR="00F32423" w:rsidRPr="00036C34" w:rsidRDefault="00F32423" w:rsidP="00611673">
            <w:pPr>
              <w:pStyle w:val="Footer"/>
              <w:tabs>
                <w:tab w:val="clear" w:pos="4153"/>
                <w:tab w:val="clear" w:pos="8306"/>
                <w:tab w:val="left" w:pos="284"/>
              </w:tabs>
              <w:rPr>
                <w:color w:val="FFFFFF" w:themeColor="background1"/>
                <w:szCs w:val="24"/>
              </w:rPr>
            </w:pPr>
            <w:r w:rsidRPr="00036C34">
              <w:rPr>
                <w:color w:val="FFFFFF" w:themeColor="background1"/>
                <w:szCs w:val="24"/>
              </w:rPr>
              <w:t>Notes</w:t>
            </w:r>
          </w:p>
        </w:tc>
        <w:tc>
          <w:tcPr>
            <w:tcW w:w="1134" w:type="dxa"/>
            <w:shd w:val="clear" w:color="auto" w:fill="BD2716"/>
            <w:vAlign w:val="center"/>
          </w:tcPr>
          <w:p w14:paraId="1DFB0FAE" w14:textId="2D3D2C29" w:rsidR="00F32423" w:rsidRPr="00036C34" w:rsidRDefault="00F32423" w:rsidP="00611673">
            <w:pPr>
              <w:tabs>
                <w:tab w:val="decimal" w:pos="743"/>
                <w:tab w:val="decimal" w:pos="882"/>
              </w:tabs>
              <w:jc w:val="right"/>
              <w:rPr>
                <w:color w:val="FFFFFF" w:themeColor="background1"/>
                <w:szCs w:val="24"/>
              </w:rPr>
            </w:pPr>
            <w:r w:rsidRPr="00036C34">
              <w:rPr>
                <w:color w:val="FFFFFF" w:themeColor="background1"/>
                <w:szCs w:val="24"/>
              </w:rPr>
              <w:t>2022/23</w:t>
            </w:r>
          </w:p>
          <w:p w14:paraId="02FE9EBE" w14:textId="60D9A908" w:rsidR="00F32423" w:rsidRPr="00036C34" w:rsidRDefault="00F32423" w:rsidP="00611673">
            <w:pPr>
              <w:tabs>
                <w:tab w:val="decimal" w:pos="743"/>
                <w:tab w:val="decimal" w:pos="882"/>
              </w:tabs>
              <w:jc w:val="right"/>
              <w:rPr>
                <w:color w:val="FFFFFF" w:themeColor="background1"/>
                <w:szCs w:val="24"/>
              </w:rPr>
            </w:pPr>
            <w:r w:rsidRPr="00036C34">
              <w:rPr>
                <w:color w:val="FFFFFF" w:themeColor="background1"/>
                <w:szCs w:val="24"/>
              </w:rPr>
              <w:t>£000</w:t>
            </w:r>
          </w:p>
        </w:tc>
        <w:tc>
          <w:tcPr>
            <w:tcW w:w="1134" w:type="dxa"/>
            <w:shd w:val="clear" w:color="auto" w:fill="BD2716"/>
            <w:vAlign w:val="center"/>
          </w:tcPr>
          <w:p w14:paraId="7D1C8B74" w14:textId="12DB1380" w:rsidR="00F32423" w:rsidRPr="00036C34" w:rsidRDefault="00F32423" w:rsidP="00611673">
            <w:pPr>
              <w:tabs>
                <w:tab w:val="decimal" w:pos="743"/>
                <w:tab w:val="decimal" w:pos="882"/>
              </w:tabs>
              <w:jc w:val="right"/>
              <w:rPr>
                <w:color w:val="FFFFFF" w:themeColor="background1"/>
                <w:szCs w:val="24"/>
              </w:rPr>
            </w:pPr>
            <w:r w:rsidRPr="00036C34">
              <w:rPr>
                <w:color w:val="FFFFFF" w:themeColor="background1"/>
                <w:szCs w:val="24"/>
              </w:rPr>
              <w:t>2022/23£000</w:t>
            </w:r>
          </w:p>
        </w:tc>
        <w:tc>
          <w:tcPr>
            <w:tcW w:w="1134" w:type="dxa"/>
            <w:shd w:val="clear" w:color="auto" w:fill="BD2716"/>
            <w:vAlign w:val="center"/>
          </w:tcPr>
          <w:p w14:paraId="44EB2869" w14:textId="77777777" w:rsidR="00F32423" w:rsidRPr="00036C34" w:rsidRDefault="00F32423" w:rsidP="00611673">
            <w:pPr>
              <w:tabs>
                <w:tab w:val="decimal" w:pos="742"/>
                <w:tab w:val="decimal" w:pos="882"/>
              </w:tabs>
              <w:jc w:val="right"/>
              <w:rPr>
                <w:color w:val="FFFFFF" w:themeColor="background1"/>
                <w:szCs w:val="24"/>
              </w:rPr>
            </w:pPr>
            <w:r w:rsidRPr="00036C34">
              <w:rPr>
                <w:color w:val="FFFFFF" w:themeColor="background1"/>
                <w:szCs w:val="24"/>
              </w:rPr>
              <w:t>2021/22</w:t>
            </w:r>
          </w:p>
          <w:p w14:paraId="4B1ED655" w14:textId="4E60AD86" w:rsidR="00F32423" w:rsidRPr="00036C34" w:rsidRDefault="00F32423" w:rsidP="00611673">
            <w:pPr>
              <w:tabs>
                <w:tab w:val="decimal" w:pos="742"/>
                <w:tab w:val="decimal" w:pos="882"/>
              </w:tabs>
              <w:jc w:val="right"/>
              <w:rPr>
                <w:color w:val="FFFFFF" w:themeColor="background1"/>
                <w:szCs w:val="24"/>
              </w:rPr>
            </w:pPr>
            <w:r w:rsidRPr="00036C34">
              <w:rPr>
                <w:color w:val="FFFFFF" w:themeColor="background1"/>
                <w:szCs w:val="24"/>
              </w:rPr>
              <w:t>£000</w:t>
            </w:r>
          </w:p>
        </w:tc>
        <w:tc>
          <w:tcPr>
            <w:tcW w:w="1134" w:type="dxa"/>
            <w:shd w:val="clear" w:color="auto" w:fill="BD2716"/>
            <w:vAlign w:val="center"/>
          </w:tcPr>
          <w:p w14:paraId="791148BA" w14:textId="49CAB7D8" w:rsidR="00F32423" w:rsidRPr="00036C34" w:rsidRDefault="00F32423" w:rsidP="00611673">
            <w:pPr>
              <w:tabs>
                <w:tab w:val="decimal" w:pos="742"/>
                <w:tab w:val="decimal" w:pos="882"/>
              </w:tabs>
              <w:jc w:val="right"/>
              <w:rPr>
                <w:color w:val="FFFFFF" w:themeColor="background1"/>
                <w:szCs w:val="24"/>
              </w:rPr>
            </w:pPr>
            <w:r w:rsidRPr="00036C34">
              <w:rPr>
                <w:color w:val="FFFFFF" w:themeColor="background1"/>
                <w:szCs w:val="24"/>
              </w:rPr>
              <w:t>2021/22£000</w:t>
            </w:r>
          </w:p>
        </w:tc>
      </w:tr>
      <w:tr w:rsidR="00F32423" w:rsidRPr="000E606D" w14:paraId="1F9D3C7E" w14:textId="77777777" w:rsidTr="00036C34">
        <w:trPr>
          <w:trHeight w:hRule="exact" w:val="300"/>
        </w:trPr>
        <w:tc>
          <w:tcPr>
            <w:tcW w:w="4927" w:type="dxa"/>
          </w:tcPr>
          <w:p w14:paraId="0F641F65" w14:textId="21C3FC8A" w:rsidR="00F32423" w:rsidRPr="003545E4" w:rsidRDefault="00F32423" w:rsidP="00F32423">
            <w:pPr>
              <w:pStyle w:val="Footer"/>
              <w:tabs>
                <w:tab w:val="clear" w:pos="4153"/>
                <w:tab w:val="clear" w:pos="8306"/>
                <w:tab w:val="left" w:pos="284"/>
              </w:tabs>
              <w:rPr>
                <w:szCs w:val="24"/>
              </w:rPr>
            </w:pPr>
            <w:r w:rsidRPr="003545E4">
              <w:rPr>
                <w:szCs w:val="24"/>
              </w:rPr>
              <w:t>Net deficit on the provision of services</w:t>
            </w:r>
          </w:p>
        </w:tc>
        <w:tc>
          <w:tcPr>
            <w:tcW w:w="1100" w:type="dxa"/>
            <w:vAlign w:val="center"/>
          </w:tcPr>
          <w:p w14:paraId="7F9870B6" w14:textId="77777777" w:rsidR="00F32423" w:rsidRPr="003545E4" w:rsidRDefault="00F32423" w:rsidP="00036C34">
            <w:pPr>
              <w:pStyle w:val="Footer"/>
              <w:tabs>
                <w:tab w:val="clear" w:pos="4153"/>
                <w:tab w:val="clear" w:pos="8306"/>
                <w:tab w:val="left" w:pos="284"/>
              </w:tabs>
              <w:jc w:val="center"/>
              <w:rPr>
                <w:szCs w:val="24"/>
              </w:rPr>
            </w:pPr>
          </w:p>
        </w:tc>
        <w:tc>
          <w:tcPr>
            <w:tcW w:w="1134" w:type="dxa"/>
            <w:vAlign w:val="center"/>
          </w:tcPr>
          <w:p w14:paraId="0F152037" w14:textId="434A06DC" w:rsidR="00F32423" w:rsidRPr="003545E4" w:rsidRDefault="00F32423" w:rsidP="00233A66">
            <w:pPr>
              <w:tabs>
                <w:tab w:val="decimal" w:pos="743"/>
                <w:tab w:val="decimal" w:pos="882"/>
              </w:tabs>
              <w:jc w:val="right"/>
              <w:rPr>
                <w:szCs w:val="24"/>
              </w:rPr>
            </w:pPr>
          </w:p>
        </w:tc>
        <w:tc>
          <w:tcPr>
            <w:tcW w:w="1134" w:type="dxa"/>
            <w:vAlign w:val="center"/>
          </w:tcPr>
          <w:p w14:paraId="38818C23" w14:textId="1AC197DD" w:rsidR="00F32423" w:rsidRPr="003545E4" w:rsidRDefault="00F32423" w:rsidP="00233A66">
            <w:pPr>
              <w:pStyle w:val="CommentText"/>
              <w:tabs>
                <w:tab w:val="decimal" w:pos="743"/>
              </w:tabs>
              <w:spacing w:after="240"/>
              <w:jc w:val="right"/>
              <w:rPr>
                <w:sz w:val="24"/>
                <w:szCs w:val="24"/>
              </w:rPr>
            </w:pPr>
            <w:r w:rsidRPr="003545E4">
              <w:rPr>
                <w:sz w:val="24"/>
                <w:szCs w:val="24"/>
              </w:rPr>
              <w:t>(15,347)</w:t>
            </w:r>
          </w:p>
        </w:tc>
        <w:tc>
          <w:tcPr>
            <w:tcW w:w="1134" w:type="dxa"/>
            <w:vAlign w:val="center"/>
          </w:tcPr>
          <w:p w14:paraId="5CE9F05B" w14:textId="77777777" w:rsidR="00F32423" w:rsidRPr="003545E4" w:rsidRDefault="00F32423" w:rsidP="00233A66">
            <w:pPr>
              <w:tabs>
                <w:tab w:val="decimal" w:pos="742"/>
              </w:tabs>
              <w:jc w:val="right"/>
              <w:rPr>
                <w:szCs w:val="24"/>
              </w:rPr>
            </w:pPr>
          </w:p>
        </w:tc>
        <w:tc>
          <w:tcPr>
            <w:tcW w:w="1134" w:type="dxa"/>
            <w:vAlign w:val="center"/>
          </w:tcPr>
          <w:p w14:paraId="15B6C481" w14:textId="730CE04F" w:rsidR="00F32423" w:rsidRPr="003545E4" w:rsidRDefault="00F32423" w:rsidP="00233A66">
            <w:pPr>
              <w:pStyle w:val="CommentText"/>
              <w:tabs>
                <w:tab w:val="decimal" w:pos="743"/>
              </w:tabs>
              <w:spacing w:after="240"/>
              <w:jc w:val="right"/>
              <w:rPr>
                <w:sz w:val="24"/>
                <w:szCs w:val="24"/>
              </w:rPr>
            </w:pPr>
            <w:r w:rsidRPr="003545E4">
              <w:rPr>
                <w:sz w:val="24"/>
                <w:szCs w:val="24"/>
              </w:rPr>
              <w:t>(9,962)</w:t>
            </w:r>
          </w:p>
        </w:tc>
      </w:tr>
      <w:tr w:rsidR="00F32423" w:rsidRPr="000E606D" w14:paraId="2806C46A" w14:textId="77777777" w:rsidTr="00036C34">
        <w:trPr>
          <w:trHeight w:hRule="exact" w:val="587"/>
        </w:trPr>
        <w:tc>
          <w:tcPr>
            <w:tcW w:w="4927" w:type="dxa"/>
          </w:tcPr>
          <w:p w14:paraId="7481CC42" w14:textId="28516456" w:rsidR="00F32423" w:rsidRPr="003545E4" w:rsidRDefault="00F32423" w:rsidP="00F32423">
            <w:pPr>
              <w:tabs>
                <w:tab w:val="left" w:pos="284"/>
              </w:tabs>
              <w:rPr>
                <w:szCs w:val="24"/>
              </w:rPr>
            </w:pPr>
            <w:r w:rsidRPr="003545E4">
              <w:rPr>
                <w:szCs w:val="24"/>
              </w:rPr>
              <w:t>Adjustments to net deficit on the provision of services for non-cash movements</w:t>
            </w:r>
          </w:p>
        </w:tc>
        <w:tc>
          <w:tcPr>
            <w:tcW w:w="1100" w:type="dxa"/>
            <w:vAlign w:val="center"/>
          </w:tcPr>
          <w:p w14:paraId="39F4D6C4" w14:textId="0CCC842E" w:rsidR="00F32423" w:rsidRPr="00F32423" w:rsidRDefault="00BD79B2" w:rsidP="00036C34">
            <w:pPr>
              <w:tabs>
                <w:tab w:val="left" w:pos="284"/>
              </w:tabs>
              <w:jc w:val="center"/>
              <w:rPr>
                <w:rStyle w:val="Hyperlink"/>
              </w:rPr>
            </w:pPr>
            <w:hyperlink w:anchor="N23" w:history="1">
              <w:r w:rsidR="00F32423" w:rsidRPr="00F32423">
                <w:rPr>
                  <w:rStyle w:val="Hyperlink"/>
                  <w:szCs w:val="24"/>
                </w:rPr>
                <w:t>23</w:t>
              </w:r>
            </w:hyperlink>
          </w:p>
        </w:tc>
        <w:tc>
          <w:tcPr>
            <w:tcW w:w="1134" w:type="dxa"/>
            <w:vAlign w:val="center"/>
          </w:tcPr>
          <w:p w14:paraId="3285FE88" w14:textId="3D648D62" w:rsidR="00F32423" w:rsidRPr="003545E4" w:rsidRDefault="00F32423" w:rsidP="00233A66">
            <w:pPr>
              <w:tabs>
                <w:tab w:val="decimal" w:pos="743"/>
              </w:tabs>
              <w:jc w:val="right"/>
              <w:rPr>
                <w:szCs w:val="24"/>
              </w:rPr>
            </w:pPr>
          </w:p>
        </w:tc>
        <w:tc>
          <w:tcPr>
            <w:tcW w:w="1134" w:type="dxa"/>
            <w:vAlign w:val="center"/>
          </w:tcPr>
          <w:p w14:paraId="5982794D" w14:textId="71595C0A" w:rsidR="00F32423" w:rsidRPr="003545E4" w:rsidRDefault="00F32423" w:rsidP="00233A66">
            <w:pPr>
              <w:pStyle w:val="CommentText"/>
              <w:tabs>
                <w:tab w:val="decimal" w:pos="743"/>
              </w:tabs>
              <w:spacing w:after="240"/>
              <w:jc w:val="right"/>
              <w:rPr>
                <w:sz w:val="24"/>
                <w:szCs w:val="24"/>
              </w:rPr>
            </w:pPr>
            <w:r w:rsidRPr="003545E4">
              <w:rPr>
                <w:sz w:val="24"/>
                <w:szCs w:val="24"/>
              </w:rPr>
              <w:t>15,940</w:t>
            </w:r>
          </w:p>
        </w:tc>
        <w:tc>
          <w:tcPr>
            <w:tcW w:w="1134" w:type="dxa"/>
            <w:vAlign w:val="center"/>
          </w:tcPr>
          <w:p w14:paraId="7D746D44" w14:textId="77777777" w:rsidR="00F32423" w:rsidRPr="003545E4" w:rsidRDefault="00F32423" w:rsidP="00233A66">
            <w:pPr>
              <w:tabs>
                <w:tab w:val="decimal" w:pos="743"/>
              </w:tabs>
              <w:jc w:val="right"/>
              <w:rPr>
                <w:szCs w:val="24"/>
              </w:rPr>
            </w:pPr>
          </w:p>
        </w:tc>
        <w:tc>
          <w:tcPr>
            <w:tcW w:w="1134" w:type="dxa"/>
            <w:vAlign w:val="center"/>
          </w:tcPr>
          <w:p w14:paraId="7690B1ED" w14:textId="32CD7D93" w:rsidR="00F32423" w:rsidRPr="003545E4" w:rsidRDefault="00F32423" w:rsidP="00233A66">
            <w:pPr>
              <w:pStyle w:val="CommentText"/>
              <w:tabs>
                <w:tab w:val="decimal" w:pos="743"/>
              </w:tabs>
              <w:spacing w:after="240"/>
              <w:jc w:val="right"/>
              <w:rPr>
                <w:sz w:val="24"/>
                <w:szCs w:val="24"/>
              </w:rPr>
            </w:pPr>
            <w:r w:rsidRPr="003545E4">
              <w:rPr>
                <w:sz w:val="24"/>
                <w:szCs w:val="24"/>
              </w:rPr>
              <w:t>9,805</w:t>
            </w:r>
          </w:p>
        </w:tc>
      </w:tr>
      <w:tr w:rsidR="00F32423" w:rsidRPr="000E606D" w14:paraId="4522AD1A" w14:textId="77777777" w:rsidTr="00036C34">
        <w:trPr>
          <w:trHeight w:hRule="exact" w:val="820"/>
        </w:trPr>
        <w:tc>
          <w:tcPr>
            <w:tcW w:w="4927" w:type="dxa"/>
          </w:tcPr>
          <w:p w14:paraId="5DDB7602" w14:textId="77777777" w:rsidR="00F32423" w:rsidRPr="003545E4" w:rsidRDefault="00F32423" w:rsidP="00F32423">
            <w:pPr>
              <w:tabs>
                <w:tab w:val="left" w:pos="284"/>
              </w:tabs>
              <w:rPr>
                <w:szCs w:val="24"/>
              </w:rPr>
            </w:pPr>
            <w:r w:rsidRPr="003545E4">
              <w:rPr>
                <w:szCs w:val="24"/>
              </w:rPr>
              <w:t>Adjustments for items included in the net (deficit) on the provision of services that are investing and financing activities</w:t>
            </w:r>
          </w:p>
        </w:tc>
        <w:tc>
          <w:tcPr>
            <w:tcW w:w="1100" w:type="dxa"/>
            <w:vAlign w:val="center"/>
          </w:tcPr>
          <w:p w14:paraId="27E7B745" w14:textId="77777777" w:rsidR="00F32423" w:rsidRPr="00F32423" w:rsidRDefault="00F32423" w:rsidP="00036C34">
            <w:pPr>
              <w:tabs>
                <w:tab w:val="left" w:pos="284"/>
              </w:tabs>
              <w:jc w:val="center"/>
              <w:rPr>
                <w:rStyle w:val="Hyperlink"/>
              </w:rPr>
            </w:pPr>
          </w:p>
        </w:tc>
        <w:tc>
          <w:tcPr>
            <w:tcW w:w="1134" w:type="dxa"/>
            <w:vAlign w:val="center"/>
          </w:tcPr>
          <w:p w14:paraId="474B011E" w14:textId="2CD0E29D" w:rsidR="00F32423" w:rsidRPr="003545E4" w:rsidRDefault="00F32423" w:rsidP="00233A66">
            <w:pPr>
              <w:tabs>
                <w:tab w:val="decimal" w:pos="743"/>
                <w:tab w:val="decimal" w:pos="882"/>
              </w:tabs>
              <w:jc w:val="right"/>
              <w:rPr>
                <w:szCs w:val="24"/>
              </w:rPr>
            </w:pPr>
          </w:p>
        </w:tc>
        <w:tc>
          <w:tcPr>
            <w:tcW w:w="1134" w:type="dxa"/>
            <w:vAlign w:val="center"/>
          </w:tcPr>
          <w:p w14:paraId="2376C64C" w14:textId="7A893F13" w:rsidR="00F32423" w:rsidRPr="003545E4" w:rsidRDefault="00F32423" w:rsidP="00233A66">
            <w:pPr>
              <w:pStyle w:val="CommentText"/>
              <w:tabs>
                <w:tab w:val="decimal" w:pos="743"/>
              </w:tabs>
              <w:spacing w:after="240"/>
              <w:jc w:val="right"/>
              <w:rPr>
                <w:sz w:val="24"/>
                <w:szCs w:val="24"/>
              </w:rPr>
            </w:pPr>
            <w:r w:rsidRPr="003545E4">
              <w:rPr>
                <w:sz w:val="24"/>
                <w:szCs w:val="24"/>
              </w:rPr>
              <w:t>699</w:t>
            </w:r>
          </w:p>
        </w:tc>
        <w:tc>
          <w:tcPr>
            <w:tcW w:w="1134" w:type="dxa"/>
            <w:vAlign w:val="center"/>
          </w:tcPr>
          <w:p w14:paraId="1EA228C1" w14:textId="77777777" w:rsidR="00F32423" w:rsidRPr="003545E4" w:rsidRDefault="00F32423" w:rsidP="00233A66">
            <w:pPr>
              <w:tabs>
                <w:tab w:val="decimal" w:pos="743"/>
                <w:tab w:val="decimal" w:pos="882"/>
              </w:tabs>
              <w:jc w:val="right"/>
              <w:rPr>
                <w:szCs w:val="24"/>
              </w:rPr>
            </w:pPr>
          </w:p>
        </w:tc>
        <w:tc>
          <w:tcPr>
            <w:tcW w:w="1134" w:type="dxa"/>
            <w:vAlign w:val="center"/>
          </w:tcPr>
          <w:p w14:paraId="4E02311B" w14:textId="7C8DBB5B" w:rsidR="00F32423" w:rsidRPr="003545E4" w:rsidRDefault="00F32423" w:rsidP="00233A66">
            <w:pPr>
              <w:pStyle w:val="CommentText"/>
              <w:tabs>
                <w:tab w:val="decimal" w:pos="743"/>
              </w:tabs>
              <w:spacing w:after="240"/>
              <w:jc w:val="right"/>
              <w:rPr>
                <w:sz w:val="24"/>
                <w:szCs w:val="24"/>
              </w:rPr>
            </w:pPr>
            <w:r w:rsidRPr="003545E4">
              <w:rPr>
                <w:sz w:val="24"/>
                <w:szCs w:val="24"/>
              </w:rPr>
              <w:t>1,319</w:t>
            </w:r>
          </w:p>
        </w:tc>
      </w:tr>
      <w:tr w:rsidR="00F32423" w:rsidRPr="000E606D" w14:paraId="133A9507" w14:textId="77777777" w:rsidTr="00036C34">
        <w:trPr>
          <w:trHeight w:hRule="exact" w:val="300"/>
        </w:trPr>
        <w:tc>
          <w:tcPr>
            <w:tcW w:w="4927" w:type="dxa"/>
          </w:tcPr>
          <w:p w14:paraId="3A816E97" w14:textId="77777777" w:rsidR="00F32423" w:rsidRPr="003545E4" w:rsidRDefault="00F32423" w:rsidP="00F32423">
            <w:pPr>
              <w:tabs>
                <w:tab w:val="left" w:pos="284"/>
              </w:tabs>
              <w:rPr>
                <w:b/>
                <w:szCs w:val="24"/>
              </w:rPr>
            </w:pPr>
            <w:r w:rsidRPr="003545E4">
              <w:rPr>
                <w:b/>
                <w:szCs w:val="24"/>
              </w:rPr>
              <w:t>Net cash flows from Operating Activities</w:t>
            </w:r>
          </w:p>
        </w:tc>
        <w:tc>
          <w:tcPr>
            <w:tcW w:w="1100" w:type="dxa"/>
            <w:vAlign w:val="center"/>
          </w:tcPr>
          <w:p w14:paraId="504208EF" w14:textId="77777777" w:rsidR="00F32423" w:rsidRPr="00F32423" w:rsidRDefault="00F32423" w:rsidP="00036C34">
            <w:pPr>
              <w:tabs>
                <w:tab w:val="left" w:pos="284"/>
              </w:tabs>
              <w:jc w:val="center"/>
              <w:rPr>
                <w:rStyle w:val="Hyperlink"/>
              </w:rPr>
            </w:pPr>
          </w:p>
        </w:tc>
        <w:tc>
          <w:tcPr>
            <w:tcW w:w="1134" w:type="dxa"/>
            <w:vAlign w:val="center"/>
          </w:tcPr>
          <w:p w14:paraId="127C786A" w14:textId="5FDD3370" w:rsidR="00F32423" w:rsidRPr="003545E4" w:rsidRDefault="00F32423" w:rsidP="00233A66">
            <w:pPr>
              <w:tabs>
                <w:tab w:val="decimal" w:pos="743"/>
              </w:tabs>
              <w:jc w:val="right"/>
              <w:rPr>
                <w:b/>
                <w:szCs w:val="24"/>
              </w:rPr>
            </w:pPr>
          </w:p>
        </w:tc>
        <w:tc>
          <w:tcPr>
            <w:tcW w:w="1134" w:type="dxa"/>
            <w:vAlign w:val="center"/>
          </w:tcPr>
          <w:p w14:paraId="4C244104" w14:textId="092DF215" w:rsidR="00F32423" w:rsidRPr="003545E4" w:rsidRDefault="00F32423" w:rsidP="00233A66">
            <w:pPr>
              <w:pStyle w:val="CommentText"/>
              <w:tabs>
                <w:tab w:val="decimal" w:pos="743"/>
              </w:tabs>
              <w:spacing w:after="240"/>
              <w:jc w:val="right"/>
              <w:rPr>
                <w:b/>
                <w:sz w:val="24"/>
                <w:szCs w:val="24"/>
              </w:rPr>
            </w:pPr>
            <w:r w:rsidRPr="003545E4">
              <w:rPr>
                <w:b/>
                <w:sz w:val="24"/>
                <w:szCs w:val="24"/>
              </w:rPr>
              <w:t>1,292</w:t>
            </w:r>
          </w:p>
        </w:tc>
        <w:tc>
          <w:tcPr>
            <w:tcW w:w="1134" w:type="dxa"/>
            <w:vAlign w:val="center"/>
          </w:tcPr>
          <w:p w14:paraId="25DF0D5F" w14:textId="77777777" w:rsidR="00F32423" w:rsidRPr="003545E4" w:rsidRDefault="00F32423" w:rsidP="00233A66">
            <w:pPr>
              <w:tabs>
                <w:tab w:val="decimal" w:pos="743"/>
              </w:tabs>
              <w:jc w:val="right"/>
              <w:rPr>
                <w:b/>
                <w:szCs w:val="24"/>
              </w:rPr>
            </w:pPr>
          </w:p>
        </w:tc>
        <w:tc>
          <w:tcPr>
            <w:tcW w:w="1134" w:type="dxa"/>
            <w:vAlign w:val="center"/>
          </w:tcPr>
          <w:p w14:paraId="7910C3F5" w14:textId="586FE6FD" w:rsidR="00F32423" w:rsidRPr="003545E4" w:rsidRDefault="00F32423" w:rsidP="00233A66">
            <w:pPr>
              <w:pStyle w:val="CommentText"/>
              <w:tabs>
                <w:tab w:val="decimal" w:pos="743"/>
              </w:tabs>
              <w:spacing w:after="240"/>
              <w:jc w:val="right"/>
              <w:rPr>
                <w:b/>
                <w:sz w:val="24"/>
                <w:szCs w:val="24"/>
              </w:rPr>
            </w:pPr>
            <w:r w:rsidRPr="003545E4">
              <w:rPr>
                <w:b/>
                <w:sz w:val="24"/>
                <w:szCs w:val="24"/>
              </w:rPr>
              <w:t>1,162</w:t>
            </w:r>
          </w:p>
        </w:tc>
      </w:tr>
    </w:tbl>
    <w:p w14:paraId="7C0C084A" w14:textId="77777777" w:rsidR="00DD2894" w:rsidRDefault="00DD2894"/>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1100"/>
        <w:gridCol w:w="1134"/>
        <w:gridCol w:w="1134"/>
        <w:gridCol w:w="1134"/>
        <w:gridCol w:w="1134"/>
      </w:tblGrid>
      <w:tr w:rsidR="00DD2894" w:rsidRPr="000E606D" w14:paraId="08E23E5D" w14:textId="77777777" w:rsidTr="00036C34">
        <w:trPr>
          <w:trHeight w:hRule="exact" w:val="334"/>
        </w:trPr>
        <w:tc>
          <w:tcPr>
            <w:tcW w:w="10563" w:type="dxa"/>
            <w:gridSpan w:val="6"/>
            <w:shd w:val="clear" w:color="auto" w:fill="D9D9D9" w:themeFill="background1" w:themeFillShade="D9"/>
          </w:tcPr>
          <w:p w14:paraId="2F0FB6BD" w14:textId="329F12A1" w:rsidR="00DD2894" w:rsidRPr="00BD79B2" w:rsidRDefault="00DD2894" w:rsidP="00DD2894">
            <w:pPr>
              <w:pStyle w:val="Footer"/>
              <w:tabs>
                <w:tab w:val="clear" w:pos="4153"/>
                <w:tab w:val="clear" w:pos="8306"/>
                <w:tab w:val="left" w:pos="284"/>
              </w:tabs>
              <w:rPr>
                <w:b/>
                <w:bCs/>
                <w:szCs w:val="24"/>
              </w:rPr>
            </w:pPr>
            <w:r w:rsidRPr="00BD79B2">
              <w:rPr>
                <w:b/>
                <w:bCs/>
                <w:szCs w:val="24"/>
              </w:rPr>
              <w:t>Investing activities</w:t>
            </w:r>
          </w:p>
        </w:tc>
      </w:tr>
      <w:tr w:rsidR="00F32423" w:rsidRPr="000E606D" w14:paraId="29925C5D" w14:textId="77777777" w:rsidTr="00036C34">
        <w:trPr>
          <w:trHeight w:hRule="exact" w:val="582"/>
        </w:trPr>
        <w:tc>
          <w:tcPr>
            <w:tcW w:w="4927" w:type="dxa"/>
          </w:tcPr>
          <w:p w14:paraId="2D728916" w14:textId="77777777" w:rsidR="00F32423" w:rsidRPr="003545E4" w:rsidRDefault="00F32423" w:rsidP="00F32423">
            <w:pPr>
              <w:tabs>
                <w:tab w:val="left" w:pos="284"/>
              </w:tabs>
              <w:rPr>
                <w:szCs w:val="24"/>
              </w:rPr>
            </w:pPr>
            <w:r w:rsidRPr="003545E4">
              <w:rPr>
                <w:szCs w:val="24"/>
              </w:rPr>
              <w:t>Purchase of property plant and equipment &amp; other capital spend</w:t>
            </w:r>
          </w:p>
        </w:tc>
        <w:tc>
          <w:tcPr>
            <w:tcW w:w="1100" w:type="dxa"/>
            <w:vAlign w:val="center"/>
          </w:tcPr>
          <w:p w14:paraId="161B4898" w14:textId="4001074F" w:rsidR="00F32423" w:rsidRPr="00F32423" w:rsidRDefault="00BD79B2" w:rsidP="00036C34">
            <w:pPr>
              <w:tabs>
                <w:tab w:val="left" w:pos="284"/>
              </w:tabs>
              <w:jc w:val="center"/>
              <w:rPr>
                <w:rStyle w:val="Hyperlink"/>
              </w:rPr>
            </w:pPr>
            <w:hyperlink w:anchor="N6" w:history="1">
              <w:r w:rsidR="00F32423" w:rsidRPr="00F32423">
                <w:rPr>
                  <w:rStyle w:val="Hyperlink"/>
                  <w:szCs w:val="24"/>
                </w:rPr>
                <w:t>6</w:t>
              </w:r>
            </w:hyperlink>
            <w:r w:rsidR="00036C34">
              <w:rPr>
                <w:rStyle w:val="Hyperlink"/>
              </w:rPr>
              <w:t>/</w:t>
            </w:r>
            <w:hyperlink w:anchor="N7" w:history="1">
              <w:r w:rsidR="00F32423" w:rsidRPr="00F32423">
                <w:rPr>
                  <w:rStyle w:val="Hyperlink"/>
                  <w:szCs w:val="24"/>
                </w:rPr>
                <w:t>7</w:t>
              </w:r>
            </w:hyperlink>
          </w:p>
        </w:tc>
        <w:tc>
          <w:tcPr>
            <w:tcW w:w="1134" w:type="dxa"/>
            <w:vAlign w:val="center"/>
          </w:tcPr>
          <w:p w14:paraId="1E01EF41" w14:textId="7994CB5D" w:rsidR="00F32423" w:rsidRPr="003545E4" w:rsidRDefault="00F32423" w:rsidP="00233A66">
            <w:pPr>
              <w:pStyle w:val="CommentText"/>
              <w:tabs>
                <w:tab w:val="decimal" w:pos="743"/>
              </w:tabs>
              <w:spacing w:after="240"/>
              <w:jc w:val="right"/>
              <w:rPr>
                <w:sz w:val="24"/>
                <w:szCs w:val="24"/>
              </w:rPr>
            </w:pPr>
            <w:r w:rsidRPr="003545E4">
              <w:rPr>
                <w:sz w:val="24"/>
                <w:szCs w:val="24"/>
              </w:rPr>
              <w:t>(1,680)</w:t>
            </w:r>
          </w:p>
        </w:tc>
        <w:tc>
          <w:tcPr>
            <w:tcW w:w="1134" w:type="dxa"/>
            <w:vAlign w:val="center"/>
          </w:tcPr>
          <w:p w14:paraId="4B44576C" w14:textId="77777777" w:rsidR="00F32423" w:rsidRPr="003545E4" w:rsidRDefault="00F32423" w:rsidP="00233A66">
            <w:pPr>
              <w:pStyle w:val="CommentText"/>
              <w:tabs>
                <w:tab w:val="decimal" w:pos="743"/>
              </w:tabs>
              <w:spacing w:after="240"/>
              <w:jc w:val="right"/>
              <w:rPr>
                <w:sz w:val="24"/>
                <w:szCs w:val="24"/>
              </w:rPr>
            </w:pPr>
          </w:p>
        </w:tc>
        <w:tc>
          <w:tcPr>
            <w:tcW w:w="1134" w:type="dxa"/>
            <w:vAlign w:val="center"/>
          </w:tcPr>
          <w:p w14:paraId="17DA96AA" w14:textId="0D5D5BE1" w:rsidR="00F32423" w:rsidRPr="003545E4" w:rsidRDefault="00F32423" w:rsidP="00233A66">
            <w:pPr>
              <w:pStyle w:val="CommentText"/>
              <w:tabs>
                <w:tab w:val="decimal" w:pos="743"/>
              </w:tabs>
              <w:spacing w:after="240"/>
              <w:jc w:val="right"/>
              <w:rPr>
                <w:sz w:val="24"/>
                <w:szCs w:val="24"/>
              </w:rPr>
            </w:pPr>
            <w:r w:rsidRPr="003545E4">
              <w:rPr>
                <w:sz w:val="24"/>
                <w:szCs w:val="24"/>
              </w:rPr>
              <w:t>(4,099)</w:t>
            </w:r>
          </w:p>
        </w:tc>
        <w:tc>
          <w:tcPr>
            <w:tcW w:w="1134" w:type="dxa"/>
            <w:vAlign w:val="center"/>
          </w:tcPr>
          <w:p w14:paraId="37D2B5B9" w14:textId="77777777" w:rsidR="00F32423" w:rsidRPr="003545E4" w:rsidRDefault="00F32423" w:rsidP="00233A66">
            <w:pPr>
              <w:pStyle w:val="CommentText"/>
              <w:tabs>
                <w:tab w:val="decimal" w:pos="743"/>
              </w:tabs>
              <w:spacing w:after="240"/>
              <w:jc w:val="right"/>
              <w:rPr>
                <w:sz w:val="24"/>
                <w:szCs w:val="24"/>
              </w:rPr>
            </w:pPr>
          </w:p>
        </w:tc>
      </w:tr>
      <w:tr w:rsidR="00F32423" w:rsidRPr="000E606D" w14:paraId="2CCE33B0" w14:textId="77777777" w:rsidTr="00036C34">
        <w:trPr>
          <w:trHeight w:hRule="exact" w:val="300"/>
        </w:trPr>
        <w:tc>
          <w:tcPr>
            <w:tcW w:w="4927" w:type="dxa"/>
          </w:tcPr>
          <w:p w14:paraId="7E93E35C" w14:textId="2C006A9C" w:rsidR="00F32423" w:rsidRPr="003545E4" w:rsidRDefault="00F32423" w:rsidP="00F32423">
            <w:pPr>
              <w:pStyle w:val="Footer"/>
              <w:tabs>
                <w:tab w:val="clear" w:pos="4153"/>
                <w:tab w:val="clear" w:pos="8306"/>
                <w:tab w:val="left" w:pos="284"/>
              </w:tabs>
              <w:spacing w:after="240"/>
              <w:rPr>
                <w:szCs w:val="24"/>
              </w:rPr>
            </w:pPr>
            <w:r w:rsidRPr="003545E4">
              <w:rPr>
                <w:szCs w:val="24"/>
              </w:rPr>
              <w:t>(Increase)/Decrease in long-term deposits</w:t>
            </w:r>
          </w:p>
        </w:tc>
        <w:tc>
          <w:tcPr>
            <w:tcW w:w="1100" w:type="dxa"/>
            <w:vAlign w:val="center"/>
          </w:tcPr>
          <w:p w14:paraId="72B77876" w14:textId="77777777" w:rsidR="00F32423" w:rsidRPr="00F32423" w:rsidRDefault="00F32423" w:rsidP="00036C34">
            <w:pPr>
              <w:tabs>
                <w:tab w:val="left" w:pos="284"/>
              </w:tabs>
              <w:jc w:val="center"/>
              <w:rPr>
                <w:rStyle w:val="Hyperlink"/>
              </w:rPr>
            </w:pPr>
          </w:p>
        </w:tc>
        <w:tc>
          <w:tcPr>
            <w:tcW w:w="1134" w:type="dxa"/>
            <w:vAlign w:val="center"/>
          </w:tcPr>
          <w:p w14:paraId="0A8647F9" w14:textId="367BA501" w:rsidR="00F32423" w:rsidRPr="003545E4" w:rsidRDefault="00F32423" w:rsidP="00233A66">
            <w:pPr>
              <w:tabs>
                <w:tab w:val="decimal" w:pos="743"/>
              </w:tabs>
              <w:spacing w:after="240"/>
              <w:jc w:val="right"/>
              <w:rPr>
                <w:szCs w:val="24"/>
              </w:rPr>
            </w:pPr>
            <w:r w:rsidRPr="003545E4">
              <w:rPr>
                <w:szCs w:val="24"/>
              </w:rPr>
              <w:t>5,000</w:t>
            </w:r>
          </w:p>
        </w:tc>
        <w:tc>
          <w:tcPr>
            <w:tcW w:w="1134" w:type="dxa"/>
            <w:vAlign w:val="center"/>
          </w:tcPr>
          <w:p w14:paraId="5C83BF32" w14:textId="77777777" w:rsidR="00F32423" w:rsidRPr="003545E4" w:rsidRDefault="00F32423" w:rsidP="00233A66">
            <w:pPr>
              <w:pStyle w:val="CommentText"/>
              <w:tabs>
                <w:tab w:val="decimal" w:pos="743"/>
              </w:tabs>
              <w:spacing w:after="240"/>
              <w:jc w:val="right"/>
              <w:rPr>
                <w:sz w:val="24"/>
                <w:szCs w:val="24"/>
              </w:rPr>
            </w:pPr>
          </w:p>
        </w:tc>
        <w:tc>
          <w:tcPr>
            <w:tcW w:w="1134" w:type="dxa"/>
            <w:vAlign w:val="center"/>
          </w:tcPr>
          <w:p w14:paraId="454AD3A8" w14:textId="32C9A800" w:rsidR="00F32423" w:rsidRPr="003545E4" w:rsidRDefault="00F32423" w:rsidP="00233A66">
            <w:pPr>
              <w:tabs>
                <w:tab w:val="decimal" w:pos="743"/>
              </w:tabs>
              <w:spacing w:after="240"/>
              <w:jc w:val="right"/>
              <w:rPr>
                <w:szCs w:val="24"/>
              </w:rPr>
            </w:pPr>
            <w:r w:rsidRPr="003545E4">
              <w:rPr>
                <w:szCs w:val="24"/>
              </w:rPr>
              <w:t>5,000</w:t>
            </w:r>
          </w:p>
        </w:tc>
        <w:tc>
          <w:tcPr>
            <w:tcW w:w="1134" w:type="dxa"/>
            <w:vAlign w:val="center"/>
          </w:tcPr>
          <w:p w14:paraId="62A69C7C" w14:textId="77777777" w:rsidR="00F32423" w:rsidRPr="003545E4" w:rsidRDefault="00F32423" w:rsidP="00233A66">
            <w:pPr>
              <w:pStyle w:val="CommentText"/>
              <w:tabs>
                <w:tab w:val="decimal" w:pos="743"/>
              </w:tabs>
              <w:spacing w:after="240"/>
              <w:jc w:val="right"/>
              <w:rPr>
                <w:sz w:val="24"/>
                <w:szCs w:val="24"/>
              </w:rPr>
            </w:pPr>
          </w:p>
        </w:tc>
      </w:tr>
      <w:tr w:rsidR="00F32423" w:rsidRPr="000E606D" w14:paraId="68AFA0B9" w14:textId="77777777" w:rsidTr="00036C34">
        <w:trPr>
          <w:trHeight w:hRule="exact" w:val="300"/>
        </w:trPr>
        <w:tc>
          <w:tcPr>
            <w:tcW w:w="4927" w:type="dxa"/>
          </w:tcPr>
          <w:p w14:paraId="43415029" w14:textId="50AB35A2" w:rsidR="00F32423" w:rsidRPr="003545E4" w:rsidRDefault="00F32423" w:rsidP="00F32423">
            <w:pPr>
              <w:pStyle w:val="Footer"/>
              <w:tabs>
                <w:tab w:val="clear" w:pos="4153"/>
                <w:tab w:val="clear" w:pos="8306"/>
                <w:tab w:val="left" w:pos="284"/>
              </w:tabs>
              <w:spacing w:after="240"/>
              <w:rPr>
                <w:szCs w:val="24"/>
              </w:rPr>
            </w:pPr>
            <w:r w:rsidRPr="003545E4">
              <w:rPr>
                <w:szCs w:val="24"/>
              </w:rPr>
              <w:t>(Increase)/Decrease in short-term deposits</w:t>
            </w:r>
          </w:p>
        </w:tc>
        <w:tc>
          <w:tcPr>
            <w:tcW w:w="1100" w:type="dxa"/>
            <w:vAlign w:val="center"/>
          </w:tcPr>
          <w:p w14:paraId="116128E1" w14:textId="77777777" w:rsidR="00F32423" w:rsidRPr="00F32423" w:rsidRDefault="00F32423" w:rsidP="00036C34">
            <w:pPr>
              <w:tabs>
                <w:tab w:val="left" w:pos="284"/>
              </w:tabs>
              <w:jc w:val="center"/>
              <w:rPr>
                <w:rStyle w:val="Hyperlink"/>
              </w:rPr>
            </w:pPr>
          </w:p>
        </w:tc>
        <w:tc>
          <w:tcPr>
            <w:tcW w:w="1134" w:type="dxa"/>
            <w:vAlign w:val="center"/>
          </w:tcPr>
          <w:p w14:paraId="3BAD0658" w14:textId="0401741D" w:rsidR="00F32423" w:rsidRPr="003545E4" w:rsidRDefault="00F32423" w:rsidP="00233A66">
            <w:pPr>
              <w:tabs>
                <w:tab w:val="decimal" w:pos="743"/>
              </w:tabs>
              <w:spacing w:after="240"/>
              <w:jc w:val="right"/>
              <w:rPr>
                <w:szCs w:val="24"/>
              </w:rPr>
            </w:pPr>
            <w:r w:rsidRPr="003545E4">
              <w:rPr>
                <w:szCs w:val="24"/>
              </w:rPr>
              <w:t>(5,000)</w:t>
            </w:r>
          </w:p>
        </w:tc>
        <w:tc>
          <w:tcPr>
            <w:tcW w:w="1134" w:type="dxa"/>
            <w:vAlign w:val="center"/>
          </w:tcPr>
          <w:p w14:paraId="77D92273" w14:textId="77777777" w:rsidR="00F32423" w:rsidRPr="003545E4" w:rsidRDefault="00F32423" w:rsidP="00233A66">
            <w:pPr>
              <w:pStyle w:val="CommentText"/>
              <w:tabs>
                <w:tab w:val="decimal" w:pos="743"/>
              </w:tabs>
              <w:spacing w:after="240"/>
              <w:jc w:val="right"/>
              <w:rPr>
                <w:sz w:val="24"/>
                <w:szCs w:val="24"/>
              </w:rPr>
            </w:pPr>
          </w:p>
        </w:tc>
        <w:tc>
          <w:tcPr>
            <w:tcW w:w="1134" w:type="dxa"/>
            <w:vAlign w:val="center"/>
          </w:tcPr>
          <w:p w14:paraId="600B96BA" w14:textId="28FF723C" w:rsidR="00F32423" w:rsidRPr="003545E4" w:rsidRDefault="00F32423" w:rsidP="00233A66">
            <w:pPr>
              <w:tabs>
                <w:tab w:val="decimal" w:pos="743"/>
              </w:tabs>
              <w:spacing w:after="240"/>
              <w:jc w:val="right"/>
              <w:rPr>
                <w:szCs w:val="24"/>
              </w:rPr>
            </w:pPr>
            <w:r w:rsidRPr="003545E4">
              <w:rPr>
                <w:szCs w:val="24"/>
              </w:rPr>
              <w:t>(5,000)</w:t>
            </w:r>
          </w:p>
        </w:tc>
        <w:tc>
          <w:tcPr>
            <w:tcW w:w="1134" w:type="dxa"/>
            <w:vAlign w:val="center"/>
          </w:tcPr>
          <w:p w14:paraId="37A24EA3" w14:textId="77777777" w:rsidR="00F32423" w:rsidRPr="003545E4" w:rsidRDefault="00F32423" w:rsidP="00233A66">
            <w:pPr>
              <w:pStyle w:val="CommentText"/>
              <w:tabs>
                <w:tab w:val="decimal" w:pos="743"/>
              </w:tabs>
              <w:spacing w:after="240"/>
              <w:jc w:val="right"/>
              <w:rPr>
                <w:sz w:val="24"/>
                <w:szCs w:val="24"/>
              </w:rPr>
            </w:pPr>
          </w:p>
        </w:tc>
      </w:tr>
      <w:tr w:rsidR="00F32423" w:rsidRPr="000E606D" w14:paraId="44D25AA8" w14:textId="77777777" w:rsidTr="00036C34">
        <w:trPr>
          <w:trHeight w:hRule="exact" w:val="300"/>
        </w:trPr>
        <w:tc>
          <w:tcPr>
            <w:tcW w:w="4927" w:type="dxa"/>
          </w:tcPr>
          <w:p w14:paraId="3D967782" w14:textId="77777777" w:rsidR="00F32423" w:rsidRPr="003545E4" w:rsidRDefault="00F32423" w:rsidP="00F32423">
            <w:pPr>
              <w:pStyle w:val="Footer"/>
              <w:tabs>
                <w:tab w:val="clear" w:pos="4153"/>
                <w:tab w:val="clear" w:pos="8306"/>
                <w:tab w:val="left" w:pos="284"/>
              </w:tabs>
              <w:spacing w:after="240"/>
              <w:rPr>
                <w:szCs w:val="24"/>
              </w:rPr>
            </w:pPr>
            <w:r w:rsidRPr="003545E4">
              <w:rPr>
                <w:szCs w:val="24"/>
              </w:rPr>
              <w:t>Receipts from investing activities</w:t>
            </w:r>
          </w:p>
        </w:tc>
        <w:tc>
          <w:tcPr>
            <w:tcW w:w="1100" w:type="dxa"/>
            <w:vAlign w:val="center"/>
          </w:tcPr>
          <w:p w14:paraId="150F08E4" w14:textId="5E76AE5E" w:rsidR="00F32423" w:rsidRPr="00F32423" w:rsidRDefault="00BD79B2" w:rsidP="00036C34">
            <w:pPr>
              <w:tabs>
                <w:tab w:val="left" w:pos="284"/>
              </w:tabs>
              <w:jc w:val="center"/>
              <w:rPr>
                <w:rStyle w:val="Hyperlink"/>
              </w:rPr>
            </w:pPr>
            <w:hyperlink w:anchor="N24" w:history="1">
              <w:r w:rsidR="00F32423" w:rsidRPr="00F32423">
                <w:rPr>
                  <w:rStyle w:val="Hyperlink"/>
                  <w:szCs w:val="24"/>
                </w:rPr>
                <w:t>24</w:t>
              </w:r>
            </w:hyperlink>
          </w:p>
        </w:tc>
        <w:tc>
          <w:tcPr>
            <w:tcW w:w="1134" w:type="dxa"/>
            <w:vAlign w:val="center"/>
          </w:tcPr>
          <w:p w14:paraId="507396CF" w14:textId="3DB47EE8" w:rsidR="00F32423" w:rsidRPr="003545E4" w:rsidRDefault="00F32423" w:rsidP="00233A66">
            <w:pPr>
              <w:tabs>
                <w:tab w:val="decimal" w:pos="743"/>
              </w:tabs>
              <w:spacing w:after="240"/>
              <w:jc w:val="right"/>
              <w:rPr>
                <w:szCs w:val="24"/>
              </w:rPr>
            </w:pPr>
            <w:r w:rsidRPr="003545E4">
              <w:rPr>
                <w:szCs w:val="24"/>
              </w:rPr>
              <w:t>667</w:t>
            </w:r>
          </w:p>
        </w:tc>
        <w:tc>
          <w:tcPr>
            <w:tcW w:w="1134" w:type="dxa"/>
            <w:vAlign w:val="center"/>
          </w:tcPr>
          <w:p w14:paraId="7D6D6234" w14:textId="77777777" w:rsidR="00F32423" w:rsidRPr="003545E4" w:rsidRDefault="00F32423" w:rsidP="00233A66">
            <w:pPr>
              <w:pStyle w:val="CommentText"/>
              <w:tabs>
                <w:tab w:val="decimal" w:pos="743"/>
              </w:tabs>
              <w:spacing w:after="240"/>
              <w:jc w:val="right"/>
              <w:rPr>
                <w:sz w:val="24"/>
                <w:szCs w:val="24"/>
              </w:rPr>
            </w:pPr>
          </w:p>
        </w:tc>
        <w:tc>
          <w:tcPr>
            <w:tcW w:w="1134" w:type="dxa"/>
            <w:vAlign w:val="center"/>
          </w:tcPr>
          <w:p w14:paraId="685D7161" w14:textId="1F78BD20" w:rsidR="00F32423" w:rsidRPr="003545E4" w:rsidRDefault="00F32423" w:rsidP="00233A66">
            <w:pPr>
              <w:tabs>
                <w:tab w:val="decimal" w:pos="743"/>
              </w:tabs>
              <w:spacing w:after="240"/>
              <w:jc w:val="right"/>
              <w:rPr>
                <w:szCs w:val="24"/>
              </w:rPr>
            </w:pPr>
            <w:r w:rsidRPr="003545E4">
              <w:rPr>
                <w:szCs w:val="24"/>
              </w:rPr>
              <w:t>67</w:t>
            </w:r>
          </w:p>
        </w:tc>
        <w:tc>
          <w:tcPr>
            <w:tcW w:w="1134" w:type="dxa"/>
            <w:vAlign w:val="center"/>
          </w:tcPr>
          <w:p w14:paraId="63D38641" w14:textId="77777777" w:rsidR="00F32423" w:rsidRPr="003545E4" w:rsidRDefault="00F32423" w:rsidP="00233A66">
            <w:pPr>
              <w:pStyle w:val="CommentText"/>
              <w:tabs>
                <w:tab w:val="decimal" w:pos="743"/>
              </w:tabs>
              <w:spacing w:after="240"/>
              <w:jc w:val="right"/>
              <w:rPr>
                <w:sz w:val="24"/>
                <w:szCs w:val="24"/>
              </w:rPr>
            </w:pPr>
          </w:p>
        </w:tc>
      </w:tr>
      <w:tr w:rsidR="00F32423" w:rsidRPr="000E606D" w14:paraId="2AF2D529" w14:textId="77777777" w:rsidTr="00036C34">
        <w:trPr>
          <w:trHeight w:hRule="exact" w:val="300"/>
        </w:trPr>
        <w:tc>
          <w:tcPr>
            <w:tcW w:w="4927" w:type="dxa"/>
          </w:tcPr>
          <w:p w14:paraId="1996C803" w14:textId="77777777" w:rsidR="00F32423" w:rsidRPr="003545E4" w:rsidRDefault="00F32423" w:rsidP="00F32423">
            <w:pPr>
              <w:tabs>
                <w:tab w:val="left" w:pos="284"/>
              </w:tabs>
              <w:spacing w:after="240"/>
              <w:rPr>
                <w:szCs w:val="24"/>
              </w:rPr>
            </w:pPr>
            <w:r w:rsidRPr="003545E4">
              <w:rPr>
                <w:szCs w:val="24"/>
              </w:rPr>
              <w:t>Net cash flows from investing activities</w:t>
            </w:r>
          </w:p>
        </w:tc>
        <w:tc>
          <w:tcPr>
            <w:tcW w:w="1100" w:type="dxa"/>
            <w:vAlign w:val="center"/>
          </w:tcPr>
          <w:p w14:paraId="0A8EC716" w14:textId="77777777" w:rsidR="00F32423" w:rsidRPr="00F32423" w:rsidRDefault="00F32423" w:rsidP="00036C34">
            <w:pPr>
              <w:tabs>
                <w:tab w:val="left" w:pos="284"/>
              </w:tabs>
              <w:jc w:val="center"/>
              <w:rPr>
                <w:rStyle w:val="Hyperlink"/>
              </w:rPr>
            </w:pPr>
          </w:p>
        </w:tc>
        <w:tc>
          <w:tcPr>
            <w:tcW w:w="1134" w:type="dxa"/>
            <w:vAlign w:val="center"/>
          </w:tcPr>
          <w:p w14:paraId="4883E040" w14:textId="419A75ED" w:rsidR="00F32423" w:rsidRPr="003545E4" w:rsidRDefault="00F32423" w:rsidP="00233A66">
            <w:pPr>
              <w:tabs>
                <w:tab w:val="decimal" w:pos="743"/>
              </w:tabs>
              <w:spacing w:after="240"/>
              <w:jc w:val="right"/>
              <w:rPr>
                <w:szCs w:val="24"/>
              </w:rPr>
            </w:pPr>
          </w:p>
        </w:tc>
        <w:tc>
          <w:tcPr>
            <w:tcW w:w="1134" w:type="dxa"/>
            <w:vAlign w:val="center"/>
          </w:tcPr>
          <w:p w14:paraId="063EC3D5" w14:textId="37BC4543" w:rsidR="00F32423" w:rsidRPr="003545E4" w:rsidRDefault="00F32423" w:rsidP="00233A66">
            <w:pPr>
              <w:pStyle w:val="CommentText"/>
              <w:tabs>
                <w:tab w:val="decimal" w:pos="743"/>
              </w:tabs>
              <w:spacing w:after="240"/>
              <w:jc w:val="right"/>
              <w:rPr>
                <w:sz w:val="24"/>
                <w:szCs w:val="24"/>
              </w:rPr>
            </w:pPr>
            <w:r w:rsidRPr="003545E4">
              <w:rPr>
                <w:sz w:val="24"/>
                <w:szCs w:val="24"/>
              </w:rPr>
              <w:t>(1,013)</w:t>
            </w:r>
          </w:p>
        </w:tc>
        <w:tc>
          <w:tcPr>
            <w:tcW w:w="1134" w:type="dxa"/>
            <w:vAlign w:val="center"/>
          </w:tcPr>
          <w:p w14:paraId="30EB67EB" w14:textId="77777777" w:rsidR="00F32423" w:rsidRPr="003545E4" w:rsidRDefault="00F32423" w:rsidP="00233A66">
            <w:pPr>
              <w:tabs>
                <w:tab w:val="decimal" w:pos="743"/>
              </w:tabs>
              <w:spacing w:after="240"/>
              <w:jc w:val="right"/>
              <w:rPr>
                <w:szCs w:val="24"/>
              </w:rPr>
            </w:pPr>
          </w:p>
        </w:tc>
        <w:tc>
          <w:tcPr>
            <w:tcW w:w="1134" w:type="dxa"/>
            <w:vAlign w:val="center"/>
          </w:tcPr>
          <w:p w14:paraId="51FE7C49" w14:textId="692A0F12" w:rsidR="00F32423" w:rsidRPr="003545E4" w:rsidRDefault="00F32423" w:rsidP="00233A66">
            <w:pPr>
              <w:pStyle w:val="CommentText"/>
              <w:tabs>
                <w:tab w:val="decimal" w:pos="743"/>
              </w:tabs>
              <w:spacing w:after="240"/>
              <w:jc w:val="right"/>
              <w:rPr>
                <w:sz w:val="24"/>
                <w:szCs w:val="24"/>
              </w:rPr>
            </w:pPr>
            <w:r w:rsidRPr="003545E4">
              <w:rPr>
                <w:sz w:val="24"/>
                <w:szCs w:val="24"/>
              </w:rPr>
              <w:t>(4,032)</w:t>
            </w:r>
          </w:p>
        </w:tc>
      </w:tr>
    </w:tbl>
    <w:p w14:paraId="74A6F784" w14:textId="77777777" w:rsidR="00DD2894" w:rsidRDefault="00DD2894"/>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1100"/>
        <w:gridCol w:w="1134"/>
        <w:gridCol w:w="1134"/>
        <w:gridCol w:w="1134"/>
        <w:gridCol w:w="1134"/>
      </w:tblGrid>
      <w:tr w:rsidR="00DD2894" w:rsidRPr="000E606D" w14:paraId="19434437" w14:textId="77777777" w:rsidTr="00036C34">
        <w:trPr>
          <w:trHeight w:hRule="exact" w:val="334"/>
        </w:trPr>
        <w:tc>
          <w:tcPr>
            <w:tcW w:w="10563" w:type="dxa"/>
            <w:gridSpan w:val="6"/>
            <w:shd w:val="clear" w:color="auto" w:fill="D9D9D9" w:themeFill="background1" w:themeFillShade="D9"/>
          </w:tcPr>
          <w:p w14:paraId="2D0AFAC6" w14:textId="0550FEBA" w:rsidR="00DD2894" w:rsidRPr="00BD79B2" w:rsidRDefault="00DD2894" w:rsidP="00036C34">
            <w:pPr>
              <w:tabs>
                <w:tab w:val="decimal" w:pos="742"/>
              </w:tabs>
              <w:rPr>
                <w:b/>
                <w:bCs/>
                <w:szCs w:val="24"/>
              </w:rPr>
            </w:pPr>
            <w:r w:rsidRPr="00BD79B2">
              <w:rPr>
                <w:b/>
                <w:bCs/>
                <w:szCs w:val="24"/>
              </w:rPr>
              <w:t>Financing activities</w:t>
            </w:r>
          </w:p>
        </w:tc>
      </w:tr>
      <w:tr w:rsidR="00F32423" w:rsidRPr="000E606D" w14:paraId="1D10DEA3" w14:textId="77777777" w:rsidTr="00036C34">
        <w:trPr>
          <w:trHeight w:hRule="exact" w:val="902"/>
        </w:trPr>
        <w:tc>
          <w:tcPr>
            <w:tcW w:w="4927" w:type="dxa"/>
          </w:tcPr>
          <w:p w14:paraId="4AB1F216" w14:textId="77777777" w:rsidR="00F32423" w:rsidRPr="003545E4" w:rsidRDefault="00F32423" w:rsidP="00F32423">
            <w:pPr>
              <w:pStyle w:val="Footer"/>
              <w:tabs>
                <w:tab w:val="clear" w:pos="4153"/>
                <w:tab w:val="clear" w:pos="8306"/>
                <w:tab w:val="left" w:pos="284"/>
              </w:tabs>
              <w:spacing w:after="240"/>
              <w:rPr>
                <w:szCs w:val="24"/>
              </w:rPr>
            </w:pPr>
            <w:r w:rsidRPr="003545E4">
              <w:rPr>
                <w:szCs w:val="24"/>
              </w:rPr>
              <w:t>Cash payments for the reduction of the outstanding liabilities relating to finance leases and on-balance sheet PFI contracts</w:t>
            </w:r>
          </w:p>
        </w:tc>
        <w:tc>
          <w:tcPr>
            <w:tcW w:w="1100" w:type="dxa"/>
            <w:vAlign w:val="center"/>
          </w:tcPr>
          <w:p w14:paraId="4DD92C0A" w14:textId="77777777" w:rsidR="00F32423" w:rsidRPr="00F32423" w:rsidRDefault="00F32423" w:rsidP="00036C34">
            <w:pPr>
              <w:tabs>
                <w:tab w:val="left" w:pos="284"/>
              </w:tabs>
              <w:jc w:val="center"/>
              <w:rPr>
                <w:rStyle w:val="Hyperlink"/>
              </w:rPr>
            </w:pPr>
          </w:p>
        </w:tc>
        <w:tc>
          <w:tcPr>
            <w:tcW w:w="1134" w:type="dxa"/>
            <w:vAlign w:val="center"/>
          </w:tcPr>
          <w:p w14:paraId="27A11587" w14:textId="71AE32CE" w:rsidR="00F32423" w:rsidRPr="003545E4" w:rsidRDefault="00F32423" w:rsidP="00233A66">
            <w:pPr>
              <w:pStyle w:val="CommentText"/>
              <w:tabs>
                <w:tab w:val="decimal" w:pos="743"/>
              </w:tabs>
              <w:spacing w:after="240"/>
              <w:jc w:val="right"/>
              <w:rPr>
                <w:sz w:val="24"/>
                <w:szCs w:val="24"/>
              </w:rPr>
            </w:pPr>
            <w:r w:rsidRPr="003545E4">
              <w:rPr>
                <w:sz w:val="24"/>
                <w:szCs w:val="24"/>
              </w:rPr>
              <w:t>(492)</w:t>
            </w:r>
          </w:p>
        </w:tc>
        <w:tc>
          <w:tcPr>
            <w:tcW w:w="1134" w:type="dxa"/>
            <w:vAlign w:val="center"/>
          </w:tcPr>
          <w:p w14:paraId="69C3A638" w14:textId="77777777" w:rsidR="00F32423" w:rsidRPr="003545E4" w:rsidRDefault="00F32423" w:rsidP="00233A66">
            <w:pPr>
              <w:pStyle w:val="CommentText"/>
              <w:tabs>
                <w:tab w:val="decimal" w:pos="743"/>
              </w:tabs>
              <w:spacing w:after="240"/>
              <w:jc w:val="right"/>
              <w:rPr>
                <w:sz w:val="24"/>
                <w:szCs w:val="24"/>
              </w:rPr>
            </w:pPr>
          </w:p>
        </w:tc>
        <w:tc>
          <w:tcPr>
            <w:tcW w:w="1134" w:type="dxa"/>
            <w:vAlign w:val="center"/>
          </w:tcPr>
          <w:p w14:paraId="11CCABCE" w14:textId="62947029" w:rsidR="00F32423" w:rsidRPr="003545E4" w:rsidRDefault="00F32423" w:rsidP="00233A66">
            <w:pPr>
              <w:pStyle w:val="CommentText"/>
              <w:tabs>
                <w:tab w:val="decimal" w:pos="743"/>
              </w:tabs>
              <w:spacing w:after="240"/>
              <w:jc w:val="right"/>
              <w:rPr>
                <w:sz w:val="24"/>
                <w:szCs w:val="24"/>
              </w:rPr>
            </w:pPr>
            <w:r w:rsidRPr="003545E4">
              <w:rPr>
                <w:sz w:val="24"/>
                <w:szCs w:val="24"/>
              </w:rPr>
              <w:t>(451)</w:t>
            </w:r>
          </w:p>
        </w:tc>
        <w:tc>
          <w:tcPr>
            <w:tcW w:w="1134" w:type="dxa"/>
            <w:vAlign w:val="center"/>
          </w:tcPr>
          <w:p w14:paraId="73E7C22B" w14:textId="77777777" w:rsidR="00F32423" w:rsidRPr="003545E4" w:rsidRDefault="00F32423" w:rsidP="00233A66">
            <w:pPr>
              <w:pStyle w:val="CommentText"/>
              <w:tabs>
                <w:tab w:val="decimal" w:pos="743"/>
              </w:tabs>
              <w:spacing w:after="240"/>
              <w:jc w:val="right"/>
              <w:rPr>
                <w:sz w:val="24"/>
                <w:szCs w:val="24"/>
              </w:rPr>
            </w:pPr>
          </w:p>
        </w:tc>
      </w:tr>
      <w:tr w:rsidR="00F32423" w:rsidRPr="000E606D" w14:paraId="09E78068" w14:textId="77777777" w:rsidTr="00036C34">
        <w:trPr>
          <w:trHeight w:hRule="exact" w:val="300"/>
        </w:trPr>
        <w:tc>
          <w:tcPr>
            <w:tcW w:w="4927" w:type="dxa"/>
          </w:tcPr>
          <w:p w14:paraId="673F8FA7" w14:textId="485560F1" w:rsidR="00F32423" w:rsidRPr="003545E4" w:rsidRDefault="00F32423" w:rsidP="00F32423">
            <w:pPr>
              <w:pStyle w:val="Footer"/>
              <w:tabs>
                <w:tab w:val="clear" w:pos="4153"/>
                <w:tab w:val="clear" w:pos="8306"/>
                <w:tab w:val="left" w:pos="284"/>
              </w:tabs>
              <w:spacing w:after="240"/>
              <w:rPr>
                <w:szCs w:val="24"/>
              </w:rPr>
            </w:pPr>
            <w:r w:rsidRPr="003545E4">
              <w:rPr>
                <w:szCs w:val="24"/>
              </w:rPr>
              <w:t>Repayment of long-term borrowing</w:t>
            </w:r>
          </w:p>
        </w:tc>
        <w:tc>
          <w:tcPr>
            <w:tcW w:w="1100" w:type="dxa"/>
            <w:vAlign w:val="center"/>
          </w:tcPr>
          <w:p w14:paraId="577CCC4B" w14:textId="77777777" w:rsidR="00F32423" w:rsidRPr="00F32423" w:rsidRDefault="00F32423" w:rsidP="00036C34">
            <w:pPr>
              <w:tabs>
                <w:tab w:val="left" w:pos="284"/>
              </w:tabs>
              <w:jc w:val="center"/>
              <w:rPr>
                <w:rStyle w:val="Hyperlink"/>
              </w:rPr>
            </w:pPr>
          </w:p>
        </w:tc>
        <w:tc>
          <w:tcPr>
            <w:tcW w:w="1134" w:type="dxa"/>
            <w:vAlign w:val="center"/>
          </w:tcPr>
          <w:p w14:paraId="0C76F4EE" w14:textId="244F5E6B" w:rsidR="00F32423" w:rsidRPr="003545E4" w:rsidRDefault="00F32423" w:rsidP="00233A66">
            <w:pPr>
              <w:pStyle w:val="CommentText"/>
              <w:tabs>
                <w:tab w:val="decimal" w:pos="743"/>
              </w:tabs>
              <w:spacing w:after="240"/>
              <w:jc w:val="right"/>
              <w:rPr>
                <w:sz w:val="24"/>
                <w:szCs w:val="24"/>
              </w:rPr>
            </w:pPr>
            <w:r w:rsidRPr="003545E4">
              <w:rPr>
                <w:sz w:val="24"/>
                <w:szCs w:val="24"/>
              </w:rPr>
              <w:t>-</w:t>
            </w:r>
          </w:p>
        </w:tc>
        <w:tc>
          <w:tcPr>
            <w:tcW w:w="1134" w:type="dxa"/>
            <w:vAlign w:val="center"/>
          </w:tcPr>
          <w:p w14:paraId="4A9EFA38" w14:textId="77777777" w:rsidR="00F32423" w:rsidRPr="003545E4" w:rsidRDefault="00F32423" w:rsidP="00233A66">
            <w:pPr>
              <w:pStyle w:val="CommentText"/>
              <w:tabs>
                <w:tab w:val="decimal" w:pos="743"/>
              </w:tabs>
              <w:spacing w:after="240"/>
              <w:jc w:val="right"/>
              <w:rPr>
                <w:sz w:val="24"/>
                <w:szCs w:val="24"/>
              </w:rPr>
            </w:pPr>
          </w:p>
        </w:tc>
        <w:tc>
          <w:tcPr>
            <w:tcW w:w="1134" w:type="dxa"/>
            <w:vAlign w:val="center"/>
          </w:tcPr>
          <w:p w14:paraId="4FF2132E" w14:textId="281F7B00" w:rsidR="00F32423" w:rsidRPr="003545E4" w:rsidRDefault="00F32423" w:rsidP="00233A66">
            <w:pPr>
              <w:pStyle w:val="CommentText"/>
              <w:tabs>
                <w:tab w:val="decimal" w:pos="743"/>
              </w:tabs>
              <w:spacing w:after="240"/>
              <w:jc w:val="right"/>
              <w:rPr>
                <w:sz w:val="24"/>
                <w:szCs w:val="24"/>
              </w:rPr>
            </w:pPr>
            <w:r w:rsidRPr="003545E4">
              <w:rPr>
                <w:sz w:val="24"/>
                <w:szCs w:val="24"/>
              </w:rPr>
              <w:t>-</w:t>
            </w:r>
          </w:p>
        </w:tc>
        <w:tc>
          <w:tcPr>
            <w:tcW w:w="1134" w:type="dxa"/>
            <w:vAlign w:val="center"/>
          </w:tcPr>
          <w:p w14:paraId="14D6A793" w14:textId="77777777" w:rsidR="00F32423" w:rsidRPr="003545E4" w:rsidRDefault="00F32423" w:rsidP="00233A66">
            <w:pPr>
              <w:pStyle w:val="CommentText"/>
              <w:tabs>
                <w:tab w:val="decimal" w:pos="743"/>
              </w:tabs>
              <w:spacing w:after="240"/>
              <w:jc w:val="right"/>
              <w:rPr>
                <w:sz w:val="24"/>
                <w:szCs w:val="24"/>
              </w:rPr>
            </w:pPr>
          </w:p>
        </w:tc>
      </w:tr>
      <w:tr w:rsidR="00F32423" w:rsidRPr="000E606D" w14:paraId="578916B7" w14:textId="77777777" w:rsidTr="00036C34">
        <w:trPr>
          <w:trHeight w:hRule="exact" w:val="361"/>
        </w:trPr>
        <w:tc>
          <w:tcPr>
            <w:tcW w:w="4927" w:type="dxa"/>
          </w:tcPr>
          <w:p w14:paraId="57F814D4" w14:textId="77777777" w:rsidR="00F32423" w:rsidRPr="003545E4" w:rsidRDefault="00F32423" w:rsidP="00F32423">
            <w:pPr>
              <w:pStyle w:val="Footer"/>
              <w:tabs>
                <w:tab w:val="clear" w:pos="4153"/>
                <w:tab w:val="clear" w:pos="8306"/>
                <w:tab w:val="left" w:pos="284"/>
              </w:tabs>
              <w:spacing w:after="240"/>
              <w:rPr>
                <w:szCs w:val="24"/>
              </w:rPr>
            </w:pPr>
            <w:r w:rsidRPr="003545E4">
              <w:rPr>
                <w:szCs w:val="24"/>
              </w:rPr>
              <w:t>Payments for financing activities</w:t>
            </w:r>
          </w:p>
        </w:tc>
        <w:tc>
          <w:tcPr>
            <w:tcW w:w="1100" w:type="dxa"/>
            <w:vAlign w:val="center"/>
          </w:tcPr>
          <w:p w14:paraId="118A19DC" w14:textId="0A0C3F77" w:rsidR="00F32423" w:rsidRPr="00F32423" w:rsidRDefault="00BD79B2" w:rsidP="00036C34">
            <w:pPr>
              <w:tabs>
                <w:tab w:val="left" w:pos="284"/>
              </w:tabs>
              <w:jc w:val="center"/>
              <w:rPr>
                <w:rStyle w:val="Hyperlink"/>
              </w:rPr>
            </w:pPr>
            <w:hyperlink w:anchor="N24" w:history="1">
              <w:r w:rsidR="00F32423" w:rsidRPr="00F32423">
                <w:rPr>
                  <w:rStyle w:val="Hyperlink"/>
                  <w:szCs w:val="24"/>
                </w:rPr>
                <w:t>24</w:t>
              </w:r>
            </w:hyperlink>
          </w:p>
        </w:tc>
        <w:tc>
          <w:tcPr>
            <w:tcW w:w="1134" w:type="dxa"/>
            <w:vAlign w:val="center"/>
          </w:tcPr>
          <w:p w14:paraId="6343E8C6" w14:textId="784B3DEB" w:rsidR="00F32423" w:rsidRPr="003545E4" w:rsidRDefault="00F32423" w:rsidP="00233A66">
            <w:pPr>
              <w:pStyle w:val="CommentText"/>
              <w:tabs>
                <w:tab w:val="decimal" w:pos="743"/>
              </w:tabs>
              <w:spacing w:after="240"/>
              <w:jc w:val="right"/>
              <w:rPr>
                <w:sz w:val="24"/>
                <w:szCs w:val="24"/>
              </w:rPr>
            </w:pPr>
            <w:r w:rsidRPr="003545E4">
              <w:rPr>
                <w:sz w:val="24"/>
                <w:szCs w:val="24"/>
              </w:rPr>
              <w:t>(1,366)</w:t>
            </w:r>
          </w:p>
        </w:tc>
        <w:tc>
          <w:tcPr>
            <w:tcW w:w="1134" w:type="dxa"/>
            <w:vAlign w:val="center"/>
          </w:tcPr>
          <w:p w14:paraId="3F45D304" w14:textId="77777777" w:rsidR="00F32423" w:rsidRPr="003545E4" w:rsidRDefault="00F32423" w:rsidP="00233A66">
            <w:pPr>
              <w:pStyle w:val="CommentText"/>
              <w:tabs>
                <w:tab w:val="decimal" w:pos="743"/>
              </w:tabs>
              <w:spacing w:after="240"/>
              <w:jc w:val="right"/>
              <w:rPr>
                <w:sz w:val="24"/>
                <w:szCs w:val="24"/>
              </w:rPr>
            </w:pPr>
          </w:p>
        </w:tc>
        <w:tc>
          <w:tcPr>
            <w:tcW w:w="1134" w:type="dxa"/>
            <w:vAlign w:val="center"/>
          </w:tcPr>
          <w:p w14:paraId="74BD072F" w14:textId="409489F9" w:rsidR="00F32423" w:rsidRPr="003545E4" w:rsidRDefault="00F32423" w:rsidP="00233A66">
            <w:pPr>
              <w:pStyle w:val="CommentText"/>
              <w:tabs>
                <w:tab w:val="decimal" w:pos="743"/>
              </w:tabs>
              <w:spacing w:after="240"/>
              <w:jc w:val="right"/>
              <w:rPr>
                <w:sz w:val="24"/>
                <w:szCs w:val="24"/>
              </w:rPr>
            </w:pPr>
            <w:r w:rsidRPr="003545E4">
              <w:rPr>
                <w:sz w:val="24"/>
                <w:szCs w:val="24"/>
              </w:rPr>
              <w:t>(1,386)</w:t>
            </w:r>
          </w:p>
        </w:tc>
        <w:tc>
          <w:tcPr>
            <w:tcW w:w="1134" w:type="dxa"/>
            <w:vAlign w:val="center"/>
          </w:tcPr>
          <w:p w14:paraId="12C981E6" w14:textId="77777777" w:rsidR="00F32423" w:rsidRPr="003545E4" w:rsidRDefault="00F32423" w:rsidP="00233A66">
            <w:pPr>
              <w:pStyle w:val="CommentText"/>
              <w:tabs>
                <w:tab w:val="decimal" w:pos="743"/>
              </w:tabs>
              <w:spacing w:after="240"/>
              <w:jc w:val="right"/>
              <w:rPr>
                <w:sz w:val="24"/>
                <w:szCs w:val="24"/>
              </w:rPr>
            </w:pPr>
          </w:p>
        </w:tc>
      </w:tr>
      <w:tr w:rsidR="00F32423" w:rsidRPr="000E606D" w14:paraId="15A8B311" w14:textId="77777777" w:rsidTr="00036C34">
        <w:trPr>
          <w:trHeight w:hRule="exact" w:val="374"/>
        </w:trPr>
        <w:tc>
          <w:tcPr>
            <w:tcW w:w="4927" w:type="dxa"/>
          </w:tcPr>
          <w:p w14:paraId="4F3AD5B9" w14:textId="77777777" w:rsidR="00F32423" w:rsidRPr="003545E4" w:rsidRDefault="00F32423" w:rsidP="00F32423">
            <w:pPr>
              <w:tabs>
                <w:tab w:val="left" w:pos="284"/>
              </w:tabs>
              <w:rPr>
                <w:szCs w:val="24"/>
              </w:rPr>
            </w:pPr>
            <w:r w:rsidRPr="003545E4">
              <w:rPr>
                <w:szCs w:val="24"/>
              </w:rPr>
              <w:t>Net cash flows from financing activities</w:t>
            </w:r>
          </w:p>
        </w:tc>
        <w:tc>
          <w:tcPr>
            <w:tcW w:w="1100" w:type="dxa"/>
            <w:vAlign w:val="center"/>
          </w:tcPr>
          <w:p w14:paraId="25731E26" w14:textId="77777777" w:rsidR="00F32423" w:rsidRPr="00F32423" w:rsidRDefault="00F32423" w:rsidP="00036C34">
            <w:pPr>
              <w:tabs>
                <w:tab w:val="left" w:pos="284"/>
              </w:tabs>
              <w:jc w:val="center"/>
              <w:rPr>
                <w:rStyle w:val="Hyperlink"/>
              </w:rPr>
            </w:pPr>
          </w:p>
        </w:tc>
        <w:tc>
          <w:tcPr>
            <w:tcW w:w="1134" w:type="dxa"/>
            <w:vAlign w:val="center"/>
          </w:tcPr>
          <w:p w14:paraId="1F260B80" w14:textId="260697EA" w:rsidR="00F32423" w:rsidRPr="003545E4" w:rsidRDefault="00F32423" w:rsidP="00233A66">
            <w:pPr>
              <w:tabs>
                <w:tab w:val="left" w:pos="284"/>
                <w:tab w:val="decimal" w:pos="743"/>
              </w:tabs>
              <w:jc w:val="right"/>
              <w:rPr>
                <w:szCs w:val="24"/>
              </w:rPr>
            </w:pPr>
          </w:p>
        </w:tc>
        <w:tc>
          <w:tcPr>
            <w:tcW w:w="1134" w:type="dxa"/>
            <w:vAlign w:val="center"/>
          </w:tcPr>
          <w:p w14:paraId="1193F98E" w14:textId="2957DBF1" w:rsidR="00F32423" w:rsidRPr="003545E4" w:rsidRDefault="00F32423" w:rsidP="00233A66">
            <w:pPr>
              <w:pStyle w:val="CommentText"/>
              <w:tabs>
                <w:tab w:val="decimal" w:pos="743"/>
              </w:tabs>
              <w:spacing w:after="240"/>
              <w:jc w:val="right"/>
              <w:rPr>
                <w:sz w:val="24"/>
                <w:szCs w:val="24"/>
              </w:rPr>
            </w:pPr>
            <w:r w:rsidRPr="003545E4">
              <w:rPr>
                <w:sz w:val="24"/>
                <w:szCs w:val="24"/>
              </w:rPr>
              <w:t>(1,858)</w:t>
            </w:r>
          </w:p>
        </w:tc>
        <w:tc>
          <w:tcPr>
            <w:tcW w:w="1134" w:type="dxa"/>
            <w:vAlign w:val="center"/>
          </w:tcPr>
          <w:p w14:paraId="74D97E12" w14:textId="77777777" w:rsidR="00F32423" w:rsidRPr="003545E4" w:rsidRDefault="00F32423" w:rsidP="00233A66">
            <w:pPr>
              <w:tabs>
                <w:tab w:val="left" w:pos="284"/>
                <w:tab w:val="decimal" w:pos="743"/>
              </w:tabs>
              <w:jc w:val="right"/>
              <w:rPr>
                <w:szCs w:val="24"/>
              </w:rPr>
            </w:pPr>
          </w:p>
        </w:tc>
        <w:tc>
          <w:tcPr>
            <w:tcW w:w="1134" w:type="dxa"/>
            <w:vAlign w:val="center"/>
          </w:tcPr>
          <w:p w14:paraId="56C66F4D" w14:textId="32A24525" w:rsidR="00F32423" w:rsidRPr="003545E4" w:rsidRDefault="00F32423" w:rsidP="00233A66">
            <w:pPr>
              <w:pStyle w:val="CommentText"/>
              <w:tabs>
                <w:tab w:val="decimal" w:pos="743"/>
              </w:tabs>
              <w:spacing w:after="240"/>
              <w:jc w:val="right"/>
              <w:rPr>
                <w:sz w:val="24"/>
                <w:szCs w:val="24"/>
              </w:rPr>
            </w:pPr>
            <w:r w:rsidRPr="003545E4">
              <w:rPr>
                <w:sz w:val="24"/>
                <w:szCs w:val="24"/>
              </w:rPr>
              <w:t>(1,837)</w:t>
            </w:r>
          </w:p>
        </w:tc>
      </w:tr>
      <w:tr w:rsidR="00F32423" w:rsidRPr="000E606D" w14:paraId="40219650" w14:textId="77777777" w:rsidTr="00036C34">
        <w:trPr>
          <w:trHeight w:val="177"/>
        </w:trPr>
        <w:tc>
          <w:tcPr>
            <w:tcW w:w="4927" w:type="dxa"/>
          </w:tcPr>
          <w:p w14:paraId="51B2F7A7" w14:textId="77777777" w:rsidR="00F32423" w:rsidRPr="003545E4" w:rsidRDefault="00F32423" w:rsidP="00F32423">
            <w:pPr>
              <w:pStyle w:val="Footer"/>
              <w:tabs>
                <w:tab w:val="clear" w:pos="4153"/>
                <w:tab w:val="clear" w:pos="8306"/>
                <w:tab w:val="left" w:pos="284"/>
              </w:tabs>
              <w:spacing w:after="120"/>
              <w:rPr>
                <w:szCs w:val="24"/>
              </w:rPr>
            </w:pPr>
            <w:r w:rsidRPr="003545E4">
              <w:rPr>
                <w:b/>
                <w:szCs w:val="24"/>
              </w:rPr>
              <w:t>Net increase/(decrease) in cash and cash equivalents</w:t>
            </w:r>
          </w:p>
        </w:tc>
        <w:tc>
          <w:tcPr>
            <w:tcW w:w="1100" w:type="dxa"/>
            <w:vAlign w:val="center"/>
          </w:tcPr>
          <w:p w14:paraId="73BCCA46" w14:textId="77777777" w:rsidR="00F32423" w:rsidRPr="00F32423" w:rsidRDefault="00F32423" w:rsidP="00036C34">
            <w:pPr>
              <w:tabs>
                <w:tab w:val="left" w:pos="284"/>
              </w:tabs>
              <w:jc w:val="center"/>
              <w:rPr>
                <w:rStyle w:val="Hyperlink"/>
              </w:rPr>
            </w:pPr>
          </w:p>
        </w:tc>
        <w:tc>
          <w:tcPr>
            <w:tcW w:w="1134" w:type="dxa"/>
            <w:vAlign w:val="center"/>
          </w:tcPr>
          <w:p w14:paraId="59D3A386" w14:textId="745BA82A" w:rsidR="00F32423" w:rsidRPr="003545E4" w:rsidRDefault="00F32423" w:rsidP="00233A66">
            <w:pPr>
              <w:tabs>
                <w:tab w:val="decimal" w:pos="743"/>
                <w:tab w:val="decimal" w:pos="882"/>
              </w:tabs>
              <w:spacing w:after="120"/>
              <w:jc w:val="right"/>
              <w:rPr>
                <w:szCs w:val="24"/>
              </w:rPr>
            </w:pPr>
          </w:p>
        </w:tc>
        <w:tc>
          <w:tcPr>
            <w:tcW w:w="1134" w:type="dxa"/>
            <w:vAlign w:val="center"/>
          </w:tcPr>
          <w:p w14:paraId="27352E10" w14:textId="770CFF1A" w:rsidR="00F32423" w:rsidRPr="003545E4" w:rsidRDefault="00F32423" w:rsidP="00233A66">
            <w:pPr>
              <w:tabs>
                <w:tab w:val="decimal" w:pos="742"/>
              </w:tabs>
              <w:spacing w:after="120"/>
              <w:jc w:val="right"/>
              <w:rPr>
                <w:b/>
                <w:szCs w:val="24"/>
              </w:rPr>
            </w:pPr>
            <w:r w:rsidRPr="003545E4">
              <w:rPr>
                <w:b/>
                <w:szCs w:val="24"/>
              </w:rPr>
              <w:t>(1,579)</w:t>
            </w:r>
          </w:p>
        </w:tc>
        <w:tc>
          <w:tcPr>
            <w:tcW w:w="1134" w:type="dxa"/>
            <w:vAlign w:val="center"/>
          </w:tcPr>
          <w:p w14:paraId="3E34E23F" w14:textId="77777777" w:rsidR="00F32423" w:rsidRPr="003545E4" w:rsidRDefault="00F32423" w:rsidP="00233A66">
            <w:pPr>
              <w:tabs>
                <w:tab w:val="decimal" w:pos="743"/>
                <w:tab w:val="decimal" w:pos="882"/>
              </w:tabs>
              <w:spacing w:after="120"/>
              <w:jc w:val="right"/>
              <w:rPr>
                <w:szCs w:val="24"/>
              </w:rPr>
            </w:pPr>
          </w:p>
        </w:tc>
        <w:tc>
          <w:tcPr>
            <w:tcW w:w="1134" w:type="dxa"/>
            <w:vAlign w:val="center"/>
          </w:tcPr>
          <w:p w14:paraId="0DD85AD7" w14:textId="32A51648" w:rsidR="00F32423" w:rsidRPr="003545E4" w:rsidRDefault="00F32423" w:rsidP="00233A66">
            <w:pPr>
              <w:tabs>
                <w:tab w:val="decimal" w:pos="742"/>
              </w:tabs>
              <w:spacing w:after="120"/>
              <w:jc w:val="right"/>
              <w:rPr>
                <w:b/>
                <w:szCs w:val="24"/>
              </w:rPr>
            </w:pPr>
            <w:r w:rsidRPr="003545E4">
              <w:rPr>
                <w:b/>
                <w:szCs w:val="24"/>
              </w:rPr>
              <w:t>(4,707)</w:t>
            </w:r>
          </w:p>
        </w:tc>
      </w:tr>
      <w:tr w:rsidR="00F32423" w:rsidRPr="000E606D" w14:paraId="42182475" w14:textId="77777777" w:rsidTr="00036C34">
        <w:trPr>
          <w:trHeight w:hRule="exact" w:val="575"/>
        </w:trPr>
        <w:tc>
          <w:tcPr>
            <w:tcW w:w="4927" w:type="dxa"/>
          </w:tcPr>
          <w:p w14:paraId="7ECBAD25" w14:textId="77777777" w:rsidR="00F32423" w:rsidRPr="003545E4" w:rsidRDefault="00F32423" w:rsidP="00F32423">
            <w:pPr>
              <w:pStyle w:val="CommentText"/>
              <w:tabs>
                <w:tab w:val="left" w:pos="284"/>
              </w:tabs>
              <w:spacing w:after="240"/>
              <w:rPr>
                <w:sz w:val="24"/>
                <w:szCs w:val="24"/>
              </w:rPr>
            </w:pPr>
            <w:r w:rsidRPr="003545E4">
              <w:rPr>
                <w:sz w:val="24"/>
                <w:szCs w:val="24"/>
              </w:rPr>
              <w:t>Cash and cash equivalents at the beginning of the reporting period</w:t>
            </w:r>
          </w:p>
        </w:tc>
        <w:tc>
          <w:tcPr>
            <w:tcW w:w="1100" w:type="dxa"/>
            <w:vAlign w:val="center"/>
          </w:tcPr>
          <w:p w14:paraId="61370E09" w14:textId="12EB809D" w:rsidR="00F32423" w:rsidRPr="00F32423" w:rsidRDefault="00BD79B2" w:rsidP="00036C34">
            <w:pPr>
              <w:tabs>
                <w:tab w:val="left" w:pos="284"/>
              </w:tabs>
              <w:jc w:val="center"/>
              <w:rPr>
                <w:rStyle w:val="Hyperlink"/>
              </w:rPr>
            </w:pPr>
            <w:hyperlink w:anchor="N10" w:history="1">
              <w:r w:rsidR="00F32423" w:rsidRPr="00F32423">
                <w:rPr>
                  <w:rStyle w:val="Hyperlink"/>
                  <w:szCs w:val="24"/>
                </w:rPr>
                <w:t>10</w:t>
              </w:r>
            </w:hyperlink>
          </w:p>
        </w:tc>
        <w:tc>
          <w:tcPr>
            <w:tcW w:w="1134" w:type="dxa"/>
            <w:vAlign w:val="center"/>
          </w:tcPr>
          <w:p w14:paraId="66BE4FBD" w14:textId="2B86FB88" w:rsidR="00F32423" w:rsidRPr="003545E4" w:rsidRDefault="00F32423" w:rsidP="00233A66">
            <w:pPr>
              <w:pStyle w:val="CommentText"/>
              <w:tabs>
                <w:tab w:val="decimal" w:pos="743"/>
              </w:tabs>
              <w:spacing w:after="240"/>
              <w:jc w:val="right"/>
              <w:rPr>
                <w:sz w:val="24"/>
                <w:szCs w:val="24"/>
              </w:rPr>
            </w:pPr>
          </w:p>
        </w:tc>
        <w:tc>
          <w:tcPr>
            <w:tcW w:w="1134" w:type="dxa"/>
            <w:vAlign w:val="center"/>
          </w:tcPr>
          <w:p w14:paraId="2E05E3B2" w14:textId="62A1AB33" w:rsidR="00F32423" w:rsidRPr="003545E4" w:rsidRDefault="00F32423" w:rsidP="00233A66">
            <w:pPr>
              <w:pStyle w:val="CommentText"/>
              <w:tabs>
                <w:tab w:val="decimal" w:pos="743"/>
              </w:tabs>
              <w:spacing w:after="240"/>
              <w:jc w:val="right"/>
              <w:rPr>
                <w:sz w:val="24"/>
                <w:szCs w:val="24"/>
              </w:rPr>
            </w:pPr>
            <w:r w:rsidRPr="003545E4">
              <w:rPr>
                <w:sz w:val="24"/>
                <w:szCs w:val="24"/>
              </w:rPr>
              <w:t>17,896</w:t>
            </w:r>
          </w:p>
        </w:tc>
        <w:tc>
          <w:tcPr>
            <w:tcW w:w="1134" w:type="dxa"/>
            <w:vAlign w:val="center"/>
          </w:tcPr>
          <w:p w14:paraId="32FCFBEE" w14:textId="77777777" w:rsidR="00F32423" w:rsidRPr="003545E4" w:rsidRDefault="00F32423" w:rsidP="00233A66">
            <w:pPr>
              <w:pStyle w:val="CommentText"/>
              <w:tabs>
                <w:tab w:val="decimal" w:pos="743"/>
              </w:tabs>
              <w:spacing w:after="240"/>
              <w:jc w:val="right"/>
              <w:rPr>
                <w:sz w:val="24"/>
                <w:szCs w:val="24"/>
              </w:rPr>
            </w:pPr>
          </w:p>
        </w:tc>
        <w:tc>
          <w:tcPr>
            <w:tcW w:w="1134" w:type="dxa"/>
            <w:vAlign w:val="center"/>
          </w:tcPr>
          <w:p w14:paraId="2E59B241" w14:textId="3F73AC4C" w:rsidR="00F32423" w:rsidRPr="003545E4" w:rsidRDefault="00F32423" w:rsidP="00233A66">
            <w:pPr>
              <w:pStyle w:val="CommentText"/>
              <w:tabs>
                <w:tab w:val="decimal" w:pos="743"/>
              </w:tabs>
              <w:spacing w:after="240"/>
              <w:jc w:val="right"/>
              <w:rPr>
                <w:sz w:val="24"/>
                <w:szCs w:val="24"/>
              </w:rPr>
            </w:pPr>
            <w:r w:rsidRPr="003545E4">
              <w:rPr>
                <w:sz w:val="24"/>
                <w:szCs w:val="24"/>
              </w:rPr>
              <w:t>22,603</w:t>
            </w:r>
          </w:p>
        </w:tc>
      </w:tr>
      <w:tr w:rsidR="00F32423" w:rsidRPr="00AF3DCD" w14:paraId="6542EB7B" w14:textId="77777777" w:rsidTr="00036C34">
        <w:tc>
          <w:tcPr>
            <w:tcW w:w="4927" w:type="dxa"/>
          </w:tcPr>
          <w:p w14:paraId="60890E55" w14:textId="77777777" w:rsidR="00F32423" w:rsidRPr="003545E4" w:rsidRDefault="00F32423" w:rsidP="00F32423">
            <w:pPr>
              <w:pStyle w:val="CommentText"/>
              <w:tabs>
                <w:tab w:val="left" w:pos="284"/>
              </w:tabs>
              <w:spacing w:after="240"/>
              <w:rPr>
                <w:b/>
                <w:sz w:val="24"/>
                <w:szCs w:val="24"/>
              </w:rPr>
            </w:pPr>
            <w:r w:rsidRPr="003545E4">
              <w:rPr>
                <w:b/>
                <w:sz w:val="24"/>
                <w:szCs w:val="24"/>
              </w:rPr>
              <w:t>Cash and cash equivalents at the end of the reporting period</w:t>
            </w:r>
          </w:p>
        </w:tc>
        <w:tc>
          <w:tcPr>
            <w:tcW w:w="1100" w:type="dxa"/>
            <w:vAlign w:val="center"/>
          </w:tcPr>
          <w:p w14:paraId="76BA6493" w14:textId="6FB1CC57" w:rsidR="00F32423" w:rsidRPr="00F32423" w:rsidRDefault="00BD79B2" w:rsidP="00036C34">
            <w:pPr>
              <w:tabs>
                <w:tab w:val="left" w:pos="284"/>
              </w:tabs>
              <w:jc w:val="center"/>
              <w:rPr>
                <w:rStyle w:val="Hyperlink"/>
              </w:rPr>
            </w:pPr>
            <w:hyperlink w:anchor="N10" w:history="1">
              <w:r w:rsidR="00F32423" w:rsidRPr="00F32423">
                <w:rPr>
                  <w:rStyle w:val="Hyperlink"/>
                  <w:szCs w:val="24"/>
                </w:rPr>
                <w:t>10</w:t>
              </w:r>
            </w:hyperlink>
          </w:p>
        </w:tc>
        <w:tc>
          <w:tcPr>
            <w:tcW w:w="1134" w:type="dxa"/>
            <w:vAlign w:val="center"/>
          </w:tcPr>
          <w:p w14:paraId="04F7B21E" w14:textId="7C911770" w:rsidR="00F32423" w:rsidRPr="003545E4" w:rsidRDefault="00F32423" w:rsidP="00233A66">
            <w:pPr>
              <w:pStyle w:val="Footer"/>
              <w:tabs>
                <w:tab w:val="clear" w:pos="4153"/>
                <w:tab w:val="clear" w:pos="8306"/>
                <w:tab w:val="decimal" w:pos="743"/>
                <w:tab w:val="decimal" w:pos="882"/>
              </w:tabs>
              <w:spacing w:after="120"/>
              <w:jc w:val="right"/>
              <w:rPr>
                <w:b/>
                <w:szCs w:val="24"/>
              </w:rPr>
            </w:pPr>
          </w:p>
        </w:tc>
        <w:tc>
          <w:tcPr>
            <w:tcW w:w="1134" w:type="dxa"/>
            <w:vAlign w:val="center"/>
          </w:tcPr>
          <w:p w14:paraId="2D78D735" w14:textId="7647C464" w:rsidR="00F32423" w:rsidRPr="003545E4" w:rsidRDefault="00F32423" w:rsidP="00233A66">
            <w:pPr>
              <w:pStyle w:val="Footer"/>
              <w:tabs>
                <w:tab w:val="clear" w:pos="4153"/>
                <w:tab w:val="clear" w:pos="8306"/>
                <w:tab w:val="decimal" w:pos="742"/>
              </w:tabs>
              <w:spacing w:after="120"/>
              <w:jc w:val="right"/>
              <w:rPr>
                <w:b/>
                <w:szCs w:val="24"/>
              </w:rPr>
            </w:pPr>
            <w:r w:rsidRPr="003545E4">
              <w:rPr>
                <w:b/>
                <w:szCs w:val="24"/>
              </w:rPr>
              <w:t>16,317</w:t>
            </w:r>
          </w:p>
        </w:tc>
        <w:tc>
          <w:tcPr>
            <w:tcW w:w="1134" w:type="dxa"/>
            <w:vAlign w:val="center"/>
          </w:tcPr>
          <w:p w14:paraId="0FE4C979" w14:textId="77777777" w:rsidR="00F32423" w:rsidRPr="003545E4" w:rsidRDefault="00F32423" w:rsidP="00233A66">
            <w:pPr>
              <w:pStyle w:val="Footer"/>
              <w:tabs>
                <w:tab w:val="clear" w:pos="4153"/>
                <w:tab w:val="clear" w:pos="8306"/>
                <w:tab w:val="decimal" w:pos="743"/>
                <w:tab w:val="decimal" w:pos="882"/>
              </w:tabs>
              <w:spacing w:after="120"/>
              <w:jc w:val="right"/>
              <w:rPr>
                <w:b/>
                <w:szCs w:val="24"/>
              </w:rPr>
            </w:pPr>
          </w:p>
        </w:tc>
        <w:tc>
          <w:tcPr>
            <w:tcW w:w="1134" w:type="dxa"/>
            <w:vAlign w:val="center"/>
          </w:tcPr>
          <w:p w14:paraId="5711E9CB" w14:textId="45219568" w:rsidR="00F32423" w:rsidRPr="003545E4" w:rsidRDefault="00F32423" w:rsidP="00233A66">
            <w:pPr>
              <w:pStyle w:val="Footer"/>
              <w:tabs>
                <w:tab w:val="clear" w:pos="4153"/>
                <w:tab w:val="clear" w:pos="8306"/>
                <w:tab w:val="decimal" w:pos="742"/>
              </w:tabs>
              <w:spacing w:after="120"/>
              <w:jc w:val="right"/>
              <w:rPr>
                <w:b/>
                <w:szCs w:val="24"/>
              </w:rPr>
            </w:pPr>
            <w:r w:rsidRPr="003545E4">
              <w:rPr>
                <w:b/>
                <w:szCs w:val="24"/>
              </w:rPr>
              <w:t>17,896</w:t>
            </w:r>
          </w:p>
        </w:tc>
      </w:tr>
    </w:tbl>
    <w:p w14:paraId="20F6C2F7" w14:textId="77777777" w:rsidR="00EE5263" w:rsidRPr="00AF3DCD" w:rsidRDefault="003105BA" w:rsidP="00887207">
      <w:pPr>
        <w:rPr>
          <w:sz w:val="22"/>
        </w:rPr>
      </w:pPr>
      <w:r w:rsidRPr="00AF3DCD">
        <w:rPr>
          <w:b/>
          <w:sz w:val="22"/>
        </w:rPr>
        <w:tab/>
      </w:r>
    </w:p>
    <w:p w14:paraId="0AAD779D" w14:textId="77777777" w:rsidR="009F51E5" w:rsidRDefault="009F51E5" w:rsidP="005A3C76">
      <w:pPr>
        <w:pStyle w:val="Heading1"/>
        <w:jc w:val="center"/>
        <w:rPr>
          <w:sz w:val="22"/>
          <w:szCs w:val="22"/>
        </w:rPr>
        <w:sectPr w:rsidR="009F51E5" w:rsidSect="0050229D">
          <w:pgSz w:w="11907" w:h="16840" w:code="9"/>
          <w:pgMar w:top="454" w:right="567" w:bottom="397" w:left="567" w:header="720" w:footer="720" w:gutter="0"/>
          <w:cols w:space="720"/>
          <w:docGrid w:linePitch="326"/>
        </w:sectPr>
      </w:pPr>
    </w:p>
    <w:p w14:paraId="2D546CC0" w14:textId="51AD5412" w:rsidR="003F061A" w:rsidRPr="00A864CD" w:rsidRDefault="003278CF" w:rsidP="00FA71D8">
      <w:pPr>
        <w:pStyle w:val="Heading1"/>
        <w:rPr>
          <w:szCs w:val="24"/>
        </w:rPr>
      </w:pPr>
      <w:bookmarkStart w:id="21" w:name="_Toc166761532"/>
      <w:r w:rsidRPr="00A864CD">
        <w:rPr>
          <w:szCs w:val="24"/>
        </w:rPr>
        <w:lastRenderedPageBreak/>
        <w:t>Notes to the Core Financial Statements</w:t>
      </w:r>
      <w:bookmarkEnd w:id="21"/>
    </w:p>
    <w:p w14:paraId="1ADCD2C0" w14:textId="77777777" w:rsidR="00EE5263" w:rsidRPr="00AF3DCD" w:rsidRDefault="00EE5263" w:rsidP="007F15C1">
      <w:pPr>
        <w:ind w:left="720"/>
        <w:jc w:val="both"/>
        <w:rPr>
          <w:sz w:val="22"/>
        </w:rPr>
      </w:pPr>
    </w:p>
    <w:p w14:paraId="248DD0CA" w14:textId="77777777" w:rsidR="009B6F2A" w:rsidRPr="005D04CB" w:rsidRDefault="003F061A" w:rsidP="00FA71D8">
      <w:pPr>
        <w:pStyle w:val="Heading2"/>
        <w:numPr>
          <w:ilvl w:val="0"/>
          <w:numId w:val="41"/>
        </w:numPr>
        <w:jc w:val="left"/>
        <w:rPr>
          <w:sz w:val="24"/>
          <w:szCs w:val="24"/>
        </w:rPr>
      </w:pPr>
      <w:bookmarkStart w:id="22" w:name="Notes"/>
      <w:bookmarkStart w:id="23" w:name="_Toc166761533"/>
      <w:bookmarkEnd w:id="22"/>
      <w:r w:rsidRPr="005D04CB">
        <w:rPr>
          <w:sz w:val="24"/>
          <w:szCs w:val="24"/>
        </w:rPr>
        <w:t>E</w:t>
      </w:r>
      <w:r w:rsidR="009B6F2A" w:rsidRPr="005D04CB">
        <w:rPr>
          <w:sz w:val="24"/>
          <w:szCs w:val="24"/>
        </w:rPr>
        <w:t>xpenditure and Funding Analysis</w:t>
      </w:r>
      <w:bookmarkEnd w:id="23"/>
    </w:p>
    <w:p w14:paraId="6F8FA255" w14:textId="77777777" w:rsidR="005722FC" w:rsidRPr="00AF3DCD" w:rsidRDefault="00E87D43" w:rsidP="00FA71D8">
      <w:pPr>
        <w:rPr>
          <w:sz w:val="22"/>
          <w:szCs w:val="22"/>
        </w:rPr>
      </w:pPr>
      <w:r w:rsidRPr="00AF3DCD">
        <w:rPr>
          <w:b/>
          <w:sz w:val="22"/>
        </w:rPr>
        <w:tab/>
      </w:r>
      <w:r w:rsidR="00BE48DC" w:rsidRPr="00AF3DCD">
        <w:rPr>
          <w:sz w:val="22"/>
          <w:szCs w:val="22"/>
        </w:rPr>
        <w:t xml:space="preserve"> </w:t>
      </w:r>
    </w:p>
    <w:p w14:paraId="7453859F" w14:textId="5414F580" w:rsidR="00A50011" w:rsidRPr="005D04CB" w:rsidRDefault="00C975EA" w:rsidP="00FA71D8">
      <w:pPr>
        <w:ind w:left="720"/>
        <w:rPr>
          <w:szCs w:val="24"/>
        </w:rPr>
      </w:pPr>
      <w:r w:rsidRPr="005D04CB">
        <w:rPr>
          <w:szCs w:val="24"/>
        </w:rPr>
        <w:t xml:space="preserve">The objective of the Expenditure and Funding Analysis is to demonstrate to council </w:t>
      </w:r>
      <w:r w:rsidR="009F51E5" w:rsidRPr="005D04CB">
        <w:rPr>
          <w:szCs w:val="24"/>
        </w:rPr>
        <w:t>taxpayers</w:t>
      </w:r>
      <w:r w:rsidRPr="005D04CB">
        <w:rPr>
          <w:szCs w:val="24"/>
        </w:rPr>
        <w:t xml:space="preserve"> how the funding available to the Authority (</w:t>
      </w:r>
      <w:proofErr w:type="spellStart"/>
      <w:r w:rsidR="00FB5AD0" w:rsidRPr="005D04CB">
        <w:rPr>
          <w:szCs w:val="24"/>
        </w:rPr>
        <w:t>ie</w:t>
      </w:r>
      <w:proofErr w:type="spellEnd"/>
      <w:r w:rsidRPr="005D04CB">
        <w:rPr>
          <w:szCs w:val="24"/>
        </w:rPr>
        <w:t xml:space="preserve"> Government grants, council tax and business rates) for the year has been used in providing services in comparison with those resources consumed or earned by the Authority in accordance with generally accepted accounting practices. The Expenditure and Funding Analysis also shows how this expenditure is allocated for decision making purposes between the Authority’s directorates. Income and expenditure accounted for under generally accepted accounting practices </w:t>
      </w:r>
      <w:r w:rsidR="00A50011" w:rsidRPr="005D04CB">
        <w:rPr>
          <w:szCs w:val="24"/>
        </w:rPr>
        <w:t>is presented more fully in the Comprehensive Income and Expenditure Statement.</w:t>
      </w:r>
    </w:p>
    <w:p w14:paraId="433A1095" w14:textId="77777777" w:rsidR="00296A09" w:rsidRPr="00AF3DCD" w:rsidRDefault="00296A09" w:rsidP="001E612D">
      <w:pPr>
        <w:ind w:left="720"/>
        <w:jc w:val="both"/>
        <w:rPr>
          <w:sz w:val="22"/>
        </w:rPr>
      </w:pPr>
    </w:p>
    <w:tbl>
      <w:tblPr>
        <w:tblStyle w:val="TableGrid"/>
        <w:tblW w:w="14698" w:type="dxa"/>
        <w:tblInd w:w="720" w:type="dxa"/>
        <w:tblLayout w:type="fixed"/>
        <w:tblLook w:val="04A0" w:firstRow="1" w:lastRow="0" w:firstColumn="1" w:lastColumn="0" w:noHBand="0" w:noVBand="1"/>
      </w:tblPr>
      <w:tblGrid>
        <w:gridCol w:w="3641"/>
        <w:gridCol w:w="1735"/>
        <w:gridCol w:w="2376"/>
        <w:gridCol w:w="1701"/>
        <w:gridCol w:w="2551"/>
        <w:gridCol w:w="2694"/>
      </w:tblGrid>
      <w:tr w:rsidR="000D5389" w:rsidRPr="00AF3DCD" w14:paraId="140A73BE" w14:textId="77777777" w:rsidTr="00611673">
        <w:trPr>
          <w:tblHeader/>
        </w:trPr>
        <w:tc>
          <w:tcPr>
            <w:tcW w:w="3641" w:type="dxa"/>
            <w:tcBorders>
              <w:top w:val="single" w:sz="4" w:space="0" w:color="auto"/>
              <w:left w:val="single" w:sz="4" w:space="0" w:color="auto"/>
              <w:bottom w:val="single" w:sz="4" w:space="0" w:color="auto"/>
              <w:right w:val="single" w:sz="4" w:space="0" w:color="auto"/>
            </w:tcBorders>
            <w:shd w:val="clear" w:color="auto" w:fill="BD2716"/>
            <w:vAlign w:val="center"/>
          </w:tcPr>
          <w:p w14:paraId="259B0CA8" w14:textId="54581BB3" w:rsidR="000D5389" w:rsidRPr="00036C34" w:rsidRDefault="000D5389" w:rsidP="00611673">
            <w:pPr>
              <w:rPr>
                <w:rFonts w:cs="Arial"/>
                <w:bCs/>
                <w:color w:val="FFFFFF" w:themeColor="background1"/>
                <w:szCs w:val="24"/>
              </w:rPr>
            </w:pPr>
            <w:r w:rsidRPr="00036C34">
              <w:rPr>
                <w:rFonts w:cs="Arial"/>
                <w:color w:val="FFFFFF" w:themeColor="background1"/>
                <w:szCs w:val="24"/>
              </w:rPr>
              <w:br w:type="page"/>
            </w:r>
            <w:r w:rsidRPr="00036C34">
              <w:rPr>
                <w:rFonts w:cs="Arial"/>
                <w:bCs/>
                <w:color w:val="FFFFFF" w:themeColor="background1"/>
                <w:szCs w:val="24"/>
              </w:rPr>
              <w:t>20</w:t>
            </w:r>
            <w:r w:rsidR="00FF3D02" w:rsidRPr="00036C34">
              <w:rPr>
                <w:rFonts w:cs="Arial"/>
                <w:bCs/>
                <w:color w:val="FFFFFF" w:themeColor="background1"/>
                <w:szCs w:val="24"/>
              </w:rPr>
              <w:t>2</w:t>
            </w:r>
            <w:r w:rsidR="00E16D4F" w:rsidRPr="00036C34">
              <w:rPr>
                <w:rFonts w:cs="Arial"/>
                <w:bCs/>
                <w:color w:val="FFFFFF" w:themeColor="background1"/>
                <w:szCs w:val="24"/>
              </w:rPr>
              <w:t>2</w:t>
            </w:r>
            <w:r w:rsidR="00A864CD" w:rsidRPr="00036C34">
              <w:rPr>
                <w:rFonts w:cs="Arial"/>
                <w:bCs/>
                <w:color w:val="FFFFFF" w:themeColor="background1"/>
                <w:szCs w:val="24"/>
              </w:rPr>
              <w:t>/23</w:t>
            </w:r>
          </w:p>
        </w:tc>
        <w:tc>
          <w:tcPr>
            <w:tcW w:w="1735" w:type="dxa"/>
            <w:tcBorders>
              <w:top w:val="single" w:sz="4" w:space="0" w:color="auto"/>
              <w:left w:val="single" w:sz="4" w:space="0" w:color="auto"/>
              <w:bottom w:val="single" w:sz="4" w:space="0" w:color="auto"/>
              <w:right w:val="single" w:sz="4" w:space="0" w:color="auto"/>
            </w:tcBorders>
            <w:shd w:val="clear" w:color="auto" w:fill="BD2716"/>
            <w:vAlign w:val="center"/>
          </w:tcPr>
          <w:p w14:paraId="50CEB729" w14:textId="77777777" w:rsidR="000D5389" w:rsidRPr="00036C34" w:rsidRDefault="000D5389" w:rsidP="00611673">
            <w:pPr>
              <w:jc w:val="right"/>
              <w:rPr>
                <w:rFonts w:cs="Arial"/>
                <w:color w:val="FFFFFF" w:themeColor="background1"/>
                <w:szCs w:val="24"/>
              </w:rPr>
            </w:pPr>
            <w:r w:rsidRPr="00036C34">
              <w:rPr>
                <w:rFonts w:cs="Arial"/>
                <w:color w:val="FFFFFF" w:themeColor="background1"/>
                <w:szCs w:val="24"/>
              </w:rPr>
              <w:t>As reported for resource management</w:t>
            </w:r>
          </w:p>
          <w:p w14:paraId="48414B6B" w14:textId="163E1D83" w:rsidR="0005100D" w:rsidRPr="00036C34" w:rsidRDefault="0005100D" w:rsidP="00611673">
            <w:pPr>
              <w:jc w:val="right"/>
              <w:rPr>
                <w:rFonts w:cs="Arial"/>
                <w:color w:val="FFFFFF" w:themeColor="background1"/>
                <w:szCs w:val="24"/>
              </w:rPr>
            </w:pPr>
            <w:r w:rsidRPr="00036C34">
              <w:rPr>
                <w:rFonts w:cs="Arial"/>
                <w:color w:val="FFFFFF" w:themeColor="background1"/>
                <w:szCs w:val="24"/>
              </w:rPr>
              <w:t>£000</w:t>
            </w:r>
          </w:p>
        </w:tc>
        <w:tc>
          <w:tcPr>
            <w:tcW w:w="2376" w:type="dxa"/>
            <w:tcBorders>
              <w:top w:val="single" w:sz="4" w:space="0" w:color="auto"/>
              <w:left w:val="single" w:sz="4" w:space="0" w:color="auto"/>
              <w:bottom w:val="single" w:sz="4" w:space="0" w:color="auto"/>
              <w:right w:val="single" w:sz="4" w:space="0" w:color="auto"/>
            </w:tcBorders>
            <w:shd w:val="clear" w:color="auto" w:fill="BD2716"/>
            <w:vAlign w:val="center"/>
          </w:tcPr>
          <w:p w14:paraId="369FEF1A" w14:textId="77777777" w:rsidR="000D5389" w:rsidRPr="00036C34" w:rsidRDefault="000D5389" w:rsidP="00611673">
            <w:pPr>
              <w:jc w:val="right"/>
              <w:rPr>
                <w:rFonts w:cs="Arial"/>
                <w:color w:val="FFFFFF" w:themeColor="background1"/>
                <w:szCs w:val="24"/>
              </w:rPr>
            </w:pPr>
            <w:r w:rsidRPr="00036C34">
              <w:rPr>
                <w:rFonts w:cs="Arial"/>
                <w:color w:val="FFFFFF" w:themeColor="background1"/>
                <w:szCs w:val="24"/>
              </w:rPr>
              <w:t>Adjustment to arrive at the amount chargeable to the General Fund (</w:t>
            </w:r>
            <w:r w:rsidR="00676AE5" w:rsidRPr="00036C34">
              <w:rPr>
                <w:rFonts w:cs="Arial"/>
                <w:color w:val="FFFFFF" w:themeColor="background1"/>
                <w:szCs w:val="24"/>
              </w:rPr>
              <w:t>N</w:t>
            </w:r>
            <w:r w:rsidRPr="00036C34">
              <w:rPr>
                <w:rFonts w:cs="Arial"/>
                <w:color w:val="FFFFFF" w:themeColor="background1"/>
                <w:szCs w:val="24"/>
              </w:rPr>
              <w:t xml:space="preserve">ote </w:t>
            </w:r>
            <w:r w:rsidR="00CF7F0B" w:rsidRPr="00036C34">
              <w:rPr>
                <w:rFonts w:cs="Arial"/>
                <w:color w:val="FFFFFF" w:themeColor="background1"/>
                <w:szCs w:val="24"/>
              </w:rPr>
              <w:t>1</w:t>
            </w:r>
            <w:r w:rsidRPr="00036C34">
              <w:rPr>
                <w:rFonts w:cs="Arial"/>
                <w:color w:val="FFFFFF" w:themeColor="background1"/>
                <w:szCs w:val="24"/>
              </w:rPr>
              <w:t>a)</w:t>
            </w:r>
          </w:p>
          <w:p w14:paraId="0BF71F2B" w14:textId="753149E1" w:rsidR="0005100D" w:rsidRPr="00036C34" w:rsidRDefault="0005100D" w:rsidP="00611673">
            <w:pPr>
              <w:jc w:val="right"/>
              <w:rPr>
                <w:rFonts w:cs="Arial"/>
                <w:color w:val="FFFFFF" w:themeColor="background1"/>
                <w:szCs w:val="24"/>
              </w:rPr>
            </w:pPr>
            <w:r w:rsidRPr="00036C34">
              <w:rPr>
                <w:rFonts w:cs="Arial"/>
                <w:color w:val="FFFFFF" w:themeColor="background1"/>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BD2716"/>
            <w:vAlign w:val="center"/>
          </w:tcPr>
          <w:p w14:paraId="478BDFA4" w14:textId="77777777" w:rsidR="000D5389" w:rsidRPr="00036C34" w:rsidRDefault="000D5389" w:rsidP="00611673">
            <w:pPr>
              <w:jc w:val="right"/>
              <w:rPr>
                <w:rFonts w:cs="Arial"/>
                <w:color w:val="FFFFFF" w:themeColor="background1"/>
                <w:szCs w:val="24"/>
              </w:rPr>
            </w:pPr>
            <w:r w:rsidRPr="00036C34">
              <w:rPr>
                <w:rFonts w:cs="Arial"/>
                <w:color w:val="FFFFFF" w:themeColor="background1"/>
                <w:szCs w:val="24"/>
              </w:rPr>
              <w:t>Net chargeable to the General Fund</w:t>
            </w:r>
          </w:p>
          <w:p w14:paraId="22735930" w14:textId="32FEBB26" w:rsidR="0005100D" w:rsidRPr="00036C34" w:rsidRDefault="0005100D" w:rsidP="00611673">
            <w:pPr>
              <w:jc w:val="right"/>
              <w:rPr>
                <w:rFonts w:cs="Arial"/>
                <w:color w:val="FFFFFF" w:themeColor="background1"/>
                <w:szCs w:val="24"/>
              </w:rPr>
            </w:pPr>
            <w:r w:rsidRPr="00036C34">
              <w:rPr>
                <w:rFonts w:cs="Arial"/>
                <w:color w:val="FFFFFF" w:themeColor="background1"/>
                <w:szCs w:val="24"/>
              </w:rPr>
              <w:t>£000</w:t>
            </w:r>
          </w:p>
        </w:tc>
        <w:tc>
          <w:tcPr>
            <w:tcW w:w="2551" w:type="dxa"/>
            <w:tcBorders>
              <w:top w:val="single" w:sz="4" w:space="0" w:color="auto"/>
              <w:left w:val="single" w:sz="4" w:space="0" w:color="auto"/>
              <w:bottom w:val="single" w:sz="4" w:space="0" w:color="auto"/>
              <w:right w:val="single" w:sz="4" w:space="0" w:color="auto"/>
            </w:tcBorders>
            <w:shd w:val="clear" w:color="auto" w:fill="BD2716"/>
            <w:vAlign w:val="center"/>
          </w:tcPr>
          <w:p w14:paraId="4D2A04EE" w14:textId="77777777" w:rsidR="000D5389" w:rsidRPr="00036C34" w:rsidRDefault="000D5389" w:rsidP="00611673">
            <w:pPr>
              <w:jc w:val="right"/>
              <w:rPr>
                <w:rFonts w:cs="Arial"/>
                <w:color w:val="FFFFFF" w:themeColor="background1"/>
                <w:szCs w:val="24"/>
              </w:rPr>
            </w:pPr>
            <w:r w:rsidRPr="00036C34">
              <w:rPr>
                <w:rFonts w:cs="Arial"/>
                <w:color w:val="FFFFFF" w:themeColor="background1"/>
                <w:szCs w:val="24"/>
              </w:rPr>
              <w:t>Adjustments between the Funding and Accounting basis (</w:t>
            </w:r>
            <w:r w:rsidR="00676AE5" w:rsidRPr="00036C34">
              <w:rPr>
                <w:rFonts w:cs="Arial"/>
                <w:color w:val="FFFFFF" w:themeColor="background1"/>
                <w:szCs w:val="24"/>
              </w:rPr>
              <w:t>N</w:t>
            </w:r>
            <w:r w:rsidRPr="00036C34">
              <w:rPr>
                <w:rFonts w:cs="Arial"/>
                <w:color w:val="FFFFFF" w:themeColor="background1"/>
                <w:szCs w:val="24"/>
              </w:rPr>
              <w:t xml:space="preserve">ote </w:t>
            </w:r>
            <w:r w:rsidR="00CF7F0B" w:rsidRPr="00036C34">
              <w:rPr>
                <w:rFonts w:cs="Arial"/>
                <w:color w:val="FFFFFF" w:themeColor="background1"/>
                <w:szCs w:val="24"/>
              </w:rPr>
              <w:t>1</w:t>
            </w:r>
            <w:r w:rsidRPr="00036C34">
              <w:rPr>
                <w:rFonts w:cs="Arial"/>
                <w:color w:val="FFFFFF" w:themeColor="background1"/>
                <w:szCs w:val="24"/>
              </w:rPr>
              <w:t>a)</w:t>
            </w:r>
          </w:p>
          <w:p w14:paraId="3E31527D" w14:textId="0233D89C" w:rsidR="0005100D" w:rsidRPr="00036C34" w:rsidRDefault="0005100D" w:rsidP="00611673">
            <w:pPr>
              <w:jc w:val="right"/>
              <w:rPr>
                <w:rFonts w:cs="Arial"/>
                <w:color w:val="FFFFFF" w:themeColor="background1"/>
                <w:szCs w:val="24"/>
              </w:rPr>
            </w:pPr>
            <w:r w:rsidRPr="00036C34">
              <w:rPr>
                <w:rFonts w:cs="Arial"/>
                <w:color w:val="FFFFFF" w:themeColor="background1"/>
                <w:szCs w:val="24"/>
              </w:rPr>
              <w:t>£000</w:t>
            </w:r>
          </w:p>
        </w:tc>
        <w:tc>
          <w:tcPr>
            <w:tcW w:w="2694" w:type="dxa"/>
            <w:tcBorders>
              <w:top w:val="single" w:sz="4" w:space="0" w:color="auto"/>
              <w:left w:val="single" w:sz="4" w:space="0" w:color="auto"/>
              <w:bottom w:val="single" w:sz="4" w:space="0" w:color="auto"/>
              <w:right w:val="single" w:sz="4" w:space="0" w:color="auto"/>
            </w:tcBorders>
            <w:shd w:val="clear" w:color="auto" w:fill="BD2716"/>
            <w:vAlign w:val="center"/>
          </w:tcPr>
          <w:p w14:paraId="7C385521" w14:textId="77777777" w:rsidR="000D5389" w:rsidRPr="00036C34" w:rsidRDefault="000D5389" w:rsidP="00611673">
            <w:pPr>
              <w:jc w:val="right"/>
              <w:rPr>
                <w:rFonts w:cs="Arial"/>
                <w:color w:val="FFFFFF" w:themeColor="background1"/>
                <w:szCs w:val="24"/>
              </w:rPr>
            </w:pPr>
            <w:r w:rsidRPr="00036C34">
              <w:rPr>
                <w:rFonts w:cs="Arial"/>
                <w:color w:val="FFFFFF" w:themeColor="background1"/>
                <w:szCs w:val="24"/>
              </w:rPr>
              <w:t>Net Expenditure in the Comprehensive Income and Expenditure Statement</w:t>
            </w:r>
          </w:p>
          <w:p w14:paraId="05366D44" w14:textId="776BB2F2" w:rsidR="0005100D" w:rsidRPr="00036C34" w:rsidRDefault="0005100D" w:rsidP="00611673">
            <w:pPr>
              <w:jc w:val="right"/>
              <w:rPr>
                <w:rFonts w:cs="Arial"/>
                <w:color w:val="FFFFFF" w:themeColor="background1"/>
                <w:szCs w:val="24"/>
              </w:rPr>
            </w:pPr>
            <w:r w:rsidRPr="00036C34">
              <w:rPr>
                <w:rFonts w:cs="Arial"/>
                <w:color w:val="FFFFFF" w:themeColor="background1"/>
                <w:szCs w:val="24"/>
              </w:rPr>
              <w:t>£000</w:t>
            </w:r>
          </w:p>
        </w:tc>
      </w:tr>
      <w:tr w:rsidR="0090002A" w:rsidRPr="000E606D" w14:paraId="0616B1E3" w14:textId="77777777" w:rsidTr="00233A66">
        <w:tc>
          <w:tcPr>
            <w:tcW w:w="3641" w:type="dxa"/>
            <w:tcBorders>
              <w:top w:val="single" w:sz="4" w:space="0" w:color="auto"/>
              <w:left w:val="single" w:sz="4" w:space="0" w:color="auto"/>
              <w:bottom w:val="single" w:sz="4" w:space="0" w:color="auto"/>
              <w:right w:val="single" w:sz="4" w:space="0" w:color="auto"/>
            </w:tcBorders>
          </w:tcPr>
          <w:p w14:paraId="3233E0A0" w14:textId="77777777" w:rsidR="0090002A" w:rsidRPr="00561F76" w:rsidRDefault="0090002A" w:rsidP="003545E4">
            <w:pPr>
              <w:rPr>
                <w:rFonts w:cs="Arial"/>
                <w:szCs w:val="24"/>
              </w:rPr>
            </w:pPr>
            <w:r w:rsidRPr="00561F76">
              <w:rPr>
                <w:rFonts w:cs="Arial"/>
                <w:szCs w:val="24"/>
              </w:rPr>
              <w:t>Service Delivery</w:t>
            </w:r>
          </w:p>
        </w:tc>
        <w:tc>
          <w:tcPr>
            <w:tcW w:w="1735" w:type="dxa"/>
            <w:tcBorders>
              <w:top w:val="single" w:sz="4" w:space="0" w:color="auto"/>
              <w:left w:val="single" w:sz="4" w:space="0" w:color="auto"/>
              <w:bottom w:val="single" w:sz="4" w:space="0" w:color="auto"/>
              <w:right w:val="single" w:sz="4" w:space="0" w:color="auto"/>
            </w:tcBorders>
            <w:vAlign w:val="center"/>
          </w:tcPr>
          <w:p w14:paraId="0B3D3099" w14:textId="65F6CC19" w:rsidR="0090002A" w:rsidRPr="00561F76" w:rsidRDefault="0090002A" w:rsidP="00036C34">
            <w:pPr>
              <w:jc w:val="right"/>
              <w:rPr>
                <w:rFonts w:cs="Arial"/>
                <w:szCs w:val="24"/>
              </w:rPr>
            </w:pPr>
            <w:r w:rsidRPr="00561F76">
              <w:rPr>
                <w:rFonts w:cs="Arial"/>
                <w:szCs w:val="24"/>
              </w:rPr>
              <w:t>41,94</w:t>
            </w:r>
            <w:r w:rsidR="00DA5036" w:rsidRPr="00561F76">
              <w:rPr>
                <w:rFonts w:cs="Arial"/>
                <w:szCs w:val="24"/>
              </w:rPr>
              <w:t>6</w:t>
            </w:r>
          </w:p>
        </w:tc>
        <w:tc>
          <w:tcPr>
            <w:tcW w:w="2376" w:type="dxa"/>
            <w:tcBorders>
              <w:top w:val="single" w:sz="4" w:space="0" w:color="auto"/>
              <w:left w:val="single" w:sz="4" w:space="0" w:color="auto"/>
              <w:bottom w:val="single" w:sz="4" w:space="0" w:color="auto"/>
              <w:right w:val="single" w:sz="4" w:space="0" w:color="auto"/>
            </w:tcBorders>
            <w:vAlign w:val="center"/>
          </w:tcPr>
          <w:p w14:paraId="457E0239" w14:textId="1AF3D1E5" w:rsidR="0090002A" w:rsidRPr="00561F76" w:rsidRDefault="0090002A" w:rsidP="00036C34">
            <w:pPr>
              <w:jc w:val="right"/>
              <w:rPr>
                <w:rFonts w:cs="Arial"/>
                <w:szCs w:val="24"/>
              </w:rPr>
            </w:pPr>
            <w:r w:rsidRPr="00561F76">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0E2817BB" w14:textId="00F53A8A" w:rsidR="0090002A" w:rsidRPr="00561F76" w:rsidRDefault="0090002A" w:rsidP="00036C34">
            <w:pPr>
              <w:jc w:val="right"/>
              <w:rPr>
                <w:rFonts w:cs="Arial"/>
                <w:szCs w:val="24"/>
              </w:rPr>
            </w:pPr>
            <w:r w:rsidRPr="00561F76">
              <w:rPr>
                <w:rFonts w:cs="Arial"/>
                <w:szCs w:val="24"/>
              </w:rPr>
              <w:t>41,94</w:t>
            </w:r>
            <w:r w:rsidR="00DA5036" w:rsidRPr="00561F76">
              <w:rPr>
                <w:rFonts w:cs="Arial"/>
                <w:szCs w:val="24"/>
              </w:rPr>
              <w:t>6</w:t>
            </w:r>
            <w:r w:rsidRPr="00561F76">
              <w:rPr>
                <w:rFonts w:cs="Arial"/>
                <w:szCs w:val="24"/>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14:paraId="33231E4D" w14:textId="46A611AE" w:rsidR="0090002A" w:rsidRPr="00561F76" w:rsidRDefault="0090002A" w:rsidP="00233A66">
            <w:pPr>
              <w:jc w:val="right"/>
              <w:rPr>
                <w:rFonts w:cs="Arial"/>
                <w:szCs w:val="24"/>
              </w:rPr>
            </w:pPr>
            <w:r w:rsidRPr="00561F76">
              <w:rPr>
                <w:rFonts w:cs="Arial"/>
                <w:szCs w:val="24"/>
              </w:rPr>
              <w:t>(10,14</w:t>
            </w:r>
            <w:r w:rsidR="00DA5036" w:rsidRPr="00561F76">
              <w:rPr>
                <w:rFonts w:cs="Arial"/>
                <w:szCs w:val="24"/>
              </w:rPr>
              <w:t>5</w:t>
            </w:r>
            <w:r w:rsidRPr="00561F76">
              <w:rPr>
                <w:rFonts w:cs="Arial"/>
                <w:szCs w:val="24"/>
              </w:rPr>
              <w:t>)</w:t>
            </w:r>
          </w:p>
        </w:tc>
        <w:tc>
          <w:tcPr>
            <w:tcW w:w="2694" w:type="dxa"/>
            <w:tcBorders>
              <w:top w:val="single" w:sz="4" w:space="0" w:color="auto"/>
              <w:left w:val="single" w:sz="4" w:space="0" w:color="auto"/>
              <w:bottom w:val="single" w:sz="4" w:space="0" w:color="auto"/>
              <w:right w:val="single" w:sz="4" w:space="0" w:color="auto"/>
            </w:tcBorders>
            <w:vAlign w:val="center"/>
          </w:tcPr>
          <w:p w14:paraId="654E40BE" w14:textId="58603601" w:rsidR="0090002A" w:rsidRPr="00561F76" w:rsidRDefault="0090002A" w:rsidP="00233A66">
            <w:pPr>
              <w:jc w:val="right"/>
              <w:rPr>
                <w:rFonts w:cs="Arial"/>
                <w:szCs w:val="24"/>
              </w:rPr>
            </w:pPr>
            <w:r w:rsidRPr="00561F76">
              <w:rPr>
                <w:rFonts w:cs="Arial"/>
                <w:szCs w:val="24"/>
              </w:rPr>
              <w:t>31,80</w:t>
            </w:r>
            <w:r w:rsidR="004C1F44" w:rsidRPr="00561F76">
              <w:rPr>
                <w:rFonts w:cs="Arial"/>
                <w:szCs w:val="24"/>
              </w:rPr>
              <w:t>1</w:t>
            </w:r>
            <w:r w:rsidRPr="00561F76">
              <w:rPr>
                <w:rFonts w:cs="Arial"/>
                <w:szCs w:val="24"/>
              </w:rPr>
              <w:t xml:space="preserve"> </w:t>
            </w:r>
          </w:p>
        </w:tc>
      </w:tr>
      <w:tr w:rsidR="0090002A" w:rsidRPr="000E606D" w14:paraId="46670F22" w14:textId="77777777" w:rsidTr="00233A66">
        <w:tc>
          <w:tcPr>
            <w:tcW w:w="3641" w:type="dxa"/>
            <w:tcBorders>
              <w:top w:val="single" w:sz="4" w:space="0" w:color="auto"/>
              <w:left w:val="single" w:sz="4" w:space="0" w:color="auto"/>
              <w:bottom w:val="single" w:sz="4" w:space="0" w:color="auto"/>
              <w:right w:val="single" w:sz="4" w:space="0" w:color="auto"/>
            </w:tcBorders>
          </w:tcPr>
          <w:p w14:paraId="2FB3046B" w14:textId="77777777" w:rsidR="0090002A" w:rsidRPr="00561F76" w:rsidRDefault="0090002A" w:rsidP="003545E4">
            <w:pPr>
              <w:rPr>
                <w:rFonts w:cs="Arial"/>
                <w:szCs w:val="24"/>
              </w:rPr>
            </w:pPr>
            <w:r w:rsidRPr="00561F76">
              <w:rPr>
                <w:rFonts w:cs="Arial"/>
                <w:szCs w:val="24"/>
              </w:rPr>
              <w:t>Strategy and Planning</w:t>
            </w:r>
          </w:p>
        </w:tc>
        <w:tc>
          <w:tcPr>
            <w:tcW w:w="1735" w:type="dxa"/>
            <w:tcBorders>
              <w:top w:val="single" w:sz="4" w:space="0" w:color="auto"/>
              <w:left w:val="single" w:sz="4" w:space="0" w:color="auto"/>
              <w:bottom w:val="single" w:sz="4" w:space="0" w:color="auto"/>
              <w:right w:val="single" w:sz="4" w:space="0" w:color="auto"/>
            </w:tcBorders>
            <w:vAlign w:val="center"/>
          </w:tcPr>
          <w:p w14:paraId="01BD4422" w14:textId="671F7A01" w:rsidR="0090002A" w:rsidRPr="00561F76" w:rsidRDefault="0090002A" w:rsidP="00036C34">
            <w:pPr>
              <w:jc w:val="right"/>
              <w:rPr>
                <w:rFonts w:cs="Arial"/>
                <w:szCs w:val="24"/>
              </w:rPr>
            </w:pPr>
            <w:r w:rsidRPr="00561F76">
              <w:rPr>
                <w:rFonts w:cs="Arial"/>
                <w:szCs w:val="24"/>
              </w:rPr>
              <w:t xml:space="preserve">12,211 </w:t>
            </w:r>
          </w:p>
        </w:tc>
        <w:tc>
          <w:tcPr>
            <w:tcW w:w="2376" w:type="dxa"/>
            <w:tcBorders>
              <w:top w:val="single" w:sz="4" w:space="0" w:color="auto"/>
              <w:left w:val="single" w:sz="4" w:space="0" w:color="auto"/>
              <w:bottom w:val="single" w:sz="4" w:space="0" w:color="auto"/>
              <w:right w:val="single" w:sz="4" w:space="0" w:color="auto"/>
            </w:tcBorders>
            <w:vAlign w:val="center"/>
          </w:tcPr>
          <w:p w14:paraId="54EB75DC" w14:textId="16C80EE4" w:rsidR="0090002A" w:rsidRPr="00561F76" w:rsidRDefault="0090002A" w:rsidP="00036C34">
            <w:pPr>
              <w:jc w:val="right"/>
              <w:rPr>
                <w:rFonts w:cs="Arial"/>
                <w:szCs w:val="24"/>
              </w:rPr>
            </w:pPr>
            <w:r w:rsidRPr="00561F76">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68156AE3" w14:textId="196DD15B" w:rsidR="0090002A" w:rsidRPr="00561F76" w:rsidRDefault="0090002A" w:rsidP="00036C34">
            <w:pPr>
              <w:jc w:val="right"/>
              <w:rPr>
                <w:rFonts w:cs="Arial"/>
                <w:szCs w:val="24"/>
              </w:rPr>
            </w:pPr>
            <w:r w:rsidRPr="00561F76">
              <w:rPr>
                <w:rFonts w:cs="Arial"/>
                <w:szCs w:val="24"/>
              </w:rPr>
              <w:t xml:space="preserve">12,211 </w:t>
            </w:r>
          </w:p>
        </w:tc>
        <w:tc>
          <w:tcPr>
            <w:tcW w:w="2551" w:type="dxa"/>
            <w:tcBorders>
              <w:top w:val="single" w:sz="4" w:space="0" w:color="auto"/>
              <w:left w:val="single" w:sz="4" w:space="0" w:color="auto"/>
              <w:bottom w:val="single" w:sz="4" w:space="0" w:color="auto"/>
              <w:right w:val="single" w:sz="4" w:space="0" w:color="auto"/>
            </w:tcBorders>
            <w:vAlign w:val="center"/>
          </w:tcPr>
          <w:p w14:paraId="18B281E0" w14:textId="581ED7DE" w:rsidR="0090002A" w:rsidRPr="00561F76" w:rsidRDefault="0090002A" w:rsidP="00233A66">
            <w:pPr>
              <w:jc w:val="right"/>
              <w:rPr>
                <w:rFonts w:cs="Arial"/>
                <w:szCs w:val="24"/>
              </w:rPr>
            </w:pPr>
            <w:r w:rsidRPr="00561F76">
              <w:rPr>
                <w:rFonts w:cs="Arial"/>
                <w:szCs w:val="24"/>
              </w:rPr>
              <w:t>(669)</w:t>
            </w:r>
          </w:p>
        </w:tc>
        <w:tc>
          <w:tcPr>
            <w:tcW w:w="2694" w:type="dxa"/>
            <w:tcBorders>
              <w:top w:val="single" w:sz="4" w:space="0" w:color="auto"/>
              <w:left w:val="single" w:sz="4" w:space="0" w:color="auto"/>
              <w:bottom w:val="single" w:sz="4" w:space="0" w:color="auto"/>
              <w:right w:val="single" w:sz="4" w:space="0" w:color="auto"/>
            </w:tcBorders>
            <w:vAlign w:val="center"/>
          </w:tcPr>
          <w:p w14:paraId="132D2813" w14:textId="34991BCD" w:rsidR="0090002A" w:rsidRPr="00561F76" w:rsidRDefault="0090002A" w:rsidP="00233A66">
            <w:pPr>
              <w:jc w:val="right"/>
              <w:rPr>
                <w:rFonts w:cs="Arial"/>
                <w:szCs w:val="24"/>
              </w:rPr>
            </w:pPr>
            <w:r w:rsidRPr="00561F76">
              <w:rPr>
                <w:rFonts w:cs="Arial"/>
                <w:szCs w:val="24"/>
              </w:rPr>
              <w:t xml:space="preserve">11,542 </w:t>
            </w:r>
          </w:p>
        </w:tc>
      </w:tr>
      <w:tr w:rsidR="0090002A" w:rsidRPr="000E606D" w14:paraId="2986571E" w14:textId="77777777" w:rsidTr="00233A66">
        <w:tc>
          <w:tcPr>
            <w:tcW w:w="3641" w:type="dxa"/>
            <w:tcBorders>
              <w:top w:val="single" w:sz="4" w:space="0" w:color="auto"/>
              <w:left w:val="single" w:sz="4" w:space="0" w:color="auto"/>
              <w:bottom w:val="single" w:sz="4" w:space="0" w:color="auto"/>
              <w:right w:val="single" w:sz="4" w:space="0" w:color="auto"/>
            </w:tcBorders>
          </w:tcPr>
          <w:p w14:paraId="7ABC67F6" w14:textId="77777777" w:rsidR="0090002A" w:rsidRPr="00561F76" w:rsidRDefault="0090002A" w:rsidP="003545E4">
            <w:pPr>
              <w:rPr>
                <w:rFonts w:cs="Arial"/>
                <w:szCs w:val="24"/>
              </w:rPr>
            </w:pPr>
            <w:r w:rsidRPr="00561F76">
              <w:rPr>
                <w:rFonts w:cs="Arial"/>
                <w:szCs w:val="24"/>
              </w:rPr>
              <w:t>People and Development</w:t>
            </w:r>
          </w:p>
        </w:tc>
        <w:tc>
          <w:tcPr>
            <w:tcW w:w="1735" w:type="dxa"/>
            <w:tcBorders>
              <w:top w:val="single" w:sz="4" w:space="0" w:color="auto"/>
              <w:left w:val="single" w:sz="4" w:space="0" w:color="auto"/>
              <w:bottom w:val="single" w:sz="4" w:space="0" w:color="auto"/>
              <w:right w:val="single" w:sz="4" w:space="0" w:color="auto"/>
            </w:tcBorders>
            <w:vAlign w:val="center"/>
          </w:tcPr>
          <w:p w14:paraId="28ED35B0" w14:textId="6CD7BF0F" w:rsidR="0090002A" w:rsidRPr="00561F76" w:rsidRDefault="0090002A" w:rsidP="00036C34">
            <w:pPr>
              <w:jc w:val="right"/>
              <w:rPr>
                <w:rFonts w:cs="Arial"/>
                <w:szCs w:val="24"/>
              </w:rPr>
            </w:pPr>
            <w:r w:rsidRPr="00561F76">
              <w:rPr>
                <w:rFonts w:cs="Arial"/>
                <w:szCs w:val="24"/>
              </w:rPr>
              <w:t xml:space="preserve">1,934 </w:t>
            </w:r>
          </w:p>
        </w:tc>
        <w:tc>
          <w:tcPr>
            <w:tcW w:w="2376" w:type="dxa"/>
            <w:tcBorders>
              <w:top w:val="single" w:sz="4" w:space="0" w:color="auto"/>
              <w:left w:val="single" w:sz="4" w:space="0" w:color="auto"/>
              <w:bottom w:val="single" w:sz="4" w:space="0" w:color="auto"/>
              <w:right w:val="single" w:sz="4" w:space="0" w:color="auto"/>
            </w:tcBorders>
            <w:vAlign w:val="center"/>
          </w:tcPr>
          <w:p w14:paraId="2F317B61" w14:textId="13F00C5C" w:rsidR="0090002A" w:rsidRPr="00561F76" w:rsidRDefault="0090002A" w:rsidP="00036C34">
            <w:pPr>
              <w:jc w:val="right"/>
              <w:rPr>
                <w:rFonts w:cs="Arial"/>
                <w:szCs w:val="24"/>
              </w:rPr>
            </w:pPr>
            <w:r w:rsidRPr="00561F76">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1856F4EF" w14:textId="6E58561B" w:rsidR="0090002A" w:rsidRPr="00561F76" w:rsidRDefault="0090002A" w:rsidP="00036C34">
            <w:pPr>
              <w:jc w:val="right"/>
              <w:rPr>
                <w:rFonts w:cs="Arial"/>
                <w:szCs w:val="24"/>
              </w:rPr>
            </w:pPr>
            <w:r w:rsidRPr="00561F76">
              <w:rPr>
                <w:rFonts w:cs="Arial"/>
                <w:szCs w:val="24"/>
              </w:rPr>
              <w:t xml:space="preserve">1,934 </w:t>
            </w:r>
          </w:p>
        </w:tc>
        <w:tc>
          <w:tcPr>
            <w:tcW w:w="2551" w:type="dxa"/>
            <w:tcBorders>
              <w:top w:val="single" w:sz="4" w:space="0" w:color="auto"/>
              <w:left w:val="single" w:sz="4" w:space="0" w:color="auto"/>
              <w:bottom w:val="single" w:sz="4" w:space="0" w:color="auto"/>
              <w:right w:val="single" w:sz="4" w:space="0" w:color="auto"/>
            </w:tcBorders>
            <w:vAlign w:val="center"/>
          </w:tcPr>
          <w:p w14:paraId="5AFF2D3E" w14:textId="7BD4D2EF" w:rsidR="0090002A" w:rsidRPr="00561F76" w:rsidRDefault="0090002A" w:rsidP="00233A66">
            <w:pPr>
              <w:jc w:val="right"/>
              <w:rPr>
                <w:rFonts w:cs="Arial"/>
                <w:szCs w:val="24"/>
              </w:rPr>
            </w:pPr>
            <w:r w:rsidRPr="00561F76">
              <w:rPr>
                <w:rFonts w:cs="Arial"/>
                <w:szCs w:val="24"/>
              </w:rPr>
              <w:t xml:space="preserve">400 </w:t>
            </w:r>
          </w:p>
        </w:tc>
        <w:tc>
          <w:tcPr>
            <w:tcW w:w="2694" w:type="dxa"/>
            <w:tcBorders>
              <w:top w:val="single" w:sz="4" w:space="0" w:color="auto"/>
              <w:left w:val="single" w:sz="4" w:space="0" w:color="auto"/>
              <w:bottom w:val="single" w:sz="4" w:space="0" w:color="auto"/>
              <w:right w:val="single" w:sz="4" w:space="0" w:color="auto"/>
            </w:tcBorders>
            <w:vAlign w:val="center"/>
          </w:tcPr>
          <w:p w14:paraId="0A779B1D" w14:textId="43E9B6BC" w:rsidR="0090002A" w:rsidRPr="00561F76" w:rsidRDefault="0090002A" w:rsidP="00233A66">
            <w:pPr>
              <w:jc w:val="right"/>
              <w:rPr>
                <w:rFonts w:cs="Arial"/>
                <w:szCs w:val="24"/>
              </w:rPr>
            </w:pPr>
            <w:r w:rsidRPr="00561F76">
              <w:rPr>
                <w:rFonts w:cs="Arial"/>
                <w:szCs w:val="24"/>
              </w:rPr>
              <w:t xml:space="preserve">2,334 </w:t>
            </w:r>
          </w:p>
        </w:tc>
      </w:tr>
      <w:tr w:rsidR="0090002A" w:rsidRPr="000E606D" w14:paraId="755C71A6" w14:textId="77777777" w:rsidTr="00233A66">
        <w:tc>
          <w:tcPr>
            <w:tcW w:w="3641" w:type="dxa"/>
            <w:tcBorders>
              <w:top w:val="single" w:sz="4" w:space="0" w:color="auto"/>
              <w:left w:val="single" w:sz="4" w:space="0" w:color="auto"/>
              <w:bottom w:val="single" w:sz="4" w:space="0" w:color="auto"/>
              <w:right w:val="single" w:sz="4" w:space="0" w:color="auto"/>
            </w:tcBorders>
          </w:tcPr>
          <w:p w14:paraId="21C8DA7D" w14:textId="77777777" w:rsidR="0090002A" w:rsidRPr="00561F76" w:rsidRDefault="0090002A" w:rsidP="003545E4">
            <w:pPr>
              <w:rPr>
                <w:rFonts w:cs="Arial"/>
                <w:szCs w:val="24"/>
              </w:rPr>
            </w:pPr>
            <w:r w:rsidRPr="00561F76">
              <w:rPr>
                <w:rFonts w:cs="Arial"/>
                <w:szCs w:val="24"/>
              </w:rPr>
              <w:t>Corporate Services</w:t>
            </w:r>
          </w:p>
        </w:tc>
        <w:tc>
          <w:tcPr>
            <w:tcW w:w="1735" w:type="dxa"/>
            <w:tcBorders>
              <w:top w:val="single" w:sz="4" w:space="0" w:color="auto"/>
              <w:left w:val="single" w:sz="4" w:space="0" w:color="auto"/>
              <w:bottom w:val="single" w:sz="4" w:space="0" w:color="auto"/>
              <w:right w:val="single" w:sz="4" w:space="0" w:color="auto"/>
            </w:tcBorders>
            <w:vAlign w:val="center"/>
          </w:tcPr>
          <w:p w14:paraId="3172B6EB" w14:textId="3528E201" w:rsidR="0090002A" w:rsidRPr="00561F76" w:rsidRDefault="0090002A" w:rsidP="00036C34">
            <w:pPr>
              <w:jc w:val="right"/>
              <w:rPr>
                <w:rFonts w:cs="Arial"/>
                <w:szCs w:val="24"/>
              </w:rPr>
            </w:pPr>
            <w:r w:rsidRPr="00561F76">
              <w:rPr>
                <w:rFonts w:cs="Arial"/>
                <w:szCs w:val="24"/>
              </w:rPr>
              <w:t xml:space="preserve">6,240 </w:t>
            </w:r>
          </w:p>
        </w:tc>
        <w:tc>
          <w:tcPr>
            <w:tcW w:w="2376" w:type="dxa"/>
            <w:tcBorders>
              <w:top w:val="single" w:sz="4" w:space="0" w:color="auto"/>
              <w:left w:val="single" w:sz="4" w:space="0" w:color="auto"/>
              <w:bottom w:val="single" w:sz="4" w:space="0" w:color="auto"/>
              <w:right w:val="single" w:sz="4" w:space="0" w:color="auto"/>
            </w:tcBorders>
            <w:vAlign w:val="center"/>
          </w:tcPr>
          <w:p w14:paraId="18E0101E" w14:textId="7B16DC7E" w:rsidR="0090002A" w:rsidRPr="00561F76" w:rsidRDefault="0090002A" w:rsidP="00036C34">
            <w:pPr>
              <w:jc w:val="right"/>
              <w:rPr>
                <w:rFonts w:cs="Arial"/>
                <w:szCs w:val="24"/>
              </w:rPr>
            </w:pPr>
            <w:r w:rsidRPr="00561F76">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66D711F5" w14:textId="646569B8" w:rsidR="0090002A" w:rsidRPr="00561F76" w:rsidRDefault="0090002A" w:rsidP="00036C34">
            <w:pPr>
              <w:jc w:val="right"/>
              <w:rPr>
                <w:rFonts w:cs="Arial"/>
                <w:szCs w:val="24"/>
              </w:rPr>
            </w:pPr>
            <w:r w:rsidRPr="00561F76">
              <w:rPr>
                <w:rFonts w:cs="Arial"/>
                <w:szCs w:val="24"/>
              </w:rPr>
              <w:t xml:space="preserve">6,240 </w:t>
            </w:r>
          </w:p>
        </w:tc>
        <w:tc>
          <w:tcPr>
            <w:tcW w:w="2551" w:type="dxa"/>
            <w:tcBorders>
              <w:top w:val="single" w:sz="4" w:space="0" w:color="auto"/>
              <w:left w:val="single" w:sz="4" w:space="0" w:color="auto"/>
              <w:bottom w:val="single" w:sz="4" w:space="0" w:color="auto"/>
              <w:right w:val="single" w:sz="4" w:space="0" w:color="auto"/>
            </w:tcBorders>
            <w:vAlign w:val="center"/>
          </w:tcPr>
          <w:p w14:paraId="63D8D3A5" w14:textId="0527940A" w:rsidR="0090002A" w:rsidRPr="00561F76" w:rsidRDefault="0090002A" w:rsidP="00233A66">
            <w:pPr>
              <w:jc w:val="right"/>
              <w:rPr>
                <w:rFonts w:cs="Arial"/>
                <w:szCs w:val="24"/>
              </w:rPr>
            </w:pPr>
            <w:r w:rsidRPr="00561F76">
              <w:rPr>
                <w:rFonts w:cs="Arial"/>
                <w:szCs w:val="24"/>
              </w:rPr>
              <w:t>(20)</w:t>
            </w:r>
          </w:p>
        </w:tc>
        <w:tc>
          <w:tcPr>
            <w:tcW w:w="2694" w:type="dxa"/>
            <w:tcBorders>
              <w:top w:val="single" w:sz="4" w:space="0" w:color="auto"/>
              <w:left w:val="single" w:sz="4" w:space="0" w:color="auto"/>
              <w:bottom w:val="single" w:sz="4" w:space="0" w:color="auto"/>
              <w:right w:val="single" w:sz="4" w:space="0" w:color="auto"/>
            </w:tcBorders>
            <w:vAlign w:val="center"/>
          </w:tcPr>
          <w:p w14:paraId="103C5383" w14:textId="3A9E84CB" w:rsidR="0090002A" w:rsidRPr="00561F76" w:rsidRDefault="0090002A" w:rsidP="00233A66">
            <w:pPr>
              <w:jc w:val="right"/>
              <w:rPr>
                <w:rFonts w:cs="Arial"/>
                <w:szCs w:val="24"/>
              </w:rPr>
            </w:pPr>
            <w:r w:rsidRPr="00561F76">
              <w:rPr>
                <w:rFonts w:cs="Arial"/>
                <w:szCs w:val="24"/>
              </w:rPr>
              <w:t xml:space="preserve">6,220 </w:t>
            </w:r>
          </w:p>
        </w:tc>
      </w:tr>
      <w:tr w:rsidR="0090002A" w:rsidRPr="000E606D" w14:paraId="53D3CFC3" w14:textId="77777777" w:rsidTr="00233A66">
        <w:tc>
          <w:tcPr>
            <w:tcW w:w="3641" w:type="dxa"/>
            <w:tcBorders>
              <w:top w:val="single" w:sz="4" w:space="0" w:color="auto"/>
              <w:left w:val="single" w:sz="4" w:space="0" w:color="auto"/>
              <w:bottom w:val="single" w:sz="4" w:space="0" w:color="auto"/>
              <w:right w:val="single" w:sz="4" w:space="0" w:color="auto"/>
            </w:tcBorders>
          </w:tcPr>
          <w:p w14:paraId="7680DBD2" w14:textId="77777777" w:rsidR="0090002A" w:rsidRPr="00561F76" w:rsidRDefault="0090002A" w:rsidP="003545E4">
            <w:pPr>
              <w:rPr>
                <w:rFonts w:cs="Arial"/>
                <w:szCs w:val="24"/>
              </w:rPr>
            </w:pPr>
            <w:r w:rsidRPr="00561F76">
              <w:rPr>
                <w:rFonts w:cs="Arial"/>
                <w:szCs w:val="24"/>
              </w:rPr>
              <w:t>Firefighters Pensions</w:t>
            </w:r>
          </w:p>
        </w:tc>
        <w:tc>
          <w:tcPr>
            <w:tcW w:w="1735" w:type="dxa"/>
            <w:tcBorders>
              <w:top w:val="single" w:sz="4" w:space="0" w:color="auto"/>
              <w:left w:val="single" w:sz="4" w:space="0" w:color="auto"/>
              <w:bottom w:val="single" w:sz="4" w:space="0" w:color="auto"/>
              <w:right w:val="single" w:sz="4" w:space="0" w:color="auto"/>
            </w:tcBorders>
            <w:vAlign w:val="center"/>
          </w:tcPr>
          <w:p w14:paraId="487E047E" w14:textId="0965B429" w:rsidR="0090002A" w:rsidRPr="00561F76" w:rsidRDefault="0090002A" w:rsidP="00036C34">
            <w:pPr>
              <w:jc w:val="right"/>
              <w:rPr>
                <w:rFonts w:cs="Arial"/>
                <w:szCs w:val="24"/>
              </w:rPr>
            </w:pPr>
            <w:r w:rsidRPr="00561F76">
              <w:rPr>
                <w:rFonts w:cs="Arial"/>
                <w:szCs w:val="24"/>
              </w:rPr>
              <w:t>1,14</w:t>
            </w:r>
            <w:r w:rsidR="004C1F44" w:rsidRPr="00561F76">
              <w:rPr>
                <w:rFonts w:cs="Arial"/>
                <w:szCs w:val="24"/>
              </w:rPr>
              <w:t>1</w:t>
            </w:r>
            <w:r w:rsidRPr="00561F76">
              <w:rPr>
                <w:rFonts w:cs="Arial"/>
                <w:szCs w:val="24"/>
              </w:rPr>
              <w:t xml:space="preserve"> </w:t>
            </w:r>
          </w:p>
        </w:tc>
        <w:tc>
          <w:tcPr>
            <w:tcW w:w="2376" w:type="dxa"/>
            <w:tcBorders>
              <w:top w:val="single" w:sz="4" w:space="0" w:color="auto"/>
              <w:left w:val="single" w:sz="4" w:space="0" w:color="auto"/>
              <w:bottom w:val="single" w:sz="4" w:space="0" w:color="auto"/>
              <w:right w:val="single" w:sz="4" w:space="0" w:color="auto"/>
            </w:tcBorders>
            <w:vAlign w:val="center"/>
          </w:tcPr>
          <w:p w14:paraId="257F43B2" w14:textId="3715BB05" w:rsidR="0090002A" w:rsidRPr="00561F76" w:rsidRDefault="0090002A" w:rsidP="00036C34">
            <w:pPr>
              <w:jc w:val="right"/>
              <w:rPr>
                <w:rFonts w:cs="Arial"/>
                <w:szCs w:val="24"/>
              </w:rPr>
            </w:pPr>
            <w:r w:rsidRPr="00561F76">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1E54C90D" w14:textId="2112F4BB" w:rsidR="0090002A" w:rsidRPr="00561F76" w:rsidRDefault="0090002A" w:rsidP="00036C34">
            <w:pPr>
              <w:jc w:val="right"/>
              <w:rPr>
                <w:rFonts w:cs="Arial"/>
                <w:szCs w:val="24"/>
              </w:rPr>
            </w:pPr>
            <w:r w:rsidRPr="00561F76">
              <w:rPr>
                <w:rFonts w:cs="Arial"/>
                <w:szCs w:val="24"/>
              </w:rPr>
              <w:t>1,14</w:t>
            </w:r>
            <w:r w:rsidR="004C1F44" w:rsidRPr="00561F76">
              <w:rPr>
                <w:rFonts w:cs="Arial"/>
                <w:szCs w:val="24"/>
              </w:rPr>
              <w:t>1</w:t>
            </w:r>
            <w:r w:rsidRPr="00561F76">
              <w:rPr>
                <w:rFonts w:cs="Arial"/>
                <w:szCs w:val="24"/>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14:paraId="35B1B2D8" w14:textId="4D8EC128" w:rsidR="0090002A" w:rsidRPr="00561F76" w:rsidRDefault="009E63DB" w:rsidP="00233A66">
            <w:pPr>
              <w:jc w:val="right"/>
              <w:rPr>
                <w:rFonts w:cs="Arial"/>
                <w:szCs w:val="24"/>
              </w:rPr>
            </w:pPr>
            <w:r w:rsidRPr="00561F76">
              <w:rPr>
                <w:rFonts w:cs="Arial"/>
                <w:szCs w:val="24"/>
              </w:rPr>
              <w:t>-</w:t>
            </w:r>
            <w:r w:rsidR="0090002A" w:rsidRPr="00561F76">
              <w:rPr>
                <w:rFonts w:cs="Arial"/>
                <w:szCs w:val="24"/>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14:paraId="7D26C801" w14:textId="03A13031" w:rsidR="0090002A" w:rsidRPr="00561F76" w:rsidRDefault="0090002A" w:rsidP="00233A66">
            <w:pPr>
              <w:jc w:val="right"/>
              <w:rPr>
                <w:rFonts w:cs="Arial"/>
                <w:szCs w:val="24"/>
              </w:rPr>
            </w:pPr>
            <w:r w:rsidRPr="00561F76">
              <w:rPr>
                <w:rFonts w:cs="Arial"/>
                <w:szCs w:val="24"/>
              </w:rPr>
              <w:t>1,14</w:t>
            </w:r>
            <w:r w:rsidR="009D2566" w:rsidRPr="00561F76">
              <w:rPr>
                <w:rFonts w:cs="Arial"/>
                <w:szCs w:val="24"/>
              </w:rPr>
              <w:t>1</w:t>
            </w:r>
            <w:r w:rsidRPr="00561F76">
              <w:rPr>
                <w:rFonts w:cs="Arial"/>
                <w:szCs w:val="24"/>
              </w:rPr>
              <w:t xml:space="preserve"> </w:t>
            </w:r>
          </w:p>
        </w:tc>
      </w:tr>
      <w:tr w:rsidR="0090002A" w:rsidRPr="000E606D" w14:paraId="51E01BF6" w14:textId="77777777" w:rsidTr="00233A66">
        <w:tc>
          <w:tcPr>
            <w:tcW w:w="3641" w:type="dxa"/>
            <w:tcBorders>
              <w:top w:val="single" w:sz="4" w:space="0" w:color="auto"/>
              <w:left w:val="single" w:sz="4" w:space="0" w:color="auto"/>
              <w:bottom w:val="single" w:sz="4" w:space="0" w:color="auto"/>
              <w:right w:val="single" w:sz="4" w:space="0" w:color="auto"/>
            </w:tcBorders>
          </w:tcPr>
          <w:p w14:paraId="7FD6605A" w14:textId="77777777" w:rsidR="0090002A" w:rsidRPr="00561F76" w:rsidRDefault="0090002A" w:rsidP="003545E4">
            <w:pPr>
              <w:rPr>
                <w:rFonts w:cs="Arial"/>
                <w:szCs w:val="24"/>
              </w:rPr>
            </w:pPr>
            <w:r w:rsidRPr="00561F76">
              <w:rPr>
                <w:rFonts w:cs="Arial"/>
                <w:szCs w:val="24"/>
              </w:rPr>
              <w:t>Overheads</w:t>
            </w:r>
          </w:p>
        </w:tc>
        <w:tc>
          <w:tcPr>
            <w:tcW w:w="1735" w:type="dxa"/>
            <w:tcBorders>
              <w:top w:val="single" w:sz="4" w:space="0" w:color="auto"/>
              <w:left w:val="single" w:sz="4" w:space="0" w:color="auto"/>
              <w:bottom w:val="single" w:sz="4" w:space="0" w:color="auto"/>
              <w:right w:val="single" w:sz="4" w:space="0" w:color="auto"/>
            </w:tcBorders>
            <w:vAlign w:val="center"/>
          </w:tcPr>
          <w:p w14:paraId="5E3B47D7" w14:textId="636470EE" w:rsidR="0090002A" w:rsidRPr="00561F76" w:rsidRDefault="0090002A" w:rsidP="00036C34">
            <w:pPr>
              <w:jc w:val="right"/>
              <w:rPr>
                <w:rFonts w:cs="Arial"/>
                <w:szCs w:val="24"/>
              </w:rPr>
            </w:pPr>
            <w:r w:rsidRPr="00561F76">
              <w:rPr>
                <w:rFonts w:cs="Arial"/>
                <w:szCs w:val="24"/>
              </w:rPr>
              <w:t>1,4</w:t>
            </w:r>
            <w:r w:rsidR="00E742A9" w:rsidRPr="00561F76">
              <w:rPr>
                <w:rFonts w:cs="Arial"/>
                <w:szCs w:val="24"/>
              </w:rPr>
              <w:t>4</w:t>
            </w:r>
            <w:r w:rsidRPr="00561F76">
              <w:rPr>
                <w:rFonts w:cs="Arial"/>
                <w:szCs w:val="24"/>
              </w:rPr>
              <w:t xml:space="preserve">0 </w:t>
            </w:r>
          </w:p>
        </w:tc>
        <w:tc>
          <w:tcPr>
            <w:tcW w:w="2376" w:type="dxa"/>
            <w:tcBorders>
              <w:top w:val="single" w:sz="4" w:space="0" w:color="auto"/>
              <w:left w:val="single" w:sz="4" w:space="0" w:color="auto"/>
              <w:bottom w:val="single" w:sz="4" w:space="0" w:color="auto"/>
              <w:right w:val="single" w:sz="4" w:space="0" w:color="auto"/>
            </w:tcBorders>
            <w:vAlign w:val="center"/>
          </w:tcPr>
          <w:p w14:paraId="233FF9B8" w14:textId="57B4825C" w:rsidR="0090002A" w:rsidRPr="00561F76" w:rsidRDefault="0090002A" w:rsidP="00036C34">
            <w:pPr>
              <w:jc w:val="right"/>
              <w:rPr>
                <w:rFonts w:cs="Arial"/>
                <w:szCs w:val="24"/>
              </w:rPr>
            </w:pPr>
            <w:r w:rsidRPr="00561F76">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685BCFEC" w14:textId="6A305499" w:rsidR="0090002A" w:rsidRPr="00561F76" w:rsidRDefault="0090002A" w:rsidP="00036C34">
            <w:pPr>
              <w:jc w:val="right"/>
              <w:rPr>
                <w:rFonts w:cs="Arial"/>
                <w:szCs w:val="24"/>
              </w:rPr>
            </w:pPr>
            <w:r w:rsidRPr="00561F76">
              <w:rPr>
                <w:rFonts w:cs="Arial"/>
                <w:szCs w:val="24"/>
              </w:rPr>
              <w:t>1,4</w:t>
            </w:r>
            <w:r w:rsidR="00E742A9" w:rsidRPr="00561F76">
              <w:rPr>
                <w:rFonts w:cs="Arial"/>
                <w:szCs w:val="24"/>
              </w:rPr>
              <w:t>4</w:t>
            </w:r>
            <w:r w:rsidRPr="00561F76">
              <w:rPr>
                <w:rFonts w:cs="Arial"/>
                <w:szCs w:val="24"/>
              </w:rPr>
              <w:t xml:space="preserve">0 </w:t>
            </w:r>
          </w:p>
        </w:tc>
        <w:tc>
          <w:tcPr>
            <w:tcW w:w="2551" w:type="dxa"/>
            <w:tcBorders>
              <w:top w:val="single" w:sz="4" w:space="0" w:color="auto"/>
              <w:left w:val="single" w:sz="4" w:space="0" w:color="auto"/>
              <w:bottom w:val="single" w:sz="4" w:space="0" w:color="auto"/>
              <w:right w:val="single" w:sz="4" w:space="0" w:color="auto"/>
            </w:tcBorders>
            <w:vAlign w:val="center"/>
          </w:tcPr>
          <w:p w14:paraId="254486E6" w14:textId="137D4449" w:rsidR="0090002A" w:rsidRPr="00561F76" w:rsidRDefault="0090002A" w:rsidP="00233A66">
            <w:pPr>
              <w:jc w:val="right"/>
              <w:rPr>
                <w:rFonts w:cs="Arial"/>
                <w:szCs w:val="24"/>
              </w:rPr>
            </w:pPr>
            <w:r w:rsidRPr="00561F76">
              <w:rPr>
                <w:rFonts w:cs="Arial"/>
                <w:szCs w:val="24"/>
              </w:rPr>
              <w:t xml:space="preserve">454 </w:t>
            </w:r>
          </w:p>
        </w:tc>
        <w:tc>
          <w:tcPr>
            <w:tcW w:w="2694" w:type="dxa"/>
            <w:tcBorders>
              <w:top w:val="single" w:sz="4" w:space="0" w:color="auto"/>
              <w:left w:val="single" w:sz="4" w:space="0" w:color="auto"/>
              <w:bottom w:val="single" w:sz="4" w:space="0" w:color="auto"/>
              <w:right w:val="single" w:sz="4" w:space="0" w:color="auto"/>
            </w:tcBorders>
            <w:vAlign w:val="center"/>
          </w:tcPr>
          <w:p w14:paraId="50F7EA30" w14:textId="10055FDA" w:rsidR="0090002A" w:rsidRPr="00561F76" w:rsidRDefault="0090002A" w:rsidP="00233A66">
            <w:pPr>
              <w:jc w:val="right"/>
              <w:rPr>
                <w:rFonts w:cs="Arial"/>
                <w:szCs w:val="24"/>
              </w:rPr>
            </w:pPr>
            <w:r w:rsidRPr="00561F76">
              <w:rPr>
                <w:rFonts w:cs="Arial"/>
                <w:szCs w:val="24"/>
              </w:rPr>
              <w:t>1,8</w:t>
            </w:r>
            <w:r w:rsidR="00E742A9" w:rsidRPr="00561F76">
              <w:rPr>
                <w:rFonts w:cs="Arial"/>
                <w:szCs w:val="24"/>
              </w:rPr>
              <w:t>9</w:t>
            </w:r>
            <w:r w:rsidRPr="00561F76">
              <w:rPr>
                <w:rFonts w:cs="Arial"/>
                <w:szCs w:val="24"/>
              </w:rPr>
              <w:t xml:space="preserve">4 </w:t>
            </w:r>
          </w:p>
        </w:tc>
      </w:tr>
      <w:tr w:rsidR="0090002A" w:rsidRPr="000E606D" w14:paraId="6C23CD1E" w14:textId="77777777" w:rsidTr="00233A66">
        <w:tc>
          <w:tcPr>
            <w:tcW w:w="3641" w:type="dxa"/>
            <w:tcBorders>
              <w:top w:val="single" w:sz="4" w:space="0" w:color="auto"/>
              <w:left w:val="single" w:sz="4" w:space="0" w:color="auto"/>
              <w:bottom w:val="single" w:sz="4" w:space="0" w:color="auto"/>
              <w:right w:val="single" w:sz="4" w:space="0" w:color="auto"/>
            </w:tcBorders>
          </w:tcPr>
          <w:p w14:paraId="54F5F673" w14:textId="77777777" w:rsidR="0090002A" w:rsidRPr="00561F76" w:rsidRDefault="0090002A" w:rsidP="003545E4">
            <w:pPr>
              <w:rPr>
                <w:rFonts w:cs="Arial"/>
                <w:b/>
                <w:szCs w:val="24"/>
              </w:rPr>
            </w:pPr>
            <w:r w:rsidRPr="00561F76">
              <w:rPr>
                <w:rFonts w:cs="Arial"/>
                <w:b/>
                <w:szCs w:val="24"/>
              </w:rPr>
              <w:t>Net cost of Services</w:t>
            </w:r>
          </w:p>
        </w:tc>
        <w:tc>
          <w:tcPr>
            <w:tcW w:w="1735" w:type="dxa"/>
            <w:tcBorders>
              <w:top w:val="single" w:sz="4" w:space="0" w:color="auto"/>
              <w:left w:val="single" w:sz="4" w:space="0" w:color="auto"/>
              <w:bottom w:val="single" w:sz="4" w:space="0" w:color="auto"/>
              <w:right w:val="single" w:sz="4" w:space="0" w:color="auto"/>
            </w:tcBorders>
            <w:vAlign w:val="center"/>
          </w:tcPr>
          <w:p w14:paraId="7AFC8585" w14:textId="26E0AECE" w:rsidR="0090002A" w:rsidRPr="00036C34" w:rsidRDefault="0090002A" w:rsidP="00036C34">
            <w:pPr>
              <w:jc w:val="right"/>
              <w:rPr>
                <w:rFonts w:cs="Arial"/>
                <w:b/>
                <w:bCs/>
                <w:szCs w:val="24"/>
              </w:rPr>
            </w:pPr>
            <w:r w:rsidRPr="00036C34">
              <w:rPr>
                <w:rFonts w:cs="Arial"/>
                <w:b/>
                <w:bCs/>
                <w:szCs w:val="24"/>
              </w:rPr>
              <w:t>64,</w:t>
            </w:r>
            <w:r w:rsidR="00E742A9" w:rsidRPr="00036C34">
              <w:rPr>
                <w:rFonts w:cs="Arial"/>
                <w:b/>
                <w:bCs/>
                <w:szCs w:val="24"/>
              </w:rPr>
              <w:t>91</w:t>
            </w:r>
            <w:r w:rsidR="00DA5036" w:rsidRPr="00036C34">
              <w:rPr>
                <w:rFonts w:cs="Arial"/>
                <w:b/>
                <w:bCs/>
                <w:szCs w:val="24"/>
              </w:rPr>
              <w:t>2</w:t>
            </w:r>
            <w:r w:rsidRPr="00036C34">
              <w:rPr>
                <w:rFonts w:cs="Arial"/>
                <w:b/>
                <w:bCs/>
                <w:szCs w:val="24"/>
              </w:rPr>
              <w:t xml:space="preserve"> </w:t>
            </w:r>
          </w:p>
        </w:tc>
        <w:tc>
          <w:tcPr>
            <w:tcW w:w="2376" w:type="dxa"/>
            <w:tcBorders>
              <w:top w:val="single" w:sz="4" w:space="0" w:color="auto"/>
              <w:left w:val="single" w:sz="4" w:space="0" w:color="auto"/>
              <w:bottom w:val="single" w:sz="4" w:space="0" w:color="auto"/>
              <w:right w:val="single" w:sz="4" w:space="0" w:color="auto"/>
            </w:tcBorders>
            <w:vAlign w:val="center"/>
          </w:tcPr>
          <w:p w14:paraId="449B4729" w14:textId="42F9F191" w:rsidR="0090002A" w:rsidRPr="00036C34" w:rsidRDefault="0090002A" w:rsidP="00036C34">
            <w:pPr>
              <w:jc w:val="right"/>
              <w:rPr>
                <w:rFonts w:cs="Arial"/>
                <w:b/>
                <w:bCs/>
                <w:szCs w:val="24"/>
              </w:rPr>
            </w:pPr>
            <w:r w:rsidRPr="00036C34">
              <w:rPr>
                <w:rFonts w:cs="Arial"/>
                <w:b/>
                <w:bCs/>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1405D5E0" w14:textId="2C90FE8D" w:rsidR="0090002A" w:rsidRPr="00036C34" w:rsidRDefault="0090002A" w:rsidP="00036C34">
            <w:pPr>
              <w:jc w:val="right"/>
              <w:rPr>
                <w:rFonts w:cs="Arial"/>
                <w:b/>
                <w:bCs/>
                <w:szCs w:val="24"/>
              </w:rPr>
            </w:pPr>
            <w:r w:rsidRPr="00036C34">
              <w:rPr>
                <w:rFonts w:cs="Arial"/>
                <w:b/>
                <w:bCs/>
                <w:szCs w:val="24"/>
              </w:rPr>
              <w:t>64,</w:t>
            </w:r>
            <w:r w:rsidR="00E742A9" w:rsidRPr="00036C34">
              <w:rPr>
                <w:rFonts w:cs="Arial"/>
                <w:b/>
                <w:bCs/>
                <w:szCs w:val="24"/>
              </w:rPr>
              <w:t>91</w:t>
            </w:r>
            <w:r w:rsidR="00DA5036" w:rsidRPr="00036C34">
              <w:rPr>
                <w:rFonts w:cs="Arial"/>
                <w:b/>
                <w:bCs/>
                <w:szCs w:val="24"/>
              </w:rPr>
              <w:t>2</w:t>
            </w:r>
            <w:r w:rsidRPr="00036C34">
              <w:rPr>
                <w:rFonts w:cs="Arial"/>
                <w:b/>
                <w:bCs/>
                <w:szCs w:val="24"/>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14:paraId="3EEAAE05" w14:textId="0C743B15" w:rsidR="0090002A" w:rsidRPr="00036C34" w:rsidRDefault="0090002A" w:rsidP="00233A66">
            <w:pPr>
              <w:jc w:val="right"/>
              <w:rPr>
                <w:rFonts w:cs="Arial"/>
                <w:b/>
                <w:bCs/>
                <w:szCs w:val="24"/>
              </w:rPr>
            </w:pPr>
            <w:r w:rsidRPr="00036C34">
              <w:rPr>
                <w:rFonts w:cs="Arial"/>
                <w:b/>
                <w:bCs/>
                <w:szCs w:val="24"/>
              </w:rPr>
              <w:t>(9,98</w:t>
            </w:r>
            <w:r w:rsidR="00DA5036" w:rsidRPr="00036C34">
              <w:rPr>
                <w:rFonts w:cs="Arial"/>
                <w:b/>
                <w:bCs/>
                <w:szCs w:val="24"/>
              </w:rPr>
              <w:t>0</w:t>
            </w:r>
            <w:r w:rsidRPr="00036C34">
              <w:rPr>
                <w:rFonts w:cs="Arial"/>
                <w:b/>
                <w:bCs/>
                <w:szCs w:val="24"/>
              </w:rPr>
              <w:t>)</w:t>
            </w:r>
          </w:p>
        </w:tc>
        <w:tc>
          <w:tcPr>
            <w:tcW w:w="2694" w:type="dxa"/>
            <w:tcBorders>
              <w:top w:val="single" w:sz="4" w:space="0" w:color="auto"/>
              <w:left w:val="single" w:sz="4" w:space="0" w:color="auto"/>
              <w:bottom w:val="single" w:sz="4" w:space="0" w:color="auto"/>
              <w:right w:val="single" w:sz="4" w:space="0" w:color="auto"/>
            </w:tcBorders>
            <w:vAlign w:val="center"/>
          </w:tcPr>
          <w:p w14:paraId="4C22BFC5" w14:textId="180011C6" w:rsidR="0090002A" w:rsidRPr="00561F76" w:rsidRDefault="0090002A" w:rsidP="00233A66">
            <w:pPr>
              <w:jc w:val="right"/>
              <w:rPr>
                <w:rFonts w:cs="Arial"/>
                <w:b/>
                <w:szCs w:val="24"/>
              </w:rPr>
            </w:pPr>
            <w:r w:rsidRPr="00561F76">
              <w:rPr>
                <w:rFonts w:cs="Arial"/>
                <w:b/>
                <w:szCs w:val="24"/>
              </w:rPr>
              <w:t>54,</w:t>
            </w:r>
            <w:r w:rsidR="00E742A9" w:rsidRPr="00561F76">
              <w:rPr>
                <w:rFonts w:cs="Arial"/>
                <w:b/>
                <w:szCs w:val="24"/>
              </w:rPr>
              <w:t>93</w:t>
            </w:r>
            <w:r w:rsidR="004C1F44" w:rsidRPr="00561F76">
              <w:rPr>
                <w:rFonts w:cs="Arial"/>
                <w:b/>
                <w:szCs w:val="24"/>
              </w:rPr>
              <w:t>2</w:t>
            </w:r>
            <w:r w:rsidRPr="00561F76">
              <w:rPr>
                <w:rFonts w:cs="Arial"/>
                <w:b/>
                <w:szCs w:val="24"/>
              </w:rPr>
              <w:t xml:space="preserve"> </w:t>
            </w:r>
          </w:p>
        </w:tc>
      </w:tr>
      <w:tr w:rsidR="0090002A" w:rsidRPr="000E606D" w14:paraId="509D79A1" w14:textId="77777777" w:rsidTr="00233A66">
        <w:tc>
          <w:tcPr>
            <w:tcW w:w="3641" w:type="dxa"/>
            <w:tcBorders>
              <w:top w:val="single" w:sz="4" w:space="0" w:color="auto"/>
              <w:left w:val="single" w:sz="4" w:space="0" w:color="auto"/>
              <w:bottom w:val="single" w:sz="4" w:space="0" w:color="auto"/>
              <w:right w:val="single" w:sz="4" w:space="0" w:color="auto"/>
            </w:tcBorders>
          </w:tcPr>
          <w:p w14:paraId="61B0E513" w14:textId="77777777" w:rsidR="0090002A" w:rsidRPr="00561F76" w:rsidRDefault="0090002A" w:rsidP="003545E4">
            <w:pPr>
              <w:rPr>
                <w:rFonts w:cs="Arial"/>
                <w:szCs w:val="24"/>
              </w:rPr>
            </w:pPr>
            <w:r w:rsidRPr="00561F76">
              <w:rPr>
                <w:rFonts w:cs="Arial"/>
                <w:szCs w:val="24"/>
              </w:rPr>
              <w:t>Other income and expenditure</w:t>
            </w:r>
          </w:p>
        </w:tc>
        <w:tc>
          <w:tcPr>
            <w:tcW w:w="1735" w:type="dxa"/>
            <w:tcBorders>
              <w:top w:val="single" w:sz="4" w:space="0" w:color="auto"/>
              <w:left w:val="single" w:sz="4" w:space="0" w:color="auto"/>
              <w:bottom w:val="single" w:sz="4" w:space="0" w:color="auto"/>
              <w:right w:val="single" w:sz="4" w:space="0" w:color="auto"/>
            </w:tcBorders>
            <w:vAlign w:val="center"/>
          </w:tcPr>
          <w:p w14:paraId="5A50E65D" w14:textId="7F210528" w:rsidR="0090002A" w:rsidRPr="00561F76" w:rsidRDefault="0090002A" w:rsidP="00036C34">
            <w:pPr>
              <w:jc w:val="right"/>
              <w:rPr>
                <w:rFonts w:cs="Arial"/>
                <w:szCs w:val="24"/>
              </w:rPr>
            </w:pPr>
            <w:r w:rsidRPr="00561F76">
              <w:rPr>
                <w:rFonts w:cs="Arial"/>
                <w:szCs w:val="24"/>
              </w:rPr>
              <w:t>(63,23</w:t>
            </w:r>
            <w:r w:rsidR="00E742A9" w:rsidRPr="00561F76">
              <w:rPr>
                <w:rFonts w:cs="Arial"/>
                <w:szCs w:val="24"/>
              </w:rPr>
              <w:t>9</w:t>
            </w:r>
            <w:r w:rsidRPr="00561F76">
              <w:rPr>
                <w:rFonts w:cs="Arial"/>
                <w:szCs w:val="24"/>
              </w:rPr>
              <w:t>)</w:t>
            </w:r>
          </w:p>
        </w:tc>
        <w:tc>
          <w:tcPr>
            <w:tcW w:w="2376" w:type="dxa"/>
            <w:tcBorders>
              <w:top w:val="single" w:sz="4" w:space="0" w:color="auto"/>
              <w:left w:val="single" w:sz="4" w:space="0" w:color="auto"/>
              <w:bottom w:val="single" w:sz="4" w:space="0" w:color="auto"/>
              <w:right w:val="single" w:sz="4" w:space="0" w:color="auto"/>
            </w:tcBorders>
            <w:vAlign w:val="center"/>
          </w:tcPr>
          <w:p w14:paraId="6CA25D2B" w14:textId="09B521F8" w:rsidR="0090002A" w:rsidRPr="00561F76" w:rsidRDefault="0090002A" w:rsidP="00036C34">
            <w:pPr>
              <w:jc w:val="right"/>
              <w:rPr>
                <w:rFonts w:cs="Arial"/>
                <w:szCs w:val="24"/>
              </w:rPr>
            </w:pPr>
            <w:r w:rsidRPr="00561F76">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2BDD1D3A" w14:textId="42C58A0E" w:rsidR="0090002A" w:rsidRPr="00561F76" w:rsidRDefault="0090002A" w:rsidP="00036C34">
            <w:pPr>
              <w:jc w:val="right"/>
              <w:rPr>
                <w:rFonts w:cs="Arial"/>
                <w:szCs w:val="24"/>
              </w:rPr>
            </w:pPr>
            <w:r w:rsidRPr="00561F76">
              <w:rPr>
                <w:rFonts w:cs="Arial"/>
                <w:szCs w:val="24"/>
              </w:rPr>
              <w:t>(63,23</w:t>
            </w:r>
            <w:r w:rsidR="00E742A9" w:rsidRPr="00561F76">
              <w:rPr>
                <w:rFonts w:cs="Arial"/>
                <w:szCs w:val="24"/>
              </w:rPr>
              <w:t>9</w:t>
            </w:r>
            <w:r w:rsidRPr="00561F76">
              <w:rPr>
                <w:rFonts w:cs="Arial"/>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14:paraId="5CB71568" w14:textId="4AF1B8C5" w:rsidR="0090002A" w:rsidRPr="00561F76" w:rsidRDefault="0090002A" w:rsidP="00233A66">
            <w:pPr>
              <w:jc w:val="right"/>
              <w:rPr>
                <w:rFonts w:cs="Arial"/>
                <w:szCs w:val="24"/>
              </w:rPr>
            </w:pPr>
            <w:r w:rsidRPr="00561F76">
              <w:rPr>
                <w:rFonts w:cs="Arial"/>
                <w:szCs w:val="24"/>
              </w:rPr>
              <w:t xml:space="preserve">23,654 </w:t>
            </w:r>
          </w:p>
        </w:tc>
        <w:tc>
          <w:tcPr>
            <w:tcW w:w="2694" w:type="dxa"/>
            <w:tcBorders>
              <w:top w:val="single" w:sz="4" w:space="0" w:color="auto"/>
              <w:left w:val="single" w:sz="4" w:space="0" w:color="auto"/>
              <w:bottom w:val="single" w:sz="4" w:space="0" w:color="auto"/>
              <w:right w:val="single" w:sz="4" w:space="0" w:color="auto"/>
            </w:tcBorders>
            <w:vAlign w:val="center"/>
          </w:tcPr>
          <w:p w14:paraId="76BD20BA" w14:textId="09987308" w:rsidR="0090002A" w:rsidRPr="00561F76" w:rsidRDefault="0090002A" w:rsidP="00233A66">
            <w:pPr>
              <w:jc w:val="right"/>
              <w:rPr>
                <w:rFonts w:cs="Arial"/>
                <w:szCs w:val="24"/>
              </w:rPr>
            </w:pPr>
            <w:r w:rsidRPr="00561F76">
              <w:rPr>
                <w:rFonts w:cs="Arial"/>
                <w:szCs w:val="24"/>
              </w:rPr>
              <w:t>(39,58</w:t>
            </w:r>
            <w:r w:rsidR="00E742A9" w:rsidRPr="00561F76">
              <w:rPr>
                <w:rFonts w:cs="Arial"/>
                <w:szCs w:val="24"/>
              </w:rPr>
              <w:t>5</w:t>
            </w:r>
            <w:r w:rsidRPr="00561F76">
              <w:rPr>
                <w:rFonts w:cs="Arial"/>
                <w:szCs w:val="24"/>
              </w:rPr>
              <w:t>)</w:t>
            </w:r>
          </w:p>
        </w:tc>
      </w:tr>
      <w:tr w:rsidR="0090002A" w:rsidRPr="000E606D" w14:paraId="1AE897AF" w14:textId="77777777" w:rsidTr="00233A66">
        <w:tc>
          <w:tcPr>
            <w:tcW w:w="3641" w:type="dxa"/>
            <w:tcBorders>
              <w:top w:val="single" w:sz="4" w:space="0" w:color="auto"/>
              <w:left w:val="single" w:sz="4" w:space="0" w:color="auto"/>
              <w:bottom w:val="single" w:sz="4" w:space="0" w:color="auto"/>
              <w:right w:val="single" w:sz="4" w:space="0" w:color="auto"/>
            </w:tcBorders>
          </w:tcPr>
          <w:p w14:paraId="6EA3E1DA" w14:textId="77777777" w:rsidR="0090002A" w:rsidRPr="00561F76" w:rsidRDefault="0090002A" w:rsidP="003545E4">
            <w:pPr>
              <w:rPr>
                <w:rFonts w:cs="Arial"/>
                <w:b/>
                <w:szCs w:val="24"/>
              </w:rPr>
            </w:pPr>
            <w:r w:rsidRPr="00561F76">
              <w:rPr>
                <w:rFonts w:cs="Arial"/>
                <w:b/>
                <w:szCs w:val="24"/>
              </w:rPr>
              <w:t>Surplus on provision of services</w:t>
            </w:r>
          </w:p>
        </w:tc>
        <w:tc>
          <w:tcPr>
            <w:tcW w:w="1735" w:type="dxa"/>
            <w:tcBorders>
              <w:top w:val="single" w:sz="4" w:space="0" w:color="auto"/>
              <w:left w:val="single" w:sz="4" w:space="0" w:color="auto"/>
              <w:bottom w:val="single" w:sz="4" w:space="0" w:color="auto"/>
              <w:right w:val="single" w:sz="4" w:space="0" w:color="auto"/>
            </w:tcBorders>
            <w:vAlign w:val="center"/>
          </w:tcPr>
          <w:p w14:paraId="201C5DE9" w14:textId="2EEB566C" w:rsidR="0090002A" w:rsidRPr="00036C34" w:rsidRDefault="0090002A" w:rsidP="00036C34">
            <w:pPr>
              <w:jc w:val="right"/>
              <w:rPr>
                <w:rFonts w:cs="Arial"/>
                <w:b/>
                <w:bCs/>
                <w:szCs w:val="24"/>
              </w:rPr>
            </w:pPr>
            <w:r w:rsidRPr="00036C34">
              <w:rPr>
                <w:rFonts w:cs="Arial"/>
                <w:b/>
                <w:bCs/>
                <w:szCs w:val="24"/>
              </w:rPr>
              <w:t>1,6</w:t>
            </w:r>
            <w:r w:rsidR="00E742A9" w:rsidRPr="00036C34">
              <w:rPr>
                <w:rFonts w:cs="Arial"/>
                <w:b/>
                <w:bCs/>
                <w:szCs w:val="24"/>
              </w:rPr>
              <w:t>7</w:t>
            </w:r>
            <w:r w:rsidRPr="00036C34">
              <w:rPr>
                <w:rFonts w:cs="Arial"/>
                <w:b/>
                <w:bCs/>
                <w:szCs w:val="24"/>
              </w:rPr>
              <w:t xml:space="preserve">3 </w:t>
            </w:r>
          </w:p>
        </w:tc>
        <w:tc>
          <w:tcPr>
            <w:tcW w:w="2376" w:type="dxa"/>
            <w:tcBorders>
              <w:top w:val="single" w:sz="4" w:space="0" w:color="auto"/>
              <w:left w:val="single" w:sz="4" w:space="0" w:color="auto"/>
              <w:bottom w:val="single" w:sz="4" w:space="0" w:color="auto"/>
              <w:right w:val="single" w:sz="4" w:space="0" w:color="auto"/>
            </w:tcBorders>
            <w:vAlign w:val="center"/>
          </w:tcPr>
          <w:p w14:paraId="7B4B74E7" w14:textId="04E4D5DA" w:rsidR="0090002A" w:rsidRPr="00036C34" w:rsidRDefault="0090002A" w:rsidP="00036C34">
            <w:pPr>
              <w:jc w:val="right"/>
              <w:rPr>
                <w:rFonts w:cs="Arial"/>
                <w:b/>
                <w:bCs/>
                <w:szCs w:val="24"/>
              </w:rPr>
            </w:pPr>
            <w:r w:rsidRPr="00036C34">
              <w:rPr>
                <w:rFonts w:cs="Arial"/>
                <w:b/>
                <w:bCs/>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18D0CA24" w14:textId="70B90768" w:rsidR="0090002A" w:rsidRPr="00036C34" w:rsidRDefault="0090002A" w:rsidP="00036C34">
            <w:pPr>
              <w:jc w:val="right"/>
              <w:rPr>
                <w:rFonts w:cs="Arial"/>
                <w:b/>
                <w:bCs/>
                <w:szCs w:val="24"/>
              </w:rPr>
            </w:pPr>
            <w:r w:rsidRPr="00036C34">
              <w:rPr>
                <w:rFonts w:cs="Arial"/>
                <w:b/>
                <w:bCs/>
                <w:szCs w:val="24"/>
              </w:rPr>
              <w:t>1,6</w:t>
            </w:r>
            <w:r w:rsidR="004C1F44" w:rsidRPr="00036C34">
              <w:rPr>
                <w:rFonts w:cs="Arial"/>
                <w:b/>
                <w:bCs/>
                <w:szCs w:val="24"/>
              </w:rPr>
              <w:t>7</w:t>
            </w:r>
            <w:r w:rsidRPr="00036C34">
              <w:rPr>
                <w:rFonts w:cs="Arial"/>
                <w:b/>
                <w:bCs/>
                <w:szCs w:val="24"/>
              </w:rPr>
              <w:t xml:space="preserve">3 </w:t>
            </w:r>
          </w:p>
        </w:tc>
        <w:tc>
          <w:tcPr>
            <w:tcW w:w="2551" w:type="dxa"/>
            <w:tcBorders>
              <w:top w:val="single" w:sz="4" w:space="0" w:color="auto"/>
              <w:left w:val="single" w:sz="4" w:space="0" w:color="auto"/>
              <w:bottom w:val="single" w:sz="4" w:space="0" w:color="auto"/>
              <w:right w:val="single" w:sz="4" w:space="0" w:color="auto"/>
            </w:tcBorders>
            <w:vAlign w:val="center"/>
          </w:tcPr>
          <w:p w14:paraId="1CE7833F" w14:textId="68890692" w:rsidR="0090002A" w:rsidRPr="00036C34" w:rsidRDefault="0090002A" w:rsidP="00233A66">
            <w:pPr>
              <w:jc w:val="right"/>
              <w:rPr>
                <w:rFonts w:cs="Arial"/>
                <w:b/>
                <w:bCs/>
                <w:szCs w:val="24"/>
              </w:rPr>
            </w:pPr>
            <w:r w:rsidRPr="00036C34">
              <w:rPr>
                <w:rFonts w:cs="Arial"/>
                <w:b/>
                <w:bCs/>
                <w:szCs w:val="24"/>
              </w:rPr>
              <w:t>13,67</w:t>
            </w:r>
            <w:r w:rsidR="00DA5036" w:rsidRPr="00036C34">
              <w:rPr>
                <w:rFonts w:cs="Arial"/>
                <w:b/>
                <w:bCs/>
                <w:szCs w:val="24"/>
              </w:rPr>
              <w:t>4</w:t>
            </w:r>
            <w:r w:rsidRPr="00036C34">
              <w:rPr>
                <w:rFonts w:cs="Arial"/>
                <w:b/>
                <w:bCs/>
                <w:szCs w:val="24"/>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14:paraId="78A2DC41" w14:textId="623B9664" w:rsidR="0090002A" w:rsidRPr="00561F76" w:rsidRDefault="0090002A" w:rsidP="00233A66">
            <w:pPr>
              <w:jc w:val="right"/>
              <w:rPr>
                <w:rFonts w:cs="Arial"/>
                <w:b/>
                <w:szCs w:val="24"/>
              </w:rPr>
            </w:pPr>
            <w:r w:rsidRPr="00561F76">
              <w:rPr>
                <w:rFonts w:cs="Arial"/>
                <w:b/>
                <w:szCs w:val="24"/>
              </w:rPr>
              <w:t>15,3</w:t>
            </w:r>
            <w:r w:rsidR="00E742A9" w:rsidRPr="00561F76">
              <w:rPr>
                <w:rFonts w:cs="Arial"/>
                <w:b/>
                <w:szCs w:val="24"/>
              </w:rPr>
              <w:t>4</w:t>
            </w:r>
            <w:r w:rsidRPr="00561F76">
              <w:rPr>
                <w:rFonts w:cs="Arial"/>
                <w:b/>
                <w:szCs w:val="24"/>
              </w:rPr>
              <w:t xml:space="preserve">7 </w:t>
            </w:r>
          </w:p>
        </w:tc>
      </w:tr>
    </w:tbl>
    <w:p w14:paraId="5E8A772F" w14:textId="77777777" w:rsidR="00DD2894" w:rsidRDefault="00DD2894"/>
    <w:tbl>
      <w:tblPr>
        <w:tblStyle w:val="TableGrid"/>
        <w:tblW w:w="9497" w:type="dxa"/>
        <w:tblInd w:w="704" w:type="dxa"/>
        <w:tblLayout w:type="fixed"/>
        <w:tblLook w:val="04A0" w:firstRow="1" w:lastRow="0" w:firstColumn="1" w:lastColumn="0" w:noHBand="0" w:noVBand="1"/>
      </w:tblPr>
      <w:tblGrid>
        <w:gridCol w:w="7796"/>
        <w:gridCol w:w="1701"/>
      </w:tblGrid>
      <w:tr w:rsidR="0005100D" w14:paraId="2563BCB2" w14:textId="77777777" w:rsidTr="00233A66">
        <w:tc>
          <w:tcPr>
            <w:tcW w:w="7796" w:type="dxa"/>
            <w:tcBorders>
              <w:top w:val="single" w:sz="4" w:space="0" w:color="auto"/>
              <w:left w:val="single" w:sz="4" w:space="0" w:color="auto"/>
              <w:bottom w:val="single" w:sz="4" w:space="0" w:color="auto"/>
              <w:right w:val="single" w:sz="4" w:space="0" w:color="auto"/>
            </w:tcBorders>
          </w:tcPr>
          <w:p w14:paraId="45ECB2EE" w14:textId="520BFDDC" w:rsidR="0005100D" w:rsidRPr="00A13728" w:rsidRDefault="00A13728">
            <w:pPr>
              <w:rPr>
                <w:rFonts w:cs="Arial"/>
                <w:b/>
                <w:bCs/>
                <w:szCs w:val="24"/>
              </w:rPr>
            </w:pPr>
            <w:r w:rsidRPr="00A13728">
              <w:rPr>
                <w:rFonts w:cs="Arial"/>
                <w:b/>
                <w:bCs/>
                <w:szCs w:val="24"/>
              </w:rPr>
              <w:t>Opening General Fund balance</w:t>
            </w:r>
          </w:p>
        </w:tc>
        <w:tc>
          <w:tcPr>
            <w:tcW w:w="1701" w:type="dxa"/>
            <w:tcBorders>
              <w:top w:val="single" w:sz="4" w:space="0" w:color="auto"/>
              <w:left w:val="single" w:sz="4" w:space="0" w:color="auto"/>
              <w:bottom w:val="single" w:sz="4" w:space="0" w:color="auto"/>
              <w:right w:val="single" w:sz="4" w:space="0" w:color="auto"/>
            </w:tcBorders>
            <w:vAlign w:val="center"/>
          </w:tcPr>
          <w:p w14:paraId="24993A71" w14:textId="308BF89C" w:rsidR="0005100D" w:rsidRPr="00A13728" w:rsidRDefault="00A13728" w:rsidP="00233A66">
            <w:pPr>
              <w:ind w:right="136"/>
              <w:jc w:val="right"/>
              <w:rPr>
                <w:rFonts w:cs="Arial"/>
                <w:b/>
                <w:bCs/>
                <w:szCs w:val="24"/>
              </w:rPr>
            </w:pPr>
            <w:r w:rsidRPr="00A13728">
              <w:rPr>
                <w:rFonts w:cs="Arial"/>
                <w:b/>
                <w:bCs/>
                <w:szCs w:val="24"/>
              </w:rPr>
              <w:t xml:space="preserve">(6,536) </w:t>
            </w:r>
          </w:p>
        </w:tc>
      </w:tr>
      <w:tr w:rsidR="0005100D" w14:paraId="7CEC607C" w14:textId="77777777" w:rsidTr="00233A66">
        <w:tc>
          <w:tcPr>
            <w:tcW w:w="7796" w:type="dxa"/>
            <w:tcBorders>
              <w:top w:val="single" w:sz="4" w:space="0" w:color="auto"/>
              <w:left w:val="single" w:sz="4" w:space="0" w:color="auto"/>
              <w:bottom w:val="single" w:sz="4" w:space="0" w:color="auto"/>
              <w:right w:val="single" w:sz="4" w:space="0" w:color="auto"/>
            </w:tcBorders>
          </w:tcPr>
          <w:p w14:paraId="7E4AC29D" w14:textId="69AB222D" w:rsidR="0005100D" w:rsidRPr="00A13728" w:rsidRDefault="00A13728">
            <w:pPr>
              <w:rPr>
                <w:rFonts w:cs="Arial"/>
                <w:szCs w:val="24"/>
              </w:rPr>
            </w:pPr>
            <w:r>
              <w:rPr>
                <w:rFonts w:cs="Arial"/>
                <w:szCs w:val="24"/>
              </w:rPr>
              <w:t>Surplus on provision of services</w:t>
            </w:r>
          </w:p>
        </w:tc>
        <w:tc>
          <w:tcPr>
            <w:tcW w:w="1701" w:type="dxa"/>
            <w:tcBorders>
              <w:top w:val="single" w:sz="4" w:space="0" w:color="auto"/>
              <w:left w:val="single" w:sz="4" w:space="0" w:color="auto"/>
              <w:bottom w:val="single" w:sz="4" w:space="0" w:color="auto"/>
              <w:right w:val="single" w:sz="4" w:space="0" w:color="auto"/>
            </w:tcBorders>
            <w:vAlign w:val="center"/>
          </w:tcPr>
          <w:p w14:paraId="15190BF5" w14:textId="7BB35FA8" w:rsidR="0005100D" w:rsidRPr="00A13728" w:rsidRDefault="00A13728" w:rsidP="00233A66">
            <w:pPr>
              <w:ind w:right="136"/>
              <w:jc w:val="right"/>
              <w:rPr>
                <w:rFonts w:cs="Arial"/>
                <w:szCs w:val="24"/>
              </w:rPr>
            </w:pPr>
            <w:r>
              <w:rPr>
                <w:rFonts w:cs="Arial"/>
                <w:szCs w:val="24"/>
              </w:rPr>
              <w:t>1,673</w:t>
            </w:r>
          </w:p>
        </w:tc>
      </w:tr>
      <w:tr w:rsidR="0005100D" w14:paraId="21D48A6A" w14:textId="77777777" w:rsidTr="00233A66">
        <w:tc>
          <w:tcPr>
            <w:tcW w:w="7796" w:type="dxa"/>
            <w:tcBorders>
              <w:top w:val="single" w:sz="4" w:space="0" w:color="auto"/>
              <w:left w:val="single" w:sz="4" w:space="0" w:color="auto"/>
              <w:bottom w:val="single" w:sz="4" w:space="0" w:color="auto"/>
              <w:right w:val="single" w:sz="4" w:space="0" w:color="auto"/>
            </w:tcBorders>
          </w:tcPr>
          <w:p w14:paraId="133E74E1" w14:textId="7881EBEB" w:rsidR="0005100D" w:rsidRPr="00A13728" w:rsidRDefault="00A13728">
            <w:pPr>
              <w:rPr>
                <w:rFonts w:cs="Arial"/>
                <w:szCs w:val="24"/>
              </w:rPr>
            </w:pPr>
            <w:r>
              <w:rPr>
                <w:rFonts w:cs="Arial"/>
                <w:szCs w:val="24"/>
              </w:rPr>
              <w:t>NWFC recognise 25% surplus on provision of services</w:t>
            </w:r>
          </w:p>
        </w:tc>
        <w:tc>
          <w:tcPr>
            <w:tcW w:w="1701" w:type="dxa"/>
            <w:tcBorders>
              <w:top w:val="single" w:sz="4" w:space="0" w:color="auto"/>
              <w:left w:val="single" w:sz="4" w:space="0" w:color="auto"/>
              <w:bottom w:val="single" w:sz="4" w:space="0" w:color="auto"/>
              <w:right w:val="single" w:sz="4" w:space="0" w:color="auto"/>
            </w:tcBorders>
            <w:vAlign w:val="center"/>
          </w:tcPr>
          <w:p w14:paraId="5E168AB8" w14:textId="1E6FCF8B" w:rsidR="0005100D" w:rsidRPr="00A13728" w:rsidRDefault="00A13728" w:rsidP="00233A66">
            <w:pPr>
              <w:ind w:right="136"/>
              <w:jc w:val="right"/>
              <w:rPr>
                <w:rFonts w:cs="Arial"/>
                <w:szCs w:val="24"/>
              </w:rPr>
            </w:pPr>
            <w:r>
              <w:rPr>
                <w:rFonts w:cs="Arial"/>
                <w:szCs w:val="24"/>
              </w:rPr>
              <w:t>(24)</w:t>
            </w:r>
          </w:p>
        </w:tc>
      </w:tr>
      <w:tr w:rsidR="0005100D" w14:paraId="210BE176" w14:textId="77777777" w:rsidTr="00233A66">
        <w:tc>
          <w:tcPr>
            <w:tcW w:w="7796" w:type="dxa"/>
            <w:tcBorders>
              <w:top w:val="single" w:sz="4" w:space="0" w:color="auto"/>
              <w:left w:val="single" w:sz="4" w:space="0" w:color="auto"/>
              <w:bottom w:val="single" w:sz="4" w:space="0" w:color="auto"/>
              <w:right w:val="single" w:sz="4" w:space="0" w:color="auto"/>
            </w:tcBorders>
          </w:tcPr>
          <w:p w14:paraId="71CEC89D" w14:textId="183CD82A" w:rsidR="0005100D" w:rsidRPr="00A13728" w:rsidRDefault="00A13728">
            <w:pPr>
              <w:rPr>
                <w:rFonts w:cs="Arial"/>
                <w:b/>
                <w:bCs/>
                <w:szCs w:val="24"/>
              </w:rPr>
            </w:pPr>
            <w:r>
              <w:rPr>
                <w:rFonts w:cs="Arial"/>
                <w:b/>
                <w:bCs/>
                <w:szCs w:val="24"/>
              </w:rPr>
              <w:t>Closing General Fund balance</w:t>
            </w:r>
          </w:p>
        </w:tc>
        <w:tc>
          <w:tcPr>
            <w:tcW w:w="1701" w:type="dxa"/>
            <w:tcBorders>
              <w:top w:val="single" w:sz="4" w:space="0" w:color="auto"/>
              <w:left w:val="single" w:sz="4" w:space="0" w:color="auto"/>
              <w:bottom w:val="single" w:sz="4" w:space="0" w:color="auto"/>
              <w:right w:val="single" w:sz="4" w:space="0" w:color="auto"/>
            </w:tcBorders>
            <w:vAlign w:val="center"/>
          </w:tcPr>
          <w:p w14:paraId="24F33383" w14:textId="03B12386" w:rsidR="0005100D" w:rsidRPr="00A13728" w:rsidRDefault="00A13728" w:rsidP="00233A66">
            <w:pPr>
              <w:ind w:right="136"/>
              <w:jc w:val="right"/>
              <w:rPr>
                <w:rFonts w:cs="Arial"/>
                <w:b/>
                <w:bCs/>
                <w:szCs w:val="24"/>
              </w:rPr>
            </w:pPr>
            <w:r w:rsidRPr="00A13728">
              <w:rPr>
                <w:rFonts w:cs="Arial"/>
                <w:b/>
                <w:bCs/>
                <w:szCs w:val="24"/>
              </w:rPr>
              <w:t>(4,887)</w:t>
            </w:r>
          </w:p>
        </w:tc>
      </w:tr>
    </w:tbl>
    <w:p w14:paraId="6B65521D" w14:textId="6B838D54" w:rsidR="00296A09" w:rsidRPr="00AF3DCD" w:rsidRDefault="00296A09">
      <w:pPr>
        <w:rPr>
          <w:sz w:val="22"/>
        </w:rPr>
      </w:pPr>
      <w:r w:rsidRPr="00AF3DCD">
        <w:rPr>
          <w:sz w:val="22"/>
        </w:rPr>
        <w:br w:type="page"/>
      </w:r>
    </w:p>
    <w:p w14:paraId="290C20DE" w14:textId="77777777" w:rsidR="00EB122C" w:rsidRPr="00AF3DCD" w:rsidRDefault="00EB122C" w:rsidP="001E612D">
      <w:pPr>
        <w:ind w:left="720"/>
        <w:jc w:val="both"/>
        <w:rPr>
          <w:sz w:val="22"/>
        </w:rPr>
      </w:pPr>
    </w:p>
    <w:tbl>
      <w:tblPr>
        <w:tblStyle w:val="TableGrid"/>
        <w:tblW w:w="1473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41"/>
        <w:gridCol w:w="1735"/>
        <w:gridCol w:w="2376"/>
        <w:gridCol w:w="1701"/>
        <w:gridCol w:w="2551"/>
        <w:gridCol w:w="2727"/>
      </w:tblGrid>
      <w:tr w:rsidR="00E16D4F" w:rsidRPr="00A864CD" w14:paraId="3BC8F724" w14:textId="77777777" w:rsidTr="00611673">
        <w:trPr>
          <w:tblHeader/>
        </w:trPr>
        <w:tc>
          <w:tcPr>
            <w:tcW w:w="3641" w:type="dxa"/>
            <w:tcBorders>
              <w:top w:val="single" w:sz="4" w:space="0" w:color="auto"/>
              <w:left w:val="single" w:sz="4" w:space="0" w:color="auto"/>
              <w:bottom w:val="single" w:sz="4" w:space="0" w:color="auto"/>
              <w:right w:val="single" w:sz="4" w:space="0" w:color="auto"/>
            </w:tcBorders>
            <w:shd w:val="clear" w:color="auto" w:fill="BD2716"/>
            <w:vAlign w:val="center"/>
          </w:tcPr>
          <w:p w14:paraId="5155A1B7" w14:textId="29A688D2" w:rsidR="00E16D4F" w:rsidRPr="00036C34" w:rsidRDefault="00E16D4F" w:rsidP="00611673">
            <w:pPr>
              <w:rPr>
                <w:bCs/>
                <w:color w:val="FFFFFF" w:themeColor="background1"/>
                <w:szCs w:val="24"/>
              </w:rPr>
            </w:pPr>
            <w:r w:rsidRPr="00036C34">
              <w:rPr>
                <w:color w:val="FFFFFF" w:themeColor="background1"/>
                <w:szCs w:val="24"/>
              </w:rPr>
              <w:br w:type="page"/>
            </w:r>
            <w:r w:rsidRPr="00036C34">
              <w:rPr>
                <w:bCs/>
                <w:color w:val="FFFFFF" w:themeColor="background1"/>
                <w:szCs w:val="24"/>
              </w:rPr>
              <w:t>2021/22</w:t>
            </w:r>
          </w:p>
        </w:tc>
        <w:tc>
          <w:tcPr>
            <w:tcW w:w="1735" w:type="dxa"/>
            <w:tcBorders>
              <w:top w:val="single" w:sz="4" w:space="0" w:color="auto"/>
              <w:left w:val="single" w:sz="4" w:space="0" w:color="auto"/>
              <w:bottom w:val="single" w:sz="4" w:space="0" w:color="auto"/>
              <w:right w:val="single" w:sz="4" w:space="0" w:color="auto"/>
            </w:tcBorders>
            <w:shd w:val="clear" w:color="auto" w:fill="BD2716"/>
            <w:vAlign w:val="center"/>
          </w:tcPr>
          <w:p w14:paraId="758903A8" w14:textId="77777777" w:rsidR="00E16D4F" w:rsidRPr="00036C34" w:rsidRDefault="00E16D4F" w:rsidP="00611673">
            <w:pPr>
              <w:jc w:val="right"/>
              <w:rPr>
                <w:color w:val="FFFFFF" w:themeColor="background1"/>
                <w:szCs w:val="24"/>
              </w:rPr>
            </w:pPr>
            <w:r w:rsidRPr="00036C34">
              <w:rPr>
                <w:color w:val="FFFFFF" w:themeColor="background1"/>
                <w:szCs w:val="24"/>
              </w:rPr>
              <w:t>As reported for resource management</w:t>
            </w:r>
          </w:p>
          <w:p w14:paraId="5D29C4BE" w14:textId="50B97FB4" w:rsidR="00AE0F22" w:rsidRPr="00036C34" w:rsidRDefault="00AE0F22" w:rsidP="00611673">
            <w:pPr>
              <w:jc w:val="right"/>
              <w:rPr>
                <w:color w:val="FFFFFF" w:themeColor="background1"/>
                <w:szCs w:val="24"/>
              </w:rPr>
            </w:pPr>
            <w:r w:rsidRPr="00036C34">
              <w:rPr>
                <w:color w:val="FFFFFF" w:themeColor="background1"/>
                <w:szCs w:val="24"/>
              </w:rPr>
              <w:t>£000</w:t>
            </w:r>
          </w:p>
        </w:tc>
        <w:tc>
          <w:tcPr>
            <w:tcW w:w="2376" w:type="dxa"/>
            <w:tcBorders>
              <w:top w:val="single" w:sz="4" w:space="0" w:color="auto"/>
              <w:left w:val="single" w:sz="4" w:space="0" w:color="auto"/>
              <w:bottom w:val="single" w:sz="4" w:space="0" w:color="auto"/>
              <w:right w:val="single" w:sz="4" w:space="0" w:color="auto"/>
            </w:tcBorders>
            <w:shd w:val="clear" w:color="auto" w:fill="BD2716"/>
            <w:vAlign w:val="center"/>
          </w:tcPr>
          <w:p w14:paraId="15E6407E" w14:textId="77777777" w:rsidR="00AE0F22" w:rsidRPr="00036C34" w:rsidRDefault="00E16D4F" w:rsidP="00611673">
            <w:pPr>
              <w:jc w:val="right"/>
              <w:rPr>
                <w:color w:val="FFFFFF" w:themeColor="background1"/>
                <w:szCs w:val="24"/>
              </w:rPr>
            </w:pPr>
            <w:r w:rsidRPr="00036C34">
              <w:rPr>
                <w:color w:val="FFFFFF" w:themeColor="background1"/>
                <w:szCs w:val="24"/>
              </w:rPr>
              <w:t>Adjustment to arrive at the amount chargeable to the General Fund (Note 1a)</w:t>
            </w:r>
          </w:p>
          <w:p w14:paraId="266D9001" w14:textId="36C2B9CF" w:rsidR="00E16D4F" w:rsidRPr="00036C34" w:rsidRDefault="00AE0F22" w:rsidP="00611673">
            <w:pPr>
              <w:jc w:val="right"/>
              <w:rPr>
                <w:color w:val="FFFFFF" w:themeColor="background1"/>
                <w:szCs w:val="24"/>
              </w:rPr>
            </w:pPr>
            <w:r w:rsidRPr="00036C34">
              <w:rPr>
                <w:color w:val="FFFFFF" w:themeColor="background1"/>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BD2716"/>
            <w:vAlign w:val="center"/>
          </w:tcPr>
          <w:p w14:paraId="46A768C3" w14:textId="77777777" w:rsidR="00E16D4F" w:rsidRPr="00036C34" w:rsidRDefault="00E16D4F" w:rsidP="00611673">
            <w:pPr>
              <w:jc w:val="right"/>
              <w:rPr>
                <w:color w:val="FFFFFF" w:themeColor="background1"/>
                <w:szCs w:val="24"/>
              </w:rPr>
            </w:pPr>
            <w:r w:rsidRPr="00036C34">
              <w:rPr>
                <w:color w:val="FFFFFF" w:themeColor="background1"/>
                <w:szCs w:val="24"/>
              </w:rPr>
              <w:t>Net chargeable to the General Fund</w:t>
            </w:r>
          </w:p>
          <w:p w14:paraId="543A4E2E" w14:textId="7AA4342F" w:rsidR="00AE0F22" w:rsidRPr="00036C34" w:rsidRDefault="00AE0F22" w:rsidP="00611673">
            <w:pPr>
              <w:jc w:val="right"/>
              <w:rPr>
                <w:color w:val="FFFFFF" w:themeColor="background1"/>
                <w:szCs w:val="24"/>
              </w:rPr>
            </w:pPr>
            <w:r w:rsidRPr="00036C34">
              <w:rPr>
                <w:color w:val="FFFFFF" w:themeColor="background1"/>
                <w:szCs w:val="24"/>
              </w:rPr>
              <w:t>£000</w:t>
            </w:r>
          </w:p>
        </w:tc>
        <w:tc>
          <w:tcPr>
            <w:tcW w:w="2551" w:type="dxa"/>
            <w:tcBorders>
              <w:top w:val="single" w:sz="4" w:space="0" w:color="auto"/>
              <w:left w:val="single" w:sz="4" w:space="0" w:color="auto"/>
              <w:bottom w:val="single" w:sz="4" w:space="0" w:color="auto"/>
              <w:right w:val="single" w:sz="4" w:space="0" w:color="auto"/>
            </w:tcBorders>
            <w:shd w:val="clear" w:color="auto" w:fill="BD2716"/>
            <w:vAlign w:val="center"/>
          </w:tcPr>
          <w:p w14:paraId="3BDC6DEB" w14:textId="77777777" w:rsidR="00E16D4F" w:rsidRPr="00036C34" w:rsidRDefault="00E16D4F" w:rsidP="00611673">
            <w:pPr>
              <w:jc w:val="right"/>
              <w:rPr>
                <w:color w:val="FFFFFF" w:themeColor="background1"/>
                <w:szCs w:val="24"/>
              </w:rPr>
            </w:pPr>
            <w:r w:rsidRPr="00036C34">
              <w:rPr>
                <w:color w:val="FFFFFF" w:themeColor="background1"/>
                <w:szCs w:val="24"/>
              </w:rPr>
              <w:t>Adjustments between the Funding and Accounting basis (Note 1a)</w:t>
            </w:r>
          </w:p>
          <w:p w14:paraId="5BD6100E" w14:textId="359E954F" w:rsidR="00AE0F22" w:rsidRPr="00036C34" w:rsidRDefault="00AE0F22" w:rsidP="00611673">
            <w:pPr>
              <w:jc w:val="right"/>
              <w:rPr>
                <w:color w:val="FFFFFF" w:themeColor="background1"/>
                <w:szCs w:val="24"/>
              </w:rPr>
            </w:pPr>
            <w:r w:rsidRPr="00036C34">
              <w:rPr>
                <w:color w:val="FFFFFF" w:themeColor="background1"/>
                <w:szCs w:val="24"/>
              </w:rPr>
              <w:t>£000</w:t>
            </w:r>
          </w:p>
        </w:tc>
        <w:tc>
          <w:tcPr>
            <w:tcW w:w="2727" w:type="dxa"/>
            <w:tcBorders>
              <w:top w:val="single" w:sz="4" w:space="0" w:color="auto"/>
              <w:left w:val="single" w:sz="4" w:space="0" w:color="auto"/>
              <w:bottom w:val="single" w:sz="4" w:space="0" w:color="auto"/>
              <w:right w:val="single" w:sz="4" w:space="0" w:color="auto"/>
            </w:tcBorders>
            <w:shd w:val="clear" w:color="auto" w:fill="BD2716"/>
            <w:vAlign w:val="center"/>
          </w:tcPr>
          <w:p w14:paraId="765E658F" w14:textId="77777777" w:rsidR="00E16D4F" w:rsidRPr="00036C34" w:rsidRDefault="00E16D4F" w:rsidP="00611673">
            <w:pPr>
              <w:jc w:val="right"/>
              <w:rPr>
                <w:color w:val="FFFFFF" w:themeColor="background1"/>
                <w:szCs w:val="24"/>
              </w:rPr>
            </w:pPr>
            <w:r w:rsidRPr="00036C34">
              <w:rPr>
                <w:color w:val="FFFFFF" w:themeColor="background1"/>
                <w:szCs w:val="24"/>
              </w:rPr>
              <w:t>Net Expenditure in the Comprehensive Income and Expenditure Statement</w:t>
            </w:r>
          </w:p>
          <w:p w14:paraId="3E32BEA8" w14:textId="5FDA566A" w:rsidR="00AE0F22" w:rsidRPr="00036C34" w:rsidRDefault="00AE0F22" w:rsidP="00611673">
            <w:pPr>
              <w:jc w:val="right"/>
              <w:rPr>
                <w:color w:val="FFFFFF" w:themeColor="background1"/>
                <w:szCs w:val="24"/>
              </w:rPr>
            </w:pPr>
            <w:r w:rsidRPr="00036C34">
              <w:rPr>
                <w:color w:val="FFFFFF" w:themeColor="background1"/>
                <w:szCs w:val="24"/>
              </w:rPr>
              <w:t>£000</w:t>
            </w:r>
          </w:p>
        </w:tc>
      </w:tr>
      <w:tr w:rsidR="00E16D4F" w:rsidRPr="00A864CD" w14:paraId="4164065D" w14:textId="77777777" w:rsidTr="00233A66">
        <w:tc>
          <w:tcPr>
            <w:tcW w:w="3641" w:type="dxa"/>
            <w:tcBorders>
              <w:top w:val="single" w:sz="4" w:space="0" w:color="auto"/>
              <w:left w:val="single" w:sz="4" w:space="0" w:color="auto"/>
              <w:bottom w:val="single" w:sz="4" w:space="0" w:color="auto"/>
              <w:right w:val="single" w:sz="4" w:space="0" w:color="auto"/>
            </w:tcBorders>
          </w:tcPr>
          <w:p w14:paraId="0BA2B34E" w14:textId="450739CE" w:rsidR="00E16D4F" w:rsidRPr="00A864CD" w:rsidRDefault="00E16D4F" w:rsidP="003545E4">
            <w:pPr>
              <w:rPr>
                <w:szCs w:val="24"/>
              </w:rPr>
            </w:pPr>
            <w:r w:rsidRPr="00A864CD">
              <w:rPr>
                <w:szCs w:val="24"/>
              </w:rPr>
              <w:t>Service Delivery</w:t>
            </w:r>
          </w:p>
        </w:tc>
        <w:tc>
          <w:tcPr>
            <w:tcW w:w="1735" w:type="dxa"/>
            <w:tcBorders>
              <w:top w:val="single" w:sz="4" w:space="0" w:color="auto"/>
              <w:left w:val="single" w:sz="4" w:space="0" w:color="auto"/>
              <w:bottom w:val="single" w:sz="4" w:space="0" w:color="auto"/>
              <w:right w:val="single" w:sz="4" w:space="0" w:color="auto"/>
            </w:tcBorders>
            <w:vAlign w:val="center"/>
          </w:tcPr>
          <w:p w14:paraId="7BC563C4" w14:textId="06195786" w:rsidR="00E16D4F" w:rsidRPr="00036C34" w:rsidRDefault="00E16D4F" w:rsidP="00036C34">
            <w:pPr>
              <w:jc w:val="right"/>
              <w:rPr>
                <w:rFonts w:cs="Arial"/>
                <w:szCs w:val="24"/>
              </w:rPr>
            </w:pPr>
            <w:r w:rsidRPr="00036C34">
              <w:rPr>
                <w:rFonts w:cs="Arial"/>
                <w:szCs w:val="24"/>
              </w:rPr>
              <w:t xml:space="preserve">38,712 </w:t>
            </w:r>
          </w:p>
        </w:tc>
        <w:tc>
          <w:tcPr>
            <w:tcW w:w="2376" w:type="dxa"/>
            <w:tcBorders>
              <w:top w:val="single" w:sz="4" w:space="0" w:color="auto"/>
              <w:left w:val="single" w:sz="4" w:space="0" w:color="auto"/>
              <w:bottom w:val="single" w:sz="4" w:space="0" w:color="auto"/>
              <w:right w:val="single" w:sz="4" w:space="0" w:color="auto"/>
            </w:tcBorders>
            <w:vAlign w:val="center"/>
          </w:tcPr>
          <w:p w14:paraId="5E914B64" w14:textId="3BBA87FB" w:rsidR="00E16D4F" w:rsidRPr="00036C34" w:rsidRDefault="00E16D4F" w:rsidP="00036C34">
            <w:pPr>
              <w:jc w:val="right"/>
              <w:rPr>
                <w:rFonts w:cs="Arial"/>
                <w:szCs w:val="24"/>
              </w:rPr>
            </w:pPr>
            <w:r w:rsidRPr="00036C34">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07061878" w14:textId="4C0F8A2A" w:rsidR="00E16D4F" w:rsidRPr="00036C34" w:rsidRDefault="00E16D4F" w:rsidP="00036C34">
            <w:pPr>
              <w:jc w:val="right"/>
              <w:rPr>
                <w:rFonts w:cs="Arial"/>
                <w:szCs w:val="24"/>
              </w:rPr>
            </w:pPr>
            <w:r w:rsidRPr="00036C34">
              <w:rPr>
                <w:rFonts w:cs="Arial"/>
                <w:szCs w:val="24"/>
              </w:rPr>
              <w:t xml:space="preserve">38,712 </w:t>
            </w:r>
          </w:p>
        </w:tc>
        <w:tc>
          <w:tcPr>
            <w:tcW w:w="2551" w:type="dxa"/>
            <w:tcBorders>
              <w:top w:val="single" w:sz="4" w:space="0" w:color="auto"/>
              <w:left w:val="single" w:sz="4" w:space="0" w:color="auto"/>
              <w:bottom w:val="single" w:sz="4" w:space="0" w:color="auto"/>
              <w:right w:val="single" w:sz="4" w:space="0" w:color="auto"/>
            </w:tcBorders>
            <w:vAlign w:val="center"/>
          </w:tcPr>
          <w:p w14:paraId="0FE55E9B" w14:textId="70AC4F56" w:rsidR="00E16D4F" w:rsidRPr="00036C34" w:rsidRDefault="00E16D4F" w:rsidP="00036C34">
            <w:pPr>
              <w:jc w:val="right"/>
              <w:rPr>
                <w:rFonts w:cs="Arial"/>
                <w:szCs w:val="24"/>
              </w:rPr>
            </w:pPr>
            <w:r w:rsidRPr="00036C34">
              <w:rPr>
                <w:rFonts w:cs="Arial"/>
                <w:szCs w:val="24"/>
              </w:rPr>
              <w:t>(8,321)</w:t>
            </w:r>
          </w:p>
        </w:tc>
        <w:tc>
          <w:tcPr>
            <w:tcW w:w="2727" w:type="dxa"/>
            <w:tcBorders>
              <w:top w:val="single" w:sz="4" w:space="0" w:color="auto"/>
              <w:left w:val="single" w:sz="4" w:space="0" w:color="auto"/>
              <w:bottom w:val="single" w:sz="4" w:space="0" w:color="auto"/>
              <w:right w:val="single" w:sz="4" w:space="0" w:color="auto"/>
            </w:tcBorders>
            <w:vAlign w:val="center"/>
          </w:tcPr>
          <w:p w14:paraId="6D6B1DD3" w14:textId="4916154A" w:rsidR="00E16D4F" w:rsidRPr="00036C34" w:rsidRDefault="00E16D4F" w:rsidP="00036C34">
            <w:pPr>
              <w:jc w:val="right"/>
              <w:rPr>
                <w:rFonts w:cs="Arial"/>
                <w:szCs w:val="24"/>
              </w:rPr>
            </w:pPr>
            <w:r w:rsidRPr="00036C34">
              <w:rPr>
                <w:rFonts w:cs="Arial"/>
                <w:szCs w:val="24"/>
              </w:rPr>
              <w:t>30,391</w:t>
            </w:r>
          </w:p>
        </w:tc>
      </w:tr>
      <w:tr w:rsidR="00E16D4F" w:rsidRPr="00A864CD" w14:paraId="0F9516BF" w14:textId="77777777" w:rsidTr="00233A66">
        <w:tc>
          <w:tcPr>
            <w:tcW w:w="3641" w:type="dxa"/>
            <w:tcBorders>
              <w:top w:val="single" w:sz="4" w:space="0" w:color="auto"/>
              <w:left w:val="single" w:sz="4" w:space="0" w:color="auto"/>
              <w:bottom w:val="single" w:sz="4" w:space="0" w:color="auto"/>
              <w:right w:val="single" w:sz="4" w:space="0" w:color="auto"/>
            </w:tcBorders>
          </w:tcPr>
          <w:p w14:paraId="3554E80A" w14:textId="6195A40E" w:rsidR="00E16D4F" w:rsidRPr="00A864CD" w:rsidRDefault="00E16D4F" w:rsidP="003545E4">
            <w:pPr>
              <w:rPr>
                <w:szCs w:val="24"/>
              </w:rPr>
            </w:pPr>
            <w:r w:rsidRPr="00A864CD">
              <w:rPr>
                <w:szCs w:val="24"/>
              </w:rPr>
              <w:t>Strategy and Planning</w:t>
            </w:r>
          </w:p>
        </w:tc>
        <w:tc>
          <w:tcPr>
            <w:tcW w:w="1735" w:type="dxa"/>
            <w:tcBorders>
              <w:top w:val="single" w:sz="4" w:space="0" w:color="auto"/>
              <w:left w:val="single" w:sz="4" w:space="0" w:color="auto"/>
              <w:bottom w:val="single" w:sz="4" w:space="0" w:color="auto"/>
              <w:right w:val="single" w:sz="4" w:space="0" w:color="auto"/>
            </w:tcBorders>
            <w:vAlign w:val="center"/>
          </w:tcPr>
          <w:p w14:paraId="1556A1B3" w14:textId="212C6972" w:rsidR="00E16D4F" w:rsidRPr="00036C34" w:rsidRDefault="00E16D4F" w:rsidP="00036C34">
            <w:pPr>
              <w:jc w:val="right"/>
              <w:rPr>
                <w:rFonts w:cs="Arial"/>
                <w:szCs w:val="24"/>
              </w:rPr>
            </w:pPr>
            <w:r w:rsidRPr="00036C34">
              <w:rPr>
                <w:rFonts w:cs="Arial"/>
                <w:szCs w:val="24"/>
              </w:rPr>
              <w:t xml:space="preserve">11,159 </w:t>
            </w:r>
          </w:p>
        </w:tc>
        <w:tc>
          <w:tcPr>
            <w:tcW w:w="2376" w:type="dxa"/>
            <w:tcBorders>
              <w:top w:val="single" w:sz="4" w:space="0" w:color="auto"/>
              <w:left w:val="single" w:sz="4" w:space="0" w:color="auto"/>
              <w:bottom w:val="single" w:sz="4" w:space="0" w:color="auto"/>
              <w:right w:val="single" w:sz="4" w:space="0" w:color="auto"/>
            </w:tcBorders>
            <w:vAlign w:val="center"/>
          </w:tcPr>
          <w:p w14:paraId="3786103E" w14:textId="103051AE" w:rsidR="00E16D4F" w:rsidRPr="00036C34" w:rsidRDefault="00E16D4F" w:rsidP="00036C34">
            <w:pPr>
              <w:jc w:val="right"/>
              <w:rPr>
                <w:rFonts w:cs="Arial"/>
                <w:szCs w:val="24"/>
              </w:rPr>
            </w:pPr>
            <w:r w:rsidRPr="00036C34">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2D29E78D" w14:textId="0BB3C939" w:rsidR="00E16D4F" w:rsidRPr="00036C34" w:rsidRDefault="00E16D4F" w:rsidP="00036C34">
            <w:pPr>
              <w:jc w:val="right"/>
              <w:rPr>
                <w:rFonts w:cs="Arial"/>
                <w:szCs w:val="24"/>
              </w:rPr>
            </w:pPr>
            <w:r w:rsidRPr="00036C34">
              <w:rPr>
                <w:rFonts w:cs="Arial"/>
                <w:szCs w:val="24"/>
              </w:rPr>
              <w:t xml:space="preserve">11,159 </w:t>
            </w:r>
          </w:p>
        </w:tc>
        <w:tc>
          <w:tcPr>
            <w:tcW w:w="2551" w:type="dxa"/>
            <w:tcBorders>
              <w:top w:val="single" w:sz="4" w:space="0" w:color="auto"/>
              <w:left w:val="single" w:sz="4" w:space="0" w:color="auto"/>
              <w:bottom w:val="single" w:sz="4" w:space="0" w:color="auto"/>
              <w:right w:val="single" w:sz="4" w:space="0" w:color="auto"/>
            </w:tcBorders>
            <w:vAlign w:val="center"/>
          </w:tcPr>
          <w:p w14:paraId="3BA4DB93" w14:textId="7CBB062A" w:rsidR="00E16D4F" w:rsidRPr="00036C34" w:rsidRDefault="00E16D4F" w:rsidP="00036C34">
            <w:pPr>
              <w:jc w:val="right"/>
              <w:rPr>
                <w:rFonts w:cs="Arial"/>
                <w:szCs w:val="24"/>
              </w:rPr>
            </w:pPr>
            <w:r w:rsidRPr="00036C34">
              <w:rPr>
                <w:rFonts w:cs="Arial"/>
                <w:szCs w:val="24"/>
              </w:rPr>
              <w:t>(230)</w:t>
            </w:r>
          </w:p>
        </w:tc>
        <w:tc>
          <w:tcPr>
            <w:tcW w:w="2727" w:type="dxa"/>
            <w:tcBorders>
              <w:top w:val="single" w:sz="4" w:space="0" w:color="auto"/>
              <w:left w:val="single" w:sz="4" w:space="0" w:color="auto"/>
              <w:bottom w:val="single" w:sz="4" w:space="0" w:color="auto"/>
              <w:right w:val="single" w:sz="4" w:space="0" w:color="auto"/>
            </w:tcBorders>
            <w:vAlign w:val="center"/>
          </w:tcPr>
          <w:p w14:paraId="3E885797" w14:textId="5DFE5919" w:rsidR="00E16D4F" w:rsidRPr="00036C34" w:rsidRDefault="00E16D4F" w:rsidP="00036C34">
            <w:pPr>
              <w:jc w:val="right"/>
              <w:rPr>
                <w:rFonts w:cs="Arial"/>
                <w:szCs w:val="24"/>
              </w:rPr>
            </w:pPr>
            <w:r w:rsidRPr="00036C34">
              <w:rPr>
                <w:rFonts w:cs="Arial"/>
                <w:szCs w:val="24"/>
              </w:rPr>
              <w:t>10,92</w:t>
            </w:r>
            <w:r w:rsidR="000336DD" w:rsidRPr="00036C34">
              <w:rPr>
                <w:rFonts w:cs="Arial"/>
                <w:szCs w:val="24"/>
              </w:rPr>
              <w:t>8</w:t>
            </w:r>
          </w:p>
        </w:tc>
      </w:tr>
      <w:tr w:rsidR="00E16D4F" w:rsidRPr="00A864CD" w14:paraId="18B857EF" w14:textId="77777777" w:rsidTr="00233A66">
        <w:tc>
          <w:tcPr>
            <w:tcW w:w="3641" w:type="dxa"/>
            <w:tcBorders>
              <w:top w:val="single" w:sz="4" w:space="0" w:color="auto"/>
              <w:left w:val="single" w:sz="4" w:space="0" w:color="auto"/>
              <w:bottom w:val="single" w:sz="4" w:space="0" w:color="auto"/>
              <w:right w:val="single" w:sz="4" w:space="0" w:color="auto"/>
            </w:tcBorders>
          </w:tcPr>
          <w:p w14:paraId="65965D86" w14:textId="6FFFF079" w:rsidR="00E16D4F" w:rsidRPr="00A864CD" w:rsidRDefault="00E16D4F" w:rsidP="003545E4">
            <w:pPr>
              <w:rPr>
                <w:szCs w:val="24"/>
              </w:rPr>
            </w:pPr>
            <w:r w:rsidRPr="00A864CD">
              <w:rPr>
                <w:szCs w:val="24"/>
              </w:rPr>
              <w:t>People and Development</w:t>
            </w:r>
          </w:p>
        </w:tc>
        <w:tc>
          <w:tcPr>
            <w:tcW w:w="1735" w:type="dxa"/>
            <w:tcBorders>
              <w:top w:val="single" w:sz="4" w:space="0" w:color="auto"/>
              <w:left w:val="single" w:sz="4" w:space="0" w:color="auto"/>
              <w:bottom w:val="single" w:sz="4" w:space="0" w:color="auto"/>
              <w:right w:val="single" w:sz="4" w:space="0" w:color="auto"/>
            </w:tcBorders>
            <w:vAlign w:val="center"/>
          </w:tcPr>
          <w:p w14:paraId="548ECA1A" w14:textId="04B7CCEE" w:rsidR="00E16D4F" w:rsidRPr="00036C34" w:rsidRDefault="00E16D4F" w:rsidP="00036C34">
            <w:pPr>
              <w:jc w:val="right"/>
              <w:rPr>
                <w:rFonts w:cs="Arial"/>
                <w:szCs w:val="24"/>
              </w:rPr>
            </w:pPr>
            <w:r w:rsidRPr="00036C34">
              <w:rPr>
                <w:rFonts w:cs="Arial"/>
                <w:szCs w:val="24"/>
              </w:rPr>
              <w:t xml:space="preserve">1,608 </w:t>
            </w:r>
          </w:p>
        </w:tc>
        <w:tc>
          <w:tcPr>
            <w:tcW w:w="2376" w:type="dxa"/>
            <w:tcBorders>
              <w:top w:val="single" w:sz="4" w:space="0" w:color="auto"/>
              <w:left w:val="single" w:sz="4" w:space="0" w:color="auto"/>
              <w:bottom w:val="single" w:sz="4" w:space="0" w:color="auto"/>
              <w:right w:val="single" w:sz="4" w:space="0" w:color="auto"/>
            </w:tcBorders>
            <w:vAlign w:val="center"/>
          </w:tcPr>
          <w:p w14:paraId="04EC1AEB" w14:textId="428768DA" w:rsidR="00E16D4F" w:rsidRPr="00036C34" w:rsidRDefault="00E16D4F" w:rsidP="00036C34">
            <w:pPr>
              <w:jc w:val="right"/>
              <w:rPr>
                <w:rFonts w:cs="Arial"/>
                <w:szCs w:val="24"/>
              </w:rPr>
            </w:pPr>
            <w:r w:rsidRPr="00036C34">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70D16A2E" w14:textId="091D7C0E" w:rsidR="00E16D4F" w:rsidRPr="00036C34" w:rsidRDefault="00E16D4F" w:rsidP="00036C34">
            <w:pPr>
              <w:jc w:val="right"/>
              <w:rPr>
                <w:rFonts w:cs="Arial"/>
                <w:szCs w:val="24"/>
              </w:rPr>
            </w:pPr>
            <w:r w:rsidRPr="00036C34">
              <w:rPr>
                <w:rFonts w:cs="Arial"/>
                <w:szCs w:val="24"/>
              </w:rPr>
              <w:t xml:space="preserve">1,608 </w:t>
            </w:r>
          </w:p>
        </w:tc>
        <w:tc>
          <w:tcPr>
            <w:tcW w:w="2551" w:type="dxa"/>
            <w:tcBorders>
              <w:top w:val="single" w:sz="4" w:space="0" w:color="auto"/>
              <w:left w:val="single" w:sz="4" w:space="0" w:color="auto"/>
              <w:bottom w:val="single" w:sz="4" w:space="0" w:color="auto"/>
              <w:right w:val="single" w:sz="4" w:space="0" w:color="auto"/>
            </w:tcBorders>
            <w:vAlign w:val="center"/>
          </w:tcPr>
          <w:p w14:paraId="2CE36B7C" w14:textId="14FDE126" w:rsidR="00E16D4F" w:rsidRPr="00036C34" w:rsidRDefault="00E16D4F" w:rsidP="00036C34">
            <w:pPr>
              <w:jc w:val="right"/>
              <w:rPr>
                <w:rFonts w:cs="Arial"/>
                <w:szCs w:val="24"/>
              </w:rPr>
            </w:pPr>
            <w:r w:rsidRPr="00036C34">
              <w:rPr>
                <w:rFonts w:cs="Arial"/>
                <w:szCs w:val="24"/>
              </w:rPr>
              <w:t xml:space="preserve">311 </w:t>
            </w:r>
          </w:p>
        </w:tc>
        <w:tc>
          <w:tcPr>
            <w:tcW w:w="2727" w:type="dxa"/>
            <w:tcBorders>
              <w:top w:val="single" w:sz="4" w:space="0" w:color="auto"/>
              <w:left w:val="single" w:sz="4" w:space="0" w:color="auto"/>
              <w:bottom w:val="single" w:sz="4" w:space="0" w:color="auto"/>
              <w:right w:val="single" w:sz="4" w:space="0" w:color="auto"/>
            </w:tcBorders>
            <w:vAlign w:val="center"/>
          </w:tcPr>
          <w:p w14:paraId="2B9F48CB" w14:textId="649D2C78" w:rsidR="00E16D4F" w:rsidRPr="00036C34" w:rsidRDefault="00E16D4F" w:rsidP="00036C34">
            <w:pPr>
              <w:jc w:val="right"/>
              <w:rPr>
                <w:rFonts w:cs="Arial"/>
                <w:szCs w:val="24"/>
              </w:rPr>
            </w:pPr>
            <w:r w:rsidRPr="00036C34">
              <w:rPr>
                <w:rFonts w:cs="Arial"/>
                <w:szCs w:val="24"/>
              </w:rPr>
              <w:t>1,9</w:t>
            </w:r>
            <w:r w:rsidR="000336DD" w:rsidRPr="00036C34">
              <w:rPr>
                <w:rFonts w:cs="Arial"/>
                <w:szCs w:val="24"/>
              </w:rPr>
              <w:t>20</w:t>
            </w:r>
          </w:p>
        </w:tc>
      </w:tr>
      <w:tr w:rsidR="00E16D4F" w:rsidRPr="00A864CD" w14:paraId="5F303DEF" w14:textId="77777777" w:rsidTr="00233A66">
        <w:tc>
          <w:tcPr>
            <w:tcW w:w="3641" w:type="dxa"/>
            <w:tcBorders>
              <w:top w:val="single" w:sz="4" w:space="0" w:color="auto"/>
              <w:left w:val="single" w:sz="4" w:space="0" w:color="auto"/>
              <w:bottom w:val="single" w:sz="4" w:space="0" w:color="auto"/>
              <w:right w:val="single" w:sz="4" w:space="0" w:color="auto"/>
            </w:tcBorders>
          </w:tcPr>
          <w:p w14:paraId="73122A89" w14:textId="37DE7A9B" w:rsidR="00E16D4F" w:rsidRPr="00A864CD" w:rsidRDefault="00E16D4F" w:rsidP="003545E4">
            <w:pPr>
              <w:rPr>
                <w:szCs w:val="24"/>
              </w:rPr>
            </w:pPr>
            <w:r w:rsidRPr="00A864CD">
              <w:rPr>
                <w:szCs w:val="24"/>
              </w:rPr>
              <w:t>Corporate Services</w:t>
            </w:r>
          </w:p>
        </w:tc>
        <w:tc>
          <w:tcPr>
            <w:tcW w:w="1735" w:type="dxa"/>
            <w:tcBorders>
              <w:top w:val="single" w:sz="4" w:space="0" w:color="auto"/>
              <w:left w:val="single" w:sz="4" w:space="0" w:color="auto"/>
              <w:bottom w:val="single" w:sz="4" w:space="0" w:color="auto"/>
              <w:right w:val="single" w:sz="4" w:space="0" w:color="auto"/>
            </w:tcBorders>
            <w:vAlign w:val="center"/>
          </w:tcPr>
          <w:p w14:paraId="1AF6CB40" w14:textId="72A6D6D9" w:rsidR="00E16D4F" w:rsidRPr="00036C34" w:rsidRDefault="00E16D4F" w:rsidP="00036C34">
            <w:pPr>
              <w:jc w:val="right"/>
              <w:rPr>
                <w:rFonts w:cs="Arial"/>
                <w:szCs w:val="24"/>
              </w:rPr>
            </w:pPr>
            <w:r w:rsidRPr="00036C34">
              <w:rPr>
                <w:rFonts w:cs="Arial"/>
                <w:szCs w:val="24"/>
              </w:rPr>
              <w:t xml:space="preserve">4,506 </w:t>
            </w:r>
          </w:p>
        </w:tc>
        <w:tc>
          <w:tcPr>
            <w:tcW w:w="2376" w:type="dxa"/>
            <w:tcBorders>
              <w:top w:val="single" w:sz="4" w:space="0" w:color="auto"/>
              <w:left w:val="single" w:sz="4" w:space="0" w:color="auto"/>
              <w:bottom w:val="single" w:sz="4" w:space="0" w:color="auto"/>
              <w:right w:val="single" w:sz="4" w:space="0" w:color="auto"/>
            </w:tcBorders>
            <w:vAlign w:val="center"/>
          </w:tcPr>
          <w:p w14:paraId="08E004EF" w14:textId="17853FB1" w:rsidR="00E16D4F" w:rsidRPr="00036C34" w:rsidRDefault="00E16D4F" w:rsidP="00036C34">
            <w:pPr>
              <w:jc w:val="right"/>
              <w:rPr>
                <w:rFonts w:cs="Arial"/>
                <w:szCs w:val="24"/>
              </w:rPr>
            </w:pPr>
            <w:r w:rsidRPr="00036C34">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1529FE86" w14:textId="245DA052" w:rsidR="00E16D4F" w:rsidRPr="00036C34" w:rsidRDefault="00E16D4F" w:rsidP="00036C34">
            <w:pPr>
              <w:jc w:val="right"/>
              <w:rPr>
                <w:rFonts w:cs="Arial"/>
                <w:szCs w:val="24"/>
              </w:rPr>
            </w:pPr>
            <w:r w:rsidRPr="00036C34">
              <w:rPr>
                <w:rFonts w:cs="Arial"/>
                <w:szCs w:val="24"/>
              </w:rPr>
              <w:t xml:space="preserve">4,506 </w:t>
            </w:r>
          </w:p>
        </w:tc>
        <w:tc>
          <w:tcPr>
            <w:tcW w:w="2551" w:type="dxa"/>
            <w:tcBorders>
              <w:top w:val="single" w:sz="4" w:space="0" w:color="auto"/>
              <w:left w:val="single" w:sz="4" w:space="0" w:color="auto"/>
              <w:bottom w:val="single" w:sz="4" w:space="0" w:color="auto"/>
              <w:right w:val="single" w:sz="4" w:space="0" w:color="auto"/>
            </w:tcBorders>
            <w:vAlign w:val="center"/>
          </w:tcPr>
          <w:p w14:paraId="071608EA" w14:textId="35500BE5" w:rsidR="00E16D4F" w:rsidRPr="00036C34" w:rsidRDefault="00E16D4F" w:rsidP="00036C34">
            <w:pPr>
              <w:jc w:val="right"/>
              <w:rPr>
                <w:rFonts w:cs="Arial"/>
                <w:szCs w:val="24"/>
              </w:rPr>
            </w:pPr>
            <w:r w:rsidRPr="00036C34">
              <w:rPr>
                <w:rFonts w:cs="Arial"/>
                <w:szCs w:val="24"/>
              </w:rPr>
              <w:t xml:space="preserve">147 </w:t>
            </w:r>
          </w:p>
        </w:tc>
        <w:tc>
          <w:tcPr>
            <w:tcW w:w="2727" w:type="dxa"/>
            <w:tcBorders>
              <w:top w:val="single" w:sz="4" w:space="0" w:color="auto"/>
              <w:left w:val="single" w:sz="4" w:space="0" w:color="auto"/>
              <w:bottom w:val="single" w:sz="4" w:space="0" w:color="auto"/>
              <w:right w:val="single" w:sz="4" w:space="0" w:color="auto"/>
            </w:tcBorders>
            <w:vAlign w:val="center"/>
          </w:tcPr>
          <w:p w14:paraId="7360AF41" w14:textId="6A560402" w:rsidR="00E16D4F" w:rsidRPr="00036C34" w:rsidRDefault="00E16D4F" w:rsidP="00036C34">
            <w:pPr>
              <w:jc w:val="right"/>
              <w:rPr>
                <w:rFonts w:cs="Arial"/>
                <w:szCs w:val="24"/>
              </w:rPr>
            </w:pPr>
            <w:r w:rsidRPr="00036C34">
              <w:rPr>
                <w:rFonts w:cs="Arial"/>
                <w:szCs w:val="24"/>
              </w:rPr>
              <w:t>4,653</w:t>
            </w:r>
          </w:p>
        </w:tc>
      </w:tr>
      <w:tr w:rsidR="00E16D4F" w:rsidRPr="00A864CD" w14:paraId="0AFDD516" w14:textId="77777777" w:rsidTr="00233A66">
        <w:tc>
          <w:tcPr>
            <w:tcW w:w="3641" w:type="dxa"/>
            <w:tcBorders>
              <w:top w:val="single" w:sz="4" w:space="0" w:color="auto"/>
              <w:left w:val="single" w:sz="4" w:space="0" w:color="auto"/>
              <w:bottom w:val="single" w:sz="4" w:space="0" w:color="auto"/>
              <w:right w:val="single" w:sz="4" w:space="0" w:color="auto"/>
            </w:tcBorders>
          </w:tcPr>
          <w:p w14:paraId="58C4D443" w14:textId="533FF155" w:rsidR="00E16D4F" w:rsidRPr="00A864CD" w:rsidRDefault="00E16D4F" w:rsidP="003545E4">
            <w:pPr>
              <w:rPr>
                <w:szCs w:val="24"/>
              </w:rPr>
            </w:pPr>
            <w:r w:rsidRPr="00A864CD">
              <w:rPr>
                <w:szCs w:val="24"/>
              </w:rPr>
              <w:t>Firefighters Pensions</w:t>
            </w:r>
          </w:p>
        </w:tc>
        <w:tc>
          <w:tcPr>
            <w:tcW w:w="1735" w:type="dxa"/>
            <w:tcBorders>
              <w:top w:val="single" w:sz="4" w:space="0" w:color="auto"/>
              <w:left w:val="single" w:sz="4" w:space="0" w:color="auto"/>
              <w:bottom w:val="single" w:sz="4" w:space="0" w:color="auto"/>
              <w:right w:val="single" w:sz="4" w:space="0" w:color="auto"/>
            </w:tcBorders>
            <w:vAlign w:val="center"/>
          </w:tcPr>
          <w:p w14:paraId="120FF166" w14:textId="20C7DC4B" w:rsidR="00E16D4F" w:rsidRPr="00036C34" w:rsidRDefault="00E16D4F" w:rsidP="00036C34">
            <w:pPr>
              <w:jc w:val="right"/>
              <w:rPr>
                <w:rFonts w:cs="Arial"/>
                <w:szCs w:val="24"/>
              </w:rPr>
            </w:pPr>
            <w:r w:rsidRPr="00036C34">
              <w:rPr>
                <w:rFonts w:cs="Arial"/>
                <w:szCs w:val="24"/>
              </w:rPr>
              <w:t xml:space="preserve">1,239 </w:t>
            </w:r>
          </w:p>
        </w:tc>
        <w:tc>
          <w:tcPr>
            <w:tcW w:w="2376" w:type="dxa"/>
            <w:tcBorders>
              <w:top w:val="single" w:sz="4" w:space="0" w:color="auto"/>
              <w:left w:val="single" w:sz="4" w:space="0" w:color="auto"/>
              <w:bottom w:val="single" w:sz="4" w:space="0" w:color="auto"/>
              <w:right w:val="single" w:sz="4" w:space="0" w:color="auto"/>
            </w:tcBorders>
            <w:vAlign w:val="center"/>
          </w:tcPr>
          <w:p w14:paraId="08AC8E7B" w14:textId="7275CCF9" w:rsidR="00E16D4F" w:rsidRPr="00036C34" w:rsidRDefault="00E16D4F" w:rsidP="00036C34">
            <w:pPr>
              <w:jc w:val="right"/>
              <w:rPr>
                <w:rFonts w:cs="Arial"/>
                <w:szCs w:val="24"/>
              </w:rPr>
            </w:pPr>
            <w:r w:rsidRPr="00036C34">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5EE2AF8B" w14:textId="7F7494FB" w:rsidR="00E16D4F" w:rsidRPr="00036C34" w:rsidRDefault="00E16D4F" w:rsidP="00036C34">
            <w:pPr>
              <w:jc w:val="right"/>
              <w:rPr>
                <w:rFonts w:cs="Arial"/>
                <w:szCs w:val="24"/>
              </w:rPr>
            </w:pPr>
            <w:r w:rsidRPr="00036C34">
              <w:rPr>
                <w:rFonts w:cs="Arial"/>
                <w:szCs w:val="24"/>
              </w:rPr>
              <w:t xml:space="preserve">1,239 </w:t>
            </w:r>
          </w:p>
        </w:tc>
        <w:tc>
          <w:tcPr>
            <w:tcW w:w="2551" w:type="dxa"/>
            <w:tcBorders>
              <w:top w:val="single" w:sz="4" w:space="0" w:color="auto"/>
              <w:left w:val="single" w:sz="4" w:space="0" w:color="auto"/>
              <w:bottom w:val="single" w:sz="4" w:space="0" w:color="auto"/>
              <w:right w:val="single" w:sz="4" w:space="0" w:color="auto"/>
            </w:tcBorders>
            <w:vAlign w:val="center"/>
          </w:tcPr>
          <w:p w14:paraId="39753D71" w14:textId="04C5A89A" w:rsidR="00E16D4F" w:rsidRPr="00036C34" w:rsidRDefault="009E63DB" w:rsidP="00036C34">
            <w:pPr>
              <w:jc w:val="right"/>
              <w:rPr>
                <w:rFonts w:cs="Arial"/>
                <w:szCs w:val="24"/>
              </w:rPr>
            </w:pPr>
            <w:r w:rsidRPr="00036C34">
              <w:rPr>
                <w:rFonts w:cs="Arial"/>
                <w:szCs w:val="24"/>
              </w:rPr>
              <w:t>-</w:t>
            </w:r>
            <w:r w:rsidR="00E16D4F" w:rsidRPr="00036C34">
              <w:rPr>
                <w:rFonts w:cs="Arial"/>
                <w:szCs w:val="24"/>
              </w:rPr>
              <w:t xml:space="preserve"> </w:t>
            </w:r>
          </w:p>
        </w:tc>
        <w:tc>
          <w:tcPr>
            <w:tcW w:w="2727" w:type="dxa"/>
            <w:tcBorders>
              <w:top w:val="single" w:sz="4" w:space="0" w:color="auto"/>
              <w:left w:val="single" w:sz="4" w:space="0" w:color="auto"/>
              <w:bottom w:val="single" w:sz="4" w:space="0" w:color="auto"/>
              <w:right w:val="single" w:sz="4" w:space="0" w:color="auto"/>
            </w:tcBorders>
            <w:vAlign w:val="center"/>
          </w:tcPr>
          <w:p w14:paraId="61C2D8A3" w14:textId="6051D895" w:rsidR="00E16D4F" w:rsidRPr="00036C34" w:rsidRDefault="00E16D4F" w:rsidP="00036C34">
            <w:pPr>
              <w:jc w:val="right"/>
              <w:rPr>
                <w:rFonts w:cs="Arial"/>
                <w:szCs w:val="24"/>
              </w:rPr>
            </w:pPr>
            <w:r w:rsidRPr="00036C34">
              <w:rPr>
                <w:rFonts w:cs="Arial"/>
                <w:szCs w:val="24"/>
              </w:rPr>
              <w:t>1,239</w:t>
            </w:r>
          </w:p>
        </w:tc>
      </w:tr>
      <w:tr w:rsidR="00E16D4F" w:rsidRPr="00A864CD" w14:paraId="07B6C306" w14:textId="77777777" w:rsidTr="00233A66">
        <w:tc>
          <w:tcPr>
            <w:tcW w:w="3641" w:type="dxa"/>
            <w:tcBorders>
              <w:top w:val="single" w:sz="4" w:space="0" w:color="auto"/>
              <w:left w:val="single" w:sz="4" w:space="0" w:color="auto"/>
              <w:bottom w:val="single" w:sz="4" w:space="0" w:color="auto"/>
              <w:right w:val="single" w:sz="4" w:space="0" w:color="auto"/>
            </w:tcBorders>
          </w:tcPr>
          <w:p w14:paraId="46E467BC" w14:textId="58807D32" w:rsidR="00E16D4F" w:rsidRPr="00A864CD" w:rsidRDefault="00E16D4F" w:rsidP="003545E4">
            <w:pPr>
              <w:rPr>
                <w:szCs w:val="24"/>
              </w:rPr>
            </w:pPr>
            <w:r w:rsidRPr="00A864CD">
              <w:rPr>
                <w:szCs w:val="24"/>
              </w:rPr>
              <w:t>Overheads</w:t>
            </w:r>
          </w:p>
        </w:tc>
        <w:tc>
          <w:tcPr>
            <w:tcW w:w="1735" w:type="dxa"/>
            <w:tcBorders>
              <w:top w:val="single" w:sz="4" w:space="0" w:color="auto"/>
              <w:left w:val="single" w:sz="4" w:space="0" w:color="auto"/>
              <w:bottom w:val="single" w:sz="4" w:space="0" w:color="auto"/>
              <w:right w:val="single" w:sz="4" w:space="0" w:color="auto"/>
            </w:tcBorders>
            <w:vAlign w:val="center"/>
          </w:tcPr>
          <w:p w14:paraId="436C80B9" w14:textId="129DC126" w:rsidR="00E16D4F" w:rsidRPr="00036C34" w:rsidRDefault="00E16D4F" w:rsidP="00036C34">
            <w:pPr>
              <w:jc w:val="right"/>
              <w:rPr>
                <w:rFonts w:cs="Arial"/>
                <w:szCs w:val="24"/>
              </w:rPr>
            </w:pPr>
            <w:r w:rsidRPr="00036C34">
              <w:rPr>
                <w:rFonts w:cs="Arial"/>
                <w:szCs w:val="24"/>
              </w:rPr>
              <w:t xml:space="preserve">1,678 </w:t>
            </w:r>
          </w:p>
        </w:tc>
        <w:tc>
          <w:tcPr>
            <w:tcW w:w="2376" w:type="dxa"/>
            <w:tcBorders>
              <w:top w:val="single" w:sz="4" w:space="0" w:color="auto"/>
              <w:left w:val="single" w:sz="4" w:space="0" w:color="auto"/>
              <w:bottom w:val="single" w:sz="4" w:space="0" w:color="auto"/>
              <w:right w:val="single" w:sz="4" w:space="0" w:color="auto"/>
            </w:tcBorders>
            <w:vAlign w:val="center"/>
          </w:tcPr>
          <w:p w14:paraId="3493027D" w14:textId="41EF80E1" w:rsidR="00E16D4F" w:rsidRPr="00036C34" w:rsidRDefault="00E16D4F" w:rsidP="00036C34">
            <w:pPr>
              <w:jc w:val="right"/>
              <w:rPr>
                <w:rFonts w:cs="Arial"/>
                <w:szCs w:val="24"/>
              </w:rPr>
            </w:pPr>
            <w:r w:rsidRPr="00036C34">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06D3419E" w14:textId="78BDC7DA" w:rsidR="00E16D4F" w:rsidRPr="00036C34" w:rsidRDefault="00E16D4F" w:rsidP="00036C34">
            <w:pPr>
              <w:jc w:val="right"/>
              <w:rPr>
                <w:rFonts w:cs="Arial"/>
                <w:szCs w:val="24"/>
              </w:rPr>
            </w:pPr>
            <w:r w:rsidRPr="00036C34">
              <w:rPr>
                <w:rFonts w:cs="Arial"/>
                <w:szCs w:val="24"/>
              </w:rPr>
              <w:t xml:space="preserve">1,678 </w:t>
            </w:r>
          </w:p>
        </w:tc>
        <w:tc>
          <w:tcPr>
            <w:tcW w:w="2551" w:type="dxa"/>
            <w:tcBorders>
              <w:top w:val="single" w:sz="4" w:space="0" w:color="auto"/>
              <w:left w:val="single" w:sz="4" w:space="0" w:color="auto"/>
              <w:bottom w:val="single" w:sz="4" w:space="0" w:color="auto"/>
              <w:right w:val="single" w:sz="4" w:space="0" w:color="auto"/>
            </w:tcBorders>
            <w:vAlign w:val="center"/>
          </w:tcPr>
          <w:p w14:paraId="7188F375" w14:textId="22A2C895" w:rsidR="00E16D4F" w:rsidRPr="00036C34" w:rsidRDefault="00E16D4F" w:rsidP="00036C34">
            <w:pPr>
              <w:jc w:val="right"/>
              <w:rPr>
                <w:rFonts w:cs="Arial"/>
                <w:szCs w:val="24"/>
              </w:rPr>
            </w:pPr>
            <w:r w:rsidRPr="00036C34">
              <w:rPr>
                <w:rFonts w:cs="Arial"/>
                <w:szCs w:val="24"/>
              </w:rPr>
              <w:t>(461)</w:t>
            </w:r>
          </w:p>
        </w:tc>
        <w:tc>
          <w:tcPr>
            <w:tcW w:w="2727" w:type="dxa"/>
            <w:tcBorders>
              <w:top w:val="single" w:sz="4" w:space="0" w:color="auto"/>
              <w:left w:val="single" w:sz="4" w:space="0" w:color="auto"/>
              <w:bottom w:val="single" w:sz="4" w:space="0" w:color="auto"/>
              <w:right w:val="single" w:sz="4" w:space="0" w:color="auto"/>
            </w:tcBorders>
            <w:vAlign w:val="center"/>
          </w:tcPr>
          <w:p w14:paraId="2DF0BE06" w14:textId="67F40F1A" w:rsidR="00E16D4F" w:rsidRPr="00036C34" w:rsidRDefault="00E16D4F" w:rsidP="00036C34">
            <w:pPr>
              <w:jc w:val="right"/>
              <w:rPr>
                <w:rFonts w:cs="Arial"/>
                <w:szCs w:val="24"/>
              </w:rPr>
            </w:pPr>
            <w:r w:rsidRPr="00036C34">
              <w:rPr>
                <w:rFonts w:cs="Arial"/>
                <w:szCs w:val="24"/>
              </w:rPr>
              <w:t>1,217</w:t>
            </w:r>
          </w:p>
        </w:tc>
      </w:tr>
      <w:tr w:rsidR="00E16D4F" w:rsidRPr="00A864CD" w14:paraId="7AE29BD8" w14:textId="77777777" w:rsidTr="00233A66">
        <w:tc>
          <w:tcPr>
            <w:tcW w:w="3641" w:type="dxa"/>
            <w:tcBorders>
              <w:top w:val="single" w:sz="4" w:space="0" w:color="auto"/>
              <w:left w:val="single" w:sz="4" w:space="0" w:color="auto"/>
              <w:bottom w:val="single" w:sz="4" w:space="0" w:color="auto"/>
              <w:right w:val="single" w:sz="4" w:space="0" w:color="auto"/>
            </w:tcBorders>
          </w:tcPr>
          <w:p w14:paraId="234A9DA8" w14:textId="5AF3EE37" w:rsidR="00E16D4F" w:rsidRPr="00A864CD" w:rsidRDefault="00E16D4F" w:rsidP="003545E4">
            <w:pPr>
              <w:rPr>
                <w:b/>
                <w:szCs w:val="24"/>
              </w:rPr>
            </w:pPr>
            <w:r w:rsidRPr="00A864CD">
              <w:rPr>
                <w:b/>
                <w:szCs w:val="24"/>
              </w:rPr>
              <w:t>Net cost of Services</w:t>
            </w:r>
          </w:p>
        </w:tc>
        <w:tc>
          <w:tcPr>
            <w:tcW w:w="1735" w:type="dxa"/>
            <w:tcBorders>
              <w:top w:val="single" w:sz="4" w:space="0" w:color="auto"/>
              <w:left w:val="single" w:sz="4" w:space="0" w:color="auto"/>
              <w:bottom w:val="single" w:sz="4" w:space="0" w:color="auto"/>
              <w:right w:val="single" w:sz="4" w:space="0" w:color="auto"/>
            </w:tcBorders>
            <w:vAlign w:val="center"/>
          </w:tcPr>
          <w:p w14:paraId="008F0A2E" w14:textId="29723550" w:rsidR="00E16D4F" w:rsidRPr="00036C34" w:rsidRDefault="00E16D4F" w:rsidP="00036C34">
            <w:pPr>
              <w:jc w:val="right"/>
              <w:rPr>
                <w:rFonts w:cs="Arial"/>
                <w:b/>
                <w:bCs/>
                <w:szCs w:val="24"/>
              </w:rPr>
            </w:pPr>
            <w:r w:rsidRPr="00036C34">
              <w:rPr>
                <w:rFonts w:cs="Arial"/>
                <w:b/>
                <w:bCs/>
                <w:szCs w:val="24"/>
              </w:rPr>
              <w:t xml:space="preserve">58,902 </w:t>
            </w:r>
          </w:p>
        </w:tc>
        <w:tc>
          <w:tcPr>
            <w:tcW w:w="2376" w:type="dxa"/>
            <w:tcBorders>
              <w:top w:val="single" w:sz="4" w:space="0" w:color="auto"/>
              <w:left w:val="single" w:sz="4" w:space="0" w:color="auto"/>
              <w:bottom w:val="single" w:sz="4" w:space="0" w:color="auto"/>
              <w:right w:val="single" w:sz="4" w:space="0" w:color="auto"/>
            </w:tcBorders>
            <w:vAlign w:val="center"/>
          </w:tcPr>
          <w:p w14:paraId="0A863984" w14:textId="046AA848" w:rsidR="00E16D4F" w:rsidRPr="00036C34" w:rsidRDefault="00E16D4F" w:rsidP="00036C34">
            <w:pPr>
              <w:jc w:val="right"/>
              <w:rPr>
                <w:rFonts w:cs="Arial"/>
                <w:b/>
                <w:bCs/>
                <w:szCs w:val="24"/>
              </w:rPr>
            </w:pPr>
            <w:r w:rsidRPr="00036C34">
              <w:rPr>
                <w:rFonts w:cs="Arial"/>
                <w:b/>
                <w:bCs/>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5A593646" w14:textId="7E51BA64" w:rsidR="00E16D4F" w:rsidRPr="00036C34" w:rsidRDefault="00E16D4F" w:rsidP="00036C34">
            <w:pPr>
              <w:jc w:val="right"/>
              <w:rPr>
                <w:rFonts w:cs="Arial"/>
                <w:b/>
                <w:bCs/>
                <w:szCs w:val="24"/>
              </w:rPr>
            </w:pPr>
            <w:r w:rsidRPr="00036C34">
              <w:rPr>
                <w:rFonts w:cs="Arial"/>
                <w:b/>
                <w:bCs/>
                <w:szCs w:val="24"/>
              </w:rPr>
              <w:t xml:space="preserve">58,902 </w:t>
            </w:r>
          </w:p>
        </w:tc>
        <w:tc>
          <w:tcPr>
            <w:tcW w:w="2551" w:type="dxa"/>
            <w:tcBorders>
              <w:top w:val="single" w:sz="4" w:space="0" w:color="auto"/>
              <w:left w:val="single" w:sz="4" w:space="0" w:color="auto"/>
              <w:bottom w:val="single" w:sz="4" w:space="0" w:color="auto"/>
              <w:right w:val="single" w:sz="4" w:space="0" w:color="auto"/>
            </w:tcBorders>
            <w:vAlign w:val="center"/>
          </w:tcPr>
          <w:p w14:paraId="2B83FF0C" w14:textId="478F18FF" w:rsidR="00E16D4F" w:rsidRPr="00036C34" w:rsidRDefault="00E16D4F" w:rsidP="00036C34">
            <w:pPr>
              <w:jc w:val="right"/>
              <w:rPr>
                <w:rFonts w:cs="Arial"/>
                <w:b/>
                <w:bCs/>
                <w:szCs w:val="24"/>
              </w:rPr>
            </w:pPr>
            <w:r w:rsidRPr="00036C34">
              <w:rPr>
                <w:rFonts w:cs="Arial"/>
                <w:b/>
                <w:bCs/>
                <w:szCs w:val="24"/>
              </w:rPr>
              <w:t>(8,55</w:t>
            </w:r>
            <w:r w:rsidR="000336DD" w:rsidRPr="00036C34">
              <w:rPr>
                <w:rFonts w:cs="Arial"/>
                <w:b/>
                <w:bCs/>
                <w:szCs w:val="24"/>
              </w:rPr>
              <w:t>3</w:t>
            </w:r>
            <w:r w:rsidRPr="00036C34">
              <w:rPr>
                <w:rFonts w:cs="Arial"/>
                <w:b/>
                <w:bCs/>
                <w:szCs w:val="24"/>
              </w:rPr>
              <w:t>)</w:t>
            </w:r>
          </w:p>
        </w:tc>
        <w:tc>
          <w:tcPr>
            <w:tcW w:w="2727" w:type="dxa"/>
            <w:tcBorders>
              <w:top w:val="single" w:sz="4" w:space="0" w:color="auto"/>
              <w:left w:val="single" w:sz="4" w:space="0" w:color="auto"/>
              <w:bottom w:val="single" w:sz="4" w:space="0" w:color="auto"/>
              <w:right w:val="single" w:sz="4" w:space="0" w:color="auto"/>
            </w:tcBorders>
            <w:vAlign w:val="center"/>
          </w:tcPr>
          <w:p w14:paraId="01DC48D4" w14:textId="6EC92331" w:rsidR="00E16D4F" w:rsidRPr="00036C34" w:rsidRDefault="00E16D4F" w:rsidP="00036C34">
            <w:pPr>
              <w:jc w:val="right"/>
              <w:rPr>
                <w:rFonts w:cs="Arial"/>
                <w:b/>
                <w:bCs/>
                <w:szCs w:val="24"/>
              </w:rPr>
            </w:pPr>
            <w:r w:rsidRPr="00036C34">
              <w:rPr>
                <w:rFonts w:cs="Arial"/>
                <w:b/>
                <w:bCs/>
                <w:szCs w:val="24"/>
              </w:rPr>
              <w:t>50,34</w:t>
            </w:r>
            <w:r w:rsidR="000336DD" w:rsidRPr="00036C34">
              <w:rPr>
                <w:rFonts w:cs="Arial"/>
                <w:b/>
                <w:bCs/>
                <w:szCs w:val="24"/>
              </w:rPr>
              <w:t>9</w:t>
            </w:r>
          </w:p>
        </w:tc>
      </w:tr>
      <w:tr w:rsidR="00E16D4F" w:rsidRPr="00A864CD" w14:paraId="65F7F10C" w14:textId="77777777" w:rsidTr="00233A66">
        <w:tc>
          <w:tcPr>
            <w:tcW w:w="3641" w:type="dxa"/>
            <w:tcBorders>
              <w:top w:val="single" w:sz="4" w:space="0" w:color="auto"/>
              <w:left w:val="single" w:sz="4" w:space="0" w:color="auto"/>
              <w:bottom w:val="single" w:sz="4" w:space="0" w:color="auto"/>
              <w:right w:val="single" w:sz="4" w:space="0" w:color="auto"/>
            </w:tcBorders>
          </w:tcPr>
          <w:p w14:paraId="2A418BC7" w14:textId="1DE1D870" w:rsidR="00E16D4F" w:rsidRPr="00A864CD" w:rsidRDefault="00E16D4F" w:rsidP="003545E4">
            <w:pPr>
              <w:rPr>
                <w:szCs w:val="24"/>
              </w:rPr>
            </w:pPr>
            <w:r w:rsidRPr="00A864CD">
              <w:rPr>
                <w:szCs w:val="24"/>
              </w:rPr>
              <w:t>Other income and expenditure</w:t>
            </w:r>
          </w:p>
        </w:tc>
        <w:tc>
          <w:tcPr>
            <w:tcW w:w="1735" w:type="dxa"/>
            <w:tcBorders>
              <w:top w:val="single" w:sz="4" w:space="0" w:color="auto"/>
              <w:left w:val="single" w:sz="4" w:space="0" w:color="auto"/>
              <w:bottom w:val="single" w:sz="4" w:space="0" w:color="auto"/>
              <w:right w:val="single" w:sz="4" w:space="0" w:color="auto"/>
            </w:tcBorders>
            <w:vAlign w:val="center"/>
          </w:tcPr>
          <w:p w14:paraId="2F9C090A" w14:textId="3379B8B6" w:rsidR="00E16D4F" w:rsidRPr="00036C34" w:rsidRDefault="00E16D4F" w:rsidP="00036C34">
            <w:pPr>
              <w:jc w:val="right"/>
              <w:rPr>
                <w:rFonts w:cs="Arial"/>
                <w:szCs w:val="24"/>
              </w:rPr>
            </w:pPr>
            <w:r w:rsidRPr="00036C34">
              <w:rPr>
                <w:rFonts w:cs="Arial"/>
                <w:szCs w:val="24"/>
              </w:rPr>
              <w:t>(59,234)</w:t>
            </w:r>
          </w:p>
        </w:tc>
        <w:tc>
          <w:tcPr>
            <w:tcW w:w="2376" w:type="dxa"/>
            <w:tcBorders>
              <w:top w:val="single" w:sz="4" w:space="0" w:color="auto"/>
              <w:left w:val="single" w:sz="4" w:space="0" w:color="auto"/>
              <w:bottom w:val="single" w:sz="4" w:space="0" w:color="auto"/>
              <w:right w:val="single" w:sz="4" w:space="0" w:color="auto"/>
            </w:tcBorders>
            <w:vAlign w:val="center"/>
          </w:tcPr>
          <w:p w14:paraId="1013A3DF" w14:textId="7A611F59" w:rsidR="00E16D4F" w:rsidRPr="00036C34" w:rsidRDefault="00E16D4F" w:rsidP="00036C34">
            <w:pPr>
              <w:jc w:val="right"/>
              <w:rPr>
                <w:rFonts w:cs="Arial"/>
                <w:szCs w:val="24"/>
              </w:rPr>
            </w:pPr>
            <w:r w:rsidRPr="00036C34">
              <w:rPr>
                <w:rFonts w:cs="Arial"/>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5C825051" w14:textId="47787011" w:rsidR="00E16D4F" w:rsidRPr="00036C34" w:rsidRDefault="00E16D4F" w:rsidP="00036C34">
            <w:pPr>
              <w:jc w:val="right"/>
              <w:rPr>
                <w:rFonts w:cs="Arial"/>
                <w:szCs w:val="24"/>
              </w:rPr>
            </w:pPr>
            <w:r w:rsidRPr="00036C34">
              <w:rPr>
                <w:rFonts w:cs="Arial"/>
                <w:szCs w:val="24"/>
              </w:rPr>
              <w:t>(59,234)</w:t>
            </w:r>
          </w:p>
        </w:tc>
        <w:tc>
          <w:tcPr>
            <w:tcW w:w="2551" w:type="dxa"/>
            <w:tcBorders>
              <w:top w:val="single" w:sz="4" w:space="0" w:color="auto"/>
              <w:left w:val="single" w:sz="4" w:space="0" w:color="auto"/>
              <w:bottom w:val="single" w:sz="4" w:space="0" w:color="auto"/>
              <w:right w:val="single" w:sz="4" w:space="0" w:color="auto"/>
            </w:tcBorders>
            <w:vAlign w:val="center"/>
          </w:tcPr>
          <w:p w14:paraId="0E501702" w14:textId="53AFCA9A" w:rsidR="00E16D4F" w:rsidRPr="00036C34" w:rsidRDefault="00E16D4F" w:rsidP="00036C34">
            <w:pPr>
              <w:jc w:val="right"/>
              <w:rPr>
                <w:rFonts w:cs="Arial"/>
                <w:szCs w:val="24"/>
              </w:rPr>
            </w:pPr>
            <w:r w:rsidRPr="00036C34">
              <w:rPr>
                <w:rFonts w:cs="Arial"/>
                <w:szCs w:val="24"/>
              </w:rPr>
              <w:t xml:space="preserve">18,847 </w:t>
            </w:r>
          </w:p>
        </w:tc>
        <w:tc>
          <w:tcPr>
            <w:tcW w:w="2727" w:type="dxa"/>
            <w:tcBorders>
              <w:top w:val="single" w:sz="4" w:space="0" w:color="auto"/>
              <w:left w:val="single" w:sz="4" w:space="0" w:color="auto"/>
              <w:bottom w:val="single" w:sz="4" w:space="0" w:color="auto"/>
              <w:right w:val="single" w:sz="4" w:space="0" w:color="auto"/>
            </w:tcBorders>
            <w:vAlign w:val="center"/>
          </w:tcPr>
          <w:p w14:paraId="318F6A90" w14:textId="033C7947" w:rsidR="00E16D4F" w:rsidRPr="00036C34" w:rsidRDefault="00E16D4F" w:rsidP="00036C34">
            <w:pPr>
              <w:jc w:val="right"/>
              <w:rPr>
                <w:rFonts w:cs="Arial"/>
                <w:szCs w:val="24"/>
              </w:rPr>
            </w:pPr>
            <w:r w:rsidRPr="00036C34">
              <w:rPr>
                <w:rFonts w:cs="Arial"/>
                <w:szCs w:val="24"/>
              </w:rPr>
              <w:t>(40,387)</w:t>
            </w:r>
          </w:p>
        </w:tc>
      </w:tr>
      <w:tr w:rsidR="00E16D4F" w:rsidRPr="00A864CD" w14:paraId="564878C1" w14:textId="77777777" w:rsidTr="00233A66">
        <w:tc>
          <w:tcPr>
            <w:tcW w:w="3641" w:type="dxa"/>
            <w:tcBorders>
              <w:top w:val="single" w:sz="4" w:space="0" w:color="auto"/>
              <w:left w:val="single" w:sz="4" w:space="0" w:color="auto"/>
              <w:bottom w:val="single" w:sz="4" w:space="0" w:color="auto"/>
              <w:right w:val="single" w:sz="4" w:space="0" w:color="auto"/>
            </w:tcBorders>
          </w:tcPr>
          <w:p w14:paraId="64E9BD6E" w14:textId="5EE19509" w:rsidR="00E16D4F" w:rsidRPr="00A864CD" w:rsidRDefault="00E16D4F" w:rsidP="003545E4">
            <w:pPr>
              <w:rPr>
                <w:b/>
                <w:szCs w:val="24"/>
              </w:rPr>
            </w:pPr>
            <w:r w:rsidRPr="00A864CD">
              <w:rPr>
                <w:b/>
                <w:szCs w:val="24"/>
              </w:rPr>
              <w:t>Surplus on provision of services</w:t>
            </w:r>
          </w:p>
        </w:tc>
        <w:tc>
          <w:tcPr>
            <w:tcW w:w="1735" w:type="dxa"/>
            <w:tcBorders>
              <w:top w:val="single" w:sz="4" w:space="0" w:color="auto"/>
              <w:left w:val="single" w:sz="4" w:space="0" w:color="auto"/>
              <w:bottom w:val="single" w:sz="4" w:space="0" w:color="auto"/>
              <w:right w:val="single" w:sz="4" w:space="0" w:color="auto"/>
            </w:tcBorders>
            <w:vAlign w:val="center"/>
          </w:tcPr>
          <w:p w14:paraId="76151593" w14:textId="409F9FB2" w:rsidR="00E16D4F" w:rsidRPr="00036C34" w:rsidRDefault="00E16D4F" w:rsidP="00036C34">
            <w:pPr>
              <w:jc w:val="right"/>
              <w:rPr>
                <w:rFonts w:cs="Arial"/>
                <w:b/>
                <w:bCs/>
                <w:szCs w:val="24"/>
              </w:rPr>
            </w:pPr>
            <w:r w:rsidRPr="00036C34">
              <w:rPr>
                <w:rFonts w:cs="Arial"/>
                <w:b/>
                <w:bCs/>
                <w:szCs w:val="24"/>
              </w:rPr>
              <w:t>(332)</w:t>
            </w:r>
          </w:p>
        </w:tc>
        <w:tc>
          <w:tcPr>
            <w:tcW w:w="2376" w:type="dxa"/>
            <w:tcBorders>
              <w:top w:val="single" w:sz="4" w:space="0" w:color="auto"/>
              <w:left w:val="single" w:sz="4" w:space="0" w:color="auto"/>
              <w:bottom w:val="single" w:sz="4" w:space="0" w:color="auto"/>
              <w:right w:val="single" w:sz="4" w:space="0" w:color="auto"/>
            </w:tcBorders>
            <w:vAlign w:val="center"/>
          </w:tcPr>
          <w:p w14:paraId="21E9A8D5" w14:textId="0E5B7CED" w:rsidR="00E16D4F" w:rsidRPr="00036C34" w:rsidRDefault="00E16D4F" w:rsidP="00036C34">
            <w:pPr>
              <w:jc w:val="right"/>
              <w:rPr>
                <w:rFonts w:cs="Arial"/>
                <w:b/>
                <w:bCs/>
                <w:szCs w:val="24"/>
              </w:rPr>
            </w:pPr>
            <w:r w:rsidRPr="00036C34">
              <w:rPr>
                <w:rFonts w:cs="Arial"/>
                <w:b/>
                <w:bCs/>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1BFEB3BF" w14:textId="7753DA07" w:rsidR="00E16D4F" w:rsidRPr="00036C34" w:rsidRDefault="00E16D4F" w:rsidP="00036C34">
            <w:pPr>
              <w:jc w:val="right"/>
              <w:rPr>
                <w:rFonts w:cs="Arial"/>
                <w:b/>
                <w:bCs/>
                <w:szCs w:val="24"/>
              </w:rPr>
            </w:pPr>
            <w:r w:rsidRPr="00036C34">
              <w:rPr>
                <w:rFonts w:cs="Arial"/>
                <w:b/>
                <w:bCs/>
                <w:szCs w:val="24"/>
              </w:rPr>
              <w:t>(332)</w:t>
            </w:r>
          </w:p>
        </w:tc>
        <w:tc>
          <w:tcPr>
            <w:tcW w:w="2551" w:type="dxa"/>
            <w:tcBorders>
              <w:top w:val="single" w:sz="4" w:space="0" w:color="auto"/>
              <w:left w:val="single" w:sz="4" w:space="0" w:color="auto"/>
              <w:bottom w:val="single" w:sz="4" w:space="0" w:color="auto"/>
              <w:right w:val="single" w:sz="4" w:space="0" w:color="auto"/>
            </w:tcBorders>
            <w:vAlign w:val="center"/>
          </w:tcPr>
          <w:p w14:paraId="15425AFD" w14:textId="1CB15F47" w:rsidR="00E16D4F" w:rsidRPr="00036C34" w:rsidRDefault="00E16D4F" w:rsidP="00036C34">
            <w:pPr>
              <w:jc w:val="right"/>
              <w:rPr>
                <w:rFonts w:cs="Arial"/>
                <w:b/>
                <w:bCs/>
                <w:szCs w:val="24"/>
              </w:rPr>
            </w:pPr>
            <w:r w:rsidRPr="00036C34">
              <w:rPr>
                <w:rFonts w:cs="Arial"/>
                <w:b/>
                <w:bCs/>
                <w:szCs w:val="24"/>
              </w:rPr>
              <w:t>10,29</w:t>
            </w:r>
            <w:r w:rsidR="000336DD" w:rsidRPr="00036C34">
              <w:rPr>
                <w:rFonts w:cs="Arial"/>
                <w:b/>
                <w:bCs/>
                <w:szCs w:val="24"/>
              </w:rPr>
              <w:t>4</w:t>
            </w:r>
            <w:r w:rsidRPr="00036C34">
              <w:rPr>
                <w:rFonts w:cs="Arial"/>
                <w:b/>
                <w:bCs/>
                <w:szCs w:val="24"/>
              </w:rPr>
              <w:t xml:space="preserve"> </w:t>
            </w:r>
          </w:p>
        </w:tc>
        <w:tc>
          <w:tcPr>
            <w:tcW w:w="2727" w:type="dxa"/>
            <w:tcBorders>
              <w:top w:val="single" w:sz="4" w:space="0" w:color="auto"/>
              <w:left w:val="single" w:sz="4" w:space="0" w:color="auto"/>
              <w:bottom w:val="single" w:sz="4" w:space="0" w:color="auto"/>
              <w:right w:val="single" w:sz="4" w:space="0" w:color="auto"/>
            </w:tcBorders>
            <w:vAlign w:val="center"/>
          </w:tcPr>
          <w:p w14:paraId="2DA96305" w14:textId="35580C88" w:rsidR="00E16D4F" w:rsidRPr="00036C34" w:rsidRDefault="00E16D4F" w:rsidP="00036C34">
            <w:pPr>
              <w:jc w:val="right"/>
              <w:rPr>
                <w:rFonts w:cs="Arial"/>
                <w:b/>
                <w:bCs/>
                <w:szCs w:val="24"/>
              </w:rPr>
            </w:pPr>
            <w:r w:rsidRPr="00036C34">
              <w:rPr>
                <w:rFonts w:cs="Arial"/>
                <w:b/>
                <w:bCs/>
                <w:szCs w:val="24"/>
              </w:rPr>
              <w:t>9,96</w:t>
            </w:r>
            <w:r w:rsidR="000336DD" w:rsidRPr="00036C34">
              <w:rPr>
                <w:rFonts w:cs="Arial"/>
                <w:b/>
                <w:bCs/>
                <w:szCs w:val="24"/>
              </w:rPr>
              <w:t>3</w:t>
            </w:r>
          </w:p>
        </w:tc>
      </w:tr>
    </w:tbl>
    <w:p w14:paraId="010B228A" w14:textId="77777777" w:rsidR="00DD2894" w:rsidRDefault="00DD2894"/>
    <w:tbl>
      <w:tblPr>
        <w:tblStyle w:val="TableGrid"/>
        <w:tblW w:w="9492" w:type="dxa"/>
        <w:tblInd w:w="709" w:type="dxa"/>
        <w:tblLayout w:type="fixed"/>
        <w:tblLook w:val="04A0" w:firstRow="1" w:lastRow="0" w:firstColumn="1" w:lastColumn="0" w:noHBand="0" w:noVBand="1"/>
      </w:tblPr>
      <w:tblGrid>
        <w:gridCol w:w="7791"/>
        <w:gridCol w:w="1701"/>
      </w:tblGrid>
      <w:tr w:rsidR="00AE0F22" w:rsidRPr="00A864CD" w14:paraId="1E8B6269" w14:textId="77777777" w:rsidTr="00233A66">
        <w:tc>
          <w:tcPr>
            <w:tcW w:w="7791" w:type="dxa"/>
            <w:tcBorders>
              <w:top w:val="single" w:sz="4" w:space="0" w:color="auto"/>
              <w:left w:val="single" w:sz="4" w:space="0" w:color="auto"/>
              <w:bottom w:val="single" w:sz="4" w:space="0" w:color="auto"/>
              <w:right w:val="single" w:sz="4" w:space="0" w:color="auto"/>
            </w:tcBorders>
          </w:tcPr>
          <w:p w14:paraId="7968F9CF" w14:textId="77777777" w:rsidR="00AE0F22" w:rsidRPr="00A864CD" w:rsidRDefault="00AE0F22" w:rsidP="0084741F">
            <w:pPr>
              <w:rPr>
                <w:rFonts w:cs="Arial"/>
                <w:b/>
                <w:bCs/>
                <w:szCs w:val="24"/>
              </w:rPr>
            </w:pPr>
            <w:r w:rsidRPr="00A864CD">
              <w:rPr>
                <w:rFonts w:cs="Arial"/>
                <w:b/>
                <w:bCs/>
                <w:szCs w:val="24"/>
              </w:rPr>
              <w:t>Opening General Fund balance</w:t>
            </w:r>
          </w:p>
        </w:tc>
        <w:tc>
          <w:tcPr>
            <w:tcW w:w="1701" w:type="dxa"/>
            <w:tcBorders>
              <w:top w:val="single" w:sz="4" w:space="0" w:color="auto"/>
              <w:left w:val="single" w:sz="4" w:space="0" w:color="auto"/>
              <w:bottom w:val="single" w:sz="4" w:space="0" w:color="auto"/>
              <w:right w:val="single" w:sz="4" w:space="0" w:color="auto"/>
            </w:tcBorders>
            <w:vAlign w:val="center"/>
          </w:tcPr>
          <w:p w14:paraId="4B448411" w14:textId="696AE995" w:rsidR="00AE0F22" w:rsidRPr="00A864CD" w:rsidRDefault="00AE0F22" w:rsidP="00233A66">
            <w:pPr>
              <w:ind w:right="136"/>
              <w:jc w:val="right"/>
              <w:rPr>
                <w:rFonts w:cs="Arial"/>
                <w:b/>
                <w:bCs/>
                <w:szCs w:val="24"/>
              </w:rPr>
            </w:pPr>
            <w:r w:rsidRPr="00A864CD">
              <w:rPr>
                <w:rFonts w:cs="Arial"/>
                <w:b/>
                <w:bCs/>
                <w:szCs w:val="24"/>
              </w:rPr>
              <w:t>(6,</w:t>
            </w:r>
            <w:r w:rsidR="005E26CD">
              <w:rPr>
                <w:rFonts w:cs="Arial"/>
                <w:b/>
                <w:bCs/>
                <w:szCs w:val="24"/>
              </w:rPr>
              <w:t>464</w:t>
            </w:r>
            <w:r w:rsidRPr="00A864CD">
              <w:rPr>
                <w:rFonts w:cs="Arial"/>
                <w:b/>
                <w:bCs/>
                <w:szCs w:val="24"/>
              </w:rPr>
              <w:t xml:space="preserve">) </w:t>
            </w:r>
          </w:p>
        </w:tc>
      </w:tr>
      <w:tr w:rsidR="00AE0F22" w:rsidRPr="00A864CD" w14:paraId="1FE83464" w14:textId="77777777" w:rsidTr="00233A66">
        <w:tc>
          <w:tcPr>
            <w:tcW w:w="7791" w:type="dxa"/>
            <w:tcBorders>
              <w:top w:val="single" w:sz="4" w:space="0" w:color="auto"/>
              <w:left w:val="single" w:sz="4" w:space="0" w:color="auto"/>
              <w:bottom w:val="single" w:sz="4" w:space="0" w:color="auto"/>
              <w:right w:val="single" w:sz="4" w:space="0" w:color="auto"/>
            </w:tcBorders>
          </w:tcPr>
          <w:p w14:paraId="644B0EA3" w14:textId="77777777" w:rsidR="00AE0F22" w:rsidRPr="00A864CD" w:rsidRDefault="00AE0F22" w:rsidP="0084741F">
            <w:pPr>
              <w:rPr>
                <w:rFonts w:cs="Arial"/>
                <w:szCs w:val="24"/>
              </w:rPr>
            </w:pPr>
            <w:r w:rsidRPr="00A864CD">
              <w:rPr>
                <w:rFonts w:cs="Arial"/>
                <w:szCs w:val="24"/>
              </w:rPr>
              <w:t>Surplus on provision of services</w:t>
            </w:r>
          </w:p>
        </w:tc>
        <w:tc>
          <w:tcPr>
            <w:tcW w:w="1701" w:type="dxa"/>
            <w:tcBorders>
              <w:top w:val="single" w:sz="4" w:space="0" w:color="auto"/>
              <w:left w:val="single" w:sz="4" w:space="0" w:color="auto"/>
              <w:bottom w:val="single" w:sz="4" w:space="0" w:color="auto"/>
              <w:right w:val="single" w:sz="4" w:space="0" w:color="auto"/>
            </w:tcBorders>
            <w:vAlign w:val="center"/>
          </w:tcPr>
          <w:p w14:paraId="2E7D81C5" w14:textId="10FB56DB" w:rsidR="00AE0F22" w:rsidRPr="00A864CD" w:rsidRDefault="005E26CD" w:rsidP="00233A66">
            <w:pPr>
              <w:ind w:right="136"/>
              <w:jc w:val="right"/>
              <w:rPr>
                <w:rFonts w:cs="Arial"/>
                <w:szCs w:val="24"/>
              </w:rPr>
            </w:pPr>
            <w:r>
              <w:rPr>
                <w:rFonts w:cs="Arial"/>
                <w:szCs w:val="24"/>
              </w:rPr>
              <w:t>(332)</w:t>
            </w:r>
          </w:p>
        </w:tc>
      </w:tr>
      <w:tr w:rsidR="00AE0F22" w:rsidRPr="00A864CD" w14:paraId="2DBA23F0" w14:textId="77777777" w:rsidTr="00233A66">
        <w:tc>
          <w:tcPr>
            <w:tcW w:w="7791" w:type="dxa"/>
            <w:tcBorders>
              <w:top w:val="single" w:sz="4" w:space="0" w:color="auto"/>
              <w:left w:val="single" w:sz="4" w:space="0" w:color="auto"/>
              <w:bottom w:val="single" w:sz="4" w:space="0" w:color="auto"/>
              <w:right w:val="single" w:sz="4" w:space="0" w:color="auto"/>
            </w:tcBorders>
          </w:tcPr>
          <w:p w14:paraId="2A2EA14B" w14:textId="77777777" w:rsidR="00AE0F22" w:rsidRPr="00A864CD" w:rsidRDefault="00AE0F22" w:rsidP="0084741F">
            <w:pPr>
              <w:rPr>
                <w:rFonts w:cs="Arial"/>
                <w:szCs w:val="24"/>
              </w:rPr>
            </w:pPr>
            <w:r w:rsidRPr="00A864CD">
              <w:rPr>
                <w:rFonts w:cs="Arial"/>
                <w:szCs w:val="24"/>
              </w:rPr>
              <w:t>NWFC recognise 25% surplus on provision of services</w:t>
            </w:r>
          </w:p>
        </w:tc>
        <w:tc>
          <w:tcPr>
            <w:tcW w:w="1701" w:type="dxa"/>
            <w:tcBorders>
              <w:top w:val="single" w:sz="4" w:space="0" w:color="auto"/>
              <w:left w:val="single" w:sz="4" w:space="0" w:color="auto"/>
              <w:bottom w:val="single" w:sz="4" w:space="0" w:color="auto"/>
              <w:right w:val="single" w:sz="4" w:space="0" w:color="auto"/>
            </w:tcBorders>
            <w:vAlign w:val="center"/>
          </w:tcPr>
          <w:p w14:paraId="59EE803A" w14:textId="522A65FA" w:rsidR="00AE0F22" w:rsidRPr="00A864CD" w:rsidRDefault="005E26CD" w:rsidP="00233A66">
            <w:pPr>
              <w:ind w:right="136"/>
              <w:jc w:val="right"/>
              <w:rPr>
                <w:rFonts w:cs="Arial"/>
                <w:szCs w:val="24"/>
              </w:rPr>
            </w:pPr>
            <w:r>
              <w:rPr>
                <w:rFonts w:cs="Arial"/>
                <w:szCs w:val="24"/>
              </w:rPr>
              <w:t>331</w:t>
            </w:r>
          </w:p>
        </w:tc>
      </w:tr>
      <w:tr w:rsidR="00AE0F22" w:rsidRPr="00A864CD" w14:paraId="4AF11DE0" w14:textId="77777777" w:rsidTr="00233A66">
        <w:tc>
          <w:tcPr>
            <w:tcW w:w="7791" w:type="dxa"/>
            <w:tcBorders>
              <w:top w:val="single" w:sz="4" w:space="0" w:color="auto"/>
              <w:left w:val="single" w:sz="4" w:space="0" w:color="auto"/>
              <w:bottom w:val="single" w:sz="4" w:space="0" w:color="auto"/>
              <w:right w:val="single" w:sz="4" w:space="0" w:color="auto"/>
            </w:tcBorders>
          </w:tcPr>
          <w:p w14:paraId="5901731F" w14:textId="77777777" w:rsidR="00AE0F22" w:rsidRPr="00A864CD" w:rsidRDefault="00AE0F22" w:rsidP="0084741F">
            <w:pPr>
              <w:rPr>
                <w:rFonts w:cs="Arial"/>
                <w:b/>
                <w:bCs/>
                <w:szCs w:val="24"/>
              </w:rPr>
            </w:pPr>
            <w:r w:rsidRPr="00A864CD">
              <w:rPr>
                <w:rFonts w:cs="Arial"/>
                <w:b/>
                <w:bCs/>
                <w:szCs w:val="24"/>
              </w:rPr>
              <w:t>Closing General Fund balance</w:t>
            </w:r>
          </w:p>
        </w:tc>
        <w:tc>
          <w:tcPr>
            <w:tcW w:w="1701" w:type="dxa"/>
            <w:tcBorders>
              <w:top w:val="single" w:sz="4" w:space="0" w:color="auto"/>
              <w:left w:val="single" w:sz="4" w:space="0" w:color="auto"/>
              <w:bottom w:val="single" w:sz="4" w:space="0" w:color="auto"/>
              <w:right w:val="single" w:sz="4" w:space="0" w:color="auto"/>
            </w:tcBorders>
            <w:vAlign w:val="center"/>
          </w:tcPr>
          <w:p w14:paraId="27AA4A4C" w14:textId="21645DB5" w:rsidR="00AE0F22" w:rsidRPr="00A864CD" w:rsidRDefault="00AE0F22" w:rsidP="00233A66">
            <w:pPr>
              <w:ind w:right="136"/>
              <w:jc w:val="right"/>
              <w:rPr>
                <w:rFonts w:cs="Arial"/>
                <w:b/>
                <w:bCs/>
                <w:szCs w:val="24"/>
              </w:rPr>
            </w:pPr>
            <w:r w:rsidRPr="00A864CD">
              <w:rPr>
                <w:rFonts w:cs="Arial"/>
                <w:b/>
                <w:bCs/>
                <w:szCs w:val="24"/>
              </w:rPr>
              <w:t>(</w:t>
            </w:r>
            <w:r w:rsidR="005E26CD">
              <w:rPr>
                <w:rFonts w:cs="Arial"/>
                <w:b/>
                <w:bCs/>
                <w:szCs w:val="24"/>
              </w:rPr>
              <w:t>73</w:t>
            </w:r>
            <w:r w:rsidRPr="00A864CD">
              <w:rPr>
                <w:rFonts w:cs="Arial"/>
                <w:b/>
                <w:bCs/>
                <w:szCs w:val="24"/>
              </w:rPr>
              <w:t>)</w:t>
            </w:r>
          </w:p>
        </w:tc>
      </w:tr>
    </w:tbl>
    <w:p w14:paraId="40D55502" w14:textId="4CD6417D" w:rsidR="005D04CB" w:rsidRDefault="005D04CB" w:rsidP="005C1944"/>
    <w:p w14:paraId="0540C2A3" w14:textId="77777777" w:rsidR="003C7C40" w:rsidRDefault="003C7C40">
      <w:pPr>
        <w:rPr>
          <w:b/>
          <w:szCs w:val="24"/>
        </w:rPr>
      </w:pPr>
      <w:r>
        <w:rPr>
          <w:szCs w:val="24"/>
        </w:rPr>
        <w:br w:type="page"/>
      </w:r>
    </w:p>
    <w:p w14:paraId="06862C3A" w14:textId="1338CDED" w:rsidR="009469D7" w:rsidRPr="002C4799" w:rsidRDefault="00EC5AC1" w:rsidP="005D04CB">
      <w:pPr>
        <w:pStyle w:val="Heading2"/>
        <w:jc w:val="left"/>
        <w:rPr>
          <w:sz w:val="24"/>
          <w:szCs w:val="24"/>
        </w:rPr>
      </w:pPr>
      <w:bookmarkStart w:id="24" w:name="_Toc166761534"/>
      <w:r w:rsidRPr="002C4799">
        <w:rPr>
          <w:sz w:val="24"/>
          <w:szCs w:val="24"/>
        </w:rPr>
        <w:lastRenderedPageBreak/>
        <w:t>1</w:t>
      </w:r>
      <w:r w:rsidR="001C592E" w:rsidRPr="002C4799">
        <w:rPr>
          <w:sz w:val="24"/>
          <w:szCs w:val="24"/>
        </w:rPr>
        <w:t>a</w:t>
      </w:r>
      <w:r w:rsidR="009469D7" w:rsidRPr="002C4799">
        <w:rPr>
          <w:sz w:val="24"/>
          <w:szCs w:val="24"/>
        </w:rPr>
        <w:tab/>
        <w:t>Note to the Expenditure and Funding Analysis</w:t>
      </w:r>
      <w:bookmarkEnd w:id="24"/>
    </w:p>
    <w:p w14:paraId="645B6B55" w14:textId="77777777" w:rsidR="009469D7" w:rsidRPr="00AF3DCD" w:rsidRDefault="009469D7" w:rsidP="009469D7">
      <w:pPr>
        <w:ind w:left="720"/>
        <w:jc w:val="both"/>
        <w:rPr>
          <w:sz w:val="16"/>
          <w:szCs w:val="18"/>
        </w:rPr>
      </w:pPr>
    </w:p>
    <w:tbl>
      <w:tblPr>
        <w:tblStyle w:val="TableGrid"/>
        <w:tblW w:w="15298" w:type="dxa"/>
        <w:tblInd w:w="720" w:type="dxa"/>
        <w:tblLayout w:type="fixed"/>
        <w:tblLook w:val="04A0" w:firstRow="1" w:lastRow="0" w:firstColumn="1" w:lastColumn="0" w:noHBand="0" w:noVBand="1"/>
      </w:tblPr>
      <w:tblGrid>
        <w:gridCol w:w="3675"/>
        <w:gridCol w:w="1559"/>
        <w:gridCol w:w="1276"/>
        <w:gridCol w:w="1842"/>
        <w:gridCol w:w="1560"/>
        <w:gridCol w:w="1701"/>
        <w:gridCol w:w="1559"/>
        <w:gridCol w:w="2126"/>
      </w:tblGrid>
      <w:tr w:rsidR="00E17716" w:rsidRPr="00AF3DCD" w14:paraId="5DE5DF5B" w14:textId="77777777" w:rsidTr="00611673">
        <w:trPr>
          <w:tblHeader/>
        </w:trPr>
        <w:tc>
          <w:tcPr>
            <w:tcW w:w="3675" w:type="dxa"/>
            <w:shd w:val="clear" w:color="auto" w:fill="BD2716"/>
            <w:vAlign w:val="center"/>
          </w:tcPr>
          <w:p w14:paraId="350D965F" w14:textId="7D936E2E" w:rsidR="00B068F4" w:rsidRPr="00036C34" w:rsidRDefault="00B068F4" w:rsidP="00611673">
            <w:pPr>
              <w:rPr>
                <w:color w:val="FFFFFF" w:themeColor="background1"/>
                <w:szCs w:val="24"/>
              </w:rPr>
            </w:pPr>
            <w:bookmarkStart w:id="25" w:name="_Hlk96092429"/>
            <w:r w:rsidRPr="00036C34">
              <w:rPr>
                <w:color w:val="FFFFFF" w:themeColor="background1"/>
                <w:szCs w:val="24"/>
              </w:rPr>
              <w:t>2022/23</w:t>
            </w:r>
          </w:p>
          <w:p w14:paraId="223199E9" w14:textId="3A644DE8" w:rsidR="00E17716" w:rsidRPr="00036C34" w:rsidRDefault="00E17716" w:rsidP="00611673">
            <w:pPr>
              <w:rPr>
                <w:color w:val="FFFFFF" w:themeColor="background1"/>
                <w:szCs w:val="24"/>
              </w:rPr>
            </w:pPr>
            <w:r w:rsidRPr="00036C34">
              <w:rPr>
                <w:color w:val="FFFFFF" w:themeColor="background1"/>
                <w:szCs w:val="24"/>
              </w:rPr>
              <w:t>Adjustments from General Fund to arrive at the Comprehensive Income and Expenditure Statement amounts</w:t>
            </w:r>
          </w:p>
        </w:tc>
        <w:tc>
          <w:tcPr>
            <w:tcW w:w="1559" w:type="dxa"/>
            <w:shd w:val="clear" w:color="auto" w:fill="BD2716"/>
            <w:vAlign w:val="center"/>
          </w:tcPr>
          <w:p w14:paraId="2BA2DA0B" w14:textId="77777777" w:rsidR="00E17716" w:rsidRPr="00036C34" w:rsidRDefault="00E17716" w:rsidP="00611673">
            <w:pPr>
              <w:jc w:val="right"/>
              <w:rPr>
                <w:color w:val="FFFFFF" w:themeColor="background1"/>
                <w:szCs w:val="24"/>
              </w:rPr>
            </w:pPr>
            <w:r w:rsidRPr="00036C34">
              <w:rPr>
                <w:color w:val="FFFFFF" w:themeColor="background1"/>
                <w:szCs w:val="24"/>
              </w:rPr>
              <w:t>Transfer to/(from) Earmarked Reserves</w:t>
            </w:r>
          </w:p>
          <w:p w14:paraId="63EA470D" w14:textId="04652DAB" w:rsidR="00B068F4" w:rsidRPr="00036C34" w:rsidRDefault="00B068F4" w:rsidP="00611673">
            <w:pPr>
              <w:jc w:val="right"/>
              <w:rPr>
                <w:color w:val="FFFFFF" w:themeColor="background1"/>
                <w:szCs w:val="24"/>
              </w:rPr>
            </w:pPr>
            <w:r w:rsidRPr="00036C34">
              <w:rPr>
                <w:color w:val="FFFFFF" w:themeColor="background1"/>
                <w:szCs w:val="24"/>
              </w:rPr>
              <w:t>£000</w:t>
            </w:r>
          </w:p>
        </w:tc>
        <w:tc>
          <w:tcPr>
            <w:tcW w:w="1276" w:type="dxa"/>
            <w:shd w:val="clear" w:color="auto" w:fill="BD2716"/>
            <w:vAlign w:val="center"/>
          </w:tcPr>
          <w:p w14:paraId="61A0B487" w14:textId="77777777" w:rsidR="00E17716" w:rsidRPr="00036C34" w:rsidRDefault="00E17716" w:rsidP="00611673">
            <w:pPr>
              <w:jc w:val="right"/>
              <w:rPr>
                <w:color w:val="FFFFFF" w:themeColor="background1"/>
                <w:szCs w:val="24"/>
              </w:rPr>
            </w:pPr>
            <w:r w:rsidRPr="00036C34">
              <w:rPr>
                <w:color w:val="FFFFFF" w:themeColor="background1"/>
                <w:szCs w:val="24"/>
              </w:rPr>
              <w:t>Transfer to/(from) Capital Reserves</w:t>
            </w:r>
          </w:p>
          <w:p w14:paraId="142EEB1D" w14:textId="0870B1DD" w:rsidR="00B068F4" w:rsidRPr="00036C34" w:rsidRDefault="00B068F4" w:rsidP="00611673">
            <w:pPr>
              <w:jc w:val="right"/>
              <w:rPr>
                <w:b/>
                <w:color w:val="FFFFFF" w:themeColor="background1"/>
                <w:szCs w:val="24"/>
              </w:rPr>
            </w:pPr>
            <w:r w:rsidRPr="00036C34">
              <w:rPr>
                <w:color w:val="FFFFFF" w:themeColor="background1"/>
                <w:szCs w:val="24"/>
              </w:rPr>
              <w:t>£000</w:t>
            </w:r>
          </w:p>
        </w:tc>
        <w:tc>
          <w:tcPr>
            <w:tcW w:w="1842" w:type="dxa"/>
            <w:shd w:val="clear" w:color="auto" w:fill="BD2716"/>
            <w:vAlign w:val="center"/>
          </w:tcPr>
          <w:p w14:paraId="297016DA" w14:textId="77777777" w:rsidR="00E17716" w:rsidRPr="00036C34" w:rsidRDefault="00E17716" w:rsidP="00611673">
            <w:pPr>
              <w:jc w:val="right"/>
              <w:rPr>
                <w:b/>
                <w:color w:val="FFFFFF" w:themeColor="background1"/>
                <w:szCs w:val="24"/>
              </w:rPr>
            </w:pPr>
            <w:r w:rsidRPr="00036C34">
              <w:rPr>
                <w:b/>
                <w:color w:val="FFFFFF" w:themeColor="background1"/>
                <w:szCs w:val="24"/>
              </w:rPr>
              <w:t>Total to arrive at amount charged to the General Fund</w:t>
            </w:r>
          </w:p>
          <w:p w14:paraId="2DB49B89" w14:textId="3E9AD544" w:rsidR="00B068F4" w:rsidRPr="00036C34" w:rsidRDefault="00B068F4" w:rsidP="00611673">
            <w:pPr>
              <w:jc w:val="right"/>
              <w:rPr>
                <w:b/>
                <w:color w:val="FFFFFF" w:themeColor="background1"/>
                <w:szCs w:val="24"/>
              </w:rPr>
            </w:pPr>
            <w:r w:rsidRPr="00036C34">
              <w:rPr>
                <w:b/>
                <w:color w:val="FFFFFF" w:themeColor="background1"/>
                <w:szCs w:val="24"/>
              </w:rPr>
              <w:t>£000</w:t>
            </w:r>
          </w:p>
        </w:tc>
        <w:tc>
          <w:tcPr>
            <w:tcW w:w="1560" w:type="dxa"/>
            <w:shd w:val="clear" w:color="auto" w:fill="BD2716"/>
            <w:vAlign w:val="center"/>
          </w:tcPr>
          <w:p w14:paraId="40B19AF4" w14:textId="77777777" w:rsidR="00E17716" w:rsidRPr="00036C34" w:rsidRDefault="00E17716" w:rsidP="00611673">
            <w:pPr>
              <w:jc w:val="right"/>
              <w:rPr>
                <w:color w:val="FFFFFF" w:themeColor="background1"/>
                <w:szCs w:val="24"/>
              </w:rPr>
            </w:pPr>
            <w:r w:rsidRPr="00036C34">
              <w:rPr>
                <w:color w:val="FFFFFF" w:themeColor="background1"/>
                <w:szCs w:val="24"/>
              </w:rPr>
              <w:t>Adjustments for Capital Purposes (1)</w:t>
            </w:r>
          </w:p>
          <w:p w14:paraId="04BF9A22" w14:textId="3DA91E2B" w:rsidR="00B068F4" w:rsidRPr="00036C34" w:rsidRDefault="00B068F4" w:rsidP="00611673">
            <w:pPr>
              <w:jc w:val="right"/>
              <w:rPr>
                <w:color w:val="FFFFFF" w:themeColor="background1"/>
                <w:szCs w:val="24"/>
              </w:rPr>
            </w:pPr>
            <w:r w:rsidRPr="00036C34">
              <w:rPr>
                <w:color w:val="FFFFFF" w:themeColor="background1"/>
                <w:szCs w:val="24"/>
              </w:rPr>
              <w:t>£000</w:t>
            </w:r>
          </w:p>
        </w:tc>
        <w:tc>
          <w:tcPr>
            <w:tcW w:w="1701" w:type="dxa"/>
            <w:shd w:val="clear" w:color="auto" w:fill="BD2716"/>
            <w:vAlign w:val="center"/>
          </w:tcPr>
          <w:p w14:paraId="74CF91EF" w14:textId="77777777" w:rsidR="00E17716" w:rsidRPr="00036C34" w:rsidRDefault="00E17716" w:rsidP="00611673">
            <w:pPr>
              <w:jc w:val="right"/>
              <w:rPr>
                <w:color w:val="FFFFFF" w:themeColor="background1"/>
                <w:szCs w:val="24"/>
              </w:rPr>
            </w:pPr>
            <w:r w:rsidRPr="00036C34">
              <w:rPr>
                <w:color w:val="FFFFFF" w:themeColor="background1"/>
                <w:szCs w:val="24"/>
              </w:rPr>
              <w:t>Net change for Pensions Adjustments (2)</w:t>
            </w:r>
          </w:p>
          <w:p w14:paraId="4588C924" w14:textId="2E6CEE52" w:rsidR="00B068F4" w:rsidRPr="00036C34" w:rsidRDefault="00B068F4" w:rsidP="00611673">
            <w:pPr>
              <w:jc w:val="right"/>
              <w:rPr>
                <w:color w:val="FFFFFF" w:themeColor="background1"/>
                <w:szCs w:val="24"/>
              </w:rPr>
            </w:pPr>
            <w:r w:rsidRPr="00036C34">
              <w:rPr>
                <w:color w:val="FFFFFF" w:themeColor="background1"/>
                <w:szCs w:val="24"/>
              </w:rPr>
              <w:t>£000</w:t>
            </w:r>
          </w:p>
        </w:tc>
        <w:tc>
          <w:tcPr>
            <w:tcW w:w="1559" w:type="dxa"/>
            <w:shd w:val="clear" w:color="auto" w:fill="BD2716"/>
            <w:vAlign w:val="center"/>
          </w:tcPr>
          <w:p w14:paraId="1D069D13" w14:textId="77777777" w:rsidR="00E17716" w:rsidRPr="00036C34" w:rsidRDefault="00E17716" w:rsidP="00611673">
            <w:pPr>
              <w:jc w:val="right"/>
              <w:rPr>
                <w:color w:val="FFFFFF" w:themeColor="background1"/>
                <w:szCs w:val="24"/>
              </w:rPr>
            </w:pPr>
            <w:r w:rsidRPr="00036C34">
              <w:rPr>
                <w:color w:val="FFFFFF" w:themeColor="background1"/>
                <w:szCs w:val="24"/>
              </w:rPr>
              <w:t>Other Differences (3)</w:t>
            </w:r>
          </w:p>
          <w:p w14:paraId="2B994C29" w14:textId="0DA73AB3" w:rsidR="00B068F4" w:rsidRPr="00036C34" w:rsidRDefault="00B068F4" w:rsidP="00611673">
            <w:pPr>
              <w:jc w:val="right"/>
              <w:rPr>
                <w:color w:val="FFFFFF" w:themeColor="background1"/>
                <w:szCs w:val="24"/>
              </w:rPr>
            </w:pPr>
            <w:r w:rsidRPr="00036C34">
              <w:rPr>
                <w:color w:val="FFFFFF" w:themeColor="background1"/>
                <w:szCs w:val="24"/>
              </w:rPr>
              <w:t>£000</w:t>
            </w:r>
          </w:p>
        </w:tc>
        <w:tc>
          <w:tcPr>
            <w:tcW w:w="2126" w:type="dxa"/>
            <w:shd w:val="clear" w:color="auto" w:fill="BD2716"/>
            <w:vAlign w:val="center"/>
          </w:tcPr>
          <w:p w14:paraId="4E107569" w14:textId="77777777" w:rsidR="00E17716" w:rsidRPr="00036C34" w:rsidRDefault="00E17716" w:rsidP="00611673">
            <w:pPr>
              <w:jc w:val="right"/>
              <w:rPr>
                <w:b/>
                <w:color w:val="FFFFFF" w:themeColor="background1"/>
                <w:szCs w:val="24"/>
              </w:rPr>
            </w:pPr>
            <w:r w:rsidRPr="00036C34">
              <w:rPr>
                <w:b/>
                <w:color w:val="FFFFFF" w:themeColor="background1"/>
                <w:szCs w:val="24"/>
              </w:rPr>
              <w:t>Total adjustment between funding and accounting basis</w:t>
            </w:r>
          </w:p>
          <w:p w14:paraId="330B91D1" w14:textId="79E3FCC0" w:rsidR="00B068F4" w:rsidRPr="00036C34" w:rsidRDefault="00B068F4" w:rsidP="00611673">
            <w:pPr>
              <w:jc w:val="right"/>
              <w:rPr>
                <w:b/>
                <w:color w:val="FFFFFF" w:themeColor="background1"/>
                <w:szCs w:val="24"/>
              </w:rPr>
            </w:pPr>
            <w:r w:rsidRPr="00036C34">
              <w:rPr>
                <w:b/>
                <w:color w:val="FFFFFF" w:themeColor="background1"/>
                <w:szCs w:val="24"/>
              </w:rPr>
              <w:t>£000</w:t>
            </w:r>
          </w:p>
        </w:tc>
      </w:tr>
      <w:tr w:rsidR="001C2721" w:rsidRPr="00E16D4F" w14:paraId="18D46DA3" w14:textId="77777777" w:rsidTr="00233A66">
        <w:tc>
          <w:tcPr>
            <w:tcW w:w="3675" w:type="dxa"/>
          </w:tcPr>
          <w:p w14:paraId="08BDCCE0" w14:textId="77777777" w:rsidR="001C2721" w:rsidRPr="00B51D8C" w:rsidRDefault="001C2721" w:rsidP="00BC6C4F">
            <w:pPr>
              <w:rPr>
                <w:szCs w:val="24"/>
              </w:rPr>
            </w:pPr>
            <w:r w:rsidRPr="00B51D8C">
              <w:rPr>
                <w:szCs w:val="24"/>
              </w:rPr>
              <w:t>Service Delivery</w:t>
            </w:r>
          </w:p>
        </w:tc>
        <w:tc>
          <w:tcPr>
            <w:tcW w:w="1559" w:type="dxa"/>
            <w:vAlign w:val="center"/>
          </w:tcPr>
          <w:p w14:paraId="74697108" w14:textId="1A663B42" w:rsidR="001C2721" w:rsidRPr="00B51D8C" w:rsidRDefault="001C2721" w:rsidP="00233A66">
            <w:pPr>
              <w:ind w:right="212"/>
              <w:jc w:val="right"/>
              <w:rPr>
                <w:szCs w:val="24"/>
              </w:rPr>
            </w:pPr>
            <w:r w:rsidRPr="00B51D8C">
              <w:rPr>
                <w:szCs w:val="24"/>
              </w:rPr>
              <w:t>-</w:t>
            </w:r>
          </w:p>
        </w:tc>
        <w:tc>
          <w:tcPr>
            <w:tcW w:w="1276" w:type="dxa"/>
            <w:vAlign w:val="center"/>
          </w:tcPr>
          <w:p w14:paraId="746C45F0" w14:textId="09A0F300" w:rsidR="001C2721" w:rsidRPr="00B51D8C" w:rsidRDefault="001C2721" w:rsidP="00233A66">
            <w:pPr>
              <w:ind w:right="212"/>
              <w:jc w:val="right"/>
              <w:rPr>
                <w:b/>
                <w:szCs w:val="24"/>
              </w:rPr>
            </w:pPr>
            <w:r w:rsidRPr="00B51D8C">
              <w:rPr>
                <w:szCs w:val="24"/>
              </w:rPr>
              <w:t>-</w:t>
            </w:r>
          </w:p>
        </w:tc>
        <w:tc>
          <w:tcPr>
            <w:tcW w:w="1842" w:type="dxa"/>
            <w:vAlign w:val="center"/>
          </w:tcPr>
          <w:p w14:paraId="0C2240F0" w14:textId="01A96545" w:rsidR="001C2721" w:rsidRPr="00B51D8C" w:rsidRDefault="001C2721" w:rsidP="00233A66">
            <w:pPr>
              <w:ind w:right="212"/>
              <w:jc w:val="right"/>
              <w:rPr>
                <w:b/>
                <w:szCs w:val="24"/>
              </w:rPr>
            </w:pPr>
            <w:r w:rsidRPr="00B51D8C">
              <w:rPr>
                <w:b/>
                <w:szCs w:val="24"/>
              </w:rPr>
              <w:t>-</w:t>
            </w:r>
          </w:p>
        </w:tc>
        <w:tc>
          <w:tcPr>
            <w:tcW w:w="1560" w:type="dxa"/>
            <w:vAlign w:val="center"/>
          </w:tcPr>
          <w:p w14:paraId="1921E293" w14:textId="4A1BBCB3" w:rsidR="001C2721" w:rsidRPr="00B51D8C" w:rsidRDefault="009E63DB" w:rsidP="00233A66">
            <w:pPr>
              <w:ind w:right="162"/>
              <w:jc w:val="right"/>
              <w:rPr>
                <w:szCs w:val="24"/>
              </w:rPr>
            </w:pPr>
            <w:r w:rsidRPr="00B51D8C">
              <w:rPr>
                <w:szCs w:val="24"/>
              </w:rPr>
              <w:t>-</w:t>
            </w:r>
            <w:r w:rsidR="001C2721" w:rsidRPr="00B51D8C">
              <w:rPr>
                <w:szCs w:val="24"/>
              </w:rPr>
              <w:t xml:space="preserve"> </w:t>
            </w:r>
          </w:p>
        </w:tc>
        <w:tc>
          <w:tcPr>
            <w:tcW w:w="1701" w:type="dxa"/>
            <w:vAlign w:val="center"/>
          </w:tcPr>
          <w:p w14:paraId="43FDDB66" w14:textId="4F85018C" w:rsidR="001C2721" w:rsidRPr="00B51D8C" w:rsidRDefault="001C2721" w:rsidP="00233A66">
            <w:pPr>
              <w:ind w:right="162"/>
              <w:jc w:val="right"/>
              <w:rPr>
                <w:szCs w:val="24"/>
              </w:rPr>
            </w:pPr>
            <w:r w:rsidRPr="00B51D8C">
              <w:rPr>
                <w:szCs w:val="24"/>
              </w:rPr>
              <w:t>(10,923)</w:t>
            </w:r>
          </w:p>
        </w:tc>
        <w:tc>
          <w:tcPr>
            <w:tcW w:w="1559" w:type="dxa"/>
            <w:vAlign w:val="center"/>
          </w:tcPr>
          <w:p w14:paraId="7CD6A228" w14:textId="14482CBF" w:rsidR="001C2721" w:rsidRPr="00B51D8C" w:rsidRDefault="001C2721" w:rsidP="00233A66">
            <w:pPr>
              <w:ind w:right="162"/>
              <w:jc w:val="right"/>
              <w:rPr>
                <w:szCs w:val="24"/>
              </w:rPr>
            </w:pPr>
            <w:r w:rsidRPr="00B51D8C">
              <w:rPr>
                <w:szCs w:val="24"/>
              </w:rPr>
              <w:t>77</w:t>
            </w:r>
            <w:r w:rsidR="009D2566" w:rsidRPr="00B51D8C">
              <w:rPr>
                <w:szCs w:val="24"/>
              </w:rPr>
              <w:t>8</w:t>
            </w:r>
            <w:r w:rsidRPr="00B51D8C">
              <w:rPr>
                <w:szCs w:val="24"/>
              </w:rPr>
              <w:t xml:space="preserve"> </w:t>
            </w:r>
          </w:p>
        </w:tc>
        <w:tc>
          <w:tcPr>
            <w:tcW w:w="2126" w:type="dxa"/>
            <w:vAlign w:val="center"/>
          </w:tcPr>
          <w:p w14:paraId="5117CB05" w14:textId="23BA0F03" w:rsidR="001C2721" w:rsidRPr="00B51D8C" w:rsidRDefault="001C2721" w:rsidP="00233A66">
            <w:pPr>
              <w:ind w:right="162"/>
              <w:jc w:val="right"/>
              <w:rPr>
                <w:b/>
                <w:bCs/>
                <w:szCs w:val="24"/>
              </w:rPr>
            </w:pPr>
            <w:r w:rsidRPr="00B51D8C">
              <w:rPr>
                <w:b/>
                <w:bCs/>
                <w:szCs w:val="24"/>
              </w:rPr>
              <w:t>(10,14</w:t>
            </w:r>
            <w:r w:rsidR="009D2566" w:rsidRPr="00B51D8C">
              <w:rPr>
                <w:b/>
                <w:bCs/>
                <w:szCs w:val="24"/>
              </w:rPr>
              <w:t>5</w:t>
            </w:r>
            <w:r w:rsidRPr="00B51D8C">
              <w:rPr>
                <w:b/>
                <w:bCs/>
                <w:szCs w:val="24"/>
              </w:rPr>
              <w:t>)</w:t>
            </w:r>
          </w:p>
        </w:tc>
      </w:tr>
      <w:tr w:rsidR="001C2721" w:rsidRPr="00E16D4F" w14:paraId="06679D7A" w14:textId="77777777" w:rsidTr="00233A66">
        <w:tc>
          <w:tcPr>
            <w:tcW w:w="3675" w:type="dxa"/>
          </w:tcPr>
          <w:p w14:paraId="287ED27E" w14:textId="77777777" w:rsidR="001C2721" w:rsidRPr="00B51D8C" w:rsidRDefault="001C2721" w:rsidP="00BC6C4F">
            <w:pPr>
              <w:rPr>
                <w:szCs w:val="24"/>
              </w:rPr>
            </w:pPr>
            <w:r w:rsidRPr="00B51D8C">
              <w:rPr>
                <w:szCs w:val="24"/>
              </w:rPr>
              <w:t>Strategy and Planning</w:t>
            </w:r>
          </w:p>
        </w:tc>
        <w:tc>
          <w:tcPr>
            <w:tcW w:w="1559" w:type="dxa"/>
            <w:vAlign w:val="center"/>
          </w:tcPr>
          <w:p w14:paraId="245E022B" w14:textId="18E37A46" w:rsidR="001C2721" w:rsidRPr="00B51D8C" w:rsidRDefault="001C2721" w:rsidP="00233A66">
            <w:pPr>
              <w:ind w:right="212"/>
              <w:jc w:val="right"/>
              <w:rPr>
                <w:szCs w:val="24"/>
              </w:rPr>
            </w:pPr>
            <w:r w:rsidRPr="00B51D8C">
              <w:rPr>
                <w:szCs w:val="24"/>
              </w:rPr>
              <w:t>-</w:t>
            </w:r>
          </w:p>
        </w:tc>
        <w:tc>
          <w:tcPr>
            <w:tcW w:w="1276" w:type="dxa"/>
            <w:vAlign w:val="center"/>
          </w:tcPr>
          <w:p w14:paraId="135A77E3" w14:textId="651573B4" w:rsidR="001C2721" w:rsidRPr="00B51D8C" w:rsidRDefault="001C2721" w:rsidP="00233A66">
            <w:pPr>
              <w:ind w:right="212"/>
              <w:jc w:val="right"/>
              <w:rPr>
                <w:b/>
                <w:szCs w:val="24"/>
              </w:rPr>
            </w:pPr>
            <w:r w:rsidRPr="00B51D8C">
              <w:rPr>
                <w:szCs w:val="24"/>
              </w:rPr>
              <w:t>-</w:t>
            </w:r>
          </w:p>
        </w:tc>
        <w:tc>
          <w:tcPr>
            <w:tcW w:w="1842" w:type="dxa"/>
            <w:vAlign w:val="center"/>
          </w:tcPr>
          <w:p w14:paraId="4585EFA8" w14:textId="6335F440" w:rsidR="001C2721" w:rsidRPr="00B51D8C" w:rsidRDefault="001C2721" w:rsidP="00233A66">
            <w:pPr>
              <w:ind w:right="212"/>
              <w:jc w:val="right"/>
              <w:rPr>
                <w:b/>
                <w:szCs w:val="24"/>
              </w:rPr>
            </w:pPr>
            <w:r w:rsidRPr="00B51D8C">
              <w:rPr>
                <w:b/>
                <w:szCs w:val="24"/>
              </w:rPr>
              <w:t>-</w:t>
            </w:r>
          </w:p>
        </w:tc>
        <w:tc>
          <w:tcPr>
            <w:tcW w:w="1560" w:type="dxa"/>
            <w:vAlign w:val="center"/>
          </w:tcPr>
          <w:p w14:paraId="3E47D72C" w14:textId="4B615AEC" w:rsidR="001C2721" w:rsidRPr="00B51D8C" w:rsidRDefault="009E63DB" w:rsidP="00233A66">
            <w:pPr>
              <w:ind w:right="162"/>
              <w:jc w:val="right"/>
              <w:rPr>
                <w:szCs w:val="24"/>
              </w:rPr>
            </w:pPr>
            <w:r w:rsidRPr="00B51D8C">
              <w:rPr>
                <w:szCs w:val="24"/>
              </w:rPr>
              <w:t>-</w:t>
            </w:r>
            <w:r w:rsidR="001C2721" w:rsidRPr="00B51D8C">
              <w:rPr>
                <w:szCs w:val="24"/>
              </w:rPr>
              <w:t xml:space="preserve"> </w:t>
            </w:r>
          </w:p>
        </w:tc>
        <w:tc>
          <w:tcPr>
            <w:tcW w:w="1701" w:type="dxa"/>
            <w:vAlign w:val="center"/>
          </w:tcPr>
          <w:p w14:paraId="65169656" w14:textId="6554096E" w:rsidR="001C2721" w:rsidRPr="00B51D8C" w:rsidRDefault="001C2721" w:rsidP="00233A66">
            <w:pPr>
              <w:ind w:right="162"/>
              <w:jc w:val="right"/>
              <w:rPr>
                <w:szCs w:val="24"/>
              </w:rPr>
            </w:pPr>
            <w:r w:rsidRPr="00B51D8C">
              <w:rPr>
                <w:szCs w:val="24"/>
              </w:rPr>
              <w:t>(436)</w:t>
            </w:r>
          </w:p>
        </w:tc>
        <w:tc>
          <w:tcPr>
            <w:tcW w:w="1559" w:type="dxa"/>
            <w:vAlign w:val="center"/>
          </w:tcPr>
          <w:p w14:paraId="2E925BE7" w14:textId="24390C4C" w:rsidR="001C2721" w:rsidRPr="00B51D8C" w:rsidRDefault="001C2721" w:rsidP="00233A66">
            <w:pPr>
              <w:ind w:right="162"/>
              <w:jc w:val="right"/>
              <w:rPr>
                <w:szCs w:val="24"/>
              </w:rPr>
            </w:pPr>
            <w:r w:rsidRPr="00B51D8C">
              <w:rPr>
                <w:szCs w:val="24"/>
              </w:rPr>
              <w:t>(233)</w:t>
            </w:r>
          </w:p>
        </w:tc>
        <w:tc>
          <w:tcPr>
            <w:tcW w:w="2126" w:type="dxa"/>
            <w:vAlign w:val="center"/>
          </w:tcPr>
          <w:p w14:paraId="3FDC6DA8" w14:textId="0A4554A2" w:rsidR="001C2721" w:rsidRPr="00B51D8C" w:rsidRDefault="001C2721" w:rsidP="00233A66">
            <w:pPr>
              <w:ind w:right="162"/>
              <w:jc w:val="right"/>
              <w:rPr>
                <w:b/>
                <w:bCs/>
                <w:szCs w:val="24"/>
              </w:rPr>
            </w:pPr>
            <w:r w:rsidRPr="00B51D8C">
              <w:rPr>
                <w:b/>
                <w:bCs/>
                <w:szCs w:val="24"/>
              </w:rPr>
              <w:t>(669)</w:t>
            </w:r>
          </w:p>
        </w:tc>
      </w:tr>
      <w:tr w:rsidR="001C2721" w:rsidRPr="00E16D4F" w14:paraId="6E04BE23" w14:textId="77777777" w:rsidTr="00233A66">
        <w:tc>
          <w:tcPr>
            <w:tcW w:w="3675" w:type="dxa"/>
          </w:tcPr>
          <w:p w14:paraId="501103D2" w14:textId="77777777" w:rsidR="001C2721" w:rsidRPr="00B51D8C" w:rsidRDefault="001C2721" w:rsidP="00BC6C4F">
            <w:pPr>
              <w:rPr>
                <w:szCs w:val="24"/>
              </w:rPr>
            </w:pPr>
            <w:r w:rsidRPr="00B51D8C">
              <w:rPr>
                <w:szCs w:val="24"/>
              </w:rPr>
              <w:t>People and Development</w:t>
            </w:r>
          </w:p>
        </w:tc>
        <w:tc>
          <w:tcPr>
            <w:tcW w:w="1559" w:type="dxa"/>
            <w:vAlign w:val="center"/>
          </w:tcPr>
          <w:p w14:paraId="37CC7977" w14:textId="0F300881" w:rsidR="001C2721" w:rsidRPr="00B51D8C" w:rsidRDefault="001C2721" w:rsidP="00233A66">
            <w:pPr>
              <w:ind w:right="212"/>
              <w:jc w:val="right"/>
              <w:rPr>
                <w:szCs w:val="24"/>
              </w:rPr>
            </w:pPr>
            <w:r w:rsidRPr="00B51D8C">
              <w:rPr>
                <w:szCs w:val="24"/>
              </w:rPr>
              <w:t>-</w:t>
            </w:r>
          </w:p>
        </w:tc>
        <w:tc>
          <w:tcPr>
            <w:tcW w:w="1276" w:type="dxa"/>
            <w:vAlign w:val="center"/>
          </w:tcPr>
          <w:p w14:paraId="33186C7A" w14:textId="1498E81B" w:rsidR="001C2721" w:rsidRPr="00B51D8C" w:rsidRDefault="001C2721" w:rsidP="00233A66">
            <w:pPr>
              <w:ind w:right="212"/>
              <w:jc w:val="right"/>
              <w:rPr>
                <w:b/>
                <w:szCs w:val="24"/>
              </w:rPr>
            </w:pPr>
            <w:r w:rsidRPr="00B51D8C">
              <w:rPr>
                <w:szCs w:val="24"/>
              </w:rPr>
              <w:t>-</w:t>
            </w:r>
          </w:p>
        </w:tc>
        <w:tc>
          <w:tcPr>
            <w:tcW w:w="1842" w:type="dxa"/>
            <w:vAlign w:val="center"/>
          </w:tcPr>
          <w:p w14:paraId="3A5C8C78" w14:textId="128A1C74" w:rsidR="001C2721" w:rsidRPr="00B51D8C" w:rsidRDefault="001C2721" w:rsidP="00233A66">
            <w:pPr>
              <w:ind w:right="212"/>
              <w:jc w:val="right"/>
              <w:rPr>
                <w:b/>
                <w:szCs w:val="24"/>
              </w:rPr>
            </w:pPr>
            <w:r w:rsidRPr="00B51D8C">
              <w:rPr>
                <w:b/>
                <w:szCs w:val="24"/>
              </w:rPr>
              <w:t>-</w:t>
            </w:r>
          </w:p>
        </w:tc>
        <w:tc>
          <w:tcPr>
            <w:tcW w:w="1560" w:type="dxa"/>
            <w:vAlign w:val="center"/>
          </w:tcPr>
          <w:p w14:paraId="0B85A0F4" w14:textId="57FA865A" w:rsidR="001C2721" w:rsidRPr="00B51D8C" w:rsidRDefault="009E63DB" w:rsidP="00233A66">
            <w:pPr>
              <w:ind w:right="162"/>
              <w:jc w:val="right"/>
              <w:rPr>
                <w:szCs w:val="24"/>
              </w:rPr>
            </w:pPr>
            <w:r w:rsidRPr="00B51D8C">
              <w:rPr>
                <w:szCs w:val="24"/>
              </w:rPr>
              <w:t>-</w:t>
            </w:r>
            <w:r w:rsidR="001C2721" w:rsidRPr="00B51D8C">
              <w:rPr>
                <w:szCs w:val="24"/>
              </w:rPr>
              <w:t xml:space="preserve"> </w:t>
            </w:r>
          </w:p>
        </w:tc>
        <w:tc>
          <w:tcPr>
            <w:tcW w:w="1701" w:type="dxa"/>
            <w:vAlign w:val="center"/>
          </w:tcPr>
          <w:p w14:paraId="207C5D73" w14:textId="1B6C10C6" w:rsidR="001C2721" w:rsidRPr="00B51D8C" w:rsidRDefault="001C2721" w:rsidP="00233A66">
            <w:pPr>
              <w:ind w:right="162"/>
              <w:jc w:val="right"/>
              <w:rPr>
                <w:szCs w:val="24"/>
              </w:rPr>
            </w:pPr>
            <w:r w:rsidRPr="00B51D8C">
              <w:rPr>
                <w:szCs w:val="24"/>
              </w:rPr>
              <w:t xml:space="preserve">400 </w:t>
            </w:r>
          </w:p>
        </w:tc>
        <w:tc>
          <w:tcPr>
            <w:tcW w:w="1559" w:type="dxa"/>
            <w:vAlign w:val="center"/>
          </w:tcPr>
          <w:p w14:paraId="5E19D014" w14:textId="07D5FD23" w:rsidR="001C2721" w:rsidRPr="00B51D8C" w:rsidRDefault="009E63DB" w:rsidP="00233A66">
            <w:pPr>
              <w:ind w:right="162"/>
              <w:jc w:val="right"/>
              <w:rPr>
                <w:szCs w:val="24"/>
              </w:rPr>
            </w:pPr>
            <w:r w:rsidRPr="00B51D8C">
              <w:rPr>
                <w:szCs w:val="24"/>
              </w:rPr>
              <w:t>-</w:t>
            </w:r>
            <w:r w:rsidR="001C2721" w:rsidRPr="00B51D8C">
              <w:rPr>
                <w:szCs w:val="24"/>
              </w:rPr>
              <w:t xml:space="preserve"> </w:t>
            </w:r>
          </w:p>
        </w:tc>
        <w:tc>
          <w:tcPr>
            <w:tcW w:w="2126" w:type="dxa"/>
            <w:vAlign w:val="center"/>
          </w:tcPr>
          <w:p w14:paraId="1F507E29" w14:textId="6B49A15E" w:rsidR="001C2721" w:rsidRPr="00B51D8C" w:rsidRDefault="001C2721" w:rsidP="00233A66">
            <w:pPr>
              <w:ind w:right="162"/>
              <w:jc w:val="right"/>
              <w:rPr>
                <w:b/>
                <w:bCs/>
                <w:szCs w:val="24"/>
              </w:rPr>
            </w:pPr>
            <w:r w:rsidRPr="00B51D8C">
              <w:rPr>
                <w:b/>
                <w:bCs/>
                <w:szCs w:val="24"/>
              </w:rPr>
              <w:t xml:space="preserve">400 </w:t>
            </w:r>
          </w:p>
        </w:tc>
      </w:tr>
      <w:tr w:rsidR="001C2721" w:rsidRPr="00E16D4F" w14:paraId="649FA0C2" w14:textId="77777777" w:rsidTr="00233A66">
        <w:tc>
          <w:tcPr>
            <w:tcW w:w="3675" w:type="dxa"/>
          </w:tcPr>
          <w:p w14:paraId="46FF3D59" w14:textId="77777777" w:rsidR="001C2721" w:rsidRPr="00B51D8C" w:rsidRDefault="001C2721" w:rsidP="00BC6C4F">
            <w:pPr>
              <w:rPr>
                <w:szCs w:val="24"/>
              </w:rPr>
            </w:pPr>
            <w:r w:rsidRPr="00B51D8C">
              <w:rPr>
                <w:szCs w:val="24"/>
              </w:rPr>
              <w:t>Corporate Services</w:t>
            </w:r>
          </w:p>
        </w:tc>
        <w:tc>
          <w:tcPr>
            <w:tcW w:w="1559" w:type="dxa"/>
            <w:vAlign w:val="center"/>
          </w:tcPr>
          <w:p w14:paraId="48E16A41" w14:textId="591D7019" w:rsidR="001C2721" w:rsidRPr="00B51D8C" w:rsidRDefault="001C2721" w:rsidP="00233A66">
            <w:pPr>
              <w:ind w:right="212"/>
              <w:jc w:val="right"/>
              <w:rPr>
                <w:szCs w:val="24"/>
              </w:rPr>
            </w:pPr>
            <w:r w:rsidRPr="00B51D8C">
              <w:rPr>
                <w:szCs w:val="24"/>
              </w:rPr>
              <w:t>-</w:t>
            </w:r>
          </w:p>
        </w:tc>
        <w:tc>
          <w:tcPr>
            <w:tcW w:w="1276" w:type="dxa"/>
            <w:vAlign w:val="center"/>
          </w:tcPr>
          <w:p w14:paraId="4D4EA877" w14:textId="2D4078A1" w:rsidR="001C2721" w:rsidRPr="00B51D8C" w:rsidRDefault="001C2721" w:rsidP="00233A66">
            <w:pPr>
              <w:ind w:right="212"/>
              <w:jc w:val="right"/>
              <w:rPr>
                <w:b/>
                <w:szCs w:val="24"/>
              </w:rPr>
            </w:pPr>
            <w:r w:rsidRPr="00B51D8C">
              <w:rPr>
                <w:szCs w:val="24"/>
              </w:rPr>
              <w:t>-</w:t>
            </w:r>
          </w:p>
        </w:tc>
        <w:tc>
          <w:tcPr>
            <w:tcW w:w="1842" w:type="dxa"/>
            <w:vAlign w:val="center"/>
          </w:tcPr>
          <w:p w14:paraId="0AB6212C" w14:textId="19879878" w:rsidR="001C2721" w:rsidRPr="00B51D8C" w:rsidRDefault="001C2721" w:rsidP="00233A66">
            <w:pPr>
              <w:ind w:right="212"/>
              <w:jc w:val="right"/>
              <w:rPr>
                <w:b/>
                <w:szCs w:val="24"/>
              </w:rPr>
            </w:pPr>
            <w:r w:rsidRPr="00B51D8C">
              <w:rPr>
                <w:b/>
                <w:szCs w:val="24"/>
              </w:rPr>
              <w:t>-</w:t>
            </w:r>
          </w:p>
        </w:tc>
        <w:tc>
          <w:tcPr>
            <w:tcW w:w="1560" w:type="dxa"/>
            <w:vAlign w:val="center"/>
          </w:tcPr>
          <w:p w14:paraId="08235B7F" w14:textId="5E54563C" w:rsidR="001C2721" w:rsidRPr="00B51D8C" w:rsidRDefault="009E63DB" w:rsidP="00233A66">
            <w:pPr>
              <w:ind w:right="162"/>
              <w:jc w:val="right"/>
              <w:rPr>
                <w:szCs w:val="24"/>
              </w:rPr>
            </w:pPr>
            <w:r w:rsidRPr="00B51D8C">
              <w:rPr>
                <w:szCs w:val="24"/>
              </w:rPr>
              <w:t>-</w:t>
            </w:r>
            <w:r w:rsidR="001C2721" w:rsidRPr="00B51D8C">
              <w:rPr>
                <w:szCs w:val="24"/>
              </w:rPr>
              <w:t xml:space="preserve"> </w:t>
            </w:r>
          </w:p>
        </w:tc>
        <w:tc>
          <w:tcPr>
            <w:tcW w:w="1701" w:type="dxa"/>
            <w:vAlign w:val="center"/>
          </w:tcPr>
          <w:p w14:paraId="4F79C7B1" w14:textId="34101273" w:rsidR="001C2721" w:rsidRPr="00B51D8C" w:rsidRDefault="001C2721" w:rsidP="00233A66">
            <w:pPr>
              <w:ind w:right="162"/>
              <w:jc w:val="right"/>
              <w:rPr>
                <w:szCs w:val="24"/>
              </w:rPr>
            </w:pPr>
            <w:r w:rsidRPr="00B51D8C">
              <w:rPr>
                <w:szCs w:val="24"/>
              </w:rPr>
              <w:t xml:space="preserve">252 </w:t>
            </w:r>
          </w:p>
        </w:tc>
        <w:tc>
          <w:tcPr>
            <w:tcW w:w="1559" w:type="dxa"/>
            <w:vAlign w:val="center"/>
          </w:tcPr>
          <w:p w14:paraId="0DEE9FC1" w14:textId="18464001" w:rsidR="001C2721" w:rsidRPr="00B51D8C" w:rsidRDefault="001C2721" w:rsidP="00233A66">
            <w:pPr>
              <w:ind w:right="162"/>
              <w:jc w:val="right"/>
              <w:rPr>
                <w:szCs w:val="24"/>
              </w:rPr>
            </w:pPr>
            <w:r w:rsidRPr="00B51D8C">
              <w:rPr>
                <w:szCs w:val="24"/>
              </w:rPr>
              <w:t>(272)</w:t>
            </w:r>
          </w:p>
        </w:tc>
        <w:tc>
          <w:tcPr>
            <w:tcW w:w="2126" w:type="dxa"/>
            <w:vAlign w:val="center"/>
          </w:tcPr>
          <w:p w14:paraId="16736969" w14:textId="0502CCEF" w:rsidR="001C2721" w:rsidRPr="00B51D8C" w:rsidRDefault="001C2721" w:rsidP="00233A66">
            <w:pPr>
              <w:ind w:right="162"/>
              <w:jc w:val="right"/>
              <w:rPr>
                <w:b/>
                <w:bCs/>
                <w:szCs w:val="24"/>
              </w:rPr>
            </w:pPr>
            <w:r w:rsidRPr="00B51D8C">
              <w:rPr>
                <w:b/>
                <w:bCs/>
                <w:szCs w:val="24"/>
              </w:rPr>
              <w:t>(20)</w:t>
            </w:r>
          </w:p>
        </w:tc>
      </w:tr>
      <w:tr w:rsidR="001C2721" w:rsidRPr="00E16D4F" w14:paraId="6CD6E4BA" w14:textId="77777777" w:rsidTr="00233A66">
        <w:tc>
          <w:tcPr>
            <w:tcW w:w="3675" w:type="dxa"/>
          </w:tcPr>
          <w:p w14:paraId="5AE7147B" w14:textId="77777777" w:rsidR="001C2721" w:rsidRPr="00B51D8C" w:rsidRDefault="001C2721" w:rsidP="00BC6C4F">
            <w:pPr>
              <w:rPr>
                <w:szCs w:val="24"/>
              </w:rPr>
            </w:pPr>
            <w:r w:rsidRPr="00B51D8C">
              <w:rPr>
                <w:szCs w:val="24"/>
              </w:rPr>
              <w:t>Firefighters Pensions</w:t>
            </w:r>
          </w:p>
        </w:tc>
        <w:tc>
          <w:tcPr>
            <w:tcW w:w="1559" w:type="dxa"/>
            <w:vAlign w:val="center"/>
          </w:tcPr>
          <w:p w14:paraId="6E09A300" w14:textId="1660FB3A" w:rsidR="001C2721" w:rsidRPr="00B51D8C" w:rsidRDefault="001C2721" w:rsidP="00233A66">
            <w:pPr>
              <w:ind w:right="212"/>
              <w:jc w:val="right"/>
              <w:rPr>
                <w:szCs w:val="24"/>
              </w:rPr>
            </w:pPr>
            <w:r w:rsidRPr="00B51D8C">
              <w:rPr>
                <w:szCs w:val="24"/>
              </w:rPr>
              <w:t>-</w:t>
            </w:r>
          </w:p>
        </w:tc>
        <w:tc>
          <w:tcPr>
            <w:tcW w:w="1276" w:type="dxa"/>
            <w:vAlign w:val="center"/>
          </w:tcPr>
          <w:p w14:paraId="1F3B47C0" w14:textId="0E13D778" w:rsidR="001C2721" w:rsidRPr="00B51D8C" w:rsidRDefault="001C2721" w:rsidP="00233A66">
            <w:pPr>
              <w:ind w:right="212"/>
              <w:jc w:val="right"/>
              <w:rPr>
                <w:b/>
                <w:szCs w:val="24"/>
              </w:rPr>
            </w:pPr>
            <w:r w:rsidRPr="00B51D8C">
              <w:rPr>
                <w:szCs w:val="24"/>
              </w:rPr>
              <w:t>-</w:t>
            </w:r>
          </w:p>
        </w:tc>
        <w:tc>
          <w:tcPr>
            <w:tcW w:w="1842" w:type="dxa"/>
            <w:vAlign w:val="center"/>
          </w:tcPr>
          <w:p w14:paraId="02BF1B8F" w14:textId="2255257E" w:rsidR="001C2721" w:rsidRPr="00B51D8C" w:rsidRDefault="001C2721" w:rsidP="00233A66">
            <w:pPr>
              <w:ind w:right="212"/>
              <w:jc w:val="right"/>
              <w:rPr>
                <w:b/>
                <w:szCs w:val="24"/>
              </w:rPr>
            </w:pPr>
            <w:r w:rsidRPr="00B51D8C">
              <w:rPr>
                <w:b/>
                <w:szCs w:val="24"/>
              </w:rPr>
              <w:t>-</w:t>
            </w:r>
          </w:p>
        </w:tc>
        <w:tc>
          <w:tcPr>
            <w:tcW w:w="1560" w:type="dxa"/>
            <w:vAlign w:val="center"/>
          </w:tcPr>
          <w:p w14:paraId="7890E76E" w14:textId="2F630C7D" w:rsidR="001C2721" w:rsidRPr="00B51D8C" w:rsidRDefault="009E63DB" w:rsidP="00233A66">
            <w:pPr>
              <w:ind w:right="162"/>
              <w:jc w:val="right"/>
              <w:rPr>
                <w:szCs w:val="24"/>
              </w:rPr>
            </w:pPr>
            <w:r w:rsidRPr="00B51D8C">
              <w:rPr>
                <w:szCs w:val="24"/>
              </w:rPr>
              <w:t>-</w:t>
            </w:r>
            <w:r w:rsidR="001C2721" w:rsidRPr="00B51D8C">
              <w:rPr>
                <w:szCs w:val="24"/>
              </w:rPr>
              <w:t xml:space="preserve"> </w:t>
            </w:r>
          </w:p>
        </w:tc>
        <w:tc>
          <w:tcPr>
            <w:tcW w:w="1701" w:type="dxa"/>
            <w:vAlign w:val="center"/>
          </w:tcPr>
          <w:p w14:paraId="6A0B66CA" w14:textId="6D95FE32" w:rsidR="001C2721" w:rsidRPr="00B51D8C" w:rsidRDefault="009E63DB" w:rsidP="00233A66">
            <w:pPr>
              <w:ind w:right="162"/>
              <w:jc w:val="right"/>
              <w:rPr>
                <w:szCs w:val="24"/>
              </w:rPr>
            </w:pPr>
            <w:r w:rsidRPr="00B51D8C">
              <w:rPr>
                <w:szCs w:val="24"/>
              </w:rPr>
              <w:t>-</w:t>
            </w:r>
            <w:r w:rsidR="001C2721" w:rsidRPr="00B51D8C">
              <w:rPr>
                <w:szCs w:val="24"/>
              </w:rPr>
              <w:t xml:space="preserve"> </w:t>
            </w:r>
          </w:p>
        </w:tc>
        <w:tc>
          <w:tcPr>
            <w:tcW w:w="1559" w:type="dxa"/>
            <w:vAlign w:val="center"/>
          </w:tcPr>
          <w:p w14:paraId="52733FA7" w14:textId="44C1E4F3" w:rsidR="001C2721" w:rsidRPr="00B51D8C" w:rsidRDefault="009E63DB" w:rsidP="00233A66">
            <w:pPr>
              <w:ind w:right="162"/>
              <w:jc w:val="right"/>
              <w:rPr>
                <w:szCs w:val="24"/>
              </w:rPr>
            </w:pPr>
            <w:r w:rsidRPr="00B51D8C">
              <w:rPr>
                <w:szCs w:val="24"/>
              </w:rPr>
              <w:t>-</w:t>
            </w:r>
            <w:r w:rsidR="001C2721" w:rsidRPr="00B51D8C">
              <w:rPr>
                <w:szCs w:val="24"/>
              </w:rPr>
              <w:t xml:space="preserve"> </w:t>
            </w:r>
          </w:p>
        </w:tc>
        <w:tc>
          <w:tcPr>
            <w:tcW w:w="2126" w:type="dxa"/>
            <w:vAlign w:val="center"/>
          </w:tcPr>
          <w:p w14:paraId="2A5DD591" w14:textId="5F0DC2A7" w:rsidR="001C2721" w:rsidRPr="00B51D8C" w:rsidRDefault="009E63DB" w:rsidP="00233A66">
            <w:pPr>
              <w:ind w:right="162"/>
              <w:jc w:val="right"/>
              <w:rPr>
                <w:b/>
                <w:bCs/>
                <w:szCs w:val="24"/>
              </w:rPr>
            </w:pPr>
            <w:r w:rsidRPr="00B51D8C">
              <w:rPr>
                <w:b/>
                <w:bCs/>
                <w:szCs w:val="24"/>
              </w:rPr>
              <w:t>-</w:t>
            </w:r>
            <w:r w:rsidR="001C2721" w:rsidRPr="00B51D8C">
              <w:rPr>
                <w:b/>
                <w:bCs/>
                <w:szCs w:val="24"/>
              </w:rPr>
              <w:t xml:space="preserve"> </w:t>
            </w:r>
          </w:p>
        </w:tc>
      </w:tr>
      <w:tr w:rsidR="001C2721" w:rsidRPr="00E16D4F" w14:paraId="3C26FA09" w14:textId="77777777" w:rsidTr="00233A66">
        <w:tc>
          <w:tcPr>
            <w:tcW w:w="3675" w:type="dxa"/>
          </w:tcPr>
          <w:p w14:paraId="0B11B799" w14:textId="77777777" w:rsidR="001C2721" w:rsidRPr="00B51D8C" w:rsidRDefault="001C2721" w:rsidP="00BC6C4F">
            <w:pPr>
              <w:rPr>
                <w:szCs w:val="24"/>
              </w:rPr>
            </w:pPr>
            <w:r w:rsidRPr="00B51D8C">
              <w:rPr>
                <w:szCs w:val="24"/>
              </w:rPr>
              <w:t>Overheads</w:t>
            </w:r>
          </w:p>
        </w:tc>
        <w:tc>
          <w:tcPr>
            <w:tcW w:w="1559" w:type="dxa"/>
            <w:vAlign w:val="center"/>
          </w:tcPr>
          <w:p w14:paraId="41BD1E28" w14:textId="3B84BAE6" w:rsidR="001C2721" w:rsidRPr="00B51D8C" w:rsidRDefault="001C2721" w:rsidP="00233A66">
            <w:pPr>
              <w:ind w:right="238"/>
              <w:jc w:val="right"/>
              <w:rPr>
                <w:szCs w:val="24"/>
              </w:rPr>
            </w:pPr>
            <w:r w:rsidRPr="00B51D8C">
              <w:rPr>
                <w:szCs w:val="24"/>
              </w:rPr>
              <w:t>-</w:t>
            </w:r>
          </w:p>
        </w:tc>
        <w:tc>
          <w:tcPr>
            <w:tcW w:w="1276" w:type="dxa"/>
            <w:vAlign w:val="center"/>
          </w:tcPr>
          <w:p w14:paraId="63853191" w14:textId="7C53D3F8" w:rsidR="001C2721" w:rsidRPr="00B51D8C" w:rsidRDefault="001C2721" w:rsidP="00233A66">
            <w:pPr>
              <w:ind w:right="238"/>
              <w:jc w:val="right"/>
              <w:rPr>
                <w:bCs/>
                <w:szCs w:val="24"/>
              </w:rPr>
            </w:pPr>
            <w:r w:rsidRPr="00B51D8C">
              <w:rPr>
                <w:szCs w:val="24"/>
              </w:rPr>
              <w:t>-</w:t>
            </w:r>
          </w:p>
        </w:tc>
        <w:tc>
          <w:tcPr>
            <w:tcW w:w="1842" w:type="dxa"/>
            <w:vAlign w:val="center"/>
          </w:tcPr>
          <w:p w14:paraId="0F3AB981" w14:textId="5A8734FA" w:rsidR="001C2721" w:rsidRPr="00B51D8C" w:rsidRDefault="001C2721" w:rsidP="00233A66">
            <w:pPr>
              <w:ind w:right="238"/>
              <w:jc w:val="right"/>
              <w:rPr>
                <w:b/>
                <w:szCs w:val="24"/>
              </w:rPr>
            </w:pPr>
            <w:r w:rsidRPr="00B51D8C">
              <w:rPr>
                <w:b/>
                <w:szCs w:val="24"/>
              </w:rPr>
              <w:t>-</w:t>
            </w:r>
          </w:p>
        </w:tc>
        <w:tc>
          <w:tcPr>
            <w:tcW w:w="1560" w:type="dxa"/>
            <w:vAlign w:val="center"/>
          </w:tcPr>
          <w:p w14:paraId="5AEB3C97" w14:textId="6B5477DC" w:rsidR="001C2721" w:rsidRPr="00B51D8C" w:rsidRDefault="001C2721" w:rsidP="00233A66">
            <w:pPr>
              <w:ind w:right="162"/>
              <w:jc w:val="right"/>
              <w:rPr>
                <w:szCs w:val="24"/>
              </w:rPr>
            </w:pPr>
            <w:r w:rsidRPr="00B51D8C">
              <w:rPr>
                <w:szCs w:val="24"/>
              </w:rPr>
              <w:t xml:space="preserve">4,214 </w:t>
            </w:r>
          </w:p>
        </w:tc>
        <w:tc>
          <w:tcPr>
            <w:tcW w:w="1701" w:type="dxa"/>
            <w:vAlign w:val="center"/>
          </w:tcPr>
          <w:p w14:paraId="0D804593" w14:textId="383CBEE3" w:rsidR="001C2721" w:rsidRPr="00B51D8C" w:rsidRDefault="001C2721" w:rsidP="00233A66">
            <w:pPr>
              <w:ind w:right="162"/>
              <w:jc w:val="right"/>
              <w:rPr>
                <w:szCs w:val="24"/>
              </w:rPr>
            </w:pPr>
            <w:r w:rsidRPr="00B51D8C">
              <w:rPr>
                <w:szCs w:val="24"/>
              </w:rPr>
              <w:t xml:space="preserve">329 </w:t>
            </w:r>
          </w:p>
        </w:tc>
        <w:tc>
          <w:tcPr>
            <w:tcW w:w="1559" w:type="dxa"/>
            <w:vAlign w:val="center"/>
          </w:tcPr>
          <w:p w14:paraId="0CF9CE47" w14:textId="308087BA" w:rsidR="001C2721" w:rsidRPr="00B51D8C" w:rsidRDefault="001C2721" w:rsidP="00233A66">
            <w:pPr>
              <w:ind w:right="162"/>
              <w:jc w:val="right"/>
              <w:rPr>
                <w:szCs w:val="24"/>
              </w:rPr>
            </w:pPr>
            <w:r w:rsidRPr="00B51D8C">
              <w:rPr>
                <w:szCs w:val="24"/>
              </w:rPr>
              <w:t>(4,089)</w:t>
            </w:r>
          </w:p>
        </w:tc>
        <w:tc>
          <w:tcPr>
            <w:tcW w:w="2126" w:type="dxa"/>
            <w:vAlign w:val="center"/>
          </w:tcPr>
          <w:p w14:paraId="666B4445" w14:textId="3440B558" w:rsidR="001C2721" w:rsidRPr="00B51D8C" w:rsidRDefault="001C2721" w:rsidP="00233A66">
            <w:pPr>
              <w:ind w:right="162"/>
              <w:jc w:val="right"/>
              <w:rPr>
                <w:b/>
                <w:bCs/>
                <w:szCs w:val="24"/>
              </w:rPr>
            </w:pPr>
            <w:r w:rsidRPr="00B51D8C">
              <w:rPr>
                <w:b/>
                <w:bCs/>
                <w:szCs w:val="24"/>
              </w:rPr>
              <w:t xml:space="preserve">454 </w:t>
            </w:r>
          </w:p>
        </w:tc>
      </w:tr>
      <w:tr w:rsidR="001C2721" w:rsidRPr="001C2721" w14:paraId="5E9D1F09" w14:textId="77777777" w:rsidTr="00233A66">
        <w:tc>
          <w:tcPr>
            <w:tcW w:w="3675" w:type="dxa"/>
          </w:tcPr>
          <w:p w14:paraId="05EC8309" w14:textId="77777777" w:rsidR="001C2721" w:rsidRPr="00B51D8C" w:rsidRDefault="001C2721" w:rsidP="00BC6C4F">
            <w:pPr>
              <w:rPr>
                <w:b/>
                <w:szCs w:val="24"/>
              </w:rPr>
            </w:pPr>
            <w:r w:rsidRPr="00B51D8C">
              <w:rPr>
                <w:b/>
                <w:szCs w:val="24"/>
              </w:rPr>
              <w:t>Net cost of Services</w:t>
            </w:r>
          </w:p>
        </w:tc>
        <w:tc>
          <w:tcPr>
            <w:tcW w:w="1559" w:type="dxa"/>
            <w:vAlign w:val="center"/>
          </w:tcPr>
          <w:p w14:paraId="5D6B98A8" w14:textId="6A2127BC" w:rsidR="001C2721" w:rsidRPr="00B51D8C" w:rsidRDefault="001C2721" w:rsidP="00233A66">
            <w:pPr>
              <w:ind w:right="238"/>
              <w:jc w:val="right"/>
              <w:rPr>
                <w:b/>
                <w:szCs w:val="24"/>
              </w:rPr>
            </w:pPr>
            <w:r w:rsidRPr="00B51D8C">
              <w:rPr>
                <w:b/>
                <w:szCs w:val="24"/>
              </w:rPr>
              <w:t>-</w:t>
            </w:r>
          </w:p>
        </w:tc>
        <w:tc>
          <w:tcPr>
            <w:tcW w:w="1276" w:type="dxa"/>
            <w:vAlign w:val="center"/>
          </w:tcPr>
          <w:p w14:paraId="00A82AF6" w14:textId="7CAED853" w:rsidR="001C2721" w:rsidRPr="00B51D8C" w:rsidRDefault="001C2721" w:rsidP="00233A66">
            <w:pPr>
              <w:ind w:right="238"/>
              <w:jc w:val="right"/>
              <w:rPr>
                <w:b/>
                <w:szCs w:val="24"/>
              </w:rPr>
            </w:pPr>
            <w:r w:rsidRPr="00B51D8C">
              <w:rPr>
                <w:b/>
                <w:szCs w:val="24"/>
              </w:rPr>
              <w:t>-</w:t>
            </w:r>
          </w:p>
        </w:tc>
        <w:tc>
          <w:tcPr>
            <w:tcW w:w="1842" w:type="dxa"/>
            <w:vAlign w:val="center"/>
          </w:tcPr>
          <w:p w14:paraId="03CC3B34" w14:textId="5A8FD5A2" w:rsidR="001C2721" w:rsidRPr="00B51D8C" w:rsidRDefault="001C2721" w:rsidP="00233A66">
            <w:pPr>
              <w:ind w:right="238"/>
              <w:jc w:val="right"/>
              <w:rPr>
                <w:b/>
                <w:szCs w:val="24"/>
              </w:rPr>
            </w:pPr>
            <w:r w:rsidRPr="00B51D8C">
              <w:rPr>
                <w:b/>
                <w:szCs w:val="24"/>
              </w:rPr>
              <w:t>-</w:t>
            </w:r>
          </w:p>
        </w:tc>
        <w:tc>
          <w:tcPr>
            <w:tcW w:w="1560" w:type="dxa"/>
            <w:vAlign w:val="center"/>
          </w:tcPr>
          <w:p w14:paraId="4D07E905" w14:textId="2999CB09" w:rsidR="001C2721" w:rsidRPr="00B51D8C" w:rsidRDefault="001C2721" w:rsidP="00233A66">
            <w:pPr>
              <w:ind w:right="162"/>
              <w:jc w:val="right"/>
              <w:rPr>
                <w:b/>
                <w:szCs w:val="24"/>
              </w:rPr>
            </w:pPr>
            <w:r w:rsidRPr="00B51D8C">
              <w:rPr>
                <w:b/>
                <w:szCs w:val="24"/>
              </w:rPr>
              <w:t xml:space="preserve">4,214 </w:t>
            </w:r>
          </w:p>
        </w:tc>
        <w:tc>
          <w:tcPr>
            <w:tcW w:w="1701" w:type="dxa"/>
            <w:vAlign w:val="center"/>
          </w:tcPr>
          <w:p w14:paraId="43834852" w14:textId="00A17FBA" w:rsidR="001C2721" w:rsidRPr="00B51D8C" w:rsidRDefault="001C2721" w:rsidP="00233A66">
            <w:pPr>
              <w:ind w:right="162"/>
              <w:jc w:val="right"/>
              <w:rPr>
                <w:b/>
                <w:szCs w:val="24"/>
              </w:rPr>
            </w:pPr>
            <w:r w:rsidRPr="00B51D8C">
              <w:rPr>
                <w:b/>
                <w:szCs w:val="24"/>
              </w:rPr>
              <w:t>(10,37</w:t>
            </w:r>
            <w:r w:rsidR="009D2566" w:rsidRPr="00B51D8C">
              <w:rPr>
                <w:b/>
                <w:szCs w:val="24"/>
              </w:rPr>
              <w:t>8</w:t>
            </w:r>
            <w:r w:rsidRPr="00B51D8C">
              <w:rPr>
                <w:b/>
                <w:szCs w:val="24"/>
              </w:rPr>
              <w:t>)</w:t>
            </w:r>
          </w:p>
        </w:tc>
        <w:tc>
          <w:tcPr>
            <w:tcW w:w="1559" w:type="dxa"/>
            <w:vAlign w:val="center"/>
          </w:tcPr>
          <w:p w14:paraId="1E7A5406" w14:textId="7983F826" w:rsidR="001C2721" w:rsidRPr="00B51D8C" w:rsidRDefault="001C2721" w:rsidP="00233A66">
            <w:pPr>
              <w:ind w:right="162"/>
              <w:jc w:val="right"/>
              <w:rPr>
                <w:b/>
                <w:szCs w:val="24"/>
              </w:rPr>
            </w:pPr>
            <w:r w:rsidRPr="00B51D8C">
              <w:rPr>
                <w:b/>
                <w:szCs w:val="24"/>
              </w:rPr>
              <w:t>(3,81</w:t>
            </w:r>
            <w:r w:rsidR="009D2566" w:rsidRPr="00B51D8C">
              <w:rPr>
                <w:b/>
                <w:szCs w:val="24"/>
              </w:rPr>
              <w:t>6</w:t>
            </w:r>
            <w:r w:rsidRPr="00B51D8C">
              <w:rPr>
                <w:b/>
                <w:szCs w:val="24"/>
              </w:rPr>
              <w:t>)</w:t>
            </w:r>
          </w:p>
        </w:tc>
        <w:tc>
          <w:tcPr>
            <w:tcW w:w="2126" w:type="dxa"/>
            <w:vAlign w:val="center"/>
          </w:tcPr>
          <w:p w14:paraId="55F622AD" w14:textId="6C93D807" w:rsidR="001C2721" w:rsidRPr="00B51D8C" w:rsidRDefault="001C2721" w:rsidP="00233A66">
            <w:pPr>
              <w:ind w:right="162"/>
              <w:jc w:val="right"/>
              <w:rPr>
                <w:b/>
                <w:bCs/>
                <w:szCs w:val="24"/>
              </w:rPr>
            </w:pPr>
            <w:r w:rsidRPr="00B51D8C">
              <w:rPr>
                <w:b/>
                <w:bCs/>
                <w:szCs w:val="24"/>
              </w:rPr>
              <w:t>(9,980)</w:t>
            </w:r>
          </w:p>
        </w:tc>
      </w:tr>
      <w:tr w:rsidR="001C2721" w:rsidRPr="00E16D4F" w14:paraId="230C29D9" w14:textId="77777777" w:rsidTr="00233A66">
        <w:tc>
          <w:tcPr>
            <w:tcW w:w="3675" w:type="dxa"/>
          </w:tcPr>
          <w:p w14:paraId="4A515E5F" w14:textId="77777777" w:rsidR="001C2721" w:rsidRPr="00B51D8C" w:rsidRDefault="001C2721" w:rsidP="00BC6C4F">
            <w:pPr>
              <w:rPr>
                <w:szCs w:val="24"/>
              </w:rPr>
            </w:pPr>
            <w:r w:rsidRPr="00B51D8C">
              <w:rPr>
                <w:szCs w:val="24"/>
              </w:rPr>
              <w:t>Other income and expenditure</w:t>
            </w:r>
          </w:p>
        </w:tc>
        <w:tc>
          <w:tcPr>
            <w:tcW w:w="1559" w:type="dxa"/>
            <w:vAlign w:val="center"/>
          </w:tcPr>
          <w:p w14:paraId="2E9E4BF0" w14:textId="16818141" w:rsidR="001C2721" w:rsidRPr="00B51D8C" w:rsidRDefault="001C2721" w:rsidP="00233A66">
            <w:pPr>
              <w:ind w:right="238"/>
              <w:jc w:val="right"/>
              <w:rPr>
                <w:szCs w:val="24"/>
              </w:rPr>
            </w:pPr>
            <w:r w:rsidRPr="00B51D8C">
              <w:rPr>
                <w:szCs w:val="24"/>
              </w:rPr>
              <w:t xml:space="preserve">- </w:t>
            </w:r>
          </w:p>
        </w:tc>
        <w:tc>
          <w:tcPr>
            <w:tcW w:w="1276" w:type="dxa"/>
            <w:vAlign w:val="center"/>
          </w:tcPr>
          <w:p w14:paraId="7AB474A1" w14:textId="50415EFF" w:rsidR="001C2721" w:rsidRPr="00B51D8C" w:rsidRDefault="001C2721" w:rsidP="00233A66">
            <w:pPr>
              <w:ind w:right="238"/>
              <w:jc w:val="right"/>
              <w:rPr>
                <w:b/>
                <w:szCs w:val="24"/>
              </w:rPr>
            </w:pPr>
            <w:r w:rsidRPr="00B51D8C">
              <w:rPr>
                <w:szCs w:val="24"/>
              </w:rPr>
              <w:t xml:space="preserve">- </w:t>
            </w:r>
          </w:p>
        </w:tc>
        <w:tc>
          <w:tcPr>
            <w:tcW w:w="1842" w:type="dxa"/>
            <w:vAlign w:val="center"/>
          </w:tcPr>
          <w:p w14:paraId="09D40AEF" w14:textId="14BC46C5" w:rsidR="001C2721" w:rsidRPr="00B51D8C" w:rsidRDefault="001C2721" w:rsidP="00233A66">
            <w:pPr>
              <w:ind w:right="238"/>
              <w:jc w:val="right"/>
              <w:rPr>
                <w:b/>
                <w:szCs w:val="24"/>
              </w:rPr>
            </w:pPr>
            <w:r w:rsidRPr="00B51D8C">
              <w:rPr>
                <w:szCs w:val="24"/>
              </w:rPr>
              <w:t>-</w:t>
            </w:r>
          </w:p>
        </w:tc>
        <w:tc>
          <w:tcPr>
            <w:tcW w:w="1560" w:type="dxa"/>
            <w:vAlign w:val="center"/>
          </w:tcPr>
          <w:p w14:paraId="26B43703" w14:textId="00B653F3" w:rsidR="001C2721" w:rsidRPr="00B51D8C" w:rsidRDefault="009E63DB" w:rsidP="00233A66">
            <w:pPr>
              <w:ind w:right="162"/>
              <w:jc w:val="right"/>
              <w:rPr>
                <w:szCs w:val="24"/>
              </w:rPr>
            </w:pPr>
            <w:r w:rsidRPr="00B51D8C">
              <w:rPr>
                <w:szCs w:val="24"/>
              </w:rPr>
              <w:t>-</w:t>
            </w:r>
            <w:r w:rsidR="001C2721" w:rsidRPr="00B51D8C">
              <w:rPr>
                <w:szCs w:val="24"/>
              </w:rPr>
              <w:t xml:space="preserve"> </w:t>
            </w:r>
          </w:p>
        </w:tc>
        <w:tc>
          <w:tcPr>
            <w:tcW w:w="1701" w:type="dxa"/>
            <w:vAlign w:val="center"/>
          </w:tcPr>
          <w:p w14:paraId="6AAF2CCD" w14:textId="18AED9E3" w:rsidR="001C2721" w:rsidRPr="00B51D8C" w:rsidRDefault="001C2721" w:rsidP="00233A66">
            <w:pPr>
              <w:ind w:right="162"/>
              <w:jc w:val="right"/>
              <w:rPr>
                <w:szCs w:val="24"/>
              </w:rPr>
            </w:pPr>
            <w:r w:rsidRPr="00B51D8C">
              <w:rPr>
                <w:szCs w:val="24"/>
              </w:rPr>
              <w:t xml:space="preserve">23,246 </w:t>
            </w:r>
          </w:p>
        </w:tc>
        <w:tc>
          <w:tcPr>
            <w:tcW w:w="1559" w:type="dxa"/>
            <w:vAlign w:val="center"/>
          </w:tcPr>
          <w:p w14:paraId="5D56B5F3" w14:textId="4AC4F4B8" w:rsidR="001C2721" w:rsidRPr="00B51D8C" w:rsidRDefault="001C2721" w:rsidP="00233A66">
            <w:pPr>
              <w:ind w:right="162"/>
              <w:jc w:val="right"/>
              <w:rPr>
                <w:szCs w:val="24"/>
              </w:rPr>
            </w:pPr>
            <w:r w:rsidRPr="00B51D8C">
              <w:rPr>
                <w:szCs w:val="24"/>
              </w:rPr>
              <w:t xml:space="preserve">408 </w:t>
            </w:r>
          </w:p>
        </w:tc>
        <w:tc>
          <w:tcPr>
            <w:tcW w:w="2126" w:type="dxa"/>
            <w:vAlign w:val="center"/>
          </w:tcPr>
          <w:p w14:paraId="628F0052" w14:textId="235AC797" w:rsidR="001C2721" w:rsidRPr="00B51D8C" w:rsidRDefault="001C2721" w:rsidP="00233A66">
            <w:pPr>
              <w:ind w:right="162"/>
              <w:jc w:val="right"/>
              <w:rPr>
                <w:b/>
                <w:bCs/>
                <w:szCs w:val="24"/>
              </w:rPr>
            </w:pPr>
            <w:r w:rsidRPr="00B51D8C">
              <w:rPr>
                <w:b/>
                <w:bCs/>
                <w:szCs w:val="24"/>
              </w:rPr>
              <w:t xml:space="preserve">23,654 </w:t>
            </w:r>
          </w:p>
        </w:tc>
      </w:tr>
      <w:tr w:rsidR="001C2721" w:rsidRPr="001C2721" w14:paraId="6B3EEC17" w14:textId="77777777" w:rsidTr="00233A66">
        <w:tc>
          <w:tcPr>
            <w:tcW w:w="3675" w:type="dxa"/>
          </w:tcPr>
          <w:p w14:paraId="47634C7C" w14:textId="77777777" w:rsidR="001C2721" w:rsidRPr="00B51D8C" w:rsidRDefault="001C2721" w:rsidP="00BC6C4F">
            <w:pPr>
              <w:rPr>
                <w:b/>
                <w:szCs w:val="24"/>
              </w:rPr>
            </w:pPr>
            <w:r w:rsidRPr="00B51D8C">
              <w:rPr>
                <w:b/>
                <w:szCs w:val="24"/>
              </w:rPr>
              <w:t>Total</w:t>
            </w:r>
          </w:p>
        </w:tc>
        <w:tc>
          <w:tcPr>
            <w:tcW w:w="1559" w:type="dxa"/>
            <w:vAlign w:val="center"/>
          </w:tcPr>
          <w:p w14:paraId="477A1C32" w14:textId="64BE40A8" w:rsidR="001C2721" w:rsidRPr="00B51D8C" w:rsidRDefault="001C2721" w:rsidP="00233A66">
            <w:pPr>
              <w:ind w:right="238"/>
              <w:jc w:val="right"/>
              <w:rPr>
                <w:b/>
                <w:szCs w:val="24"/>
              </w:rPr>
            </w:pPr>
            <w:r w:rsidRPr="00B51D8C">
              <w:rPr>
                <w:b/>
                <w:szCs w:val="24"/>
              </w:rPr>
              <w:t>-</w:t>
            </w:r>
          </w:p>
        </w:tc>
        <w:tc>
          <w:tcPr>
            <w:tcW w:w="1276" w:type="dxa"/>
            <w:vAlign w:val="center"/>
          </w:tcPr>
          <w:p w14:paraId="2D6FA025" w14:textId="70F7ABD4" w:rsidR="001C2721" w:rsidRPr="00B51D8C" w:rsidRDefault="001C2721" w:rsidP="00233A66">
            <w:pPr>
              <w:ind w:right="238"/>
              <w:jc w:val="right"/>
              <w:rPr>
                <w:b/>
                <w:szCs w:val="24"/>
              </w:rPr>
            </w:pPr>
            <w:r w:rsidRPr="00B51D8C">
              <w:rPr>
                <w:b/>
                <w:szCs w:val="24"/>
              </w:rPr>
              <w:t>-</w:t>
            </w:r>
          </w:p>
        </w:tc>
        <w:tc>
          <w:tcPr>
            <w:tcW w:w="1842" w:type="dxa"/>
            <w:vAlign w:val="center"/>
          </w:tcPr>
          <w:p w14:paraId="32987A43" w14:textId="3F091893" w:rsidR="001C2721" w:rsidRPr="00B51D8C" w:rsidRDefault="001C2721" w:rsidP="00233A66">
            <w:pPr>
              <w:ind w:right="238"/>
              <w:jc w:val="right"/>
              <w:rPr>
                <w:b/>
                <w:szCs w:val="24"/>
              </w:rPr>
            </w:pPr>
            <w:r w:rsidRPr="00B51D8C">
              <w:rPr>
                <w:b/>
                <w:szCs w:val="24"/>
              </w:rPr>
              <w:t>-</w:t>
            </w:r>
          </w:p>
        </w:tc>
        <w:tc>
          <w:tcPr>
            <w:tcW w:w="1560" w:type="dxa"/>
            <w:vAlign w:val="center"/>
          </w:tcPr>
          <w:p w14:paraId="1E973CDA" w14:textId="7963F156" w:rsidR="001C2721" w:rsidRPr="00B51D8C" w:rsidRDefault="001C2721" w:rsidP="00233A66">
            <w:pPr>
              <w:ind w:right="162"/>
              <w:jc w:val="right"/>
              <w:rPr>
                <w:b/>
                <w:szCs w:val="24"/>
              </w:rPr>
            </w:pPr>
            <w:r w:rsidRPr="00B51D8C">
              <w:rPr>
                <w:b/>
                <w:szCs w:val="24"/>
              </w:rPr>
              <w:t xml:space="preserve">4,214 </w:t>
            </w:r>
          </w:p>
        </w:tc>
        <w:tc>
          <w:tcPr>
            <w:tcW w:w="1701" w:type="dxa"/>
            <w:vAlign w:val="center"/>
          </w:tcPr>
          <w:p w14:paraId="2B0628E0" w14:textId="32F89306" w:rsidR="001C2721" w:rsidRPr="00B51D8C" w:rsidRDefault="001C2721" w:rsidP="00233A66">
            <w:pPr>
              <w:ind w:right="162"/>
              <w:jc w:val="right"/>
              <w:rPr>
                <w:b/>
                <w:szCs w:val="24"/>
              </w:rPr>
            </w:pPr>
            <w:r w:rsidRPr="00B51D8C">
              <w:rPr>
                <w:b/>
                <w:szCs w:val="24"/>
              </w:rPr>
              <w:t xml:space="preserve">12,868 </w:t>
            </w:r>
          </w:p>
        </w:tc>
        <w:tc>
          <w:tcPr>
            <w:tcW w:w="1559" w:type="dxa"/>
            <w:vAlign w:val="center"/>
          </w:tcPr>
          <w:p w14:paraId="265ADD43" w14:textId="16585C22" w:rsidR="001C2721" w:rsidRPr="00B51D8C" w:rsidRDefault="001C2721" w:rsidP="00233A66">
            <w:pPr>
              <w:ind w:right="162"/>
              <w:jc w:val="right"/>
              <w:rPr>
                <w:b/>
                <w:szCs w:val="24"/>
              </w:rPr>
            </w:pPr>
            <w:r w:rsidRPr="00B51D8C">
              <w:rPr>
                <w:b/>
                <w:szCs w:val="24"/>
              </w:rPr>
              <w:t>(3,40</w:t>
            </w:r>
            <w:r w:rsidR="009D2566" w:rsidRPr="00B51D8C">
              <w:rPr>
                <w:b/>
                <w:szCs w:val="24"/>
              </w:rPr>
              <w:t>8</w:t>
            </w:r>
            <w:r w:rsidRPr="00B51D8C">
              <w:rPr>
                <w:b/>
                <w:szCs w:val="24"/>
              </w:rPr>
              <w:t>)</w:t>
            </w:r>
          </w:p>
        </w:tc>
        <w:tc>
          <w:tcPr>
            <w:tcW w:w="2126" w:type="dxa"/>
            <w:vAlign w:val="center"/>
          </w:tcPr>
          <w:p w14:paraId="06E71C8C" w14:textId="57D2FAEB" w:rsidR="001C2721" w:rsidRPr="00B51D8C" w:rsidRDefault="001C2721" w:rsidP="00233A66">
            <w:pPr>
              <w:ind w:right="162"/>
              <w:jc w:val="right"/>
              <w:rPr>
                <w:b/>
                <w:bCs/>
                <w:szCs w:val="24"/>
              </w:rPr>
            </w:pPr>
            <w:r w:rsidRPr="00B51D8C">
              <w:rPr>
                <w:b/>
                <w:bCs/>
                <w:szCs w:val="24"/>
              </w:rPr>
              <w:t xml:space="preserve">13,674 </w:t>
            </w:r>
          </w:p>
        </w:tc>
      </w:tr>
      <w:bookmarkEnd w:id="25"/>
    </w:tbl>
    <w:p w14:paraId="67C91886" w14:textId="7B165B33" w:rsidR="002D6690" w:rsidRDefault="002D6690"/>
    <w:p w14:paraId="24F266F2" w14:textId="77777777" w:rsidR="003C7C40" w:rsidRDefault="003C7C40">
      <w:r>
        <w:br w:type="page"/>
      </w:r>
    </w:p>
    <w:tbl>
      <w:tblPr>
        <w:tblStyle w:val="TableGrid"/>
        <w:tblW w:w="15156" w:type="dxa"/>
        <w:tblInd w:w="720" w:type="dxa"/>
        <w:tblLayout w:type="fixed"/>
        <w:tblLook w:val="04A0" w:firstRow="1" w:lastRow="0" w:firstColumn="1" w:lastColumn="0" w:noHBand="0" w:noVBand="1"/>
      </w:tblPr>
      <w:tblGrid>
        <w:gridCol w:w="3675"/>
        <w:gridCol w:w="1559"/>
        <w:gridCol w:w="1276"/>
        <w:gridCol w:w="1837"/>
        <w:gridCol w:w="1565"/>
        <w:gridCol w:w="1701"/>
        <w:gridCol w:w="1559"/>
        <w:gridCol w:w="1984"/>
      </w:tblGrid>
      <w:tr w:rsidR="00B068F4" w:rsidRPr="00AF3DCD" w14:paraId="02A0C65E" w14:textId="77777777" w:rsidTr="00611673">
        <w:trPr>
          <w:tblHeader/>
        </w:trPr>
        <w:tc>
          <w:tcPr>
            <w:tcW w:w="3675" w:type="dxa"/>
            <w:shd w:val="clear" w:color="auto" w:fill="BD2716"/>
            <w:vAlign w:val="center"/>
          </w:tcPr>
          <w:p w14:paraId="658FD37A" w14:textId="34BEE73E" w:rsidR="00B068F4" w:rsidRPr="00036C34" w:rsidRDefault="00B068F4" w:rsidP="00611673">
            <w:pPr>
              <w:rPr>
                <w:color w:val="FFFFFF" w:themeColor="background1"/>
                <w:szCs w:val="24"/>
              </w:rPr>
            </w:pPr>
            <w:r w:rsidRPr="00036C34">
              <w:rPr>
                <w:color w:val="FFFFFF" w:themeColor="background1"/>
                <w:szCs w:val="24"/>
              </w:rPr>
              <w:lastRenderedPageBreak/>
              <w:t>2021/22</w:t>
            </w:r>
          </w:p>
          <w:p w14:paraId="1385CF36" w14:textId="1BF6C928" w:rsidR="00B068F4" w:rsidRPr="00036C34" w:rsidRDefault="00B068F4" w:rsidP="00611673">
            <w:pPr>
              <w:rPr>
                <w:color w:val="FFFFFF" w:themeColor="background1"/>
                <w:szCs w:val="24"/>
              </w:rPr>
            </w:pPr>
            <w:r w:rsidRPr="00036C34">
              <w:rPr>
                <w:color w:val="FFFFFF" w:themeColor="background1"/>
                <w:szCs w:val="24"/>
              </w:rPr>
              <w:t>Adjustments from General Fund to arrive at the Comprehensive Income and Expenditure Statement amounts</w:t>
            </w:r>
          </w:p>
        </w:tc>
        <w:tc>
          <w:tcPr>
            <w:tcW w:w="1559" w:type="dxa"/>
            <w:shd w:val="clear" w:color="auto" w:fill="BD2716"/>
            <w:vAlign w:val="center"/>
          </w:tcPr>
          <w:p w14:paraId="71486E1F" w14:textId="77777777" w:rsidR="00B068F4" w:rsidRPr="00036C34" w:rsidRDefault="00B068F4" w:rsidP="00611673">
            <w:pPr>
              <w:jc w:val="right"/>
              <w:rPr>
                <w:color w:val="FFFFFF" w:themeColor="background1"/>
                <w:szCs w:val="24"/>
              </w:rPr>
            </w:pPr>
            <w:r w:rsidRPr="00036C34">
              <w:rPr>
                <w:color w:val="FFFFFF" w:themeColor="background1"/>
                <w:szCs w:val="24"/>
              </w:rPr>
              <w:t>Transfer to/(from) Earmarked Reserves</w:t>
            </w:r>
          </w:p>
          <w:p w14:paraId="0F6AF541" w14:textId="02B59FBD" w:rsidR="00B068F4" w:rsidRPr="00036C34" w:rsidRDefault="00B068F4" w:rsidP="00611673">
            <w:pPr>
              <w:jc w:val="right"/>
              <w:rPr>
                <w:color w:val="FFFFFF" w:themeColor="background1"/>
                <w:szCs w:val="24"/>
              </w:rPr>
            </w:pPr>
            <w:r w:rsidRPr="00036C34">
              <w:rPr>
                <w:color w:val="FFFFFF" w:themeColor="background1"/>
                <w:szCs w:val="24"/>
              </w:rPr>
              <w:t>£000</w:t>
            </w:r>
          </w:p>
        </w:tc>
        <w:tc>
          <w:tcPr>
            <w:tcW w:w="1276" w:type="dxa"/>
            <w:shd w:val="clear" w:color="auto" w:fill="BD2716"/>
            <w:vAlign w:val="center"/>
          </w:tcPr>
          <w:p w14:paraId="68A90C13" w14:textId="77777777" w:rsidR="00B068F4" w:rsidRPr="00036C34" w:rsidRDefault="00B068F4" w:rsidP="00611673">
            <w:pPr>
              <w:jc w:val="right"/>
              <w:rPr>
                <w:color w:val="FFFFFF" w:themeColor="background1"/>
                <w:szCs w:val="24"/>
              </w:rPr>
            </w:pPr>
            <w:r w:rsidRPr="00036C34">
              <w:rPr>
                <w:color w:val="FFFFFF" w:themeColor="background1"/>
                <w:szCs w:val="24"/>
              </w:rPr>
              <w:t>Transfer to/(from) Capital Reserves</w:t>
            </w:r>
          </w:p>
          <w:p w14:paraId="38F51FE4" w14:textId="38412F7A" w:rsidR="00B068F4" w:rsidRPr="00036C34" w:rsidRDefault="00B068F4" w:rsidP="00611673">
            <w:pPr>
              <w:jc w:val="right"/>
              <w:rPr>
                <w:color w:val="FFFFFF" w:themeColor="background1"/>
                <w:szCs w:val="24"/>
              </w:rPr>
            </w:pPr>
            <w:r w:rsidRPr="00036C34">
              <w:rPr>
                <w:color w:val="FFFFFF" w:themeColor="background1"/>
                <w:szCs w:val="24"/>
              </w:rPr>
              <w:t>£000</w:t>
            </w:r>
          </w:p>
        </w:tc>
        <w:tc>
          <w:tcPr>
            <w:tcW w:w="1837" w:type="dxa"/>
            <w:shd w:val="clear" w:color="auto" w:fill="BD2716"/>
            <w:vAlign w:val="center"/>
          </w:tcPr>
          <w:p w14:paraId="6EF64715" w14:textId="77777777" w:rsidR="00B068F4" w:rsidRPr="00036C34" w:rsidRDefault="00B068F4" w:rsidP="00611673">
            <w:pPr>
              <w:jc w:val="right"/>
              <w:rPr>
                <w:b/>
                <w:color w:val="FFFFFF" w:themeColor="background1"/>
                <w:szCs w:val="24"/>
              </w:rPr>
            </w:pPr>
            <w:r w:rsidRPr="00036C34">
              <w:rPr>
                <w:b/>
                <w:color w:val="FFFFFF" w:themeColor="background1"/>
                <w:szCs w:val="24"/>
              </w:rPr>
              <w:t>Total to arrive at amount charged to the General Fund</w:t>
            </w:r>
          </w:p>
          <w:p w14:paraId="154F7FA7" w14:textId="7911EC2F" w:rsidR="00B068F4" w:rsidRPr="00036C34" w:rsidRDefault="00B068F4" w:rsidP="00611673">
            <w:pPr>
              <w:jc w:val="right"/>
              <w:rPr>
                <w:color w:val="FFFFFF" w:themeColor="background1"/>
                <w:szCs w:val="24"/>
              </w:rPr>
            </w:pPr>
            <w:r w:rsidRPr="00036C34">
              <w:rPr>
                <w:b/>
                <w:color w:val="FFFFFF" w:themeColor="background1"/>
                <w:szCs w:val="24"/>
              </w:rPr>
              <w:t>£000</w:t>
            </w:r>
          </w:p>
        </w:tc>
        <w:tc>
          <w:tcPr>
            <w:tcW w:w="1565" w:type="dxa"/>
            <w:shd w:val="clear" w:color="auto" w:fill="BD2716"/>
            <w:vAlign w:val="center"/>
          </w:tcPr>
          <w:p w14:paraId="46981FD6" w14:textId="77777777" w:rsidR="00B068F4" w:rsidRPr="00036C34" w:rsidRDefault="00B068F4" w:rsidP="00611673">
            <w:pPr>
              <w:jc w:val="right"/>
              <w:rPr>
                <w:color w:val="FFFFFF" w:themeColor="background1"/>
                <w:szCs w:val="24"/>
              </w:rPr>
            </w:pPr>
            <w:r w:rsidRPr="00036C34">
              <w:rPr>
                <w:color w:val="FFFFFF" w:themeColor="background1"/>
                <w:szCs w:val="24"/>
              </w:rPr>
              <w:t>Adjustments for Capital Purposes (1)</w:t>
            </w:r>
          </w:p>
          <w:p w14:paraId="25E0F69F" w14:textId="550A34F3" w:rsidR="00B068F4" w:rsidRPr="00036C34" w:rsidRDefault="00B068F4" w:rsidP="00611673">
            <w:pPr>
              <w:jc w:val="right"/>
              <w:rPr>
                <w:color w:val="FFFFFF" w:themeColor="background1"/>
                <w:szCs w:val="24"/>
              </w:rPr>
            </w:pPr>
            <w:r w:rsidRPr="00036C34">
              <w:rPr>
                <w:color w:val="FFFFFF" w:themeColor="background1"/>
                <w:szCs w:val="24"/>
              </w:rPr>
              <w:t>£000</w:t>
            </w:r>
          </w:p>
        </w:tc>
        <w:tc>
          <w:tcPr>
            <w:tcW w:w="1701" w:type="dxa"/>
            <w:shd w:val="clear" w:color="auto" w:fill="BD2716"/>
            <w:vAlign w:val="center"/>
          </w:tcPr>
          <w:p w14:paraId="66C34991" w14:textId="77777777" w:rsidR="00B068F4" w:rsidRPr="00036C34" w:rsidRDefault="00B068F4" w:rsidP="00611673">
            <w:pPr>
              <w:jc w:val="right"/>
              <w:rPr>
                <w:color w:val="FFFFFF" w:themeColor="background1"/>
                <w:szCs w:val="24"/>
              </w:rPr>
            </w:pPr>
            <w:r w:rsidRPr="00036C34">
              <w:rPr>
                <w:color w:val="FFFFFF" w:themeColor="background1"/>
                <w:szCs w:val="24"/>
              </w:rPr>
              <w:t>Net change for Pensions Adjustments (2)</w:t>
            </w:r>
          </w:p>
          <w:p w14:paraId="4261FA25" w14:textId="6CEA2DBE" w:rsidR="00B068F4" w:rsidRPr="00036C34" w:rsidRDefault="00B068F4" w:rsidP="00611673">
            <w:pPr>
              <w:jc w:val="right"/>
              <w:rPr>
                <w:color w:val="FFFFFF" w:themeColor="background1"/>
                <w:szCs w:val="24"/>
              </w:rPr>
            </w:pPr>
            <w:r w:rsidRPr="00036C34">
              <w:rPr>
                <w:color w:val="FFFFFF" w:themeColor="background1"/>
                <w:szCs w:val="24"/>
              </w:rPr>
              <w:t>£000</w:t>
            </w:r>
          </w:p>
        </w:tc>
        <w:tc>
          <w:tcPr>
            <w:tcW w:w="1559" w:type="dxa"/>
            <w:shd w:val="clear" w:color="auto" w:fill="BD2716"/>
            <w:vAlign w:val="center"/>
          </w:tcPr>
          <w:p w14:paraId="1A38B7FF" w14:textId="77777777" w:rsidR="00B068F4" w:rsidRPr="00036C34" w:rsidRDefault="00B068F4" w:rsidP="00611673">
            <w:pPr>
              <w:jc w:val="right"/>
              <w:rPr>
                <w:color w:val="FFFFFF" w:themeColor="background1"/>
                <w:szCs w:val="24"/>
              </w:rPr>
            </w:pPr>
            <w:r w:rsidRPr="00036C34">
              <w:rPr>
                <w:color w:val="FFFFFF" w:themeColor="background1"/>
                <w:szCs w:val="24"/>
              </w:rPr>
              <w:t>Other Differences (3)</w:t>
            </w:r>
          </w:p>
          <w:p w14:paraId="43C622C0" w14:textId="0CF77201" w:rsidR="00B068F4" w:rsidRPr="00036C34" w:rsidRDefault="00B068F4" w:rsidP="00611673">
            <w:pPr>
              <w:jc w:val="right"/>
              <w:rPr>
                <w:color w:val="FFFFFF" w:themeColor="background1"/>
                <w:szCs w:val="24"/>
              </w:rPr>
            </w:pPr>
            <w:r w:rsidRPr="00036C34">
              <w:rPr>
                <w:color w:val="FFFFFF" w:themeColor="background1"/>
                <w:szCs w:val="24"/>
              </w:rPr>
              <w:t>£000</w:t>
            </w:r>
          </w:p>
        </w:tc>
        <w:tc>
          <w:tcPr>
            <w:tcW w:w="1984" w:type="dxa"/>
            <w:shd w:val="clear" w:color="auto" w:fill="BD2716"/>
            <w:vAlign w:val="center"/>
          </w:tcPr>
          <w:p w14:paraId="42AB7ED6" w14:textId="77777777" w:rsidR="00B068F4" w:rsidRPr="00036C34" w:rsidRDefault="00B068F4" w:rsidP="00611673">
            <w:pPr>
              <w:jc w:val="right"/>
              <w:rPr>
                <w:b/>
                <w:color w:val="FFFFFF" w:themeColor="background1"/>
                <w:szCs w:val="24"/>
              </w:rPr>
            </w:pPr>
            <w:r w:rsidRPr="00036C34">
              <w:rPr>
                <w:b/>
                <w:color w:val="FFFFFF" w:themeColor="background1"/>
                <w:szCs w:val="24"/>
              </w:rPr>
              <w:t>Total adjustment between funding and accounting basis</w:t>
            </w:r>
          </w:p>
          <w:p w14:paraId="232FFA44" w14:textId="482DC00B" w:rsidR="00B068F4" w:rsidRPr="00036C34" w:rsidRDefault="00B068F4" w:rsidP="00611673">
            <w:pPr>
              <w:jc w:val="right"/>
              <w:rPr>
                <w:color w:val="FFFFFF" w:themeColor="background1"/>
                <w:szCs w:val="24"/>
              </w:rPr>
            </w:pPr>
            <w:r w:rsidRPr="00036C34">
              <w:rPr>
                <w:b/>
                <w:color w:val="FFFFFF" w:themeColor="background1"/>
                <w:szCs w:val="24"/>
              </w:rPr>
              <w:t>£000</w:t>
            </w:r>
          </w:p>
        </w:tc>
      </w:tr>
      <w:tr w:rsidR="00E16D4F" w:rsidRPr="0090002A" w14:paraId="6BC03170" w14:textId="77777777" w:rsidTr="00233A66">
        <w:tc>
          <w:tcPr>
            <w:tcW w:w="3675" w:type="dxa"/>
          </w:tcPr>
          <w:p w14:paraId="7764DD86" w14:textId="12A7F9EF" w:rsidR="00E16D4F" w:rsidRPr="00B51D8C" w:rsidRDefault="00E16D4F" w:rsidP="00BC6C4F">
            <w:pPr>
              <w:rPr>
                <w:szCs w:val="24"/>
              </w:rPr>
            </w:pPr>
            <w:r w:rsidRPr="00B51D8C">
              <w:rPr>
                <w:szCs w:val="24"/>
              </w:rPr>
              <w:t>Service Delivery</w:t>
            </w:r>
          </w:p>
        </w:tc>
        <w:tc>
          <w:tcPr>
            <w:tcW w:w="1559" w:type="dxa"/>
            <w:vAlign w:val="center"/>
          </w:tcPr>
          <w:p w14:paraId="739357E3" w14:textId="221E4D15" w:rsidR="00E16D4F" w:rsidRPr="00B51D8C" w:rsidRDefault="00E16D4F" w:rsidP="00233A66">
            <w:pPr>
              <w:ind w:right="212"/>
              <w:jc w:val="right"/>
              <w:rPr>
                <w:szCs w:val="24"/>
              </w:rPr>
            </w:pPr>
            <w:r w:rsidRPr="00B51D8C">
              <w:rPr>
                <w:szCs w:val="24"/>
              </w:rPr>
              <w:t>-</w:t>
            </w:r>
          </w:p>
        </w:tc>
        <w:tc>
          <w:tcPr>
            <w:tcW w:w="1276" w:type="dxa"/>
            <w:vAlign w:val="center"/>
          </w:tcPr>
          <w:p w14:paraId="2C54913E" w14:textId="683E69DD" w:rsidR="00E16D4F" w:rsidRPr="00B51D8C" w:rsidRDefault="00E16D4F" w:rsidP="00233A66">
            <w:pPr>
              <w:ind w:right="212"/>
              <w:jc w:val="right"/>
              <w:rPr>
                <w:b/>
                <w:szCs w:val="24"/>
              </w:rPr>
            </w:pPr>
            <w:r w:rsidRPr="00B51D8C">
              <w:rPr>
                <w:szCs w:val="24"/>
              </w:rPr>
              <w:t>-</w:t>
            </w:r>
          </w:p>
        </w:tc>
        <w:tc>
          <w:tcPr>
            <w:tcW w:w="1837" w:type="dxa"/>
            <w:vAlign w:val="center"/>
          </w:tcPr>
          <w:p w14:paraId="769F8331" w14:textId="13590C6F" w:rsidR="00E16D4F" w:rsidRPr="00B51D8C" w:rsidRDefault="00E16D4F" w:rsidP="00233A66">
            <w:pPr>
              <w:ind w:right="212"/>
              <w:jc w:val="right"/>
              <w:rPr>
                <w:b/>
                <w:szCs w:val="24"/>
              </w:rPr>
            </w:pPr>
            <w:r w:rsidRPr="00B51D8C">
              <w:rPr>
                <w:b/>
                <w:szCs w:val="24"/>
              </w:rPr>
              <w:t>-</w:t>
            </w:r>
          </w:p>
        </w:tc>
        <w:tc>
          <w:tcPr>
            <w:tcW w:w="1565" w:type="dxa"/>
            <w:vAlign w:val="center"/>
          </w:tcPr>
          <w:p w14:paraId="6078E603" w14:textId="351D75C8" w:rsidR="00E16D4F" w:rsidRPr="00B51D8C" w:rsidRDefault="00E16D4F" w:rsidP="00233A66">
            <w:pPr>
              <w:ind w:right="238"/>
              <w:jc w:val="right"/>
              <w:rPr>
                <w:szCs w:val="24"/>
              </w:rPr>
            </w:pPr>
            <w:r w:rsidRPr="00B51D8C">
              <w:rPr>
                <w:szCs w:val="24"/>
              </w:rPr>
              <w:t xml:space="preserve">133 </w:t>
            </w:r>
          </w:p>
        </w:tc>
        <w:tc>
          <w:tcPr>
            <w:tcW w:w="1701" w:type="dxa"/>
            <w:vAlign w:val="center"/>
          </w:tcPr>
          <w:p w14:paraId="191CDAA2" w14:textId="0F2EB0EC" w:rsidR="00E16D4F" w:rsidRPr="00B51D8C" w:rsidRDefault="00E16D4F" w:rsidP="00233A66">
            <w:pPr>
              <w:ind w:right="238"/>
              <w:jc w:val="right"/>
              <w:rPr>
                <w:szCs w:val="24"/>
              </w:rPr>
            </w:pPr>
            <w:r w:rsidRPr="00B51D8C">
              <w:rPr>
                <w:szCs w:val="24"/>
              </w:rPr>
              <w:t>(8,884)</w:t>
            </w:r>
          </w:p>
        </w:tc>
        <w:tc>
          <w:tcPr>
            <w:tcW w:w="1559" w:type="dxa"/>
            <w:vAlign w:val="center"/>
          </w:tcPr>
          <w:p w14:paraId="02FC2EA7" w14:textId="515E89A7" w:rsidR="00E16D4F" w:rsidRPr="00B51D8C" w:rsidRDefault="00E16D4F" w:rsidP="00233A66">
            <w:pPr>
              <w:ind w:right="179"/>
              <w:jc w:val="right"/>
              <w:rPr>
                <w:szCs w:val="24"/>
              </w:rPr>
            </w:pPr>
            <w:r w:rsidRPr="00B51D8C">
              <w:rPr>
                <w:szCs w:val="24"/>
              </w:rPr>
              <w:t>430</w:t>
            </w:r>
          </w:p>
        </w:tc>
        <w:tc>
          <w:tcPr>
            <w:tcW w:w="1984" w:type="dxa"/>
            <w:vAlign w:val="center"/>
          </w:tcPr>
          <w:p w14:paraId="1F96802E" w14:textId="7B3F4C61" w:rsidR="00E16D4F" w:rsidRPr="00B51D8C" w:rsidRDefault="00E16D4F" w:rsidP="00233A66">
            <w:pPr>
              <w:ind w:right="238"/>
              <w:jc w:val="right"/>
              <w:rPr>
                <w:b/>
                <w:bCs/>
                <w:szCs w:val="24"/>
              </w:rPr>
            </w:pPr>
            <w:r w:rsidRPr="00B51D8C">
              <w:rPr>
                <w:b/>
                <w:bCs/>
                <w:szCs w:val="24"/>
              </w:rPr>
              <w:t>(8,321)</w:t>
            </w:r>
          </w:p>
        </w:tc>
      </w:tr>
      <w:tr w:rsidR="00E16D4F" w:rsidRPr="0090002A" w14:paraId="18748AEC" w14:textId="77777777" w:rsidTr="00233A66">
        <w:tc>
          <w:tcPr>
            <w:tcW w:w="3675" w:type="dxa"/>
          </w:tcPr>
          <w:p w14:paraId="47358688" w14:textId="3E5FF081" w:rsidR="00E16D4F" w:rsidRPr="00B51D8C" w:rsidRDefault="00E16D4F" w:rsidP="00BC6C4F">
            <w:pPr>
              <w:rPr>
                <w:szCs w:val="24"/>
              </w:rPr>
            </w:pPr>
            <w:r w:rsidRPr="00B51D8C">
              <w:rPr>
                <w:szCs w:val="24"/>
              </w:rPr>
              <w:t>Strategy and Planning</w:t>
            </w:r>
          </w:p>
        </w:tc>
        <w:tc>
          <w:tcPr>
            <w:tcW w:w="1559" w:type="dxa"/>
            <w:vAlign w:val="center"/>
          </w:tcPr>
          <w:p w14:paraId="6B76D829" w14:textId="1ABCCABA" w:rsidR="00E16D4F" w:rsidRPr="00B51D8C" w:rsidRDefault="00E16D4F" w:rsidP="00233A66">
            <w:pPr>
              <w:ind w:right="212"/>
              <w:jc w:val="right"/>
              <w:rPr>
                <w:szCs w:val="24"/>
              </w:rPr>
            </w:pPr>
            <w:r w:rsidRPr="00B51D8C">
              <w:rPr>
                <w:szCs w:val="24"/>
              </w:rPr>
              <w:t>-</w:t>
            </w:r>
          </w:p>
        </w:tc>
        <w:tc>
          <w:tcPr>
            <w:tcW w:w="1276" w:type="dxa"/>
            <w:vAlign w:val="center"/>
          </w:tcPr>
          <w:p w14:paraId="263BC21E" w14:textId="18251A8E" w:rsidR="00E16D4F" w:rsidRPr="00B51D8C" w:rsidRDefault="00E16D4F" w:rsidP="00233A66">
            <w:pPr>
              <w:ind w:right="212"/>
              <w:jc w:val="right"/>
              <w:rPr>
                <w:b/>
                <w:szCs w:val="24"/>
              </w:rPr>
            </w:pPr>
            <w:r w:rsidRPr="00B51D8C">
              <w:rPr>
                <w:szCs w:val="24"/>
              </w:rPr>
              <w:t>-</w:t>
            </w:r>
          </w:p>
        </w:tc>
        <w:tc>
          <w:tcPr>
            <w:tcW w:w="1837" w:type="dxa"/>
            <w:vAlign w:val="center"/>
          </w:tcPr>
          <w:p w14:paraId="494F850B" w14:textId="43F68E37" w:rsidR="00E16D4F" w:rsidRPr="00B51D8C" w:rsidRDefault="00E16D4F" w:rsidP="00233A66">
            <w:pPr>
              <w:ind w:right="212"/>
              <w:jc w:val="right"/>
              <w:rPr>
                <w:b/>
                <w:szCs w:val="24"/>
              </w:rPr>
            </w:pPr>
            <w:r w:rsidRPr="00B51D8C">
              <w:rPr>
                <w:b/>
                <w:szCs w:val="24"/>
              </w:rPr>
              <w:t>-</w:t>
            </w:r>
          </w:p>
        </w:tc>
        <w:tc>
          <w:tcPr>
            <w:tcW w:w="1565" w:type="dxa"/>
            <w:vAlign w:val="center"/>
          </w:tcPr>
          <w:p w14:paraId="0AAFE36C" w14:textId="65EAE2A5" w:rsidR="00E16D4F" w:rsidRPr="00B51D8C" w:rsidRDefault="00E16D4F" w:rsidP="00233A66">
            <w:pPr>
              <w:ind w:right="238"/>
              <w:jc w:val="right"/>
              <w:rPr>
                <w:szCs w:val="24"/>
              </w:rPr>
            </w:pPr>
            <w:r w:rsidRPr="00B51D8C">
              <w:rPr>
                <w:szCs w:val="24"/>
              </w:rPr>
              <w:t>(41)</w:t>
            </w:r>
          </w:p>
        </w:tc>
        <w:tc>
          <w:tcPr>
            <w:tcW w:w="1701" w:type="dxa"/>
            <w:vAlign w:val="center"/>
          </w:tcPr>
          <w:p w14:paraId="18B45358" w14:textId="19ABEF07" w:rsidR="00E16D4F" w:rsidRPr="00B51D8C" w:rsidRDefault="00E16D4F" w:rsidP="00233A66">
            <w:pPr>
              <w:ind w:right="238"/>
              <w:jc w:val="right"/>
              <w:rPr>
                <w:szCs w:val="24"/>
              </w:rPr>
            </w:pPr>
            <w:r w:rsidRPr="00B51D8C">
              <w:rPr>
                <w:szCs w:val="24"/>
              </w:rPr>
              <w:t>(367)</w:t>
            </w:r>
          </w:p>
        </w:tc>
        <w:tc>
          <w:tcPr>
            <w:tcW w:w="1559" w:type="dxa"/>
            <w:vAlign w:val="center"/>
          </w:tcPr>
          <w:p w14:paraId="58EE17C8" w14:textId="62B5F036" w:rsidR="00E16D4F" w:rsidRPr="00B51D8C" w:rsidRDefault="00E16D4F" w:rsidP="00233A66">
            <w:pPr>
              <w:ind w:right="179"/>
              <w:jc w:val="right"/>
              <w:rPr>
                <w:szCs w:val="24"/>
              </w:rPr>
            </w:pPr>
            <w:r w:rsidRPr="00B51D8C">
              <w:rPr>
                <w:szCs w:val="24"/>
              </w:rPr>
              <w:t xml:space="preserve">177 </w:t>
            </w:r>
          </w:p>
        </w:tc>
        <w:tc>
          <w:tcPr>
            <w:tcW w:w="1984" w:type="dxa"/>
            <w:vAlign w:val="center"/>
          </w:tcPr>
          <w:p w14:paraId="41133211" w14:textId="7135CF6A" w:rsidR="00E16D4F" w:rsidRPr="00B51D8C" w:rsidRDefault="00E16D4F" w:rsidP="00233A66">
            <w:pPr>
              <w:ind w:right="238"/>
              <w:jc w:val="right"/>
              <w:rPr>
                <w:b/>
                <w:bCs/>
                <w:szCs w:val="24"/>
              </w:rPr>
            </w:pPr>
            <w:r w:rsidRPr="00B51D8C">
              <w:rPr>
                <w:b/>
                <w:bCs/>
                <w:szCs w:val="24"/>
              </w:rPr>
              <w:t>(230)</w:t>
            </w:r>
          </w:p>
        </w:tc>
      </w:tr>
      <w:tr w:rsidR="00E16D4F" w:rsidRPr="0090002A" w14:paraId="3D93ACB0" w14:textId="77777777" w:rsidTr="00233A66">
        <w:tc>
          <w:tcPr>
            <w:tcW w:w="3675" w:type="dxa"/>
          </w:tcPr>
          <w:p w14:paraId="4A0243EB" w14:textId="49A9D6DE" w:rsidR="00E16D4F" w:rsidRPr="00B51D8C" w:rsidRDefault="00E16D4F" w:rsidP="00BC6C4F">
            <w:pPr>
              <w:rPr>
                <w:szCs w:val="24"/>
              </w:rPr>
            </w:pPr>
            <w:r w:rsidRPr="00B51D8C">
              <w:rPr>
                <w:szCs w:val="24"/>
              </w:rPr>
              <w:t>People and Development</w:t>
            </w:r>
          </w:p>
        </w:tc>
        <w:tc>
          <w:tcPr>
            <w:tcW w:w="1559" w:type="dxa"/>
            <w:vAlign w:val="center"/>
          </w:tcPr>
          <w:p w14:paraId="53F47373" w14:textId="37329301" w:rsidR="00E16D4F" w:rsidRPr="00B51D8C" w:rsidRDefault="00E16D4F" w:rsidP="00233A66">
            <w:pPr>
              <w:ind w:right="212"/>
              <w:jc w:val="right"/>
              <w:rPr>
                <w:szCs w:val="24"/>
              </w:rPr>
            </w:pPr>
            <w:r w:rsidRPr="00B51D8C">
              <w:rPr>
                <w:szCs w:val="24"/>
              </w:rPr>
              <w:t>-</w:t>
            </w:r>
          </w:p>
        </w:tc>
        <w:tc>
          <w:tcPr>
            <w:tcW w:w="1276" w:type="dxa"/>
            <w:vAlign w:val="center"/>
          </w:tcPr>
          <w:p w14:paraId="60BD5B98" w14:textId="36B0EB93" w:rsidR="00E16D4F" w:rsidRPr="00B51D8C" w:rsidRDefault="00E16D4F" w:rsidP="00233A66">
            <w:pPr>
              <w:ind w:right="212"/>
              <w:jc w:val="right"/>
              <w:rPr>
                <w:b/>
                <w:szCs w:val="24"/>
              </w:rPr>
            </w:pPr>
            <w:r w:rsidRPr="00B51D8C">
              <w:rPr>
                <w:szCs w:val="24"/>
              </w:rPr>
              <w:t>-</w:t>
            </w:r>
          </w:p>
        </w:tc>
        <w:tc>
          <w:tcPr>
            <w:tcW w:w="1837" w:type="dxa"/>
            <w:vAlign w:val="center"/>
          </w:tcPr>
          <w:p w14:paraId="63FDDDE3" w14:textId="03A42956" w:rsidR="00E16D4F" w:rsidRPr="00B51D8C" w:rsidRDefault="00E16D4F" w:rsidP="00233A66">
            <w:pPr>
              <w:ind w:right="212"/>
              <w:jc w:val="right"/>
              <w:rPr>
                <w:b/>
                <w:szCs w:val="24"/>
              </w:rPr>
            </w:pPr>
            <w:r w:rsidRPr="00B51D8C">
              <w:rPr>
                <w:b/>
                <w:szCs w:val="24"/>
              </w:rPr>
              <w:t>-</w:t>
            </w:r>
          </w:p>
        </w:tc>
        <w:tc>
          <w:tcPr>
            <w:tcW w:w="1565" w:type="dxa"/>
            <w:vAlign w:val="center"/>
          </w:tcPr>
          <w:p w14:paraId="1D3648E0" w14:textId="61E1960B" w:rsidR="00E16D4F" w:rsidRPr="00B51D8C" w:rsidRDefault="00E16D4F" w:rsidP="00233A66">
            <w:pPr>
              <w:ind w:right="212"/>
              <w:jc w:val="right"/>
              <w:rPr>
                <w:szCs w:val="24"/>
              </w:rPr>
            </w:pPr>
            <w:r w:rsidRPr="00B51D8C">
              <w:rPr>
                <w:szCs w:val="24"/>
              </w:rPr>
              <w:t>-</w:t>
            </w:r>
          </w:p>
        </w:tc>
        <w:tc>
          <w:tcPr>
            <w:tcW w:w="1701" w:type="dxa"/>
            <w:vAlign w:val="center"/>
          </w:tcPr>
          <w:p w14:paraId="46967312" w14:textId="6A01C00E" w:rsidR="00E16D4F" w:rsidRPr="00B51D8C" w:rsidRDefault="00E16D4F" w:rsidP="00233A66">
            <w:pPr>
              <w:ind w:right="238"/>
              <w:jc w:val="right"/>
              <w:rPr>
                <w:szCs w:val="24"/>
              </w:rPr>
            </w:pPr>
            <w:r w:rsidRPr="00B51D8C">
              <w:rPr>
                <w:szCs w:val="24"/>
              </w:rPr>
              <w:t xml:space="preserve">311 </w:t>
            </w:r>
          </w:p>
        </w:tc>
        <w:tc>
          <w:tcPr>
            <w:tcW w:w="1559" w:type="dxa"/>
            <w:vAlign w:val="center"/>
          </w:tcPr>
          <w:p w14:paraId="14C94E23" w14:textId="6E7BD654" w:rsidR="00E16D4F" w:rsidRPr="00B51D8C" w:rsidRDefault="00E16D4F" w:rsidP="00233A66">
            <w:pPr>
              <w:ind w:right="179"/>
              <w:jc w:val="right"/>
              <w:rPr>
                <w:szCs w:val="24"/>
              </w:rPr>
            </w:pPr>
            <w:r w:rsidRPr="00B51D8C">
              <w:rPr>
                <w:szCs w:val="24"/>
              </w:rPr>
              <w:t>-</w:t>
            </w:r>
          </w:p>
        </w:tc>
        <w:tc>
          <w:tcPr>
            <w:tcW w:w="1984" w:type="dxa"/>
            <w:vAlign w:val="center"/>
          </w:tcPr>
          <w:p w14:paraId="09C74AF7" w14:textId="1108C12F" w:rsidR="00E16D4F" w:rsidRPr="00B51D8C" w:rsidRDefault="00E16D4F" w:rsidP="00233A66">
            <w:pPr>
              <w:ind w:right="238"/>
              <w:jc w:val="right"/>
              <w:rPr>
                <w:b/>
                <w:bCs/>
                <w:szCs w:val="24"/>
              </w:rPr>
            </w:pPr>
            <w:r w:rsidRPr="00B51D8C">
              <w:rPr>
                <w:b/>
                <w:bCs/>
                <w:szCs w:val="24"/>
              </w:rPr>
              <w:t xml:space="preserve">311 </w:t>
            </w:r>
          </w:p>
        </w:tc>
      </w:tr>
      <w:tr w:rsidR="00E16D4F" w:rsidRPr="0090002A" w14:paraId="21358A79" w14:textId="77777777" w:rsidTr="00233A66">
        <w:tc>
          <w:tcPr>
            <w:tcW w:w="3675" w:type="dxa"/>
          </w:tcPr>
          <w:p w14:paraId="6554B64D" w14:textId="36908E5E" w:rsidR="00E16D4F" w:rsidRPr="00B51D8C" w:rsidRDefault="00E16D4F" w:rsidP="00BC6C4F">
            <w:pPr>
              <w:rPr>
                <w:szCs w:val="24"/>
              </w:rPr>
            </w:pPr>
            <w:r w:rsidRPr="00B51D8C">
              <w:rPr>
                <w:szCs w:val="24"/>
              </w:rPr>
              <w:t>Corporate Services</w:t>
            </w:r>
          </w:p>
        </w:tc>
        <w:tc>
          <w:tcPr>
            <w:tcW w:w="1559" w:type="dxa"/>
            <w:vAlign w:val="center"/>
          </w:tcPr>
          <w:p w14:paraId="7DE2840E" w14:textId="7474FBF8" w:rsidR="00E16D4F" w:rsidRPr="00B51D8C" w:rsidRDefault="00E16D4F" w:rsidP="00233A66">
            <w:pPr>
              <w:ind w:right="212"/>
              <w:jc w:val="right"/>
              <w:rPr>
                <w:szCs w:val="24"/>
              </w:rPr>
            </w:pPr>
            <w:r w:rsidRPr="00B51D8C">
              <w:rPr>
                <w:szCs w:val="24"/>
              </w:rPr>
              <w:t>-</w:t>
            </w:r>
          </w:p>
        </w:tc>
        <w:tc>
          <w:tcPr>
            <w:tcW w:w="1276" w:type="dxa"/>
            <w:vAlign w:val="center"/>
          </w:tcPr>
          <w:p w14:paraId="6A205A52" w14:textId="7F65398F" w:rsidR="00E16D4F" w:rsidRPr="00B51D8C" w:rsidRDefault="00E16D4F" w:rsidP="00233A66">
            <w:pPr>
              <w:ind w:right="212"/>
              <w:jc w:val="right"/>
              <w:rPr>
                <w:b/>
                <w:szCs w:val="24"/>
              </w:rPr>
            </w:pPr>
            <w:r w:rsidRPr="00B51D8C">
              <w:rPr>
                <w:szCs w:val="24"/>
              </w:rPr>
              <w:t>-</w:t>
            </w:r>
          </w:p>
        </w:tc>
        <w:tc>
          <w:tcPr>
            <w:tcW w:w="1837" w:type="dxa"/>
            <w:vAlign w:val="center"/>
          </w:tcPr>
          <w:p w14:paraId="75F1165A" w14:textId="5B01864A" w:rsidR="00E16D4F" w:rsidRPr="00B51D8C" w:rsidRDefault="00E16D4F" w:rsidP="00233A66">
            <w:pPr>
              <w:ind w:right="212"/>
              <w:jc w:val="right"/>
              <w:rPr>
                <w:b/>
                <w:szCs w:val="24"/>
              </w:rPr>
            </w:pPr>
            <w:r w:rsidRPr="00B51D8C">
              <w:rPr>
                <w:b/>
                <w:szCs w:val="24"/>
              </w:rPr>
              <w:t>-</w:t>
            </w:r>
          </w:p>
        </w:tc>
        <w:tc>
          <w:tcPr>
            <w:tcW w:w="1565" w:type="dxa"/>
            <w:vAlign w:val="center"/>
          </w:tcPr>
          <w:p w14:paraId="3CF371E8" w14:textId="12F35ED5" w:rsidR="00E16D4F" w:rsidRPr="00B51D8C" w:rsidRDefault="00E16D4F" w:rsidP="00233A66">
            <w:pPr>
              <w:ind w:right="212"/>
              <w:jc w:val="right"/>
              <w:rPr>
                <w:szCs w:val="24"/>
              </w:rPr>
            </w:pPr>
            <w:r w:rsidRPr="00B51D8C">
              <w:rPr>
                <w:szCs w:val="24"/>
              </w:rPr>
              <w:t>-</w:t>
            </w:r>
          </w:p>
        </w:tc>
        <w:tc>
          <w:tcPr>
            <w:tcW w:w="1701" w:type="dxa"/>
            <w:vAlign w:val="center"/>
          </w:tcPr>
          <w:p w14:paraId="6265AAD2" w14:textId="4BB61BAF" w:rsidR="00E16D4F" w:rsidRPr="00B51D8C" w:rsidRDefault="00E16D4F" w:rsidP="00233A66">
            <w:pPr>
              <w:ind w:right="238"/>
              <w:jc w:val="right"/>
              <w:rPr>
                <w:szCs w:val="24"/>
              </w:rPr>
            </w:pPr>
            <w:r w:rsidRPr="00B51D8C">
              <w:rPr>
                <w:szCs w:val="24"/>
              </w:rPr>
              <w:t xml:space="preserve">277 </w:t>
            </w:r>
          </w:p>
        </w:tc>
        <w:tc>
          <w:tcPr>
            <w:tcW w:w="1559" w:type="dxa"/>
            <w:vAlign w:val="center"/>
          </w:tcPr>
          <w:p w14:paraId="71571673" w14:textId="4EA8E711" w:rsidR="00E16D4F" w:rsidRPr="00B51D8C" w:rsidRDefault="00E16D4F" w:rsidP="00233A66">
            <w:pPr>
              <w:ind w:right="179"/>
              <w:jc w:val="right"/>
              <w:rPr>
                <w:szCs w:val="24"/>
              </w:rPr>
            </w:pPr>
            <w:r w:rsidRPr="00B51D8C">
              <w:rPr>
                <w:szCs w:val="24"/>
              </w:rPr>
              <w:t>(130)</w:t>
            </w:r>
          </w:p>
        </w:tc>
        <w:tc>
          <w:tcPr>
            <w:tcW w:w="1984" w:type="dxa"/>
            <w:vAlign w:val="center"/>
          </w:tcPr>
          <w:p w14:paraId="350523A7" w14:textId="0767B2D4" w:rsidR="00E16D4F" w:rsidRPr="00B51D8C" w:rsidRDefault="00E16D4F" w:rsidP="00233A66">
            <w:pPr>
              <w:ind w:right="238"/>
              <w:jc w:val="right"/>
              <w:rPr>
                <w:b/>
                <w:bCs/>
                <w:szCs w:val="24"/>
              </w:rPr>
            </w:pPr>
            <w:r w:rsidRPr="00B51D8C">
              <w:rPr>
                <w:b/>
                <w:bCs/>
                <w:szCs w:val="24"/>
              </w:rPr>
              <w:t xml:space="preserve">147 </w:t>
            </w:r>
          </w:p>
        </w:tc>
      </w:tr>
      <w:tr w:rsidR="00E16D4F" w:rsidRPr="0090002A" w14:paraId="63A28C5C" w14:textId="77777777" w:rsidTr="00233A66">
        <w:tc>
          <w:tcPr>
            <w:tcW w:w="3675" w:type="dxa"/>
          </w:tcPr>
          <w:p w14:paraId="1E0DFE67" w14:textId="3E87C8FE" w:rsidR="00E16D4F" w:rsidRPr="00B51D8C" w:rsidRDefault="00E16D4F" w:rsidP="00BC6C4F">
            <w:pPr>
              <w:rPr>
                <w:szCs w:val="24"/>
              </w:rPr>
            </w:pPr>
            <w:r w:rsidRPr="00B51D8C">
              <w:rPr>
                <w:szCs w:val="24"/>
              </w:rPr>
              <w:t>Firefighters Pensions</w:t>
            </w:r>
          </w:p>
        </w:tc>
        <w:tc>
          <w:tcPr>
            <w:tcW w:w="1559" w:type="dxa"/>
            <w:vAlign w:val="center"/>
          </w:tcPr>
          <w:p w14:paraId="19E582F9" w14:textId="19CF9CE0" w:rsidR="00E16D4F" w:rsidRPr="00B51D8C" w:rsidRDefault="00E16D4F" w:rsidP="00233A66">
            <w:pPr>
              <w:ind w:right="212"/>
              <w:jc w:val="right"/>
              <w:rPr>
                <w:szCs w:val="24"/>
              </w:rPr>
            </w:pPr>
            <w:r w:rsidRPr="00B51D8C">
              <w:rPr>
                <w:szCs w:val="24"/>
              </w:rPr>
              <w:t>-</w:t>
            </w:r>
          </w:p>
        </w:tc>
        <w:tc>
          <w:tcPr>
            <w:tcW w:w="1276" w:type="dxa"/>
            <w:vAlign w:val="center"/>
          </w:tcPr>
          <w:p w14:paraId="0EB260BA" w14:textId="4855A074" w:rsidR="00E16D4F" w:rsidRPr="00B51D8C" w:rsidRDefault="00E16D4F" w:rsidP="00233A66">
            <w:pPr>
              <w:ind w:right="212"/>
              <w:jc w:val="right"/>
              <w:rPr>
                <w:b/>
                <w:szCs w:val="24"/>
              </w:rPr>
            </w:pPr>
            <w:r w:rsidRPr="00B51D8C">
              <w:rPr>
                <w:szCs w:val="24"/>
              </w:rPr>
              <w:t>-</w:t>
            </w:r>
          </w:p>
        </w:tc>
        <w:tc>
          <w:tcPr>
            <w:tcW w:w="1837" w:type="dxa"/>
            <w:vAlign w:val="center"/>
          </w:tcPr>
          <w:p w14:paraId="14DE3DDC" w14:textId="526D5353" w:rsidR="00E16D4F" w:rsidRPr="00B51D8C" w:rsidRDefault="00E16D4F" w:rsidP="00233A66">
            <w:pPr>
              <w:ind w:right="212"/>
              <w:jc w:val="right"/>
              <w:rPr>
                <w:b/>
                <w:szCs w:val="24"/>
              </w:rPr>
            </w:pPr>
            <w:r w:rsidRPr="00B51D8C">
              <w:rPr>
                <w:b/>
                <w:szCs w:val="24"/>
              </w:rPr>
              <w:t>-</w:t>
            </w:r>
          </w:p>
        </w:tc>
        <w:tc>
          <w:tcPr>
            <w:tcW w:w="1565" w:type="dxa"/>
            <w:vAlign w:val="center"/>
          </w:tcPr>
          <w:p w14:paraId="2CF7EBA0" w14:textId="0E4D1DD9" w:rsidR="00E16D4F" w:rsidRPr="00B51D8C" w:rsidRDefault="00E16D4F" w:rsidP="00233A66">
            <w:pPr>
              <w:ind w:right="212"/>
              <w:jc w:val="right"/>
              <w:rPr>
                <w:szCs w:val="24"/>
              </w:rPr>
            </w:pPr>
            <w:r w:rsidRPr="00B51D8C">
              <w:rPr>
                <w:szCs w:val="24"/>
              </w:rPr>
              <w:t>-</w:t>
            </w:r>
          </w:p>
        </w:tc>
        <w:tc>
          <w:tcPr>
            <w:tcW w:w="1701" w:type="dxa"/>
            <w:vAlign w:val="center"/>
          </w:tcPr>
          <w:p w14:paraId="3E1736A3" w14:textId="7C0D0DE7" w:rsidR="00E16D4F" w:rsidRPr="00B51D8C" w:rsidRDefault="00E16D4F" w:rsidP="00233A66">
            <w:pPr>
              <w:ind w:right="238"/>
              <w:jc w:val="right"/>
              <w:rPr>
                <w:szCs w:val="24"/>
              </w:rPr>
            </w:pPr>
            <w:r w:rsidRPr="00B51D8C">
              <w:rPr>
                <w:szCs w:val="24"/>
              </w:rPr>
              <w:t>-</w:t>
            </w:r>
          </w:p>
        </w:tc>
        <w:tc>
          <w:tcPr>
            <w:tcW w:w="1559" w:type="dxa"/>
            <w:vAlign w:val="center"/>
          </w:tcPr>
          <w:p w14:paraId="1B97D911" w14:textId="491D0CD6" w:rsidR="00E16D4F" w:rsidRPr="00B51D8C" w:rsidRDefault="00E16D4F" w:rsidP="00233A66">
            <w:pPr>
              <w:ind w:right="179"/>
              <w:jc w:val="right"/>
              <w:rPr>
                <w:szCs w:val="24"/>
              </w:rPr>
            </w:pPr>
            <w:r w:rsidRPr="00B51D8C">
              <w:rPr>
                <w:szCs w:val="24"/>
              </w:rPr>
              <w:t>-</w:t>
            </w:r>
          </w:p>
        </w:tc>
        <w:tc>
          <w:tcPr>
            <w:tcW w:w="1984" w:type="dxa"/>
            <w:vAlign w:val="center"/>
          </w:tcPr>
          <w:p w14:paraId="2B6F3074" w14:textId="72461934" w:rsidR="00E16D4F" w:rsidRPr="00B51D8C" w:rsidRDefault="00E16D4F" w:rsidP="00233A66">
            <w:pPr>
              <w:ind w:right="238"/>
              <w:jc w:val="right"/>
              <w:rPr>
                <w:b/>
                <w:bCs/>
                <w:szCs w:val="24"/>
              </w:rPr>
            </w:pPr>
            <w:r w:rsidRPr="00B51D8C">
              <w:rPr>
                <w:b/>
                <w:bCs/>
                <w:szCs w:val="24"/>
              </w:rPr>
              <w:t>-</w:t>
            </w:r>
          </w:p>
        </w:tc>
      </w:tr>
      <w:tr w:rsidR="00E16D4F" w:rsidRPr="0090002A" w14:paraId="31064235" w14:textId="77777777" w:rsidTr="00233A66">
        <w:tc>
          <w:tcPr>
            <w:tcW w:w="3675" w:type="dxa"/>
          </w:tcPr>
          <w:p w14:paraId="6DEF846E" w14:textId="28168C47" w:rsidR="00E16D4F" w:rsidRPr="00B51D8C" w:rsidRDefault="00E16D4F" w:rsidP="00BC6C4F">
            <w:pPr>
              <w:rPr>
                <w:szCs w:val="24"/>
              </w:rPr>
            </w:pPr>
            <w:r w:rsidRPr="00B51D8C">
              <w:rPr>
                <w:szCs w:val="24"/>
              </w:rPr>
              <w:t>Overheads</w:t>
            </w:r>
          </w:p>
        </w:tc>
        <w:tc>
          <w:tcPr>
            <w:tcW w:w="1559" w:type="dxa"/>
            <w:vAlign w:val="center"/>
          </w:tcPr>
          <w:p w14:paraId="18B85617" w14:textId="006B6320" w:rsidR="00E16D4F" w:rsidRPr="00B51D8C" w:rsidRDefault="00E16D4F" w:rsidP="00233A66">
            <w:pPr>
              <w:ind w:right="238"/>
              <w:jc w:val="right"/>
              <w:rPr>
                <w:szCs w:val="24"/>
              </w:rPr>
            </w:pPr>
            <w:r w:rsidRPr="00B51D8C">
              <w:rPr>
                <w:szCs w:val="24"/>
              </w:rPr>
              <w:t>-</w:t>
            </w:r>
          </w:p>
        </w:tc>
        <w:tc>
          <w:tcPr>
            <w:tcW w:w="1276" w:type="dxa"/>
            <w:vAlign w:val="center"/>
          </w:tcPr>
          <w:p w14:paraId="5A155ED3" w14:textId="024339E8" w:rsidR="00E16D4F" w:rsidRPr="00B51D8C" w:rsidRDefault="00E16D4F" w:rsidP="00233A66">
            <w:pPr>
              <w:ind w:right="238"/>
              <w:jc w:val="right"/>
              <w:rPr>
                <w:b/>
                <w:szCs w:val="24"/>
              </w:rPr>
            </w:pPr>
            <w:r w:rsidRPr="00B51D8C">
              <w:rPr>
                <w:szCs w:val="24"/>
              </w:rPr>
              <w:t>-</w:t>
            </w:r>
          </w:p>
        </w:tc>
        <w:tc>
          <w:tcPr>
            <w:tcW w:w="1837" w:type="dxa"/>
            <w:vAlign w:val="center"/>
          </w:tcPr>
          <w:p w14:paraId="72CB7A02" w14:textId="77717EC1" w:rsidR="00E16D4F" w:rsidRPr="00B51D8C" w:rsidRDefault="00E16D4F" w:rsidP="00233A66">
            <w:pPr>
              <w:ind w:right="238"/>
              <w:jc w:val="right"/>
              <w:rPr>
                <w:b/>
                <w:szCs w:val="24"/>
              </w:rPr>
            </w:pPr>
            <w:r w:rsidRPr="00B51D8C">
              <w:rPr>
                <w:b/>
                <w:szCs w:val="24"/>
              </w:rPr>
              <w:t>-</w:t>
            </w:r>
          </w:p>
        </w:tc>
        <w:tc>
          <w:tcPr>
            <w:tcW w:w="1565" w:type="dxa"/>
            <w:vAlign w:val="center"/>
          </w:tcPr>
          <w:p w14:paraId="03148DC6" w14:textId="4469D72C" w:rsidR="00E16D4F" w:rsidRPr="00B51D8C" w:rsidRDefault="00E16D4F" w:rsidP="00233A66">
            <w:pPr>
              <w:ind w:right="238"/>
              <w:jc w:val="right"/>
              <w:rPr>
                <w:szCs w:val="24"/>
              </w:rPr>
            </w:pPr>
            <w:r w:rsidRPr="00B51D8C">
              <w:rPr>
                <w:szCs w:val="24"/>
              </w:rPr>
              <w:t xml:space="preserve">2,144 </w:t>
            </w:r>
          </w:p>
        </w:tc>
        <w:tc>
          <w:tcPr>
            <w:tcW w:w="1701" w:type="dxa"/>
            <w:vAlign w:val="center"/>
          </w:tcPr>
          <w:p w14:paraId="468F9FE6" w14:textId="1921DD74" w:rsidR="00E16D4F" w:rsidRPr="00B51D8C" w:rsidRDefault="00E16D4F" w:rsidP="00233A66">
            <w:pPr>
              <w:ind w:right="238"/>
              <w:jc w:val="right"/>
              <w:rPr>
                <w:szCs w:val="24"/>
              </w:rPr>
            </w:pPr>
            <w:r w:rsidRPr="00B51D8C">
              <w:rPr>
                <w:szCs w:val="24"/>
              </w:rPr>
              <w:t xml:space="preserve">145 </w:t>
            </w:r>
          </w:p>
        </w:tc>
        <w:tc>
          <w:tcPr>
            <w:tcW w:w="1559" w:type="dxa"/>
            <w:vAlign w:val="center"/>
          </w:tcPr>
          <w:p w14:paraId="0EF61287" w14:textId="0E95DB0B" w:rsidR="00E16D4F" w:rsidRPr="00B51D8C" w:rsidRDefault="00E16D4F" w:rsidP="00233A66">
            <w:pPr>
              <w:ind w:right="179"/>
              <w:jc w:val="right"/>
              <w:rPr>
                <w:szCs w:val="24"/>
              </w:rPr>
            </w:pPr>
            <w:r w:rsidRPr="00B51D8C">
              <w:rPr>
                <w:szCs w:val="24"/>
              </w:rPr>
              <w:t>(2,750)</w:t>
            </w:r>
          </w:p>
        </w:tc>
        <w:tc>
          <w:tcPr>
            <w:tcW w:w="1984" w:type="dxa"/>
            <w:vAlign w:val="center"/>
          </w:tcPr>
          <w:p w14:paraId="1131729A" w14:textId="0C535697" w:rsidR="00E16D4F" w:rsidRPr="00B51D8C" w:rsidRDefault="00E16D4F" w:rsidP="00233A66">
            <w:pPr>
              <w:ind w:right="238"/>
              <w:jc w:val="right"/>
              <w:rPr>
                <w:b/>
                <w:bCs/>
                <w:szCs w:val="24"/>
              </w:rPr>
            </w:pPr>
            <w:r w:rsidRPr="00B51D8C">
              <w:rPr>
                <w:b/>
                <w:bCs/>
                <w:szCs w:val="24"/>
              </w:rPr>
              <w:t>(461)</w:t>
            </w:r>
          </w:p>
        </w:tc>
      </w:tr>
      <w:tr w:rsidR="00E16D4F" w:rsidRPr="0090002A" w14:paraId="0BC38327" w14:textId="77777777" w:rsidTr="00233A66">
        <w:tc>
          <w:tcPr>
            <w:tcW w:w="3675" w:type="dxa"/>
          </w:tcPr>
          <w:p w14:paraId="6F11E11F" w14:textId="122B85E0" w:rsidR="00E16D4F" w:rsidRPr="00B51D8C" w:rsidRDefault="00E16D4F" w:rsidP="00BC6C4F">
            <w:pPr>
              <w:rPr>
                <w:b/>
                <w:szCs w:val="24"/>
              </w:rPr>
            </w:pPr>
            <w:r w:rsidRPr="00B51D8C">
              <w:rPr>
                <w:b/>
                <w:szCs w:val="24"/>
              </w:rPr>
              <w:t>Net cost of Services</w:t>
            </w:r>
          </w:p>
        </w:tc>
        <w:tc>
          <w:tcPr>
            <w:tcW w:w="1559" w:type="dxa"/>
            <w:vAlign w:val="center"/>
          </w:tcPr>
          <w:p w14:paraId="1BF657FA" w14:textId="79C11A3E" w:rsidR="00E16D4F" w:rsidRPr="00B51D8C" w:rsidRDefault="00E16D4F" w:rsidP="00233A66">
            <w:pPr>
              <w:ind w:right="238"/>
              <w:jc w:val="right"/>
              <w:rPr>
                <w:b/>
                <w:bCs/>
                <w:szCs w:val="24"/>
              </w:rPr>
            </w:pPr>
            <w:r w:rsidRPr="00B51D8C">
              <w:rPr>
                <w:b/>
                <w:bCs/>
                <w:szCs w:val="24"/>
              </w:rPr>
              <w:t>-</w:t>
            </w:r>
          </w:p>
        </w:tc>
        <w:tc>
          <w:tcPr>
            <w:tcW w:w="1276" w:type="dxa"/>
            <w:vAlign w:val="center"/>
          </w:tcPr>
          <w:p w14:paraId="23417E7F" w14:textId="4FF03E9C" w:rsidR="00E16D4F" w:rsidRPr="00B51D8C" w:rsidRDefault="00E16D4F" w:rsidP="00233A66">
            <w:pPr>
              <w:ind w:right="238"/>
              <w:jc w:val="right"/>
              <w:rPr>
                <w:b/>
                <w:bCs/>
                <w:szCs w:val="24"/>
              </w:rPr>
            </w:pPr>
            <w:r w:rsidRPr="00B51D8C">
              <w:rPr>
                <w:b/>
                <w:bCs/>
                <w:szCs w:val="24"/>
              </w:rPr>
              <w:t>-</w:t>
            </w:r>
          </w:p>
        </w:tc>
        <w:tc>
          <w:tcPr>
            <w:tcW w:w="1837" w:type="dxa"/>
            <w:vAlign w:val="center"/>
          </w:tcPr>
          <w:p w14:paraId="5499D315" w14:textId="3CB390BC" w:rsidR="00E16D4F" w:rsidRPr="00B51D8C" w:rsidRDefault="00E16D4F" w:rsidP="00233A66">
            <w:pPr>
              <w:ind w:right="238"/>
              <w:jc w:val="right"/>
              <w:rPr>
                <w:b/>
                <w:bCs/>
                <w:szCs w:val="24"/>
              </w:rPr>
            </w:pPr>
            <w:r w:rsidRPr="00B51D8C">
              <w:rPr>
                <w:b/>
                <w:bCs/>
                <w:szCs w:val="24"/>
              </w:rPr>
              <w:t>-</w:t>
            </w:r>
          </w:p>
        </w:tc>
        <w:tc>
          <w:tcPr>
            <w:tcW w:w="1565" w:type="dxa"/>
            <w:vAlign w:val="center"/>
          </w:tcPr>
          <w:p w14:paraId="2C43AE7D" w14:textId="37F8C79B" w:rsidR="00E16D4F" w:rsidRPr="00B51D8C" w:rsidRDefault="00E16D4F" w:rsidP="00233A66">
            <w:pPr>
              <w:ind w:right="238"/>
              <w:jc w:val="right"/>
              <w:rPr>
                <w:b/>
                <w:bCs/>
                <w:szCs w:val="24"/>
              </w:rPr>
            </w:pPr>
            <w:r w:rsidRPr="00B51D8C">
              <w:rPr>
                <w:b/>
                <w:bCs/>
                <w:szCs w:val="24"/>
              </w:rPr>
              <w:t xml:space="preserve">2,236 </w:t>
            </w:r>
          </w:p>
        </w:tc>
        <w:tc>
          <w:tcPr>
            <w:tcW w:w="1701" w:type="dxa"/>
            <w:vAlign w:val="center"/>
          </w:tcPr>
          <w:p w14:paraId="3B89AD6E" w14:textId="68062ABE" w:rsidR="00E16D4F" w:rsidRPr="00B51D8C" w:rsidRDefault="00E16D4F" w:rsidP="00233A66">
            <w:pPr>
              <w:ind w:right="238"/>
              <w:jc w:val="right"/>
              <w:rPr>
                <w:b/>
                <w:bCs/>
                <w:szCs w:val="24"/>
              </w:rPr>
            </w:pPr>
            <w:r w:rsidRPr="00B51D8C">
              <w:rPr>
                <w:b/>
                <w:bCs/>
                <w:szCs w:val="24"/>
              </w:rPr>
              <w:t>(8,518)</w:t>
            </w:r>
          </w:p>
        </w:tc>
        <w:tc>
          <w:tcPr>
            <w:tcW w:w="1559" w:type="dxa"/>
            <w:vAlign w:val="center"/>
          </w:tcPr>
          <w:p w14:paraId="2BCF1B65" w14:textId="2E4670A7" w:rsidR="00E16D4F" w:rsidRPr="00B51D8C" w:rsidRDefault="00E16D4F" w:rsidP="00233A66">
            <w:pPr>
              <w:ind w:right="179"/>
              <w:jc w:val="right"/>
              <w:rPr>
                <w:b/>
                <w:bCs/>
                <w:szCs w:val="24"/>
              </w:rPr>
            </w:pPr>
            <w:r w:rsidRPr="00B51D8C">
              <w:rPr>
                <w:b/>
                <w:bCs/>
                <w:szCs w:val="24"/>
              </w:rPr>
              <w:t>(2,272)</w:t>
            </w:r>
          </w:p>
        </w:tc>
        <w:tc>
          <w:tcPr>
            <w:tcW w:w="1984" w:type="dxa"/>
            <w:vAlign w:val="center"/>
          </w:tcPr>
          <w:p w14:paraId="435AC1A4" w14:textId="7B2F5345" w:rsidR="00E16D4F" w:rsidRPr="00B51D8C" w:rsidRDefault="00E16D4F" w:rsidP="00233A66">
            <w:pPr>
              <w:ind w:right="238"/>
              <w:jc w:val="right"/>
              <w:rPr>
                <w:b/>
                <w:bCs/>
                <w:szCs w:val="24"/>
              </w:rPr>
            </w:pPr>
            <w:r w:rsidRPr="00B51D8C">
              <w:rPr>
                <w:b/>
                <w:bCs/>
                <w:szCs w:val="24"/>
              </w:rPr>
              <w:t>(8,553)</w:t>
            </w:r>
          </w:p>
        </w:tc>
      </w:tr>
      <w:tr w:rsidR="00E16D4F" w:rsidRPr="0090002A" w14:paraId="35FEFC96" w14:textId="77777777" w:rsidTr="00233A66">
        <w:tc>
          <w:tcPr>
            <w:tcW w:w="3675" w:type="dxa"/>
          </w:tcPr>
          <w:p w14:paraId="09A54903" w14:textId="7C756B0F" w:rsidR="00E16D4F" w:rsidRPr="00B51D8C" w:rsidRDefault="00E16D4F" w:rsidP="00BC6C4F">
            <w:pPr>
              <w:rPr>
                <w:szCs w:val="24"/>
              </w:rPr>
            </w:pPr>
            <w:r w:rsidRPr="00B51D8C">
              <w:rPr>
                <w:szCs w:val="24"/>
              </w:rPr>
              <w:t>Other income and expenditure</w:t>
            </w:r>
          </w:p>
        </w:tc>
        <w:tc>
          <w:tcPr>
            <w:tcW w:w="1559" w:type="dxa"/>
            <w:vAlign w:val="center"/>
          </w:tcPr>
          <w:p w14:paraId="24EEBF80" w14:textId="5F591744" w:rsidR="00E16D4F" w:rsidRPr="00B51D8C" w:rsidRDefault="00E16D4F" w:rsidP="00233A66">
            <w:pPr>
              <w:ind w:right="238"/>
              <w:jc w:val="right"/>
              <w:rPr>
                <w:szCs w:val="24"/>
              </w:rPr>
            </w:pPr>
            <w:r w:rsidRPr="00B51D8C">
              <w:rPr>
                <w:szCs w:val="24"/>
              </w:rPr>
              <w:t>-</w:t>
            </w:r>
          </w:p>
        </w:tc>
        <w:tc>
          <w:tcPr>
            <w:tcW w:w="1276" w:type="dxa"/>
            <w:vAlign w:val="center"/>
          </w:tcPr>
          <w:p w14:paraId="6C8109A8" w14:textId="73151E4D" w:rsidR="00E16D4F" w:rsidRPr="00B51D8C" w:rsidRDefault="00E16D4F" w:rsidP="00233A66">
            <w:pPr>
              <w:ind w:right="238"/>
              <w:jc w:val="right"/>
              <w:rPr>
                <w:b/>
                <w:szCs w:val="24"/>
              </w:rPr>
            </w:pPr>
            <w:r w:rsidRPr="00B51D8C">
              <w:rPr>
                <w:szCs w:val="24"/>
              </w:rPr>
              <w:t xml:space="preserve">- </w:t>
            </w:r>
          </w:p>
        </w:tc>
        <w:tc>
          <w:tcPr>
            <w:tcW w:w="1837" w:type="dxa"/>
            <w:vAlign w:val="center"/>
          </w:tcPr>
          <w:p w14:paraId="763548F2" w14:textId="6B796893" w:rsidR="00E16D4F" w:rsidRPr="00B51D8C" w:rsidRDefault="00E16D4F" w:rsidP="00233A66">
            <w:pPr>
              <w:ind w:right="238"/>
              <w:jc w:val="right"/>
              <w:rPr>
                <w:b/>
                <w:bCs/>
                <w:szCs w:val="24"/>
              </w:rPr>
            </w:pPr>
            <w:r w:rsidRPr="00B51D8C">
              <w:rPr>
                <w:b/>
                <w:bCs/>
                <w:szCs w:val="24"/>
              </w:rPr>
              <w:t>-</w:t>
            </w:r>
          </w:p>
        </w:tc>
        <w:tc>
          <w:tcPr>
            <w:tcW w:w="1565" w:type="dxa"/>
            <w:vAlign w:val="center"/>
          </w:tcPr>
          <w:p w14:paraId="753C55A3" w14:textId="422E0B3B" w:rsidR="00E16D4F" w:rsidRPr="00B51D8C" w:rsidRDefault="00E16D4F" w:rsidP="00233A66">
            <w:pPr>
              <w:ind w:right="238"/>
              <w:jc w:val="right"/>
              <w:rPr>
                <w:szCs w:val="24"/>
              </w:rPr>
            </w:pPr>
            <w:r w:rsidRPr="00B51D8C">
              <w:rPr>
                <w:szCs w:val="24"/>
              </w:rPr>
              <w:t>-</w:t>
            </w:r>
          </w:p>
        </w:tc>
        <w:tc>
          <w:tcPr>
            <w:tcW w:w="1701" w:type="dxa"/>
            <w:vAlign w:val="center"/>
          </w:tcPr>
          <w:p w14:paraId="26AE3372" w14:textId="536A6044" w:rsidR="00E16D4F" w:rsidRPr="00B51D8C" w:rsidRDefault="00E16D4F" w:rsidP="00233A66">
            <w:pPr>
              <w:ind w:right="238"/>
              <w:jc w:val="right"/>
              <w:rPr>
                <w:szCs w:val="24"/>
              </w:rPr>
            </w:pPr>
            <w:r w:rsidRPr="00B51D8C">
              <w:rPr>
                <w:szCs w:val="24"/>
              </w:rPr>
              <w:t xml:space="preserve">17,648 </w:t>
            </w:r>
          </w:p>
        </w:tc>
        <w:tc>
          <w:tcPr>
            <w:tcW w:w="1559" w:type="dxa"/>
            <w:vAlign w:val="center"/>
          </w:tcPr>
          <w:p w14:paraId="03F85F2E" w14:textId="05226B04" w:rsidR="00E16D4F" w:rsidRPr="00B51D8C" w:rsidRDefault="00E16D4F" w:rsidP="00233A66">
            <w:pPr>
              <w:ind w:right="179"/>
              <w:jc w:val="right"/>
              <w:rPr>
                <w:szCs w:val="24"/>
              </w:rPr>
            </w:pPr>
            <w:r w:rsidRPr="00B51D8C">
              <w:rPr>
                <w:szCs w:val="24"/>
              </w:rPr>
              <w:t xml:space="preserve">1,199 </w:t>
            </w:r>
          </w:p>
        </w:tc>
        <w:tc>
          <w:tcPr>
            <w:tcW w:w="1984" w:type="dxa"/>
            <w:vAlign w:val="center"/>
          </w:tcPr>
          <w:p w14:paraId="6A68151D" w14:textId="305783DB" w:rsidR="00E16D4F" w:rsidRPr="00B51D8C" w:rsidRDefault="00E16D4F" w:rsidP="00233A66">
            <w:pPr>
              <w:ind w:right="238"/>
              <w:jc w:val="right"/>
              <w:rPr>
                <w:b/>
                <w:bCs/>
                <w:szCs w:val="24"/>
              </w:rPr>
            </w:pPr>
            <w:r w:rsidRPr="00B51D8C">
              <w:rPr>
                <w:b/>
                <w:bCs/>
                <w:szCs w:val="24"/>
              </w:rPr>
              <w:t xml:space="preserve">18,847 </w:t>
            </w:r>
          </w:p>
        </w:tc>
      </w:tr>
      <w:tr w:rsidR="00A914AC" w:rsidRPr="00AF3DCD" w14:paraId="39DCCFC1" w14:textId="77777777" w:rsidTr="00233A66">
        <w:tc>
          <w:tcPr>
            <w:tcW w:w="3675" w:type="dxa"/>
          </w:tcPr>
          <w:p w14:paraId="6065D806" w14:textId="724BEB95" w:rsidR="00A914AC" w:rsidRPr="00B51D8C" w:rsidRDefault="00A914AC" w:rsidP="00BC6C4F">
            <w:pPr>
              <w:rPr>
                <w:b/>
                <w:szCs w:val="24"/>
              </w:rPr>
            </w:pPr>
            <w:r w:rsidRPr="00B51D8C">
              <w:rPr>
                <w:b/>
                <w:szCs w:val="24"/>
              </w:rPr>
              <w:t>Total</w:t>
            </w:r>
          </w:p>
        </w:tc>
        <w:tc>
          <w:tcPr>
            <w:tcW w:w="1559" w:type="dxa"/>
            <w:vAlign w:val="center"/>
          </w:tcPr>
          <w:p w14:paraId="3E1D5697" w14:textId="4E9DB8F9" w:rsidR="00A914AC" w:rsidRPr="00B51D8C" w:rsidRDefault="00F2325E" w:rsidP="00233A66">
            <w:pPr>
              <w:ind w:right="238"/>
              <w:jc w:val="right"/>
              <w:rPr>
                <w:b/>
                <w:bCs/>
                <w:szCs w:val="24"/>
              </w:rPr>
            </w:pPr>
            <w:r w:rsidRPr="00B51D8C">
              <w:rPr>
                <w:b/>
                <w:bCs/>
                <w:szCs w:val="24"/>
              </w:rPr>
              <w:t>-</w:t>
            </w:r>
          </w:p>
        </w:tc>
        <w:tc>
          <w:tcPr>
            <w:tcW w:w="1276" w:type="dxa"/>
            <w:vAlign w:val="center"/>
          </w:tcPr>
          <w:p w14:paraId="49A9DDFB" w14:textId="6499487B" w:rsidR="00A914AC" w:rsidRPr="00B51D8C" w:rsidRDefault="00F2325E" w:rsidP="00233A66">
            <w:pPr>
              <w:ind w:right="238"/>
              <w:jc w:val="right"/>
              <w:rPr>
                <w:b/>
                <w:bCs/>
                <w:szCs w:val="24"/>
              </w:rPr>
            </w:pPr>
            <w:r w:rsidRPr="00B51D8C">
              <w:rPr>
                <w:b/>
                <w:bCs/>
                <w:szCs w:val="24"/>
              </w:rPr>
              <w:t>-</w:t>
            </w:r>
          </w:p>
        </w:tc>
        <w:tc>
          <w:tcPr>
            <w:tcW w:w="1837" w:type="dxa"/>
            <w:vAlign w:val="center"/>
          </w:tcPr>
          <w:p w14:paraId="068FB4BA" w14:textId="7D10A3E9" w:rsidR="00A914AC" w:rsidRPr="00B51D8C" w:rsidRDefault="00F2325E" w:rsidP="00233A66">
            <w:pPr>
              <w:ind w:right="238"/>
              <w:jc w:val="right"/>
              <w:rPr>
                <w:b/>
                <w:bCs/>
                <w:szCs w:val="24"/>
              </w:rPr>
            </w:pPr>
            <w:r w:rsidRPr="00B51D8C">
              <w:rPr>
                <w:b/>
                <w:bCs/>
                <w:szCs w:val="24"/>
              </w:rPr>
              <w:t>-</w:t>
            </w:r>
          </w:p>
        </w:tc>
        <w:tc>
          <w:tcPr>
            <w:tcW w:w="1565" w:type="dxa"/>
            <w:vAlign w:val="center"/>
          </w:tcPr>
          <w:p w14:paraId="5214FD30" w14:textId="1E94786D" w:rsidR="00A914AC" w:rsidRPr="00B51D8C" w:rsidRDefault="008B2DFA" w:rsidP="00233A66">
            <w:pPr>
              <w:ind w:right="238"/>
              <w:jc w:val="right"/>
              <w:rPr>
                <w:b/>
                <w:bCs/>
                <w:szCs w:val="24"/>
              </w:rPr>
            </w:pPr>
            <w:r w:rsidRPr="00B51D8C">
              <w:rPr>
                <w:b/>
                <w:bCs/>
                <w:szCs w:val="24"/>
              </w:rPr>
              <w:t>2,236</w:t>
            </w:r>
          </w:p>
        </w:tc>
        <w:tc>
          <w:tcPr>
            <w:tcW w:w="1701" w:type="dxa"/>
            <w:vAlign w:val="center"/>
          </w:tcPr>
          <w:p w14:paraId="0A420E6E" w14:textId="5C5FEFED" w:rsidR="00A914AC" w:rsidRPr="00B51D8C" w:rsidRDefault="008B2DFA" w:rsidP="00233A66">
            <w:pPr>
              <w:ind w:right="238"/>
              <w:jc w:val="right"/>
              <w:rPr>
                <w:b/>
                <w:szCs w:val="24"/>
              </w:rPr>
            </w:pPr>
            <w:r w:rsidRPr="00B51D8C">
              <w:rPr>
                <w:b/>
                <w:szCs w:val="24"/>
              </w:rPr>
              <w:t>9,130</w:t>
            </w:r>
          </w:p>
        </w:tc>
        <w:tc>
          <w:tcPr>
            <w:tcW w:w="1559" w:type="dxa"/>
            <w:vAlign w:val="center"/>
          </w:tcPr>
          <w:p w14:paraId="23304C55" w14:textId="47F31911" w:rsidR="00A914AC" w:rsidRPr="00B51D8C" w:rsidRDefault="008B2DFA" w:rsidP="00233A66">
            <w:pPr>
              <w:ind w:right="179"/>
              <w:jc w:val="right"/>
              <w:rPr>
                <w:b/>
                <w:szCs w:val="24"/>
              </w:rPr>
            </w:pPr>
            <w:r w:rsidRPr="00B51D8C">
              <w:rPr>
                <w:b/>
                <w:szCs w:val="24"/>
              </w:rPr>
              <w:t>(1,073)</w:t>
            </w:r>
          </w:p>
        </w:tc>
        <w:tc>
          <w:tcPr>
            <w:tcW w:w="1984" w:type="dxa"/>
            <w:vAlign w:val="center"/>
          </w:tcPr>
          <w:p w14:paraId="0EED1F77" w14:textId="2023CA18" w:rsidR="00A914AC" w:rsidRPr="00B51D8C" w:rsidRDefault="008B2DFA" w:rsidP="00233A66">
            <w:pPr>
              <w:ind w:right="238"/>
              <w:jc w:val="right"/>
              <w:rPr>
                <w:b/>
                <w:bCs/>
                <w:szCs w:val="24"/>
              </w:rPr>
            </w:pPr>
            <w:r w:rsidRPr="00B51D8C">
              <w:rPr>
                <w:b/>
                <w:bCs/>
                <w:szCs w:val="24"/>
              </w:rPr>
              <w:t>10,294</w:t>
            </w:r>
          </w:p>
        </w:tc>
      </w:tr>
    </w:tbl>
    <w:p w14:paraId="671AE971" w14:textId="77777777" w:rsidR="00831631" w:rsidRPr="00AF3DCD" w:rsidRDefault="00831631" w:rsidP="009469D7">
      <w:pPr>
        <w:ind w:left="720"/>
        <w:jc w:val="both"/>
        <w:rPr>
          <w:sz w:val="18"/>
          <w:szCs w:val="18"/>
        </w:rPr>
      </w:pPr>
    </w:p>
    <w:p w14:paraId="0E7A7516" w14:textId="53F1DAD4" w:rsidR="00296A09" w:rsidRDefault="00296A09" w:rsidP="00FA71D8">
      <w:pPr>
        <w:ind w:left="720"/>
        <w:rPr>
          <w:szCs w:val="24"/>
        </w:rPr>
      </w:pPr>
      <w:r w:rsidRPr="005D04CB">
        <w:rPr>
          <w:szCs w:val="24"/>
        </w:rPr>
        <w:t>Note 1 – Adjustments for capital purposes – this column adds in depreciation, impairments and revaluation gains and losses. It also adjusts for capital disposals with a transfer of the income on the disposal and the amounts written off. MRP is deducted because it is not chargeable under generally accepted accounting practices. Adjustments are also made to recognise capital grant income.</w:t>
      </w:r>
    </w:p>
    <w:p w14:paraId="1F540F9F" w14:textId="77777777" w:rsidR="00F14715" w:rsidRPr="005D04CB" w:rsidRDefault="00F14715" w:rsidP="00FA71D8">
      <w:pPr>
        <w:ind w:left="720"/>
        <w:rPr>
          <w:szCs w:val="24"/>
        </w:rPr>
      </w:pPr>
    </w:p>
    <w:p w14:paraId="0AEA8917" w14:textId="77777777" w:rsidR="00296A09" w:rsidRDefault="00296A09" w:rsidP="00FA71D8">
      <w:pPr>
        <w:ind w:left="720"/>
        <w:rPr>
          <w:szCs w:val="24"/>
        </w:rPr>
      </w:pPr>
      <w:r w:rsidRPr="005D04CB">
        <w:rPr>
          <w:szCs w:val="24"/>
        </w:rPr>
        <w:t>Note 2 – Pensions Adjustments - This shows which lines have been affected by the removal of pension contributions and replaced with IAS19 debits and credits.</w:t>
      </w:r>
    </w:p>
    <w:p w14:paraId="4062FAB3" w14:textId="77777777" w:rsidR="00F14715" w:rsidRPr="005D04CB" w:rsidRDefault="00F14715" w:rsidP="00FA71D8">
      <w:pPr>
        <w:ind w:left="720"/>
        <w:rPr>
          <w:szCs w:val="24"/>
        </w:rPr>
      </w:pPr>
    </w:p>
    <w:p w14:paraId="21EE932F" w14:textId="2E206BBA" w:rsidR="009F51E5" w:rsidRPr="00BE3C0F" w:rsidRDefault="00296A09" w:rsidP="00BE3C0F">
      <w:pPr>
        <w:ind w:left="720"/>
        <w:rPr>
          <w:szCs w:val="24"/>
        </w:rPr>
        <w:sectPr w:rsidR="009F51E5" w:rsidRPr="00BE3C0F" w:rsidSect="0050229D">
          <w:pgSz w:w="16840" w:h="11907" w:orient="landscape" w:code="9"/>
          <w:pgMar w:top="567" w:right="454" w:bottom="567" w:left="397" w:header="720" w:footer="720" w:gutter="0"/>
          <w:cols w:space="720"/>
          <w:docGrid w:linePitch="326"/>
        </w:sectPr>
      </w:pPr>
      <w:r w:rsidRPr="005D04CB">
        <w:rPr>
          <w:szCs w:val="24"/>
        </w:rPr>
        <w:t>Note 3 – Other Differences - This column adjusts for timing differences on the amounts chargeable for Business Rates and Council Tax under Statute and the Code</w:t>
      </w:r>
      <w:r w:rsidR="001C2721" w:rsidRPr="005D04CB">
        <w:rPr>
          <w:szCs w:val="24"/>
        </w:rPr>
        <w:t xml:space="preserve"> and transfers to reserves</w:t>
      </w:r>
      <w:r w:rsidRPr="005D04CB">
        <w:rPr>
          <w:szCs w:val="24"/>
        </w:rPr>
        <w:t>.</w:t>
      </w:r>
    </w:p>
    <w:p w14:paraId="48DC6D68" w14:textId="77777777" w:rsidR="00D90216" w:rsidRPr="005D04CB" w:rsidRDefault="00EC5AC1" w:rsidP="00FA71D8">
      <w:pPr>
        <w:pStyle w:val="Heading2"/>
        <w:jc w:val="left"/>
        <w:rPr>
          <w:sz w:val="24"/>
          <w:szCs w:val="24"/>
        </w:rPr>
      </w:pPr>
      <w:bookmarkStart w:id="26" w:name="_Toc166761535"/>
      <w:r w:rsidRPr="005D04CB">
        <w:rPr>
          <w:sz w:val="24"/>
          <w:szCs w:val="24"/>
        </w:rPr>
        <w:lastRenderedPageBreak/>
        <w:t>2</w:t>
      </w:r>
      <w:r w:rsidR="005722FC" w:rsidRPr="005D04CB">
        <w:rPr>
          <w:sz w:val="24"/>
          <w:szCs w:val="24"/>
        </w:rPr>
        <w:tab/>
      </w:r>
      <w:bookmarkStart w:id="27" w:name="N2"/>
      <w:bookmarkEnd w:id="27"/>
      <w:r w:rsidR="00D90216" w:rsidRPr="005D04CB">
        <w:rPr>
          <w:sz w:val="24"/>
          <w:szCs w:val="24"/>
        </w:rPr>
        <w:t>Fire Authority Costs</w:t>
      </w:r>
      <w:bookmarkEnd w:id="26"/>
    </w:p>
    <w:p w14:paraId="4B5E0AB8" w14:textId="77777777" w:rsidR="00D90216" w:rsidRPr="00AF3DCD" w:rsidRDefault="00D90216" w:rsidP="00FA71D8">
      <w:pPr>
        <w:rPr>
          <w:b/>
          <w:sz w:val="22"/>
        </w:rPr>
      </w:pPr>
    </w:p>
    <w:p w14:paraId="085B49A8" w14:textId="77DE85C2" w:rsidR="00D90216" w:rsidRPr="002D6690" w:rsidRDefault="00D90216" w:rsidP="003C7C40">
      <w:pPr>
        <w:pStyle w:val="BodyTextIndent"/>
        <w:spacing w:after="240"/>
        <w:rPr>
          <w:szCs w:val="24"/>
          <w:lang w:val="en-GB"/>
        </w:rPr>
      </w:pPr>
      <w:r w:rsidRPr="005D04CB">
        <w:rPr>
          <w:szCs w:val="24"/>
          <w:lang w:val="en-GB"/>
        </w:rPr>
        <w:t xml:space="preserve">In </w:t>
      </w:r>
      <w:r w:rsidRPr="005D04CB">
        <w:rPr>
          <w:szCs w:val="24"/>
        </w:rPr>
        <w:t>20</w:t>
      </w:r>
      <w:r w:rsidR="00EC5AC1" w:rsidRPr="005D04CB">
        <w:rPr>
          <w:szCs w:val="24"/>
        </w:rPr>
        <w:t>2</w:t>
      </w:r>
      <w:r w:rsidR="000336DD" w:rsidRPr="005D04CB">
        <w:rPr>
          <w:szCs w:val="24"/>
        </w:rPr>
        <w:t>2</w:t>
      </w:r>
      <w:r w:rsidR="004E1871" w:rsidRPr="005D04CB">
        <w:rPr>
          <w:szCs w:val="24"/>
        </w:rPr>
        <w:t>/2</w:t>
      </w:r>
      <w:r w:rsidR="000336DD" w:rsidRPr="005D04CB">
        <w:rPr>
          <w:szCs w:val="24"/>
        </w:rPr>
        <w:t>3</w:t>
      </w:r>
      <w:r w:rsidRPr="005D04CB">
        <w:rPr>
          <w:szCs w:val="24"/>
        </w:rPr>
        <w:t xml:space="preserve"> </w:t>
      </w:r>
      <w:r w:rsidRPr="005D04CB">
        <w:rPr>
          <w:szCs w:val="24"/>
          <w:lang w:val="en-GB"/>
        </w:rPr>
        <w:t>Fire Authority costs amounted to £0.</w:t>
      </w:r>
      <w:r w:rsidR="00AA7D6F" w:rsidRPr="005D04CB">
        <w:rPr>
          <w:szCs w:val="24"/>
          <w:lang w:val="en-GB"/>
        </w:rPr>
        <w:t>3</w:t>
      </w:r>
      <w:r w:rsidR="00C705EE" w:rsidRPr="005D04CB">
        <w:rPr>
          <w:szCs w:val="24"/>
          <w:lang w:val="en-GB"/>
        </w:rPr>
        <w:t>32</w:t>
      </w:r>
      <w:r w:rsidRPr="005D04CB">
        <w:rPr>
          <w:szCs w:val="24"/>
          <w:lang w:val="en-GB"/>
        </w:rPr>
        <w:t>m</w:t>
      </w:r>
      <w:r w:rsidR="003079EA" w:rsidRPr="005D04CB">
        <w:rPr>
          <w:szCs w:val="24"/>
          <w:lang w:val="en-GB"/>
        </w:rPr>
        <w:t xml:space="preserve"> (20</w:t>
      </w:r>
      <w:r w:rsidR="004E1871" w:rsidRPr="005D04CB">
        <w:rPr>
          <w:szCs w:val="24"/>
          <w:lang w:val="en-GB"/>
        </w:rPr>
        <w:t>2</w:t>
      </w:r>
      <w:r w:rsidR="00633531" w:rsidRPr="005D04CB">
        <w:rPr>
          <w:szCs w:val="24"/>
          <w:lang w:val="en-GB"/>
        </w:rPr>
        <w:t>1</w:t>
      </w:r>
      <w:r w:rsidR="004E1871" w:rsidRPr="005D04CB">
        <w:rPr>
          <w:szCs w:val="24"/>
          <w:lang w:val="en-GB"/>
        </w:rPr>
        <w:t>/2</w:t>
      </w:r>
      <w:r w:rsidR="00633531" w:rsidRPr="005D04CB">
        <w:rPr>
          <w:szCs w:val="24"/>
          <w:lang w:val="en-GB"/>
        </w:rPr>
        <w:t>2</w:t>
      </w:r>
      <w:r w:rsidR="003079EA" w:rsidRPr="005D04CB">
        <w:rPr>
          <w:szCs w:val="24"/>
          <w:lang w:val="en-GB"/>
        </w:rPr>
        <w:t>: £0.</w:t>
      </w:r>
      <w:r w:rsidR="00633531" w:rsidRPr="005D04CB">
        <w:rPr>
          <w:szCs w:val="24"/>
          <w:lang w:val="en-GB"/>
        </w:rPr>
        <w:t>317</w:t>
      </w:r>
      <w:r w:rsidR="003079EA" w:rsidRPr="005D04CB">
        <w:rPr>
          <w:szCs w:val="24"/>
          <w:lang w:val="en-GB"/>
        </w:rPr>
        <w:t>m)</w:t>
      </w:r>
      <w:r w:rsidRPr="005D04CB">
        <w:rPr>
          <w:szCs w:val="24"/>
          <w:lang w:val="en-GB"/>
        </w:rPr>
        <w:t>, analysed as follows:</w:t>
      </w:r>
    </w:p>
    <w:tbl>
      <w:tblPr>
        <w:tblW w:w="84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890"/>
        <w:gridCol w:w="1800"/>
      </w:tblGrid>
      <w:tr w:rsidR="000960DE" w:rsidRPr="00F66811" w14:paraId="172F644E" w14:textId="77777777" w:rsidTr="00611673">
        <w:trPr>
          <w:trHeight w:hRule="exact" w:val="576"/>
          <w:tblHeader/>
        </w:trPr>
        <w:tc>
          <w:tcPr>
            <w:tcW w:w="4770" w:type="dxa"/>
            <w:shd w:val="clear" w:color="auto" w:fill="BD2716"/>
          </w:tcPr>
          <w:p w14:paraId="31256476" w14:textId="06736A1E" w:rsidR="000960DE" w:rsidRPr="007641BA" w:rsidRDefault="000960DE" w:rsidP="000960DE">
            <w:pPr>
              <w:pStyle w:val="Footer"/>
              <w:tabs>
                <w:tab w:val="clear" w:pos="4153"/>
                <w:tab w:val="clear" w:pos="8306"/>
              </w:tabs>
              <w:rPr>
                <w:color w:val="FFFFFF" w:themeColor="background1"/>
                <w:szCs w:val="24"/>
              </w:rPr>
            </w:pPr>
          </w:p>
        </w:tc>
        <w:tc>
          <w:tcPr>
            <w:tcW w:w="1890" w:type="dxa"/>
            <w:shd w:val="clear" w:color="auto" w:fill="BD2716"/>
            <w:vAlign w:val="center"/>
          </w:tcPr>
          <w:p w14:paraId="3B10D3F8" w14:textId="77777777" w:rsidR="000960DE" w:rsidRPr="007641BA" w:rsidRDefault="000960DE" w:rsidP="00611673">
            <w:pPr>
              <w:pStyle w:val="BodyTextIndent"/>
              <w:ind w:left="0"/>
              <w:jc w:val="right"/>
              <w:rPr>
                <w:color w:val="FFFFFF" w:themeColor="background1"/>
                <w:szCs w:val="24"/>
              </w:rPr>
            </w:pPr>
            <w:r w:rsidRPr="007641BA">
              <w:rPr>
                <w:color w:val="FFFFFF" w:themeColor="background1"/>
                <w:szCs w:val="24"/>
              </w:rPr>
              <w:t>202</w:t>
            </w:r>
            <w:r w:rsidR="00633531" w:rsidRPr="007641BA">
              <w:rPr>
                <w:color w:val="FFFFFF" w:themeColor="background1"/>
                <w:szCs w:val="24"/>
              </w:rPr>
              <w:t>2</w:t>
            </w:r>
            <w:r w:rsidRPr="007641BA">
              <w:rPr>
                <w:color w:val="FFFFFF" w:themeColor="background1"/>
                <w:szCs w:val="24"/>
              </w:rPr>
              <w:t>/2</w:t>
            </w:r>
            <w:r w:rsidR="00633531" w:rsidRPr="007641BA">
              <w:rPr>
                <w:color w:val="FFFFFF" w:themeColor="background1"/>
                <w:szCs w:val="24"/>
              </w:rPr>
              <w:t>3</w:t>
            </w:r>
          </w:p>
          <w:p w14:paraId="028BBFB7" w14:textId="08D260BA" w:rsidR="003C7C40" w:rsidRPr="007641BA" w:rsidRDefault="003C7C40" w:rsidP="00611673">
            <w:pPr>
              <w:pStyle w:val="BodyTextIndent"/>
              <w:ind w:left="0"/>
              <w:jc w:val="right"/>
              <w:rPr>
                <w:color w:val="FFFFFF" w:themeColor="background1"/>
                <w:szCs w:val="24"/>
                <w:lang w:val="en-GB"/>
              </w:rPr>
            </w:pPr>
            <w:r w:rsidRPr="007641BA">
              <w:rPr>
                <w:color w:val="FFFFFF" w:themeColor="background1"/>
                <w:szCs w:val="24"/>
              </w:rPr>
              <w:t>£000</w:t>
            </w:r>
          </w:p>
        </w:tc>
        <w:tc>
          <w:tcPr>
            <w:tcW w:w="1800" w:type="dxa"/>
            <w:shd w:val="clear" w:color="auto" w:fill="BD2716"/>
            <w:vAlign w:val="center"/>
          </w:tcPr>
          <w:p w14:paraId="5D9CDA2B" w14:textId="77777777" w:rsidR="000960DE" w:rsidRPr="007641BA" w:rsidRDefault="000960DE" w:rsidP="00611673">
            <w:pPr>
              <w:pStyle w:val="BodyTextIndent"/>
              <w:ind w:left="0"/>
              <w:jc w:val="right"/>
              <w:rPr>
                <w:color w:val="FFFFFF" w:themeColor="background1"/>
                <w:szCs w:val="24"/>
                <w:lang w:val="en-GB"/>
              </w:rPr>
            </w:pPr>
            <w:r w:rsidRPr="007641BA">
              <w:rPr>
                <w:color w:val="FFFFFF" w:themeColor="background1"/>
                <w:szCs w:val="24"/>
                <w:lang w:val="en-GB"/>
              </w:rPr>
              <w:t>202</w:t>
            </w:r>
            <w:r w:rsidR="00633531" w:rsidRPr="007641BA">
              <w:rPr>
                <w:color w:val="FFFFFF" w:themeColor="background1"/>
                <w:szCs w:val="24"/>
                <w:lang w:val="en-GB"/>
              </w:rPr>
              <w:t>1</w:t>
            </w:r>
            <w:r w:rsidRPr="007641BA">
              <w:rPr>
                <w:color w:val="FFFFFF" w:themeColor="background1"/>
                <w:szCs w:val="24"/>
                <w:lang w:val="en-GB"/>
              </w:rPr>
              <w:t>/2</w:t>
            </w:r>
            <w:r w:rsidR="00633531" w:rsidRPr="007641BA">
              <w:rPr>
                <w:color w:val="FFFFFF" w:themeColor="background1"/>
                <w:szCs w:val="24"/>
                <w:lang w:val="en-GB"/>
              </w:rPr>
              <w:t>2</w:t>
            </w:r>
          </w:p>
          <w:p w14:paraId="43847763" w14:textId="382A3B41" w:rsidR="003C7C40" w:rsidRPr="007641BA" w:rsidRDefault="003C7C40" w:rsidP="00611673">
            <w:pPr>
              <w:pStyle w:val="BodyTextIndent"/>
              <w:ind w:left="0"/>
              <w:jc w:val="right"/>
              <w:rPr>
                <w:color w:val="FFFFFF" w:themeColor="background1"/>
                <w:szCs w:val="24"/>
                <w:lang w:val="en-GB"/>
              </w:rPr>
            </w:pPr>
            <w:r w:rsidRPr="007641BA">
              <w:rPr>
                <w:color w:val="FFFFFF" w:themeColor="background1"/>
                <w:szCs w:val="24"/>
                <w:lang w:val="en-GB"/>
              </w:rPr>
              <w:t>£000</w:t>
            </w:r>
          </w:p>
        </w:tc>
      </w:tr>
      <w:tr w:rsidR="00633531" w:rsidRPr="00F66811" w14:paraId="5A257217" w14:textId="77777777" w:rsidTr="00233A66">
        <w:trPr>
          <w:trHeight w:hRule="exact" w:val="300"/>
        </w:trPr>
        <w:tc>
          <w:tcPr>
            <w:tcW w:w="4770" w:type="dxa"/>
          </w:tcPr>
          <w:p w14:paraId="0A35004C" w14:textId="77777777" w:rsidR="00633531" w:rsidRPr="00FA71D8" w:rsidRDefault="00633531" w:rsidP="00633531">
            <w:pPr>
              <w:pStyle w:val="Footer"/>
              <w:tabs>
                <w:tab w:val="clear" w:pos="4153"/>
                <w:tab w:val="clear" w:pos="8306"/>
                <w:tab w:val="left" w:pos="702"/>
              </w:tabs>
              <w:rPr>
                <w:szCs w:val="24"/>
              </w:rPr>
            </w:pPr>
            <w:r w:rsidRPr="00FA71D8">
              <w:rPr>
                <w:szCs w:val="24"/>
              </w:rPr>
              <w:t>Members allowances/expenses</w:t>
            </w:r>
          </w:p>
        </w:tc>
        <w:tc>
          <w:tcPr>
            <w:tcW w:w="1890" w:type="dxa"/>
            <w:vAlign w:val="center"/>
          </w:tcPr>
          <w:p w14:paraId="2E5922C6" w14:textId="44779CD3" w:rsidR="00633531" w:rsidRPr="00FA71D8" w:rsidRDefault="00633531" w:rsidP="00233A66">
            <w:pPr>
              <w:pStyle w:val="Footer"/>
              <w:tabs>
                <w:tab w:val="clear" w:pos="4153"/>
                <w:tab w:val="clear" w:pos="8306"/>
                <w:tab w:val="decimal" w:pos="1080"/>
              </w:tabs>
              <w:jc w:val="right"/>
              <w:rPr>
                <w:szCs w:val="24"/>
              </w:rPr>
            </w:pPr>
            <w:r w:rsidRPr="00FA71D8">
              <w:rPr>
                <w:szCs w:val="24"/>
              </w:rPr>
              <w:t>1</w:t>
            </w:r>
            <w:r w:rsidR="00C705EE" w:rsidRPr="00FA71D8">
              <w:rPr>
                <w:szCs w:val="24"/>
              </w:rPr>
              <w:t>40</w:t>
            </w:r>
          </w:p>
        </w:tc>
        <w:tc>
          <w:tcPr>
            <w:tcW w:w="1800" w:type="dxa"/>
            <w:vAlign w:val="center"/>
          </w:tcPr>
          <w:p w14:paraId="0C908DB8" w14:textId="47F9FCB9" w:rsidR="00633531" w:rsidRPr="00FA71D8" w:rsidRDefault="00633531" w:rsidP="00233A66">
            <w:pPr>
              <w:pStyle w:val="Footer"/>
              <w:tabs>
                <w:tab w:val="clear" w:pos="4153"/>
                <w:tab w:val="clear" w:pos="8306"/>
                <w:tab w:val="decimal" w:pos="1080"/>
              </w:tabs>
              <w:jc w:val="right"/>
              <w:rPr>
                <w:szCs w:val="24"/>
              </w:rPr>
            </w:pPr>
            <w:r w:rsidRPr="00FA71D8">
              <w:rPr>
                <w:szCs w:val="24"/>
              </w:rPr>
              <w:t>136</w:t>
            </w:r>
          </w:p>
        </w:tc>
      </w:tr>
      <w:tr w:rsidR="00633531" w:rsidRPr="00F66811" w14:paraId="1C5B417E" w14:textId="77777777" w:rsidTr="00233A66">
        <w:trPr>
          <w:trHeight w:hRule="exact" w:val="300"/>
        </w:trPr>
        <w:tc>
          <w:tcPr>
            <w:tcW w:w="4770" w:type="dxa"/>
          </w:tcPr>
          <w:p w14:paraId="6996BEA9" w14:textId="77777777" w:rsidR="00633531" w:rsidRPr="00FA71D8" w:rsidRDefault="00633531" w:rsidP="00633531">
            <w:pPr>
              <w:tabs>
                <w:tab w:val="left" w:pos="702"/>
              </w:tabs>
              <w:rPr>
                <w:szCs w:val="24"/>
              </w:rPr>
            </w:pPr>
            <w:r w:rsidRPr="00FA71D8">
              <w:rPr>
                <w:szCs w:val="24"/>
              </w:rPr>
              <w:t>Statutory officers</w:t>
            </w:r>
          </w:p>
        </w:tc>
        <w:tc>
          <w:tcPr>
            <w:tcW w:w="1890" w:type="dxa"/>
            <w:vAlign w:val="center"/>
          </w:tcPr>
          <w:p w14:paraId="571D3F39" w14:textId="7655C350" w:rsidR="00633531" w:rsidRPr="00FA71D8" w:rsidRDefault="00633531" w:rsidP="00233A66">
            <w:pPr>
              <w:tabs>
                <w:tab w:val="decimal" w:pos="1080"/>
              </w:tabs>
              <w:jc w:val="right"/>
              <w:rPr>
                <w:szCs w:val="24"/>
              </w:rPr>
            </w:pPr>
            <w:r w:rsidRPr="00FA71D8">
              <w:rPr>
                <w:szCs w:val="24"/>
              </w:rPr>
              <w:t>1</w:t>
            </w:r>
            <w:r w:rsidR="00C705EE" w:rsidRPr="00FA71D8">
              <w:rPr>
                <w:szCs w:val="24"/>
              </w:rPr>
              <w:t>23</w:t>
            </w:r>
          </w:p>
        </w:tc>
        <w:tc>
          <w:tcPr>
            <w:tcW w:w="1800" w:type="dxa"/>
            <w:vAlign w:val="center"/>
          </w:tcPr>
          <w:p w14:paraId="3C79B5AB" w14:textId="1492054D" w:rsidR="00633531" w:rsidRPr="00FA71D8" w:rsidRDefault="00633531" w:rsidP="00233A66">
            <w:pPr>
              <w:tabs>
                <w:tab w:val="decimal" w:pos="1080"/>
              </w:tabs>
              <w:jc w:val="right"/>
              <w:rPr>
                <w:szCs w:val="24"/>
              </w:rPr>
            </w:pPr>
            <w:r w:rsidRPr="00FA71D8">
              <w:rPr>
                <w:szCs w:val="24"/>
              </w:rPr>
              <w:t>111</w:t>
            </w:r>
          </w:p>
        </w:tc>
      </w:tr>
      <w:tr w:rsidR="00633531" w:rsidRPr="00F66811" w14:paraId="675D2655" w14:textId="77777777" w:rsidTr="00233A66">
        <w:trPr>
          <w:trHeight w:hRule="exact" w:val="300"/>
        </w:trPr>
        <w:tc>
          <w:tcPr>
            <w:tcW w:w="4770" w:type="dxa"/>
          </w:tcPr>
          <w:p w14:paraId="143762EB" w14:textId="77777777" w:rsidR="00633531" w:rsidRPr="00FA71D8" w:rsidRDefault="00633531" w:rsidP="00633531">
            <w:pPr>
              <w:tabs>
                <w:tab w:val="left" w:pos="702"/>
              </w:tabs>
              <w:rPr>
                <w:szCs w:val="24"/>
              </w:rPr>
            </w:pPr>
            <w:r w:rsidRPr="00FA71D8">
              <w:rPr>
                <w:szCs w:val="24"/>
              </w:rPr>
              <w:t>Others</w:t>
            </w:r>
          </w:p>
        </w:tc>
        <w:tc>
          <w:tcPr>
            <w:tcW w:w="1890" w:type="dxa"/>
            <w:vAlign w:val="center"/>
          </w:tcPr>
          <w:p w14:paraId="2BDA8D04" w14:textId="75EF3F05" w:rsidR="00633531" w:rsidRPr="00FA71D8" w:rsidRDefault="00C705EE" w:rsidP="00233A66">
            <w:pPr>
              <w:tabs>
                <w:tab w:val="decimal" w:pos="1080"/>
              </w:tabs>
              <w:jc w:val="right"/>
              <w:rPr>
                <w:szCs w:val="24"/>
              </w:rPr>
            </w:pPr>
            <w:r w:rsidRPr="00FA71D8">
              <w:rPr>
                <w:szCs w:val="24"/>
              </w:rPr>
              <w:t>69</w:t>
            </w:r>
          </w:p>
        </w:tc>
        <w:tc>
          <w:tcPr>
            <w:tcW w:w="1800" w:type="dxa"/>
            <w:vAlign w:val="center"/>
          </w:tcPr>
          <w:p w14:paraId="0D8015FE" w14:textId="3E61E025" w:rsidR="00633531" w:rsidRPr="00FA71D8" w:rsidRDefault="00633531" w:rsidP="00233A66">
            <w:pPr>
              <w:tabs>
                <w:tab w:val="decimal" w:pos="1080"/>
              </w:tabs>
              <w:jc w:val="right"/>
              <w:rPr>
                <w:szCs w:val="24"/>
              </w:rPr>
            </w:pPr>
            <w:r w:rsidRPr="00FA71D8">
              <w:rPr>
                <w:szCs w:val="24"/>
              </w:rPr>
              <w:t>70</w:t>
            </w:r>
          </w:p>
        </w:tc>
      </w:tr>
      <w:tr w:rsidR="00633531" w:rsidRPr="00AF3DCD" w14:paraId="5F4B826B" w14:textId="77777777" w:rsidTr="00233A66">
        <w:trPr>
          <w:trHeight w:hRule="exact" w:val="300"/>
        </w:trPr>
        <w:tc>
          <w:tcPr>
            <w:tcW w:w="4770" w:type="dxa"/>
          </w:tcPr>
          <w:p w14:paraId="7B948216" w14:textId="200E9ED1" w:rsidR="00633531" w:rsidRPr="00FA71D8" w:rsidRDefault="00FA71D8" w:rsidP="00633531">
            <w:pPr>
              <w:tabs>
                <w:tab w:val="left" w:pos="702"/>
              </w:tabs>
              <w:rPr>
                <w:szCs w:val="24"/>
              </w:rPr>
            </w:pPr>
            <w:r w:rsidRPr="00FA71D8">
              <w:rPr>
                <w:szCs w:val="24"/>
              </w:rPr>
              <w:t>Total</w:t>
            </w:r>
          </w:p>
        </w:tc>
        <w:tc>
          <w:tcPr>
            <w:tcW w:w="1890" w:type="dxa"/>
            <w:vAlign w:val="center"/>
          </w:tcPr>
          <w:p w14:paraId="0B4F85D3" w14:textId="4C1EC8EF" w:rsidR="00633531" w:rsidRPr="00FA71D8" w:rsidRDefault="00C705EE" w:rsidP="00233A66">
            <w:pPr>
              <w:tabs>
                <w:tab w:val="decimal" w:pos="1080"/>
              </w:tabs>
              <w:jc w:val="right"/>
              <w:rPr>
                <w:szCs w:val="24"/>
              </w:rPr>
            </w:pPr>
            <w:r w:rsidRPr="00FA71D8">
              <w:rPr>
                <w:szCs w:val="24"/>
              </w:rPr>
              <w:t>332</w:t>
            </w:r>
          </w:p>
        </w:tc>
        <w:tc>
          <w:tcPr>
            <w:tcW w:w="1800" w:type="dxa"/>
            <w:vAlign w:val="center"/>
          </w:tcPr>
          <w:p w14:paraId="5BDCD18E" w14:textId="070BE335" w:rsidR="00633531" w:rsidRPr="00FA71D8" w:rsidRDefault="00633531" w:rsidP="00233A66">
            <w:pPr>
              <w:tabs>
                <w:tab w:val="decimal" w:pos="1080"/>
              </w:tabs>
              <w:jc w:val="right"/>
              <w:rPr>
                <w:szCs w:val="24"/>
              </w:rPr>
            </w:pPr>
            <w:r w:rsidRPr="00FA71D8">
              <w:rPr>
                <w:szCs w:val="24"/>
              </w:rPr>
              <w:t>317</w:t>
            </w:r>
          </w:p>
        </w:tc>
      </w:tr>
    </w:tbl>
    <w:p w14:paraId="6ED72D57" w14:textId="77777777" w:rsidR="00DC4253" w:rsidRPr="00AF3DCD" w:rsidRDefault="00D90216" w:rsidP="00CA1CFF">
      <w:pPr>
        <w:pStyle w:val="Footer"/>
        <w:tabs>
          <w:tab w:val="clear" w:pos="4153"/>
          <w:tab w:val="clear" w:pos="8306"/>
        </w:tabs>
        <w:jc w:val="both"/>
        <w:rPr>
          <w:sz w:val="22"/>
        </w:rPr>
      </w:pPr>
      <w:r w:rsidRPr="00AF3DCD">
        <w:rPr>
          <w:sz w:val="22"/>
        </w:rPr>
        <w:t xml:space="preserve"> </w:t>
      </w:r>
    </w:p>
    <w:p w14:paraId="4FF36714" w14:textId="77777777" w:rsidR="00D2322A" w:rsidRPr="00AF3DCD" w:rsidRDefault="00D2322A" w:rsidP="00CA1CFF">
      <w:pPr>
        <w:pStyle w:val="Footer"/>
        <w:tabs>
          <w:tab w:val="clear" w:pos="4153"/>
          <w:tab w:val="clear" w:pos="8306"/>
        </w:tabs>
        <w:jc w:val="both"/>
        <w:rPr>
          <w:b/>
          <w:sz w:val="22"/>
        </w:rPr>
      </w:pPr>
    </w:p>
    <w:p w14:paraId="47C64980" w14:textId="3584B248" w:rsidR="00D90216" w:rsidRPr="005D04CB" w:rsidRDefault="00EC5AC1" w:rsidP="00FA71D8">
      <w:pPr>
        <w:pStyle w:val="Heading2"/>
        <w:jc w:val="left"/>
        <w:rPr>
          <w:sz w:val="24"/>
          <w:szCs w:val="24"/>
        </w:rPr>
      </w:pPr>
      <w:bookmarkStart w:id="28" w:name="_Toc166761536"/>
      <w:r w:rsidRPr="005D04CB">
        <w:rPr>
          <w:sz w:val="24"/>
          <w:szCs w:val="24"/>
        </w:rPr>
        <w:t>3</w:t>
      </w:r>
      <w:r w:rsidR="00D90216" w:rsidRPr="005D04CB">
        <w:rPr>
          <w:sz w:val="24"/>
          <w:szCs w:val="24"/>
        </w:rPr>
        <w:tab/>
        <w:t>Employees Emoluments</w:t>
      </w:r>
      <w:bookmarkEnd w:id="28"/>
    </w:p>
    <w:p w14:paraId="1CFE882C" w14:textId="77777777" w:rsidR="00D90216" w:rsidRPr="00AF3DCD" w:rsidRDefault="00D90216" w:rsidP="00FA71D8">
      <w:pPr>
        <w:pStyle w:val="Footer"/>
        <w:tabs>
          <w:tab w:val="clear" w:pos="4153"/>
          <w:tab w:val="clear" w:pos="8306"/>
        </w:tabs>
        <w:rPr>
          <w:sz w:val="22"/>
        </w:rPr>
      </w:pPr>
    </w:p>
    <w:p w14:paraId="75F936B9" w14:textId="45002D07" w:rsidR="00D90216" w:rsidRPr="002D6690" w:rsidRDefault="00D90216" w:rsidP="003C7C40">
      <w:pPr>
        <w:pStyle w:val="BodyTextIndent2"/>
        <w:spacing w:after="240"/>
        <w:ind w:firstLine="0"/>
        <w:rPr>
          <w:szCs w:val="24"/>
        </w:rPr>
      </w:pPr>
      <w:r w:rsidRPr="005D04CB">
        <w:rPr>
          <w:szCs w:val="24"/>
        </w:rPr>
        <w:t xml:space="preserve">Details of the Authority’s employees, out of an estimated </w:t>
      </w:r>
      <w:r w:rsidR="002E15F7" w:rsidRPr="005D04CB">
        <w:rPr>
          <w:szCs w:val="24"/>
        </w:rPr>
        <w:t>1</w:t>
      </w:r>
      <w:r w:rsidR="00D45F10">
        <w:rPr>
          <w:szCs w:val="24"/>
        </w:rPr>
        <w:t>,</w:t>
      </w:r>
      <w:r w:rsidR="002E15F7" w:rsidRPr="005D04CB">
        <w:rPr>
          <w:szCs w:val="24"/>
        </w:rPr>
        <w:t>135</w:t>
      </w:r>
      <w:r w:rsidR="002741A8" w:rsidRPr="005D04CB">
        <w:rPr>
          <w:szCs w:val="24"/>
        </w:rPr>
        <w:t xml:space="preserve"> </w:t>
      </w:r>
      <w:r w:rsidR="00AA7D6F" w:rsidRPr="005D04CB">
        <w:rPr>
          <w:szCs w:val="24"/>
        </w:rPr>
        <w:t>employees</w:t>
      </w:r>
      <w:r w:rsidRPr="005D04CB">
        <w:rPr>
          <w:szCs w:val="24"/>
        </w:rPr>
        <w:t>, who have received pay and benefits of more than £50,000 are: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1597"/>
        <w:gridCol w:w="1597"/>
      </w:tblGrid>
      <w:tr w:rsidR="00174738" w:rsidRPr="00AF3DCD" w14:paraId="3721B587" w14:textId="77777777" w:rsidTr="00611673">
        <w:trPr>
          <w:trHeight w:hRule="exact" w:val="578"/>
          <w:tblHeader/>
        </w:trPr>
        <w:tc>
          <w:tcPr>
            <w:tcW w:w="5220" w:type="dxa"/>
            <w:shd w:val="clear" w:color="auto" w:fill="BD2716"/>
          </w:tcPr>
          <w:p w14:paraId="194B9CD1" w14:textId="14BAAA30" w:rsidR="00174738" w:rsidRPr="007641BA" w:rsidRDefault="00174738" w:rsidP="00174738">
            <w:pPr>
              <w:pStyle w:val="Footer"/>
              <w:tabs>
                <w:tab w:val="clear" w:pos="4153"/>
                <w:tab w:val="clear" w:pos="8306"/>
                <w:tab w:val="left" w:pos="720"/>
                <w:tab w:val="right" w:pos="7920"/>
              </w:tabs>
              <w:rPr>
                <w:color w:val="FFFFFF" w:themeColor="background1"/>
                <w:szCs w:val="24"/>
              </w:rPr>
            </w:pPr>
          </w:p>
        </w:tc>
        <w:tc>
          <w:tcPr>
            <w:tcW w:w="1597" w:type="dxa"/>
            <w:shd w:val="clear" w:color="auto" w:fill="BD2716"/>
            <w:vAlign w:val="center"/>
          </w:tcPr>
          <w:p w14:paraId="4BC1F8E0" w14:textId="77777777" w:rsidR="003C7C40" w:rsidRPr="007641BA" w:rsidRDefault="003C7C40" w:rsidP="00611673">
            <w:pPr>
              <w:jc w:val="right"/>
              <w:rPr>
                <w:color w:val="FFFFFF" w:themeColor="background1"/>
                <w:szCs w:val="24"/>
              </w:rPr>
            </w:pPr>
            <w:r w:rsidRPr="007641BA">
              <w:rPr>
                <w:color w:val="FFFFFF" w:themeColor="background1"/>
                <w:szCs w:val="24"/>
              </w:rPr>
              <w:t>2022/23</w:t>
            </w:r>
          </w:p>
          <w:p w14:paraId="04CBB18E" w14:textId="6D074A80" w:rsidR="00174738" w:rsidRPr="007641BA" w:rsidRDefault="00174738" w:rsidP="00611673">
            <w:pPr>
              <w:jc w:val="right"/>
              <w:rPr>
                <w:color w:val="FFFFFF" w:themeColor="background1"/>
                <w:szCs w:val="24"/>
              </w:rPr>
            </w:pPr>
            <w:r w:rsidRPr="007641BA">
              <w:rPr>
                <w:color w:val="FFFFFF" w:themeColor="background1"/>
                <w:szCs w:val="24"/>
              </w:rPr>
              <w:t>No.</w:t>
            </w:r>
          </w:p>
        </w:tc>
        <w:tc>
          <w:tcPr>
            <w:tcW w:w="1597" w:type="dxa"/>
            <w:shd w:val="clear" w:color="auto" w:fill="BD2716"/>
            <w:vAlign w:val="center"/>
          </w:tcPr>
          <w:p w14:paraId="531DF1EC" w14:textId="77777777" w:rsidR="003C7C40" w:rsidRPr="007641BA" w:rsidRDefault="003C7C40" w:rsidP="00611673">
            <w:pPr>
              <w:jc w:val="right"/>
              <w:rPr>
                <w:color w:val="FFFFFF" w:themeColor="background1"/>
                <w:szCs w:val="24"/>
              </w:rPr>
            </w:pPr>
            <w:r w:rsidRPr="007641BA">
              <w:rPr>
                <w:color w:val="FFFFFF" w:themeColor="background1"/>
                <w:szCs w:val="24"/>
              </w:rPr>
              <w:t>2021/22</w:t>
            </w:r>
          </w:p>
          <w:p w14:paraId="0957C1D2" w14:textId="7A05FF3E" w:rsidR="00174738" w:rsidRPr="007641BA" w:rsidRDefault="00174738" w:rsidP="00611673">
            <w:pPr>
              <w:jc w:val="right"/>
              <w:rPr>
                <w:color w:val="FFFFFF" w:themeColor="background1"/>
                <w:szCs w:val="24"/>
              </w:rPr>
            </w:pPr>
            <w:r w:rsidRPr="007641BA">
              <w:rPr>
                <w:color w:val="FFFFFF" w:themeColor="background1"/>
                <w:szCs w:val="24"/>
              </w:rPr>
              <w:t>No.</w:t>
            </w:r>
          </w:p>
        </w:tc>
      </w:tr>
      <w:tr w:rsidR="00633531" w:rsidRPr="00AF3DCD" w14:paraId="58878B9D" w14:textId="77777777" w:rsidTr="00233A66">
        <w:trPr>
          <w:trHeight w:hRule="exact" w:val="300"/>
        </w:trPr>
        <w:tc>
          <w:tcPr>
            <w:tcW w:w="5220" w:type="dxa"/>
          </w:tcPr>
          <w:p w14:paraId="233DCB05" w14:textId="1AABAA39" w:rsidR="00633531" w:rsidRPr="00FA71D8" w:rsidRDefault="00633531" w:rsidP="00633531">
            <w:pPr>
              <w:pStyle w:val="Footer"/>
              <w:tabs>
                <w:tab w:val="clear" w:pos="4153"/>
                <w:tab w:val="clear" w:pos="8306"/>
                <w:tab w:val="left" w:pos="720"/>
                <w:tab w:val="left" w:pos="1422"/>
                <w:tab w:val="right" w:pos="7920"/>
              </w:tabs>
              <w:rPr>
                <w:szCs w:val="24"/>
              </w:rPr>
            </w:pPr>
            <w:r w:rsidRPr="00FA71D8">
              <w:rPr>
                <w:szCs w:val="24"/>
              </w:rPr>
              <w:t>£75,000 - £79,999</w:t>
            </w:r>
          </w:p>
        </w:tc>
        <w:tc>
          <w:tcPr>
            <w:tcW w:w="1597" w:type="dxa"/>
            <w:vAlign w:val="center"/>
          </w:tcPr>
          <w:p w14:paraId="14A24387" w14:textId="66A15599" w:rsidR="00633531" w:rsidRPr="00FA71D8" w:rsidRDefault="0050737D" w:rsidP="00233A66">
            <w:pPr>
              <w:pStyle w:val="Footer"/>
              <w:tabs>
                <w:tab w:val="clear" w:pos="4153"/>
                <w:tab w:val="clear" w:pos="8306"/>
                <w:tab w:val="decimal" w:pos="810"/>
              </w:tabs>
              <w:jc w:val="right"/>
              <w:rPr>
                <w:szCs w:val="24"/>
              </w:rPr>
            </w:pPr>
            <w:r w:rsidRPr="00FA71D8">
              <w:rPr>
                <w:szCs w:val="24"/>
              </w:rPr>
              <w:t>2</w:t>
            </w:r>
          </w:p>
        </w:tc>
        <w:tc>
          <w:tcPr>
            <w:tcW w:w="1597" w:type="dxa"/>
            <w:vAlign w:val="center"/>
          </w:tcPr>
          <w:p w14:paraId="2A0C1592" w14:textId="600386AB" w:rsidR="00633531" w:rsidRPr="00FA71D8" w:rsidRDefault="00633531" w:rsidP="00233A66">
            <w:pPr>
              <w:pStyle w:val="Footer"/>
              <w:tabs>
                <w:tab w:val="clear" w:pos="4153"/>
                <w:tab w:val="clear" w:pos="8306"/>
                <w:tab w:val="decimal" w:pos="810"/>
              </w:tabs>
              <w:jc w:val="right"/>
              <w:rPr>
                <w:szCs w:val="24"/>
              </w:rPr>
            </w:pPr>
            <w:r w:rsidRPr="00FA71D8">
              <w:rPr>
                <w:szCs w:val="24"/>
              </w:rPr>
              <w:t>1</w:t>
            </w:r>
          </w:p>
        </w:tc>
      </w:tr>
      <w:tr w:rsidR="00633531" w:rsidRPr="00AF3DCD" w14:paraId="72228518" w14:textId="77777777" w:rsidTr="00233A66">
        <w:trPr>
          <w:trHeight w:hRule="exact" w:val="300"/>
        </w:trPr>
        <w:tc>
          <w:tcPr>
            <w:tcW w:w="5220" w:type="dxa"/>
          </w:tcPr>
          <w:p w14:paraId="6303DDB3" w14:textId="77777777" w:rsidR="00633531" w:rsidRPr="00FA71D8" w:rsidRDefault="00633531" w:rsidP="00633531">
            <w:pPr>
              <w:pStyle w:val="Footer"/>
              <w:tabs>
                <w:tab w:val="clear" w:pos="4153"/>
                <w:tab w:val="clear" w:pos="8306"/>
                <w:tab w:val="left" w:pos="720"/>
                <w:tab w:val="left" w:pos="1422"/>
                <w:tab w:val="right" w:pos="7920"/>
              </w:tabs>
              <w:rPr>
                <w:szCs w:val="24"/>
              </w:rPr>
            </w:pPr>
            <w:r w:rsidRPr="00FA71D8">
              <w:rPr>
                <w:szCs w:val="24"/>
              </w:rPr>
              <w:t>£70,000 - £74,999</w:t>
            </w:r>
          </w:p>
        </w:tc>
        <w:tc>
          <w:tcPr>
            <w:tcW w:w="1597" w:type="dxa"/>
            <w:vAlign w:val="center"/>
          </w:tcPr>
          <w:p w14:paraId="265D09CD" w14:textId="169AD07D" w:rsidR="00633531" w:rsidRPr="00FA71D8" w:rsidRDefault="00F92DFE" w:rsidP="00233A66">
            <w:pPr>
              <w:pStyle w:val="Footer"/>
              <w:tabs>
                <w:tab w:val="clear" w:pos="4153"/>
                <w:tab w:val="clear" w:pos="8306"/>
                <w:tab w:val="decimal" w:pos="810"/>
              </w:tabs>
              <w:jc w:val="right"/>
              <w:rPr>
                <w:szCs w:val="24"/>
              </w:rPr>
            </w:pPr>
            <w:r>
              <w:rPr>
                <w:szCs w:val="24"/>
              </w:rPr>
              <w:t>1</w:t>
            </w:r>
          </w:p>
        </w:tc>
        <w:tc>
          <w:tcPr>
            <w:tcW w:w="1597" w:type="dxa"/>
            <w:vAlign w:val="center"/>
          </w:tcPr>
          <w:p w14:paraId="36744EC9" w14:textId="26F60178" w:rsidR="00633531" w:rsidRPr="00FA71D8" w:rsidRDefault="00633531" w:rsidP="00233A66">
            <w:pPr>
              <w:pStyle w:val="Footer"/>
              <w:tabs>
                <w:tab w:val="clear" w:pos="4153"/>
                <w:tab w:val="clear" w:pos="8306"/>
                <w:tab w:val="decimal" w:pos="810"/>
              </w:tabs>
              <w:jc w:val="right"/>
              <w:rPr>
                <w:szCs w:val="24"/>
              </w:rPr>
            </w:pPr>
            <w:r w:rsidRPr="00FA71D8">
              <w:rPr>
                <w:szCs w:val="24"/>
              </w:rPr>
              <w:t>3</w:t>
            </w:r>
          </w:p>
        </w:tc>
      </w:tr>
      <w:tr w:rsidR="00633531" w:rsidRPr="00AF3DCD" w14:paraId="571DE7CB" w14:textId="77777777" w:rsidTr="00233A66">
        <w:trPr>
          <w:trHeight w:hRule="exact" w:val="300"/>
        </w:trPr>
        <w:tc>
          <w:tcPr>
            <w:tcW w:w="5220" w:type="dxa"/>
          </w:tcPr>
          <w:p w14:paraId="3158CEE0" w14:textId="77777777" w:rsidR="00633531" w:rsidRPr="00FA71D8" w:rsidRDefault="00633531" w:rsidP="00633531">
            <w:pPr>
              <w:pStyle w:val="Footer"/>
              <w:tabs>
                <w:tab w:val="clear" w:pos="4153"/>
                <w:tab w:val="clear" w:pos="8306"/>
                <w:tab w:val="left" w:pos="720"/>
                <w:tab w:val="left" w:pos="1422"/>
                <w:tab w:val="right" w:pos="7920"/>
              </w:tabs>
              <w:rPr>
                <w:szCs w:val="24"/>
              </w:rPr>
            </w:pPr>
            <w:r w:rsidRPr="00FA71D8">
              <w:rPr>
                <w:szCs w:val="24"/>
              </w:rPr>
              <w:t>£65,000 - £69,999</w:t>
            </w:r>
          </w:p>
        </w:tc>
        <w:tc>
          <w:tcPr>
            <w:tcW w:w="1597" w:type="dxa"/>
            <w:vAlign w:val="center"/>
          </w:tcPr>
          <w:p w14:paraId="3705233E" w14:textId="38E72729" w:rsidR="00633531" w:rsidRPr="00FA71D8" w:rsidRDefault="0050737D" w:rsidP="00233A66">
            <w:pPr>
              <w:pStyle w:val="Footer"/>
              <w:tabs>
                <w:tab w:val="clear" w:pos="4153"/>
                <w:tab w:val="clear" w:pos="8306"/>
                <w:tab w:val="decimal" w:pos="810"/>
              </w:tabs>
              <w:jc w:val="right"/>
              <w:rPr>
                <w:szCs w:val="24"/>
              </w:rPr>
            </w:pPr>
            <w:r w:rsidRPr="00FA71D8">
              <w:rPr>
                <w:szCs w:val="24"/>
              </w:rPr>
              <w:t>8</w:t>
            </w:r>
          </w:p>
        </w:tc>
        <w:tc>
          <w:tcPr>
            <w:tcW w:w="1597" w:type="dxa"/>
            <w:vAlign w:val="center"/>
          </w:tcPr>
          <w:p w14:paraId="290B9BEB" w14:textId="7B65D0EE" w:rsidR="00633531" w:rsidRPr="00FA71D8" w:rsidRDefault="00633531" w:rsidP="00233A66">
            <w:pPr>
              <w:pStyle w:val="Footer"/>
              <w:tabs>
                <w:tab w:val="clear" w:pos="4153"/>
                <w:tab w:val="clear" w:pos="8306"/>
                <w:tab w:val="decimal" w:pos="810"/>
              </w:tabs>
              <w:jc w:val="right"/>
              <w:rPr>
                <w:szCs w:val="24"/>
              </w:rPr>
            </w:pPr>
            <w:r w:rsidRPr="00FA71D8">
              <w:rPr>
                <w:szCs w:val="24"/>
              </w:rPr>
              <w:t>6</w:t>
            </w:r>
          </w:p>
        </w:tc>
      </w:tr>
      <w:tr w:rsidR="00633531" w:rsidRPr="00AF3DCD" w14:paraId="3579D8D6" w14:textId="77777777" w:rsidTr="00233A66">
        <w:trPr>
          <w:trHeight w:hRule="exact" w:val="300"/>
        </w:trPr>
        <w:tc>
          <w:tcPr>
            <w:tcW w:w="5220" w:type="dxa"/>
          </w:tcPr>
          <w:p w14:paraId="31522892" w14:textId="77777777" w:rsidR="00633531" w:rsidRPr="00FA71D8" w:rsidRDefault="00633531" w:rsidP="00633531">
            <w:pPr>
              <w:pStyle w:val="Footer"/>
              <w:tabs>
                <w:tab w:val="clear" w:pos="4153"/>
                <w:tab w:val="clear" w:pos="8306"/>
                <w:tab w:val="left" w:pos="720"/>
                <w:tab w:val="left" w:pos="1422"/>
                <w:tab w:val="right" w:pos="7920"/>
              </w:tabs>
              <w:rPr>
                <w:szCs w:val="24"/>
              </w:rPr>
            </w:pPr>
            <w:r w:rsidRPr="00FA71D8">
              <w:rPr>
                <w:szCs w:val="24"/>
              </w:rPr>
              <w:t>£60,000 - £64,999</w:t>
            </w:r>
          </w:p>
        </w:tc>
        <w:tc>
          <w:tcPr>
            <w:tcW w:w="1597" w:type="dxa"/>
            <w:vAlign w:val="center"/>
          </w:tcPr>
          <w:p w14:paraId="37EB2A01" w14:textId="0A9A4A57" w:rsidR="00633531" w:rsidRPr="00FA71D8" w:rsidRDefault="0050737D" w:rsidP="00233A66">
            <w:pPr>
              <w:pStyle w:val="Footer"/>
              <w:tabs>
                <w:tab w:val="clear" w:pos="4153"/>
                <w:tab w:val="clear" w:pos="8306"/>
                <w:tab w:val="decimal" w:pos="810"/>
              </w:tabs>
              <w:jc w:val="right"/>
              <w:rPr>
                <w:szCs w:val="24"/>
              </w:rPr>
            </w:pPr>
            <w:r w:rsidRPr="00FA71D8">
              <w:rPr>
                <w:szCs w:val="24"/>
              </w:rPr>
              <w:t>20</w:t>
            </w:r>
          </w:p>
        </w:tc>
        <w:tc>
          <w:tcPr>
            <w:tcW w:w="1597" w:type="dxa"/>
            <w:vAlign w:val="center"/>
          </w:tcPr>
          <w:p w14:paraId="0BD1097F" w14:textId="724E4067" w:rsidR="00633531" w:rsidRPr="00FA71D8" w:rsidRDefault="00633531" w:rsidP="00233A66">
            <w:pPr>
              <w:pStyle w:val="Footer"/>
              <w:tabs>
                <w:tab w:val="clear" w:pos="4153"/>
                <w:tab w:val="clear" w:pos="8306"/>
                <w:tab w:val="decimal" w:pos="810"/>
              </w:tabs>
              <w:jc w:val="right"/>
              <w:rPr>
                <w:szCs w:val="24"/>
              </w:rPr>
            </w:pPr>
            <w:r w:rsidRPr="00FA71D8">
              <w:rPr>
                <w:szCs w:val="24"/>
              </w:rPr>
              <w:t>7</w:t>
            </w:r>
          </w:p>
        </w:tc>
      </w:tr>
      <w:tr w:rsidR="00633531" w:rsidRPr="00AF3DCD" w14:paraId="341F2CF1" w14:textId="77777777" w:rsidTr="00233A66">
        <w:trPr>
          <w:trHeight w:hRule="exact" w:val="300"/>
        </w:trPr>
        <w:tc>
          <w:tcPr>
            <w:tcW w:w="5220" w:type="dxa"/>
          </w:tcPr>
          <w:p w14:paraId="1E804EAE" w14:textId="77777777" w:rsidR="00633531" w:rsidRPr="00FA71D8" w:rsidRDefault="00633531" w:rsidP="00633531">
            <w:pPr>
              <w:tabs>
                <w:tab w:val="left" w:pos="720"/>
                <w:tab w:val="left" w:pos="1422"/>
                <w:tab w:val="right" w:pos="7920"/>
              </w:tabs>
              <w:rPr>
                <w:szCs w:val="24"/>
              </w:rPr>
            </w:pPr>
            <w:r w:rsidRPr="00FA71D8">
              <w:rPr>
                <w:szCs w:val="24"/>
              </w:rPr>
              <w:t>£55,000 - £59,999</w:t>
            </w:r>
          </w:p>
        </w:tc>
        <w:tc>
          <w:tcPr>
            <w:tcW w:w="1597" w:type="dxa"/>
            <w:vAlign w:val="center"/>
          </w:tcPr>
          <w:p w14:paraId="3B5720E2" w14:textId="10E3E5B3" w:rsidR="00633531" w:rsidRPr="00FA71D8" w:rsidRDefault="0050737D" w:rsidP="00233A66">
            <w:pPr>
              <w:tabs>
                <w:tab w:val="decimal" w:pos="810"/>
              </w:tabs>
              <w:jc w:val="right"/>
              <w:rPr>
                <w:szCs w:val="24"/>
              </w:rPr>
            </w:pPr>
            <w:r w:rsidRPr="00FA71D8">
              <w:rPr>
                <w:szCs w:val="24"/>
              </w:rPr>
              <w:t>51</w:t>
            </w:r>
          </w:p>
        </w:tc>
        <w:tc>
          <w:tcPr>
            <w:tcW w:w="1597" w:type="dxa"/>
            <w:vAlign w:val="center"/>
          </w:tcPr>
          <w:p w14:paraId="7BAE4A2A" w14:textId="6E86FC67" w:rsidR="00633531" w:rsidRPr="00FA71D8" w:rsidRDefault="00633531" w:rsidP="00233A66">
            <w:pPr>
              <w:tabs>
                <w:tab w:val="decimal" w:pos="810"/>
              </w:tabs>
              <w:jc w:val="right"/>
              <w:rPr>
                <w:szCs w:val="24"/>
              </w:rPr>
            </w:pPr>
            <w:r w:rsidRPr="00FA71D8">
              <w:rPr>
                <w:szCs w:val="24"/>
              </w:rPr>
              <w:t>41</w:t>
            </w:r>
          </w:p>
        </w:tc>
      </w:tr>
      <w:tr w:rsidR="00633531" w:rsidRPr="00AF3DCD" w14:paraId="529DDE15" w14:textId="77777777" w:rsidTr="00233A66">
        <w:trPr>
          <w:trHeight w:hRule="exact" w:val="300"/>
        </w:trPr>
        <w:tc>
          <w:tcPr>
            <w:tcW w:w="5220" w:type="dxa"/>
          </w:tcPr>
          <w:p w14:paraId="2B0BD665" w14:textId="77777777" w:rsidR="00633531" w:rsidRPr="00FA71D8" w:rsidRDefault="00633531" w:rsidP="00633531">
            <w:pPr>
              <w:tabs>
                <w:tab w:val="left" w:pos="720"/>
                <w:tab w:val="left" w:pos="1422"/>
                <w:tab w:val="right" w:pos="7920"/>
              </w:tabs>
              <w:rPr>
                <w:szCs w:val="24"/>
              </w:rPr>
            </w:pPr>
            <w:r w:rsidRPr="00FA71D8">
              <w:rPr>
                <w:szCs w:val="24"/>
              </w:rPr>
              <w:t>£50,000 - £54,999</w:t>
            </w:r>
          </w:p>
        </w:tc>
        <w:tc>
          <w:tcPr>
            <w:tcW w:w="1597" w:type="dxa"/>
            <w:vAlign w:val="center"/>
          </w:tcPr>
          <w:p w14:paraId="002CA70E" w14:textId="3FB41E2C" w:rsidR="00633531" w:rsidRPr="00FA71D8" w:rsidRDefault="0050737D" w:rsidP="00233A66">
            <w:pPr>
              <w:tabs>
                <w:tab w:val="decimal" w:pos="810"/>
              </w:tabs>
              <w:jc w:val="right"/>
              <w:rPr>
                <w:szCs w:val="24"/>
              </w:rPr>
            </w:pPr>
            <w:r w:rsidRPr="00FA71D8">
              <w:rPr>
                <w:szCs w:val="24"/>
              </w:rPr>
              <w:t>65</w:t>
            </w:r>
          </w:p>
        </w:tc>
        <w:tc>
          <w:tcPr>
            <w:tcW w:w="1597" w:type="dxa"/>
            <w:vAlign w:val="center"/>
          </w:tcPr>
          <w:p w14:paraId="49D17B3D" w14:textId="2198ED79" w:rsidR="00633531" w:rsidRPr="00FA71D8" w:rsidRDefault="00633531" w:rsidP="00233A66">
            <w:pPr>
              <w:tabs>
                <w:tab w:val="decimal" w:pos="810"/>
              </w:tabs>
              <w:jc w:val="right"/>
              <w:rPr>
                <w:szCs w:val="24"/>
              </w:rPr>
            </w:pPr>
            <w:r w:rsidRPr="00FA71D8">
              <w:rPr>
                <w:szCs w:val="24"/>
              </w:rPr>
              <w:t>59</w:t>
            </w:r>
          </w:p>
        </w:tc>
      </w:tr>
      <w:tr w:rsidR="00633531" w:rsidRPr="00AF3DCD" w14:paraId="4890BE4D" w14:textId="77777777" w:rsidTr="00233A66">
        <w:trPr>
          <w:trHeight w:hRule="exact" w:val="300"/>
        </w:trPr>
        <w:tc>
          <w:tcPr>
            <w:tcW w:w="5220" w:type="dxa"/>
          </w:tcPr>
          <w:p w14:paraId="0D5DB9ED" w14:textId="1E50A1B8" w:rsidR="00633531" w:rsidRPr="00FA71D8" w:rsidRDefault="00FA71D8" w:rsidP="00633531">
            <w:pPr>
              <w:tabs>
                <w:tab w:val="left" w:pos="720"/>
                <w:tab w:val="left" w:pos="1422"/>
                <w:tab w:val="right" w:pos="7920"/>
              </w:tabs>
              <w:rPr>
                <w:szCs w:val="24"/>
              </w:rPr>
            </w:pPr>
            <w:r>
              <w:rPr>
                <w:szCs w:val="24"/>
              </w:rPr>
              <w:t>Total</w:t>
            </w:r>
          </w:p>
        </w:tc>
        <w:tc>
          <w:tcPr>
            <w:tcW w:w="1597" w:type="dxa"/>
            <w:vAlign w:val="center"/>
          </w:tcPr>
          <w:p w14:paraId="5FB27AF5" w14:textId="5A7E4279" w:rsidR="00633531" w:rsidRPr="00FA71D8" w:rsidRDefault="009A592B" w:rsidP="00233A66">
            <w:pPr>
              <w:tabs>
                <w:tab w:val="decimal" w:pos="810"/>
              </w:tabs>
              <w:jc w:val="right"/>
              <w:rPr>
                <w:szCs w:val="24"/>
              </w:rPr>
            </w:pPr>
            <w:r w:rsidRPr="00FA71D8">
              <w:rPr>
                <w:szCs w:val="24"/>
              </w:rPr>
              <w:t>14</w:t>
            </w:r>
            <w:r w:rsidR="00F92DFE">
              <w:rPr>
                <w:szCs w:val="24"/>
              </w:rPr>
              <w:t>7</w:t>
            </w:r>
          </w:p>
        </w:tc>
        <w:tc>
          <w:tcPr>
            <w:tcW w:w="1597" w:type="dxa"/>
            <w:vAlign w:val="center"/>
          </w:tcPr>
          <w:p w14:paraId="18994414" w14:textId="26866CA4" w:rsidR="00633531" w:rsidRPr="00FA71D8" w:rsidRDefault="00633531" w:rsidP="00233A66">
            <w:pPr>
              <w:tabs>
                <w:tab w:val="decimal" w:pos="810"/>
              </w:tabs>
              <w:jc w:val="right"/>
              <w:rPr>
                <w:szCs w:val="24"/>
              </w:rPr>
            </w:pPr>
            <w:r w:rsidRPr="00FA71D8">
              <w:rPr>
                <w:szCs w:val="24"/>
              </w:rPr>
              <w:t>117</w:t>
            </w:r>
          </w:p>
        </w:tc>
      </w:tr>
    </w:tbl>
    <w:p w14:paraId="73E15966" w14:textId="77777777" w:rsidR="006E188F" w:rsidRPr="00AF3DCD" w:rsidRDefault="006E188F" w:rsidP="006E188F">
      <w:pPr>
        <w:pStyle w:val="BodyTextIndent2"/>
        <w:ind w:firstLine="0"/>
        <w:jc w:val="both"/>
        <w:rPr>
          <w:sz w:val="22"/>
        </w:rPr>
      </w:pPr>
    </w:p>
    <w:p w14:paraId="4CB5EA25" w14:textId="545A25A2" w:rsidR="00A00B2E" w:rsidRDefault="006E188F" w:rsidP="00BE3C0F">
      <w:pPr>
        <w:pStyle w:val="BodyTextIndent2"/>
        <w:ind w:firstLine="0"/>
        <w:rPr>
          <w:szCs w:val="24"/>
        </w:rPr>
      </w:pPr>
      <w:r w:rsidRPr="005D04CB">
        <w:rPr>
          <w:szCs w:val="24"/>
        </w:rPr>
        <w:t xml:space="preserve">The above table excludes Senior Officers, who are disclosed individually </w:t>
      </w:r>
      <w:r w:rsidR="00E91302" w:rsidRPr="005D04CB">
        <w:rPr>
          <w:szCs w:val="24"/>
        </w:rPr>
        <w:t>in</w:t>
      </w:r>
      <w:r w:rsidR="00140881" w:rsidRPr="005D04CB">
        <w:rPr>
          <w:szCs w:val="24"/>
        </w:rPr>
        <w:t xml:space="preserve"> the following </w:t>
      </w:r>
      <w:r w:rsidR="00E91302" w:rsidRPr="005D04CB">
        <w:rPr>
          <w:szCs w:val="24"/>
        </w:rPr>
        <w:t>tables</w:t>
      </w:r>
      <w:r w:rsidRPr="005D04CB">
        <w:rPr>
          <w:szCs w:val="24"/>
        </w:rPr>
        <w:t>.</w:t>
      </w:r>
    </w:p>
    <w:p w14:paraId="5F6A6EBA" w14:textId="77777777" w:rsidR="00BE3C0F" w:rsidRPr="00BE3C0F" w:rsidRDefault="00BE3C0F" w:rsidP="00BE3C0F">
      <w:pPr>
        <w:pStyle w:val="BodyTextIndent2"/>
        <w:ind w:firstLine="0"/>
        <w:rPr>
          <w:szCs w:val="24"/>
        </w:rPr>
      </w:pPr>
    </w:p>
    <w:p w14:paraId="251C2AAC" w14:textId="77777777" w:rsidR="00BE3C0F" w:rsidRDefault="00BE3C0F" w:rsidP="00BE3C0F">
      <w:pPr>
        <w:pStyle w:val="Heading3"/>
        <w:ind w:firstLine="567"/>
        <w:rPr>
          <w:szCs w:val="24"/>
        </w:rPr>
        <w:sectPr w:rsidR="00BE3C0F" w:rsidSect="0050229D">
          <w:pgSz w:w="11907" w:h="16840" w:code="9"/>
          <w:pgMar w:top="454" w:right="567" w:bottom="397" w:left="567" w:header="720" w:footer="720" w:gutter="0"/>
          <w:cols w:space="720"/>
          <w:docGrid w:linePitch="326"/>
        </w:sectPr>
      </w:pPr>
    </w:p>
    <w:p w14:paraId="7DF0BE42" w14:textId="41387655" w:rsidR="00D90216" w:rsidRPr="00381C8E" w:rsidRDefault="00D90216" w:rsidP="003278CF">
      <w:pPr>
        <w:ind w:firstLine="567"/>
        <w:rPr>
          <w:b/>
          <w:bCs/>
          <w:szCs w:val="24"/>
        </w:rPr>
      </w:pPr>
      <w:r w:rsidRPr="00381C8E">
        <w:rPr>
          <w:b/>
          <w:bCs/>
          <w:szCs w:val="24"/>
        </w:rPr>
        <w:lastRenderedPageBreak/>
        <w:t>Senior Officers Remuneration</w:t>
      </w:r>
    </w:p>
    <w:p w14:paraId="692C23B4" w14:textId="77777777" w:rsidR="002D6690" w:rsidRPr="00381C8E" w:rsidRDefault="002D6690" w:rsidP="003278CF">
      <w:pPr>
        <w:rPr>
          <w:b/>
          <w:bCs/>
          <w:szCs w:val="24"/>
        </w:rPr>
      </w:pPr>
    </w:p>
    <w:p w14:paraId="17BFD31B" w14:textId="77777777" w:rsidR="00D90216" w:rsidRPr="00381C8E" w:rsidRDefault="00D90216" w:rsidP="00D90216">
      <w:pPr>
        <w:tabs>
          <w:tab w:val="left" w:pos="720"/>
          <w:tab w:val="right" w:pos="7920"/>
        </w:tabs>
        <w:ind w:left="567"/>
        <w:rPr>
          <w:szCs w:val="24"/>
        </w:rPr>
      </w:pPr>
      <w:r w:rsidRPr="00381C8E">
        <w:rPr>
          <w:szCs w:val="24"/>
        </w:rPr>
        <w:t>During the year, Senior Officers received remuneration packages as detailed below – these employees are also excluded from the table above.</w:t>
      </w:r>
    </w:p>
    <w:p w14:paraId="3512604B" w14:textId="77777777" w:rsidR="00D90216" w:rsidRPr="00381C8E" w:rsidRDefault="00D90216" w:rsidP="00BE3C0F">
      <w:pPr>
        <w:pStyle w:val="BalloonText"/>
        <w:tabs>
          <w:tab w:val="left" w:pos="720"/>
          <w:tab w:val="right" w:pos="7920"/>
        </w:tabs>
        <w:rPr>
          <w:rFonts w:ascii="Arial" w:hAnsi="Arial"/>
          <w:sz w:val="24"/>
          <w:szCs w:val="24"/>
        </w:rPr>
      </w:pPr>
    </w:p>
    <w:tbl>
      <w:tblPr>
        <w:tblW w:w="4823"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0"/>
        <w:gridCol w:w="1135"/>
        <w:gridCol w:w="1430"/>
        <w:gridCol w:w="2256"/>
        <w:gridCol w:w="2688"/>
        <w:gridCol w:w="1954"/>
      </w:tblGrid>
      <w:tr w:rsidR="00A00B2E" w:rsidRPr="00381C8E" w14:paraId="72BC8BCA" w14:textId="77777777" w:rsidTr="00611673">
        <w:trPr>
          <w:tblHeader/>
        </w:trPr>
        <w:tc>
          <w:tcPr>
            <w:tcW w:w="1930" w:type="pct"/>
            <w:shd w:val="clear" w:color="auto" w:fill="BD2716"/>
            <w:vAlign w:val="center"/>
          </w:tcPr>
          <w:p w14:paraId="055325E7" w14:textId="7C271D5F" w:rsidR="00A01DCD" w:rsidRPr="007641BA" w:rsidRDefault="00A01DCD" w:rsidP="00611673">
            <w:pPr>
              <w:tabs>
                <w:tab w:val="left" w:pos="720"/>
                <w:tab w:val="right" w:pos="7920"/>
              </w:tabs>
              <w:rPr>
                <w:bCs/>
                <w:color w:val="FFFFFF" w:themeColor="background1"/>
                <w:szCs w:val="24"/>
              </w:rPr>
            </w:pPr>
            <w:r w:rsidRPr="007641BA">
              <w:rPr>
                <w:bCs/>
                <w:color w:val="FFFFFF" w:themeColor="background1"/>
                <w:szCs w:val="24"/>
              </w:rPr>
              <w:t>2022/23</w:t>
            </w:r>
          </w:p>
          <w:p w14:paraId="71C432CD" w14:textId="039ED215" w:rsidR="00CB21DE" w:rsidRPr="007641BA" w:rsidRDefault="00D90216" w:rsidP="00611673">
            <w:pPr>
              <w:tabs>
                <w:tab w:val="left" w:pos="720"/>
                <w:tab w:val="right" w:pos="7920"/>
              </w:tabs>
              <w:rPr>
                <w:bCs/>
                <w:color w:val="FFFFFF" w:themeColor="background1"/>
                <w:szCs w:val="24"/>
              </w:rPr>
            </w:pPr>
            <w:r w:rsidRPr="007641BA">
              <w:rPr>
                <w:bCs/>
                <w:color w:val="FFFFFF" w:themeColor="background1"/>
                <w:szCs w:val="24"/>
              </w:rPr>
              <w:t>Post holder information (post title and name)</w:t>
            </w:r>
          </w:p>
        </w:tc>
        <w:tc>
          <w:tcPr>
            <w:tcW w:w="368" w:type="pct"/>
            <w:shd w:val="clear" w:color="auto" w:fill="BD2716"/>
            <w:vAlign w:val="center"/>
          </w:tcPr>
          <w:p w14:paraId="0F612485" w14:textId="77777777" w:rsidR="00D90216" w:rsidRPr="007641BA" w:rsidRDefault="00D90216" w:rsidP="00611673">
            <w:pPr>
              <w:tabs>
                <w:tab w:val="left" w:pos="720"/>
                <w:tab w:val="right" w:pos="7920"/>
              </w:tabs>
              <w:jc w:val="right"/>
              <w:rPr>
                <w:color w:val="FFFFFF" w:themeColor="background1"/>
                <w:szCs w:val="24"/>
              </w:rPr>
            </w:pPr>
            <w:r w:rsidRPr="007641BA">
              <w:rPr>
                <w:color w:val="FFFFFF" w:themeColor="background1"/>
                <w:szCs w:val="24"/>
              </w:rPr>
              <w:t>Salary</w:t>
            </w:r>
          </w:p>
          <w:p w14:paraId="11919C9A" w14:textId="6E048114" w:rsidR="00A01DCD" w:rsidRPr="007641BA" w:rsidRDefault="00A01DCD" w:rsidP="00611673">
            <w:pPr>
              <w:tabs>
                <w:tab w:val="left" w:pos="720"/>
                <w:tab w:val="right" w:pos="7920"/>
              </w:tabs>
              <w:jc w:val="right"/>
              <w:rPr>
                <w:color w:val="FFFFFF" w:themeColor="background1"/>
                <w:szCs w:val="24"/>
              </w:rPr>
            </w:pPr>
            <w:r w:rsidRPr="007641BA">
              <w:rPr>
                <w:color w:val="FFFFFF" w:themeColor="background1"/>
                <w:szCs w:val="24"/>
              </w:rPr>
              <w:t>£000</w:t>
            </w:r>
          </w:p>
        </w:tc>
        <w:tc>
          <w:tcPr>
            <w:tcW w:w="464" w:type="pct"/>
            <w:shd w:val="clear" w:color="auto" w:fill="BD2716"/>
            <w:vAlign w:val="center"/>
          </w:tcPr>
          <w:p w14:paraId="1A317C6A" w14:textId="13E95E1B" w:rsidR="00D90216" w:rsidRPr="007641BA" w:rsidRDefault="00D90216" w:rsidP="00611673">
            <w:pPr>
              <w:tabs>
                <w:tab w:val="left" w:pos="720"/>
                <w:tab w:val="right" w:pos="7920"/>
              </w:tabs>
              <w:jc w:val="right"/>
              <w:rPr>
                <w:color w:val="FFFFFF" w:themeColor="background1"/>
                <w:szCs w:val="24"/>
              </w:rPr>
            </w:pPr>
            <w:r w:rsidRPr="007641BA">
              <w:rPr>
                <w:color w:val="FFFFFF" w:themeColor="background1"/>
                <w:szCs w:val="24"/>
              </w:rPr>
              <w:t>Allowances</w:t>
            </w:r>
          </w:p>
          <w:p w14:paraId="777EB862" w14:textId="24EFA720" w:rsidR="00B312EB" w:rsidRPr="007641BA" w:rsidRDefault="00A01DCD" w:rsidP="00611673">
            <w:pPr>
              <w:tabs>
                <w:tab w:val="left" w:pos="720"/>
                <w:tab w:val="right" w:pos="7920"/>
              </w:tabs>
              <w:jc w:val="right"/>
              <w:rPr>
                <w:color w:val="FFFFFF" w:themeColor="background1"/>
                <w:szCs w:val="24"/>
              </w:rPr>
            </w:pPr>
            <w:r w:rsidRPr="007641BA">
              <w:rPr>
                <w:color w:val="FFFFFF" w:themeColor="background1"/>
                <w:szCs w:val="24"/>
              </w:rPr>
              <w:t>£000</w:t>
            </w:r>
          </w:p>
          <w:p w14:paraId="53748B8D" w14:textId="77777777" w:rsidR="00B312EB" w:rsidRPr="007641BA" w:rsidRDefault="00B312EB" w:rsidP="00611673">
            <w:pPr>
              <w:tabs>
                <w:tab w:val="left" w:pos="720"/>
                <w:tab w:val="right" w:pos="7920"/>
              </w:tabs>
              <w:jc w:val="right"/>
              <w:rPr>
                <w:color w:val="FFFFFF" w:themeColor="background1"/>
                <w:szCs w:val="24"/>
              </w:rPr>
            </w:pPr>
          </w:p>
        </w:tc>
        <w:tc>
          <w:tcPr>
            <w:tcW w:w="732" w:type="pct"/>
            <w:shd w:val="clear" w:color="auto" w:fill="BD2716"/>
            <w:vAlign w:val="center"/>
          </w:tcPr>
          <w:p w14:paraId="148F2D05" w14:textId="77777777" w:rsidR="00B312EB" w:rsidRPr="007641BA" w:rsidRDefault="00D90216" w:rsidP="00611673">
            <w:pPr>
              <w:tabs>
                <w:tab w:val="left" w:pos="720"/>
                <w:tab w:val="right" w:pos="7920"/>
              </w:tabs>
              <w:jc w:val="right"/>
              <w:rPr>
                <w:color w:val="FFFFFF" w:themeColor="background1"/>
                <w:szCs w:val="24"/>
              </w:rPr>
            </w:pPr>
            <w:r w:rsidRPr="007641BA">
              <w:rPr>
                <w:color w:val="FFFFFF" w:themeColor="background1"/>
                <w:szCs w:val="24"/>
              </w:rPr>
              <w:t xml:space="preserve">Total Remuneration excluding pension </w:t>
            </w:r>
            <w:proofErr w:type="gramStart"/>
            <w:r w:rsidRPr="007641BA">
              <w:rPr>
                <w:color w:val="FFFFFF" w:themeColor="background1"/>
                <w:szCs w:val="24"/>
              </w:rPr>
              <w:t>contributions</w:t>
            </w:r>
            <w:proofErr w:type="gramEnd"/>
          </w:p>
          <w:p w14:paraId="2B84E6A7" w14:textId="49E0262C" w:rsidR="00A01DCD" w:rsidRPr="007641BA" w:rsidRDefault="00A01DCD" w:rsidP="00611673">
            <w:pPr>
              <w:tabs>
                <w:tab w:val="left" w:pos="720"/>
                <w:tab w:val="right" w:pos="7920"/>
              </w:tabs>
              <w:jc w:val="right"/>
              <w:rPr>
                <w:color w:val="FFFFFF" w:themeColor="background1"/>
                <w:szCs w:val="24"/>
              </w:rPr>
            </w:pPr>
            <w:r w:rsidRPr="007641BA">
              <w:rPr>
                <w:color w:val="FFFFFF" w:themeColor="background1"/>
                <w:szCs w:val="24"/>
              </w:rPr>
              <w:t>£000</w:t>
            </w:r>
          </w:p>
        </w:tc>
        <w:tc>
          <w:tcPr>
            <w:tcW w:w="872" w:type="pct"/>
            <w:shd w:val="clear" w:color="auto" w:fill="BD2716"/>
            <w:vAlign w:val="center"/>
          </w:tcPr>
          <w:p w14:paraId="2A19FE52" w14:textId="77777777" w:rsidR="00B312EB" w:rsidRPr="007641BA" w:rsidRDefault="00D90216" w:rsidP="00611673">
            <w:pPr>
              <w:tabs>
                <w:tab w:val="left" w:pos="720"/>
                <w:tab w:val="right" w:pos="7920"/>
              </w:tabs>
              <w:ind w:left="19"/>
              <w:jc w:val="right"/>
              <w:rPr>
                <w:color w:val="FFFFFF" w:themeColor="background1"/>
                <w:szCs w:val="24"/>
              </w:rPr>
            </w:pPr>
            <w:r w:rsidRPr="007641BA">
              <w:rPr>
                <w:color w:val="FFFFFF" w:themeColor="background1"/>
                <w:szCs w:val="24"/>
              </w:rPr>
              <w:t xml:space="preserve">Pension contributions </w:t>
            </w:r>
            <w:r w:rsidR="00E54BE5" w:rsidRPr="007641BA">
              <w:rPr>
                <w:color w:val="FFFFFF" w:themeColor="background1"/>
                <w:szCs w:val="24"/>
              </w:rPr>
              <w:t xml:space="preserve">accrued at the standard employer rate for all senior </w:t>
            </w:r>
            <w:proofErr w:type="gramStart"/>
            <w:r w:rsidR="00E54BE5" w:rsidRPr="007641BA">
              <w:rPr>
                <w:color w:val="FFFFFF" w:themeColor="background1"/>
                <w:szCs w:val="24"/>
              </w:rPr>
              <w:t>officers</w:t>
            </w:r>
            <w:proofErr w:type="gramEnd"/>
          </w:p>
          <w:p w14:paraId="24917088" w14:textId="302CC84C" w:rsidR="00A01DCD" w:rsidRPr="007641BA" w:rsidRDefault="00A01DCD" w:rsidP="00611673">
            <w:pPr>
              <w:tabs>
                <w:tab w:val="left" w:pos="720"/>
                <w:tab w:val="right" w:pos="7920"/>
              </w:tabs>
              <w:ind w:left="19"/>
              <w:jc w:val="right"/>
              <w:rPr>
                <w:color w:val="FFFFFF" w:themeColor="background1"/>
                <w:szCs w:val="24"/>
              </w:rPr>
            </w:pPr>
            <w:r w:rsidRPr="007641BA">
              <w:rPr>
                <w:color w:val="FFFFFF" w:themeColor="background1"/>
                <w:szCs w:val="24"/>
              </w:rPr>
              <w:t>£000</w:t>
            </w:r>
          </w:p>
        </w:tc>
        <w:tc>
          <w:tcPr>
            <w:tcW w:w="634" w:type="pct"/>
            <w:shd w:val="clear" w:color="auto" w:fill="BD2716"/>
            <w:vAlign w:val="center"/>
          </w:tcPr>
          <w:p w14:paraId="26FC1C41" w14:textId="77777777" w:rsidR="00B312EB" w:rsidRPr="007641BA" w:rsidRDefault="00D90216" w:rsidP="00611673">
            <w:pPr>
              <w:tabs>
                <w:tab w:val="left" w:pos="720"/>
                <w:tab w:val="right" w:pos="7920"/>
              </w:tabs>
              <w:jc w:val="right"/>
              <w:rPr>
                <w:color w:val="FFFFFF" w:themeColor="background1"/>
                <w:szCs w:val="24"/>
              </w:rPr>
            </w:pPr>
            <w:r w:rsidRPr="007641BA">
              <w:rPr>
                <w:color w:val="FFFFFF" w:themeColor="background1"/>
                <w:szCs w:val="24"/>
              </w:rPr>
              <w:t xml:space="preserve">Total Remuneration including pension </w:t>
            </w:r>
            <w:proofErr w:type="gramStart"/>
            <w:r w:rsidRPr="007641BA">
              <w:rPr>
                <w:color w:val="FFFFFF" w:themeColor="background1"/>
                <w:szCs w:val="24"/>
              </w:rPr>
              <w:t>contributions</w:t>
            </w:r>
            <w:proofErr w:type="gramEnd"/>
          </w:p>
          <w:p w14:paraId="318C699D" w14:textId="04C145E2" w:rsidR="00A01DCD" w:rsidRPr="007641BA" w:rsidRDefault="00A01DCD" w:rsidP="00611673">
            <w:pPr>
              <w:tabs>
                <w:tab w:val="left" w:pos="720"/>
                <w:tab w:val="right" w:pos="7920"/>
              </w:tabs>
              <w:jc w:val="right"/>
              <w:rPr>
                <w:color w:val="FFFFFF" w:themeColor="background1"/>
                <w:szCs w:val="24"/>
              </w:rPr>
            </w:pPr>
            <w:r w:rsidRPr="007641BA">
              <w:rPr>
                <w:color w:val="FFFFFF" w:themeColor="background1"/>
                <w:szCs w:val="24"/>
              </w:rPr>
              <w:t>£000</w:t>
            </w:r>
          </w:p>
        </w:tc>
      </w:tr>
      <w:tr w:rsidR="00A00B2E" w:rsidRPr="00381C8E" w14:paraId="4EFF54B1" w14:textId="77777777" w:rsidTr="00233A66">
        <w:tc>
          <w:tcPr>
            <w:tcW w:w="1930" w:type="pct"/>
            <w:shd w:val="clear" w:color="auto" w:fill="auto"/>
          </w:tcPr>
          <w:p w14:paraId="522FA07B" w14:textId="79E47BBC" w:rsidR="009A592B" w:rsidRPr="00381C8E" w:rsidRDefault="003A5F15" w:rsidP="003A5F15">
            <w:pPr>
              <w:tabs>
                <w:tab w:val="left" w:pos="720"/>
                <w:tab w:val="right" w:pos="7920"/>
              </w:tabs>
              <w:rPr>
                <w:szCs w:val="24"/>
              </w:rPr>
            </w:pPr>
            <w:bookmarkStart w:id="29" w:name="_Hlk135644265"/>
            <w:r w:rsidRPr="00381C8E">
              <w:rPr>
                <w:szCs w:val="24"/>
              </w:rPr>
              <w:t>Chief Fire Officer – Justin Johnston</w:t>
            </w:r>
          </w:p>
        </w:tc>
        <w:tc>
          <w:tcPr>
            <w:tcW w:w="368" w:type="pct"/>
            <w:shd w:val="clear" w:color="auto" w:fill="auto"/>
            <w:vAlign w:val="center"/>
          </w:tcPr>
          <w:p w14:paraId="082C7989" w14:textId="7086AF62" w:rsidR="003A5F15" w:rsidRPr="00381C8E" w:rsidRDefault="009A592B" w:rsidP="00233A66">
            <w:pPr>
              <w:tabs>
                <w:tab w:val="left" w:pos="1168"/>
                <w:tab w:val="right" w:pos="7920"/>
              </w:tabs>
              <w:jc w:val="right"/>
              <w:rPr>
                <w:szCs w:val="24"/>
              </w:rPr>
            </w:pPr>
            <w:r w:rsidRPr="00381C8E">
              <w:rPr>
                <w:szCs w:val="24"/>
              </w:rPr>
              <w:t>153</w:t>
            </w:r>
            <w:r w:rsidR="00492B19" w:rsidRPr="00381C8E">
              <w:rPr>
                <w:szCs w:val="24"/>
              </w:rPr>
              <w:t>,</w:t>
            </w:r>
            <w:r w:rsidRPr="00381C8E">
              <w:rPr>
                <w:szCs w:val="24"/>
              </w:rPr>
              <w:t>121</w:t>
            </w:r>
          </w:p>
        </w:tc>
        <w:tc>
          <w:tcPr>
            <w:tcW w:w="464" w:type="pct"/>
            <w:shd w:val="clear" w:color="auto" w:fill="auto"/>
            <w:vAlign w:val="center"/>
          </w:tcPr>
          <w:p w14:paraId="2D3F30FF" w14:textId="07E6FE5B" w:rsidR="003A5F15" w:rsidRPr="00381C8E" w:rsidRDefault="003A5F15" w:rsidP="00233A66">
            <w:pPr>
              <w:tabs>
                <w:tab w:val="left" w:pos="720"/>
                <w:tab w:val="right" w:pos="7920"/>
              </w:tabs>
              <w:jc w:val="right"/>
              <w:rPr>
                <w:szCs w:val="24"/>
              </w:rPr>
            </w:pPr>
            <w:r w:rsidRPr="00381C8E">
              <w:rPr>
                <w:szCs w:val="24"/>
              </w:rPr>
              <w:t>-</w:t>
            </w:r>
          </w:p>
        </w:tc>
        <w:tc>
          <w:tcPr>
            <w:tcW w:w="732" w:type="pct"/>
            <w:shd w:val="clear" w:color="auto" w:fill="auto"/>
            <w:vAlign w:val="center"/>
          </w:tcPr>
          <w:p w14:paraId="6C477143" w14:textId="7A03316B" w:rsidR="003A5F15" w:rsidRPr="00381C8E" w:rsidRDefault="009A592B" w:rsidP="00233A66">
            <w:pPr>
              <w:tabs>
                <w:tab w:val="left" w:pos="720"/>
                <w:tab w:val="right" w:pos="7920"/>
              </w:tabs>
              <w:jc w:val="right"/>
              <w:rPr>
                <w:szCs w:val="24"/>
              </w:rPr>
            </w:pPr>
            <w:r w:rsidRPr="00381C8E">
              <w:rPr>
                <w:szCs w:val="24"/>
              </w:rPr>
              <w:t>153</w:t>
            </w:r>
            <w:r w:rsidR="00492B19" w:rsidRPr="00381C8E">
              <w:rPr>
                <w:szCs w:val="24"/>
              </w:rPr>
              <w:t>,</w:t>
            </w:r>
            <w:r w:rsidRPr="00381C8E">
              <w:rPr>
                <w:szCs w:val="24"/>
              </w:rPr>
              <w:t>121</w:t>
            </w:r>
          </w:p>
        </w:tc>
        <w:tc>
          <w:tcPr>
            <w:tcW w:w="872" w:type="pct"/>
            <w:shd w:val="clear" w:color="auto" w:fill="auto"/>
            <w:vAlign w:val="center"/>
          </w:tcPr>
          <w:p w14:paraId="0BD11440" w14:textId="678BC896" w:rsidR="003A5F15" w:rsidRPr="00381C8E" w:rsidRDefault="009A592B" w:rsidP="00233A66">
            <w:pPr>
              <w:jc w:val="right"/>
              <w:rPr>
                <w:rFonts w:cs="Arial"/>
                <w:szCs w:val="24"/>
              </w:rPr>
            </w:pPr>
            <w:r w:rsidRPr="00381C8E">
              <w:rPr>
                <w:rFonts w:cs="Arial"/>
                <w:szCs w:val="24"/>
              </w:rPr>
              <w:t>44</w:t>
            </w:r>
            <w:r w:rsidR="00492B19" w:rsidRPr="00381C8E">
              <w:rPr>
                <w:rFonts w:cs="Arial"/>
                <w:szCs w:val="24"/>
              </w:rPr>
              <w:t>,</w:t>
            </w:r>
            <w:r w:rsidRPr="00381C8E">
              <w:rPr>
                <w:rFonts w:cs="Arial"/>
                <w:szCs w:val="24"/>
              </w:rPr>
              <w:t>099</w:t>
            </w:r>
          </w:p>
        </w:tc>
        <w:tc>
          <w:tcPr>
            <w:tcW w:w="634" w:type="pct"/>
            <w:shd w:val="clear" w:color="auto" w:fill="auto"/>
            <w:vAlign w:val="center"/>
          </w:tcPr>
          <w:p w14:paraId="6F0286EE" w14:textId="789AFFED" w:rsidR="003A5F15" w:rsidRPr="00381C8E" w:rsidRDefault="009A592B" w:rsidP="00233A66">
            <w:pPr>
              <w:jc w:val="right"/>
              <w:rPr>
                <w:rFonts w:cs="Arial"/>
                <w:szCs w:val="24"/>
              </w:rPr>
            </w:pPr>
            <w:r w:rsidRPr="00381C8E">
              <w:rPr>
                <w:rFonts w:cs="Arial"/>
                <w:szCs w:val="24"/>
              </w:rPr>
              <w:t>197</w:t>
            </w:r>
            <w:r w:rsidR="00492B19" w:rsidRPr="00381C8E">
              <w:rPr>
                <w:rFonts w:cs="Arial"/>
                <w:szCs w:val="24"/>
              </w:rPr>
              <w:t>,</w:t>
            </w:r>
            <w:r w:rsidRPr="00381C8E">
              <w:rPr>
                <w:rFonts w:cs="Arial"/>
                <w:szCs w:val="24"/>
              </w:rPr>
              <w:t>220</w:t>
            </w:r>
          </w:p>
        </w:tc>
      </w:tr>
      <w:tr w:rsidR="00A00B2E" w:rsidRPr="00381C8E" w14:paraId="1C299CBE" w14:textId="77777777" w:rsidTr="00233A66">
        <w:tc>
          <w:tcPr>
            <w:tcW w:w="1930" w:type="pct"/>
            <w:shd w:val="clear" w:color="auto" w:fill="auto"/>
          </w:tcPr>
          <w:p w14:paraId="3460EA6F" w14:textId="4D6BC386" w:rsidR="009A592B" w:rsidRPr="00381C8E" w:rsidRDefault="003A5F15" w:rsidP="003A5F15">
            <w:pPr>
              <w:tabs>
                <w:tab w:val="left" w:pos="720"/>
                <w:tab w:val="right" w:pos="7920"/>
              </w:tabs>
              <w:rPr>
                <w:szCs w:val="24"/>
              </w:rPr>
            </w:pPr>
            <w:r w:rsidRPr="00381C8E">
              <w:rPr>
                <w:szCs w:val="24"/>
              </w:rPr>
              <w:t xml:space="preserve">Director of Service Delivery – </w:t>
            </w:r>
            <w:r w:rsidR="009A592B" w:rsidRPr="00381C8E">
              <w:rPr>
                <w:szCs w:val="24"/>
              </w:rPr>
              <w:t>John Charters</w:t>
            </w:r>
          </w:p>
        </w:tc>
        <w:tc>
          <w:tcPr>
            <w:tcW w:w="368" w:type="pct"/>
            <w:shd w:val="clear" w:color="auto" w:fill="auto"/>
            <w:vAlign w:val="center"/>
          </w:tcPr>
          <w:p w14:paraId="050E7FE4" w14:textId="6D591457" w:rsidR="003A5F15" w:rsidRPr="00381C8E" w:rsidRDefault="009A592B" w:rsidP="00233A66">
            <w:pPr>
              <w:tabs>
                <w:tab w:val="left" w:pos="1168"/>
                <w:tab w:val="right" w:pos="7920"/>
              </w:tabs>
              <w:jc w:val="right"/>
              <w:rPr>
                <w:szCs w:val="24"/>
              </w:rPr>
            </w:pPr>
            <w:r w:rsidRPr="00381C8E">
              <w:rPr>
                <w:szCs w:val="24"/>
              </w:rPr>
              <w:t>120</w:t>
            </w:r>
            <w:r w:rsidR="00492B19" w:rsidRPr="00381C8E">
              <w:rPr>
                <w:szCs w:val="24"/>
              </w:rPr>
              <w:t>,</w:t>
            </w:r>
            <w:r w:rsidRPr="00381C8E">
              <w:rPr>
                <w:szCs w:val="24"/>
              </w:rPr>
              <w:t>377</w:t>
            </w:r>
          </w:p>
        </w:tc>
        <w:tc>
          <w:tcPr>
            <w:tcW w:w="464" w:type="pct"/>
            <w:shd w:val="clear" w:color="auto" w:fill="auto"/>
            <w:vAlign w:val="center"/>
          </w:tcPr>
          <w:p w14:paraId="184CFFF5" w14:textId="1DA49692" w:rsidR="003A5F15" w:rsidRPr="00381C8E" w:rsidRDefault="003A5F15" w:rsidP="00233A66">
            <w:pPr>
              <w:tabs>
                <w:tab w:val="left" w:pos="720"/>
                <w:tab w:val="right" w:pos="7920"/>
              </w:tabs>
              <w:jc w:val="right"/>
              <w:rPr>
                <w:szCs w:val="24"/>
              </w:rPr>
            </w:pPr>
            <w:r w:rsidRPr="00381C8E">
              <w:rPr>
                <w:szCs w:val="24"/>
              </w:rPr>
              <w:t>-</w:t>
            </w:r>
          </w:p>
        </w:tc>
        <w:tc>
          <w:tcPr>
            <w:tcW w:w="732" w:type="pct"/>
            <w:shd w:val="clear" w:color="auto" w:fill="auto"/>
            <w:vAlign w:val="center"/>
          </w:tcPr>
          <w:p w14:paraId="5D042156" w14:textId="0D6E4784" w:rsidR="003A5F15" w:rsidRPr="00381C8E" w:rsidRDefault="009A592B" w:rsidP="00233A66">
            <w:pPr>
              <w:tabs>
                <w:tab w:val="left" w:pos="720"/>
                <w:tab w:val="right" w:pos="7920"/>
              </w:tabs>
              <w:jc w:val="right"/>
              <w:rPr>
                <w:szCs w:val="24"/>
              </w:rPr>
            </w:pPr>
            <w:r w:rsidRPr="00381C8E">
              <w:rPr>
                <w:szCs w:val="24"/>
              </w:rPr>
              <w:t>120</w:t>
            </w:r>
            <w:r w:rsidR="00492B19" w:rsidRPr="00381C8E">
              <w:rPr>
                <w:szCs w:val="24"/>
              </w:rPr>
              <w:t>,</w:t>
            </w:r>
            <w:r w:rsidRPr="00381C8E">
              <w:rPr>
                <w:szCs w:val="24"/>
              </w:rPr>
              <w:t>377</w:t>
            </w:r>
          </w:p>
        </w:tc>
        <w:tc>
          <w:tcPr>
            <w:tcW w:w="872" w:type="pct"/>
            <w:shd w:val="clear" w:color="auto" w:fill="auto"/>
            <w:vAlign w:val="center"/>
          </w:tcPr>
          <w:p w14:paraId="027FB717" w14:textId="5ABA5ACF" w:rsidR="003A5F15" w:rsidRPr="00381C8E" w:rsidRDefault="009A592B" w:rsidP="00233A66">
            <w:pPr>
              <w:jc w:val="right"/>
              <w:rPr>
                <w:rFonts w:cs="Arial"/>
                <w:szCs w:val="24"/>
              </w:rPr>
            </w:pPr>
            <w:r w:rsidRPr="00381C8E">
              <w:rPr>
                <w:rFonts w:cs="Arial"/>
                <w:szCs w:val="24"/>
              </w:rPr>
              <w:t>34</w:t>
            </w:r>
            <w:r w:rsidR="00492B19" w:rsidRPr="00381C8E">
              <w:rPr>
                <w:rFonts w:cs="Arial"/>
                <w:szCs w:val="24"/>
              </w:rPr>
              <w:t>,</w:t>
            </w:r>
            <w:r w:rsidRPr="00381C8E">
              <w:rPr>
                <w:rFonts w:cs="Arial"/>
                <w:szCs w:val="24"/>
              </w:rPr>
              <w:t>669</w:t>
            </w:r>
          </w:p>
        </w:tc>
        <w:tc>
          <w:tcPr>
            <w:tcW w:w="634" w:type="pct"/>
            <w:shd w:val="clear" w:color="auto" w:fill="auto"/>
            <w:vAlign w:val="center"/>
          </w:tcPr>
          <w:p w14:paraId="789F8E78" w14:textId="3A3A9875" w:rsidR="003A5F15" w:rsidRPr="00381C8E" w:rsidRDefault="009A592B" w:rsidP="00233A66">
            <w:pPr>
              <w:jc w:val="right"/>
              <w:rPr>
                <w:rFonts w:cs="Arial"/>
                <w:szCs w:val="24"/>
              </w:rPr>
            </w:pPr>
            <w:r w:rsidRPr="00381C8E">
              <w:rPr>
                <w:rFonts w:cs="Arial"/>
                <w:szCs w:val="24"/>
              </w:rPr>
              <w:t>155</w:t>
            </w:r>
            <w:r w:rsidR="00492B19" w:rsidRPr="00381C8E">
              <w:rPr>
                <w:rFonts w:cs="Arial"/>
                <w:szCs w:val="24"/>
              </w:rPr>
              <w:t>,</w:t>
            </w:r>
            <w:r w:rsidRPr="00381C8E">
              <w:rPr>
                <w:rFonts w:cs="Arial"/>
                <w:szCs w:val="24"/>
              </w:rPr>
              <w:t>046</w:t>
            </w:r>
          </w:p>
        </w:tc>
      </w:tr>
      <w:tr w:rsidR="00A00B2E" w:rsidRPr="00381C8E" w14:paraId="238109B6" w14:textId="77777777" w:rsidTr="00233A66">
        <w:tc>
          <w:tcPr>
            <w:tcW w:w="1930" w:type="pct"/>
            <w:shd w:val="clear" w:color="auto" w:fill="auto"/>
          </w:tcPr>
          <w:p w14:paraId="6D8C813B" w14:textId="3A38B8A2" w:rsidR="009A592B" w:rsidRPr="00381C8E" w:rsidRDefault="003A5F15" w:rsidP="003A5F15">
            <w:pPr>
              <w:tabs>
                <w:tab w:val="left" w:pos="720"/>
                <w:tab w:val="right" w:pos="7920"/>
              </w:tabs>
              <w:rPr>
                <w:szCs w:val="24"/>
              </w:rPr>
            </w:pPr>
            <w:r w:rsidRPr="00381C8E">
              <w:rPr>
                <w:szCs w:val="24"/>
              </w:rPr>
              <w:t xml:space="preserve">Director of Strategy &amp; Planning – Steve </w:t>
            </w:r>
            <w:r w:rsidR="009A592B" w:rsidRPr="00381C8E">
              <w:rPr>
                <w:szCs w:val="24"/>
              </w:rPr>
              <w:t>Healey</w:t>
            </w:r>
          </w:p>
        </w:tc>
        <w:tc>
          <w:tcPr>
            <w:tcW w:w="368" w:type="pct"/>
            <w:shd w:val="clear" w:color="auto" w:fill="auto"/>
            <w:vAlign w:val="center"/>
          </w:tcPr>
          <w:p w14:paraId="4246B430" w14:textId="74F79180" w:rsidR="003A5F15" w:rsidRPr="00381C8E" w:rsidRDefault="003F2637" w:rsidP="00233A66">
            <w:pPr>
              <w:tabs>
                <w:tab w:val="left" w:pos="1168"/>
                <w:tab w:val="right" w:pos="7920"/>
              </w:tabs>
              <w:jc w:val="right"/>
              <w:rPr>
                <w:szCs w:val="24"/>
              </w:rPr>
            </w:pPr>
            <w:r w:rsidRPr="00381C8E">
              <w:rPr>
                <w:szCs w:val="24"/>
              </w:rPr>
              <w:t>141</w:t>
            </w:r>
            <w:r w:rsidR="00492B19" w:rsidRPr="00381C8E">
              <w:rPr>
                <w:szCs w:val="24"/>
              </w:rPr>
              <w:t>,</w:t>
            </w:r>
            <w:r w:rsidRPr="00381C8E">
              <w:rPr>
                <w:szCs w:val="24"/>
              </w:rPr>
              <w:t>769</w:t>
            </w:r>
          </w:p>
        </w:tc>
        <w:tc>
          <w:tcPr>
            <w:tcW w:w="464" w:type="pct"/>
            <w:shd w:val="clear" w:color="auto" w:fill="auto"/>
            <w:vAlign w:val="center"/>
          </w:tcPr>
          <w:p w14:paraId="2D7B63BD" w14:textId="4F465998" w:rsidR="003A5F15" w:rsidRPr="00381C8E" w:rsidRDefault="003A5F15" w:rsidP="00233A66">
            <w:pPr>
              <w:tabs>
                <w:tab w:val="left" w:pos="720"/>
                <w:tab w:val="right" w:pos="7920"/>
              </w:tabs>
              <w:jc w:val="right"/>
              <w:rPr>
                <w:szCs w:val="24"/>
              </w:rPr>
            </w:pPr>
            <w:r w:rsidRPr="00381C8E">
              <w:rPr>
                <w:szCs w:val="24"/>
              </w:rPr>
              <w:t>-</w:t>
            </w:r>
          </w:p>
        </w:tc>
        <w:tc>
          <w:tcPr>
            <w:tcW w:w="732" w:type="pct"/>
            <w:shd w:val="clear" w:color="auto" w:fill="auto"/>
            <w:vAlign w:val="center"/>
          </w:tcPr>
          <w:p w14:paraId="71AE1C61" w14:textId="60F30764" w:rsidR="003A5F15" w:rsidRPr="00381C8E" w:rsidRDefault="003F2637" w:rsidP="00233A66">
            <w:pPr>
              <w:tabs>
                <w:tab w:val="left" w:pos="720"/>
                <w:tab w:val="right" w:pos="7920"/>
              </w:tabs>
              <w:jc w:val="right"/>
              <w:rPr>
                <w:szCs w:val="24"/>
              </w:rPr>
            </w:pPr>
            <w:r w:rsidRPr="00381C8E">
              <w:rPr>
                <w:szCs w:val="24"/>
              </w:rPr>
              <w:t>141</w:t>
            </w:r>
            <w:r w:rsidR="00492B19" w:rsidRPr="00381C8E">
              <w:rPr>
                <w:szCs w:val="24"/>
              </w:rPr>
              <w:t>,</w:t>
            </w:r>
            <w:r w:rsidRPr="00381C8E">
              <w:rPr>
                <w:szCs w:val="24"/>
              </w:rPr>
              <w:t>769</w:t>
            </w:r>
          </w:p>
        </w:tc>
        <w:tc>
          <w:tcPr>
            <w:tcW w:w="872" w:type="pct"/>
            <w:shd w:val="clear" w:color="auto" w:fill="auto"/>
            <w:vAlign w:val="center"/>
          </w:tcPr>
          <w:p w14:paraId="3F83A375" w14:textId="666F7300" w:rsidR="003A5F15" w:rsidRPr="00381C8E" w:rsidRDefault="003F2637" w:rsidP="00233A66">
            <w:pPr>
              <w:jc w:val="right"/>
              <w:rPr>
                <w:rFonts w:cs="Arial"/>
                <w:szCs w:val="24"/>
              </w:rPr>
            </w:pPr>
            <w:r w:rsidRPr="00381C8E">
              <w:rPr>
                <w:rFonts w:cs="Arial"/>
                <w:szCs w:val="24"/>
              </w:rPr>
              <w:t>40</w:t>
            </w:r>
            <w:r w:rsidR="00492B19" w:rsidRPr="00381C8E">
              <w:rPr>
                <w:rFonts w:cs="Arial"/>
                <w:szCs w:val="24"/>
              </w:rPr>
              <w:t>,</w:t>
            </w:r>
            <w:r w:rsidRPr="00381C8E">
              <w:rPr>
                <w:rFonts w:cs="Arial"/>
                <w:szCs w:val="24"/>
              </w:rPr>
              <w:t>829</w:t>
            </w:r>
          </w:p>
        </w:tc>
        <w:tc>
          <w:tcPr>
            <w:tcW w:w="634" w:type="pct"/>
            <w:shd w:val="clear" w:color="auto" w:fill="auto"/>
            <w:vAlign w:val="center"/>
          </w:tcPr>
          <w:p w14:paraId="3822A0D6" w14:textId="5C9BA183" w:rsidR="003A5F15" w:rsidRPr="00381C8E" w:rsidRDefault="003F2637" w:rsidP="00233A66">
            <w:pPr>
              <w:jc w:val="right"/>
              <w:rPr>
                <w:rFonts w:cs="Arial"/>
                <w:szCs w:val="24"/>
              </w:rPr>
            </w:pPr>
            <w:r w:rsidRPr="00381C8E">
              <w:rPr>
                <w:rFonts w:cs="Arial"/>
                <w:szCs w:val="24"/>
              </w:rPr>
              <w:t>182</w:t>
            </w:r>
            <w:r w:rsidR="00492B19" w:rsidRPr="00381C8E">
              <w:rPr>
                <w:rFonts w:cs="Arial"/>
                <w:szCs w:val="24"/>
              </w:rPr>
              <w:t>,</w:t>
            </w:r>
            <w:r w:rsidRPr="00381C8E">
              <w:rPr>
                <w:rFonts w:cs="Arial"/>
                <w:szCs w:val="24"/>
              </w:rPr>
              <w:t>598</w:t>
            </w:r>
          </w:p>
        </w:tc>
      </w:tr>
      <w:tr w:rsidR="00A00B2E" w:rsidRPr="00381C8E" w14:paraId="782A2554" w14:textId="77777777" w:rsidTr="00233A66">
        <w:tc>
          <w:tcPr>
            <w:tcW w:w="1930" w:type="pct"/>
            <w:shd w:val="clear" w:color="auto" w:fill="auto"/>
          </w:tcPr>
          <w:p w14:paraId="036ED4E8" w14:textId="2D0FE73C" w:rsidR="009A592B" w:rsidRPr="00381C8E" w:rsidRDefault="009A592B" w:rsidP="003A5F15">
            <w:pPr>
              <w:tabs>
                <w:tab w:val="left" w:pos="720"/>
                <w:tab w:val="right" w:pos="7920"/>
              </w:tabs>
              <w:rPr>
                <w:szCs w:val="24"/>
              </w:rPr>
            </w:pPr>
            <w:r w:rsidRPr="00381C8E">
              <w:rPr>
                <w:szCs w:val="24"/>
              </w:rPr>
              <w:t>Director of People &amp; Development – Robert Warren</w:t>
            </w:r>
          </w:p>
        </w:tc>
        <w:tc>
          <w:tcPr>
            <w:tcW w:w="368" w:type="pct"/>
            <w:shd w:val="clear" w:color="auto" w:fill="auto"/>
            <w:vAlign w:val="center"/>
          </w:tcPr>
          <w:p w14:paraId="4DEA7E61" w14:textId="5990089D" w:rsidR="009A592B" w:rsidRPr="00381C8E" w:rsidRDefault="003F2637" w:rsidP="00233A66">
            <w:pPr>
              <w:tabs>
                <w:tab w:val="left" w:pos="1168"/>
                <w:tab w:val="right" w:pos="7920"/>
              </w:tabs>
              <w:jc w:val="right"/>
              <w:rPr>
                <w:szCs w:val="24"/>
              </w:rPr>
            </w:pPr>
            <w:r w:rsidRPr="00381C8E">
              <w:rPr>
                <w:szCs w:val="24"/>
              </w:rPr>
              <w:t>108</w:t>
            </w:r>
            <w:r w:rsidR="00492B19" w:rsidRPr="00381C8E">
              <w:rPr>
                <w:szCs w:val="24"/>
              </w:rPr>
              <w:t>,</w:t>
            </w:r>
            <w:r w:rsidRPr="00381C8E">
              <w:rPr>
                <w:szCs w:val="24"/>
              </w:rPr>
              <w:t>678</w:t>
            </w:r>
          </w:p>
        </w:tc>
        <w:tc>
          <w:tcPr>
            <w:tcW w:w="464" w:type="pct"/>
            <w:shd w:val="clear" w:color="auto" w:fill="auto"/>
            <w:vAlign w:val="center"/>
          </w:tcPr>
          <w:p w14:paraId="37FF2E9F" w14:textId="332734BD" w:rsidR="009A592B" w:rsidRPr="00381C8E" w:rsidRDefault="009A592B" w:rsidP="00233A66">
            <w:pPr>
              <w:tabs>
                <w:tab w:val="left" w:pos="720"/>
                <w:tab w:val="right" w:pos="7920"/>
              </w:tabs>
              <w:jc w:val="right"/>
              <w:rPr>
                <w:szCs w:val="24"/>
              </w:rPr>
            </w:pPr>
            <w:r w:rsidRPr="00381C8E">
              <w:rPr>
                <w:szCs w:val="24"/>
              </w:rPr>
              <w:t>-</w:t>
            </w:r>
          </w:p>
        </w:tc>
        <w:tc>
          <w:tcPr>
            <w:tcW w:w="732" w:type="pct"/>
            <w:shd w:val="clear" w:color="auto" w:fill="auto"/>
            <w:vAlign w:val="center"/>
          </w:tcPr>
          <w:p w14:paraId="53AC6C5E" w14:textId="05A749B4" w:rsidR="009A592B" w:rsidRPr="00381C8E" w:rsidRDefault="003F2637" w:rsidP="00233A66">
            <w:pPr>
              <w:tabs>
                <w:tab w:val="left" w:pos="720"/>
                <w:tab w:val="right" w:pos="7920"/>
              </w:tabs>
              <w:jc w:val="right"/>
              <w:rPr>
                <w:szCs w:val="24"/>
              </w:rPr>
            </w:pPr>
            <w:r w:rsidRPr="00381C8E">
              <w:rPr>
                <w:szCs w:val="24"/>
              </w:rPr>
              <w:t>108</w:t>
            </w:r>
            <w:r w:rsidR="00492B19" w:rsidRPr="00381C8E">
              <w:rPr>
                <w:szCs w:val="24"/>
              </w:rPr>
              <w:t>,</w:t>
            </w:r>
            <w:r w:rsidRPr="00381C8E">
              <w:rPr>
                <w:szCs w:val="24"/>
              </w:rPr>
              <w:t>678</w:t>
            </w:r>
          </w:p>
        </w:tc>
        <w:tc>
          <w:tcPr>
            <w:tcW w:w="872" w:type="pct"/>
            <w:shd w:val="clear" w:color="auto" w:fill="auto"/>
            <w:vAlign w:val="center"/>
          </w:tcPr>
          <w:p w14:paraId="18C62D7D" w14:textId="2EC9A830" w:rsidR="009A592B" w:rsidRPr="00381C8E" w:rsidRDefault="003F2637" w:rsidP="00233A66">
            <w:pPr>
              <w:jc w:val="right"/>
              <w:rPr>
                <w:rFonts w:cs="Arial"/>
                <w:szCs w:val="24"/>
              </w:rPr>
            </w:pPr>
            <w:r w:rsidRPr="00381C8E">
              <w:rPr>
                <w:rFonts w:cs="Arial"/>
                <w:szCs w:val="24"/>
              </w:rPr>
              <w:t>18</w:t>
            </w:r>
            <w:r w:rsidR="00492B19" w:rsidRPr="00381C8E">
              <w:rPr>
                <w:rFonts w:cs="Arial"/>
                <w:szCs w:val="24"/>
              </w:rPr>
              <w:t>,</w:t>
            </w:r>
            <w:r w:rsidRPr="00381C8E">
              <w:rPr>
                <w:rFonts w:cs="Arial"/>
                <w:szCs w:val="24"/>
              </w:rPr>
              <w:t>5</w:t>
            </w:r>
            <w:r w:rsidR="008E3F71" w:rsidRPr="00381C8E">
              <w:rPr>
                <w:rFonts w:cs="Arial"/>
                <w:szCs w:val="24"/>
              </w:rPr>
              <w:t>84</w:t>
            </w:r>
          </w:p>
        </w:tc>
        <w:tc>
          <w:tcPr>
            <w:tcW w:w="634" w:type="pct"/>
            <w:shd w:val="clear" w:color="auto" w:fill="auto"/>
            <w:vAlign w:val="center"/>
          </w:tcPr>
          <w:p w14:paraId="05CBD800" w14:textId="1BDBE407" w:rsidR="009A592B" w:rsidRPr="00381C8E" w:rsidRDefault="003F2637" w:rsidP="00233A66">
            <w:pPr>
              <w:jc w:val="right"/>
              <w:rPr>
                <w:rFonts w:cs="Arial"/>
                <w:szCs w:val="24"/>
              </w:rPr>
            </w:pPr>
            <w:r w:rsidRPr="00381C8E">
              <w:rPr>
                <w:rFonts w:cs="Arial"/>
                <w:szCs w:val="24"/>
              </w:rPr>
              <w:t>127</w:t>
            </w:r>
            <w:r w:rsidR="00492B19" w:rsidRPr="00381C8E">
              <w:rPr>
                <w:rFonts w:cs="Arial"/>
                <w:szCs w:val="24"/>
              </w:rPr>
              <w:t>,</w:t>
            </w:r>
            <w:r w:rsidRPr="00381C8E">
              <w:rPr>
                <w:rFonts w:cs="Arial"/>
                <w:szCs w:val="24"/>
              </w:rPr>
              <w:t>2</w:t>
            </w:r>
            <w:r w:rsidR="008E3F71" w:rsidRPr="00381C8E">
              <w:rPr>
                <w:rFonts w:cs="Arial"/>
                <w:szCs w:val="24"/>
              </w:rPr>
              <w:t>62</w:t>
            </w:r>
          </w:p>
        </w:tc>
      </w:tr>
      <w:tr w:rsidR="00A00B2E" w:rsidRPr="00381C8E" w14:paraId="74CB00B7" w14:textId="77777777" w:rsidTr="00233A66">
        <w:tc>
          <w:tcPr>
            <w:tcW w:w="1930" w:type="pct"/>
            <w:shd w:val="clear" w:color="auto" w:fill="auto"/>
          </w:tcPr>
          <w:p w14:paraId="03E7039A" w14:textId="2356574E" w:rsidR="009A592B" w:rsidRPr="00381C8E" w:rsidRDefault="009A592B" w:rsidP="003A5F15">
            <w:pPr>
              <w:tabs>
                <w:tab w:val="left" w:pos="720"/>
                <w:tab w:val="right" w:pos="7920"/>
              </w:tabs>
              <w:rPr>
                <w:szCs w:val="24"/>
              </w:rPr>
            </w:pPr>
            <w:r w:rsidRPr="00381C8E">
              <w:rPr>
                <w:szCs w:val="24"/>
              </w:rPr>
              <w:t>Director of Corporate Services – Keith Mattinson</w:t>
            </w:r>
          </w:p>
        </w:tc>
        <w:tc>
          <w:tcPr>
            <w:tcW w:w="368" w:type="pct"/>
            <w:shd w:val="clear" w:color="auto" w:fill="auto"/>
            <w:vAlign w:val="center"/>
          </w:tcPr>
          <w:p w14:paraId="5081D6A1" w14:textId="7763CC59" w:rsidR="009A592B" w:rsidRPr="00381C8E" w:rsidRDefault="003F2637" w:rsidP="00233A66">
            <w:pPr>
              <w:tabs>
                <w:tab w:val="left" w:pos="1168"/>
                <w:tab w:val="right" w:pos="7920"/>
              </w:tabs>
              <w:jc w:val="right"/>
              <w:rPr>
                <w:szCs w:val="24"/>
              </w:rPr>
            </w:pPr>
            <w:r w:rsidRPr="00381C8E">
              <w:rPr>
                <w:szCs w:val="24"/>
              </w:rPr>
              <w:t>94</w:t>
            </w:r>
            <w:r w:rsidR="00492B19" w:rsidRPr="00381C8E">
              <w:rPr>
                <w:szCs w:val="24"/>
              </w:rPr>
              <w:t>,</w:t>
            </w:r>
            <w:r w:rsidRPr="00381C8E">
              <w:rPr>
                <w:szCs w:val="24"/>
              </w:rPr>
              <w:t>344</w:t>
            </w:r>
          </w:p>
        </w:tc>
        <w:tc>
          <w:tcPr>
            <w:tcW w:w="464" w:type="pct"/>
            <w:shd w:val="clear" w:color="auto" w:fill="auto"/>
            <w:vAlign w:val="center"/>
          </w:tcPr>
          <w:p w14:paraId="2013B45C" w14:textId="0874D642" w:rsidR="009A592B" w:rsidRPr="00381C8E" w:rsidRDefault="009A592B" w:rsidP="00233A66">
            <w:pPr>
              <w:tabs>
                <w:tab w:val="left" w:pos="720"/>
                <w:tab w:val="right" w:pos="7920"/>
              </w:tabs>
              <w:jc w:val="right"/>
              <w:rPr>
                <w:szCs w:val="24"/>
              </w:rPr>
            </w:pPr>
            <w:r w:rsidRPr="00381C8E">
              <w:rPr>
                <w:szCs w:val="24"/>
              </w:rPr>
              <w:t>-</w:t>
            </w:r>
          </w:p>
        </w:tc>
        <w:tc>
          <w:tcPr>
            <w:tcW w:w="732" w:type="pct"/>
            <w:shd w:val="clear" w:color="auto" w:fill="auto"/>
            <w:vAlign w:val="center"/>
          </w:tcPr>
          <w:p w14:paraId="2EFAE70B" w14:textId="4AA367D2" w:rsidR="009A592B" w:rsidRPr="00381C8E" w:rsidRDefault="003F2637" w:rsidP="00233A66">
            <w:pPr>
              <w:tabs>
                <w:tab w:val="left" w:pos="1168"/>
                <w:tab w:val="right" w:pos="7920"/>
              </w:tabs>
              <w:jc w:val="right"/>
              <w:rPr>
                <w:szCs w:val="24"/>
              </w:rPr>
            </w:pPr>
            <w:r w:rsidRPr="00381C8E">
              <w:rPr>
                <w:szCs w:val="24"/>
              </w:rPr>
              <w:t>94</w:t>
            </w:r>
            <w:r w:rsidR="00492B19" w:rsidRPr="00381C8E">
              <w:rPr>
                <w:szCs w:val="24"/>
              </w:rPr>
              <w:t>,</w:t>
            </w:r>
            <w:r w:rsidRPr="00381C8E">
              <w:rPr>
                <w:szCs w:val="24"/>
              </w:rPr>
              <w:t>344</w:t>
            </w:r>
          </w:p>
        </w:tc>
        <w:tc>
          <w:tcPr>
            <w:tcW w:w="872" w:type="pct"/>
            <w:shd w:val="clear" w:color="auto" w:fill="auto"/>
            <w:vAlign w:val="center"/>
          </w:tcPr>
          <w:p w14:paraId="6A7E5E9F" w14:textId="79D2B5EF" w:rsidR="009A592B" w:rsidRPr="00381C8E" w:rsidRDefault="003F2637" w:rsidP="00233A66">
            <w:pPr>
              <w:jc w:val="right"/>
              <w:rPr>
                <w:rFonts w:cs="Arial"/>
                <w:szCs w:val="24"/>
              </w:rPr>
            </w:pPr>
            <w:r w:rsidRPr="00381C8E">
              <w:rPr>
                <w:rFonts w:cs="Arial"/>
                <w:szCs w:val="24"/>
              </w:rPr>
              <w:t>16</w:t>
            </w:r>
            <w:r w:rsidR="00492B19" w:rsidRPr="00381C8E">
              <w:rPr>
                <w:rFonts w:cs="Arial"/>
                <w:szCs w:val="24"/>
              </w:rPr>
              <w:t>,</w:t>
            </w:r>
            <w:r w:rsidRPr="00381C8E">
              <w:rPr>
                <w:rFonts w:cs="Arial"/>
                <w:szCs w:val="24"/>
              </w:rPr>
              <w:t>133</w:t>
            </w:r>
          </w:p>
        </w:tc>
        <w:tc>
          <w:tcPr>
            <w:tcW w:w="634" w:type="pct"/>
            <w:shd w:val="clear" w:color="auto" w:fill="auto"/>
            <w:vAlign w:val="center"/>
          </w:tcPr>
          <w:p w14:paraId="0D00DA7F" w14:textId="239A7914" w:rsidR="009A592B" w:rsidRPr="00381C8E" w:rsidRDefault="003F2637" w:rsidP="00233A66">
            <w:pPr>
              <w:jc w:val="right"/>
              <w:rPr>
                <w:rFonts w:cs="Arial"/>
                <w:szCs w:val="24"/>
              </w:rPr>
            </w:pPr>
            <w:r w:rsidRPr="00381C8E">
              <w:rPr>
                <w:rFonts w:cs="Arial"/>
                <w:szCs w:val="24"/>
              </w:rPr>
              <w:t>110</w:t>
            </w:r>
            <w:r w:rsidR="00492B19" w:rsidRPr="00381C8E">
              <w:rPr>
                <w:rFonts w:cs="Arial"/>
                <w:szCs w:val="24"/>
              </w:rPr>
              <w:t>,</w:t>
            </w:r>
            <w:r w:rsidRPr="00381C8E">
              <w:rPr>
                <w:rFonts w:cs="Arial"/>
                <w:szCs w:val="24"/>
              </w:rPr>
              <w:t>477</w:t>
            </w:r>
          </w:p>
        </w:tc>
      </w:tr>
      <w:tr w:rsidR="00A00B2E" w:rsidRPr="00381C8E" w14:paraId="0E6CA097" w14:textId="77777777" w:rsidTr="00233A66">
        <w:tc>
          <w:tcPr>
            <w:tcW w:w="1930" w:type="pct"/>
            <w:shd w:val="clear" w:color="auto" w:fill="auto"/>
          </w:tcPr>
          <w:p w14:paraId="2AE770BB" w14:textId="0ABCF940" w:rsidR="009A592B" w:rsidRPr="00381C8E" w:rsidRDefault="00FA71D8" w:rsidP="003A5F15">
            <w:pPr>
              <w:tabs>
                <w:tab w:val="left" w:pos="720"/>
                <w:tab w:val="right" w:pos="7920"/>
              </w:tabs>
              <w:rPr>
                <w:szCs w:val="24"/>
              </w:rPr>
            </w:pPr>
            <w:r w:rsidRPr="00381C8E">
              <w:rPr>
                <w:szCs w:val="24"/>
              </w:rPr>
              <w:t>Total</w:t>
            </w:r>
          </w:p>
        </w:tc>
        <w:tc>
          <w:tcPr>
            <w:tcW w:w="368" w:type="pct"/>
            <w:shd w:val="clear" w:color="auto" w:fill="auto"/>
            <w:vAlign w:val="center"/>
          </w:tcPr>
          <w:p w14:paraId="0BDC8057" w14:textId="2E926314" w:rsidR="009A592B" w:rsidRPr="00381C8E" w:rsidRDefault="003F2637" w:rsidP="00233A66">
            <w:pPr>
              <w:tabs>
                <w:tab w:val="left" w:pos="1168"/>
                <w:tab w:val="right" w:pos="7920"/>
              </w:tabs>
              <w:jc w:val="right"/>
              <w:rPr>
                <w:szCs w:val="24"/>
              </w:rPr>
            </w:pPr>
            <w:r w:rsidRPr="00381C8E">
              <w:rPr>
                <w:szCs w:val="24"/>
              </w:rPr>
              <w:t>618</w:t>
            </w:r>
            <w:r w:rsidR="00492B19" w:rsidRPr="00381C8E">
              <w:rPr>
                <w:szCs w:val="24"/>
              </w:rPr>
              <w:t>,</w:t>
            </w:r>
            <w:r w:rsidRPr="00381C8E">
              <w:rPr>
                <w:szCs w:val="24"/>
              </w:rPr>
              <w:t>2</w:t>
            </w:r>
            <w:r w:rsidR="008E3F71" w:rsidRPr="00381C8E">
              <w:rPr>
                <w:szCs w:val="24"/>
              </w:rPr>
              <w:t>89</w:t>
            </w:r>
          </w:p>
        </w:tc>
        <w:tc>
          <w:tcPr>
            <w:tcW w:w="464" w:type="pct"/>
            <w:shd w:val="clear" w:color="auto" w:fill="auto"/>
            <w:vAlign w:val="center"/>
          </w:tcPr>
          <w:p w14:paraId="25344B3F" w14:textId="7E2BA8C9" w:rsidR="009A592B" w:rsidRPr="00381C8E" w:rsidRDefault="009A592B" w:rsidP="00233A66">
            <w:pPr>
              <w:tabs>
                <w:tab w:val="left" w:pos="720"/>
                <w:tab w:val="right" w:pos="7920"/>
              </w:tabs>
              <w:jc w:val="right"/>
              <w:rPr>
                <w:szCs w:val="24"/>
              </w:rPr>
            </w:pPr>
            <w:r w:rsidRPr="00381C8E">
              <w:rPr>
                <w:szCs w:val="24"/>
              </w:rPr>
              <w:t>-</w:t>
            </w:r>
          </w:p>
        </w:tc>
        <w:tc>
          <w:tcPr>
            <w:tcW w:w="732" w:type="pct"/>
            <w:shd w:val="clear" w:color="auto" w:fill="auto"/>
            <w:vAlign w:val="center"/>
          </w:tcPr>
          <w:p w14:paraId="623767DB" w14:textId="4E15BBEF" w:rsidR="009A592B" w:rsidRPr="00381C8E" w:rsidRDefault="003F2637" w:rsidP="00233A66">
            <w:pPr>
              <w:tabs>
                <w:tab w:val="left" w:pos="1168"/>
                <w:tab w:val="right" w:pos="7920"/>
              </w:tabs>
              <w:jc w:val="right"/>
              <w:rPr>
                <w:szCs w:val="24"/>
              </w:rPr>
            </w:pPr>
            <w:r w:rsidRPr="00381C8E">
              <w:rPr>
                <w:szCs w:val="24"/>
              </w:rPr>
              <w:t>618</w:t>
            </w:r>
            <w:r w:rsidR="00492B19" w:rsidRPr="00381C8E">
              <w:rPr>
                <w:szCs w:val="24"/>
              </w:rPr>
              <w:t>,</w:t>
            </w:r>
            <w:r w:rsidRPr="00381C8E">
              <w:rPr>
                <w:szCs w:val="24"/>
              </w:rPr>
              <w:t>2</w:t>
            </w:r>
            <w:r w:rsidR="008E3F71" w:rsidRPr="00381C8E">
              <w:rPr>
                <w:szCs w:val="24"/>
              </w:rPr>
              <w:t>89</w:t>
            </w:r>
          </w:p>
        </w:tc>
        <w:tc>
          <w:tcPr>
            <w:tcW w:w="872" w:type="pct"/>
            <w:shd w:val="clear" w:color="auto" w:fill="auto"/>
            <w:vAlign w:val="center"/>
          </w:tcPr>
          <w:p w14:paraId="029830B4" w14:textId="0C550E26" w:rsidR="009A592B" w:rsidRPr="00381C8E" w:rsidRDefault="003F2637" w:rsidP="00233A66">
            <w:pPr>
              <w:jc w:val="right"/>
              <w:rPr>
                <w:rFonts w:cs="Arial"/>
                <w:szCs w:val="24"/>
              </w:rPr>
            </w:pPr>
            <w:r w:rsidRPr="00381C8E">
              <w:rPr>
                <w:rFonts w:cs="Arial"/>
                <w:szCs w:val="24"/>
              </w:rPr>
              <w:t>154</w:t>
            </w:r>
            <w:r w:rsidR="00492B19" w:rsidRPr="00381C8E">
              <w:rPr>
                <w:rFonts w:cs="Arial"/>
                <w:szCs w:val="24"/>
              </w:rPr>
              <w:t>,</w:t>
            </w:r>
            <w:r w:rsidRPr="00381C8E">
              <w:rPr>
                <w:rFonts w:cs="Arial"/>
                <w:szCs w:val="24"/>
              </w:rPr>
              <w:t>314</w:t>
            </w:r>
          </w:p>
        </w:tc>
        <w:tc>
          <w:tcPr>
            <w:tcW w:w="634" w:type="pct"/>
            <w:shd w:val="clear" w:color="auto" w:fill="auto"/>
            <w:vAlign w:val="center"/>
          </w:tcPr>
          <w:p w14:paraId="23910B56" w14:textId="360C91AF" w:rsidR="009A592B" w:rsidRPr="00381C8E" w:rsidRDefault="003F2637" w:rsidP="00233A66">
            <w:pPr>
              <w:jc w:val="right"/>
              <w:rPr>
                <w:rFonts w:cs="Arial"/>
                <w:szCs w:val="24"/>
              </w:rPr>
            </w:pPr>
            <w:r w:rsidRPr="00381C8E">
              <w:rPr>
                <w:rFonts w:cs="Arial"/>
                <w:szCs w:val="24"/>
              </w:rPr>
              <w:t>772</w:t>
            </w:r>
            <w:r w:rsidR="00492B19" w:rsidRPr="00381C8E">
              <w:rPr>
                <w:rFonts w:cs="Arial"/>
                <w:szCs w:val="24"/>
              </w:rPr>
              <w:t>,</w:t>
            </w:r>
            <w:r w:rsidRPr="00381C8E">
              <w:rPr>
                <w:rFonts w:cs="Arial"/>
                <w:szCs w:val="24"/>
              </w:rPr>
              <w:t>603</w:t>
            </w:r>
          </w:p>
        </w:tc>
      </w:tr>
      <w:bookmarkEnd w:id="29"/>
    </w:tbl>
    <w:p w14:paraId="66016A78" w14:textId="5626AE1B" w:rsidR="005D04CB" w:rsidRPr="00381C8E" w:rsidRDefault="005D04CB">
      <w:pPr>
        <w:rPr>
          <w:szCs w:val="24"/>
        </w:rPr>
      </w:pPr>
    </w:p>
    <w:tbl>
      <w:tblPr>
        <w:tblW w:w="154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7"/>
        <w:gridCol w:w="1134"/>
        <w:gridCol w:w="1434"/>
        <w:gridCol w:w="2256"/>
        <w:gridCol w:w="2687"/>
        <w:gridCol w:w="1956"/>
      </w:tblGrid>
      <w:tr w:rsidR="00A01DCD" w:rsidRPr="00381C8E" w14:paraId="0F723510" w14:textId="77777777" w:rsidTr="00611673">
        <w:trPr>
          <w:tblHeader/>
        </w:trPr>
        <w:tc>
          <w:tcPr>
            <w:tcW w:w="5987" w:type="dxa"/>
            <w:shd w:val="clear" w:color="auto" w:fill="BD2716"/>
            <w:vAlign w:val="center"/>
          </w:tcPr>
          <w:p w14:paraId="4B57F888" w14:textId="4E7E2C16" w:rsidR="00A01DCD" w:rsidRPr="007641BA" w:rsidRDefault="00A01DCD" w:rsidP="00611673">
            <w:pPr>
              <w:tabs>
                <w:tab w:val="left" w:pos="720"/>
                <w:tab w:val="right" w:pos="7920"/>
              </w:tabs>
              <w:rPr>
                <w:bCs/>
                <w:color w:val="FFFFFF" w:themeColor="background1"/>
                <w:szCs w:val="24"/>
              </w:rPr>
            </w:pPr>
            <w:r w:rsidRPr="007641BA">
              <w:rPr>
                <w:bCs/>
                <w:color w:val="FFFFFF" w:themeColor="background1"/>
                <w:szCs w:val="24"/>
              </w:rPr>
              <w:t>2021/22</w:t>
            </w:r>
          </w:p>
          <w:p w14:paraId="654CCDFE" w14:textId="44DB07F6" w:rsidR="00A01DCD" w:rsidRPr="007641BA" w:rsidRDefault="00A01DCD" w:rsidP="00611673">
            <w:pPr>
              <w:tabs>
                <w:tab w:val="left" w:pos="720"/>
                <w:tab w:val="right" w:pos="7920"/>
              </w:tabs>
              <w:rPr>
                <w:b/>
                <w:color w:val="FFFFFF" w:themeColor="background1"/>
                <w:szCs w:val="24"/>
              </w:rPr>
            </w:pPr>
            <w:r w:rsidRPr="007641BA">
              <w:rPr>
                <w:bCs/>
                <w:color w:val="FFFFFF" w:themeColor="background1"/>
                <w:szCs w:val="24"/>
              </w:rPr>
              <w:t>Post holder information (post title and name)</w:t>
            </w:r>
          </w:p>
          <w:p w14:paraId="3F9DEB68" w14:textId="596E2E45" w:rsidR="00A01DCD" w:rsidRPr="007641BA" w:rsidRDefault="00A01DCD" w:rsidP="00611673">
            <w:pPr>
              <w:tabs>
                <w:tab w:val="left" w:pos="720"/>
                <w:tab w:val="right" w:pos="7920"/>
              </w:tabs>
              <w:rPr>
                <w:b/>
                <w:color w:val="FFFFFF" w:themeColor="background1"/>
                <w:szCs w:val="24"/>
              </w:rPr>
            </w:pPr>
          </w:p>
        </w:tc>
        <w:tc>
          <w:tcPr>
            <w:tcW w:w="1134" w:type="dxa"/>
            <w:shd w:val="clear" w:color="auto" w:fill="BD2716"/>
            <w:vAlign w:val="center"/>
          </w:tcPr>
          <w:p w14:paraId="68CC7BEA" w14:textId="77777777" w:rsidR="00A01DCD" w:rsidRPr="007641BA" w:rsidRDefault="00A01DCD" w:rsidP="00611673">
            <w:pPr>
              <w:tabs>
                <w:tab w:val="left" w:pos="720"/>
                <w:tab w:val="right" w:pos="7920"/>
              </w:tabs>
              <w:jc w:val="right"/>
              <w:rPr>
                <w:color w:val="FFFFFF" w:themeColor="background1"/>
                <w:szCs w:val="24"/>
              </w:rPr>
            </w:pPr>
            <w:r w:rsidRPr="007641BA">
              <w:rPr>
                <w:color w:val="FFFFFF" w:themeColor="background1"/>
                <w:szCs w:val="24"/>
              </w:rPr>
              <w:t>Salary</w:t>
            </w:r>
          </w:p>
          <w:p w14:paraId="1BDAFD90" w14:textId="07BAAE15" w:rsidR="00A01DCD" w:rsidRPr="007641BA" w:rsidRDefault="00A01DCD" w:rsidP="00611673">
            <w:pPr>
              <w:tabs>
                <w:tab w:val="left" w:pos="720"/>
                <w:tab w:val="right" w:pos="7920"/>
              </w:tabs>
              <w:jc w:val="right"/>
              <w:rPr>
                <w:color w:val="FFFFFF" w:themeColor="background1"/>
                <w:szCs w:val="24"/>
              </w:rPr>
            </w:pPr>
            <w:r w:rsidRPr="007641BA">
              <w:rPr>
                <w:color w:val="FFFFFF" w:themeColor="background1"/>
                <w:szCs w:val="24"/>
              </w:rPr>
              <w:t>£000</w:t>
            </w:r>
          </w:p>
        </w:tc>
        <w:tc>
          <w:tcPr>
            <w:tcW w:w="1434" w:type="dxa"/>
            <w:shd w:val="clear" w:color="auto" w:fill="BD2716"/>
            <w:vAlign w:val="center"/>
          </w:tcPr>
          <w:p w14:paraId="34AB79A9" w14:textId="77777777" w:rsidR="00372872" w:rsidRPr="007641BA" w:rsidRDefault="00372872" w:rsidP="00611673">
            <w:pPr>
              <w:tabs>
                <w:tab w:val="left" w:pos="720"/>
                <w:tab w:val="right" w:pos="7920"/>
              </w:tabs>
              <w:jc w:val="right"/>
              <w:rPr>
                <w:color w:val="FFFFFF" w:themeColor="background1"/>
                <w:szCs w:val="24"/>
              </w:rPr>
            </w:pPr>
            <w:r w:rsidRPr="007641BA">
              <w:rPr>
                <w:color w:val="FFFFFF" w:themeColor="background1"/>
                <w:szCs w:val="24"/>
              </w:rPr>
              <w:t>Allowances</w:t>
            </w:r>
          </w:p>
          <w:p w14:paraId="316729BA" w14:textId="77777777" w:rsidR="00372872" w:rsidRPr="007641BA" w:rsidRDefault="00372872" w:rsidP="00611673">
            <w:pPr>
              <w:tabs>
                <w:tab w:val="left" w:pos="720"/>
                <w:tab w:val="right" w:pos="7920"/>
              </w:tabs>
              <w:jc w:val="right"/>
              <w:rPr>
                <w:color w:val="FFFFFF" w:themeColor="background1"/>
                <w:szCs w:val="24"/>
              </w:rPr>
            </w:pPr>
            <w:r w:rsidRPr="007641BA">
              <w:rPr>
                <w:color w:val="FFFFFF" w:themeColor="background1"/>
                <w:szCs w:val="24"/>
              </w:rPr>
              <w:t>£000</w:t>
            </w:r>
          </w:p>
          <w:p w14:paraId="4F6BA186" w14:textId="1FB51F97" w:rsidR="00A01DCD" w:rsidRPr="007641BA" w:rsidRDefault="00A01DCD" w:rsidP="00611673">
            <w:pPr>
              <w:tabs>
                <w:tab w:val="left" w:pos="720"/>
                <w:tab w:val="right" w:pos="7920"/>
              </w:tabs>
              <w:jc w:val="right"/>
              <w:rPr>
                <w:color w:val="FFFFFF" w:themeColor="background1"/>
                <w:szCs w:val="24"/>
              </w:rPr>
            </w:pPr>
          </w:p>
        </w:tc>
        <w:tc>
          <w:tcPr>
            <w:tcW w:w="2256" w:type="dxa"/>
            <w:shd w:val="clear" w:color="auto" w:fill="BD2716"/>
            <w:vAlign w:val="center"/>
          </w:tcPr>
          <w:p w14:paraId="0752AD00" w14:textId="77777777" w:rsidR="00A01DCD" w:rsidRPr="007641BA" w:rsidRDefault="00A01DCD" w:rsidP="00611673">
            <w:pPr>
              <w:tabs>
                <w:tab w:val="left" w:pos="720"/>
                <w:tab w:val="right" w:pos="7920"/>
              </w:tabs>
              <w:jc w:val="right"/>
              <w:rPr>
                <w:color w:val="FFFFFF" w:themeColor="background1"/>
                <w:szCs w:val="24"/>
              </w:rPr>
            </w:pPr>
            <w:r w:rsidRPr="007641BA">
              <w:rPr>
                <w:color w:val="FFFFFF" w:themeColor="background1"/>
                <w:szCs w:val="24"/>
              </w:rPr>
              <w:t xml:space="preserve">Total Remuneration excluding pension </w:t>
            </w:r>
            <w:proofErr w:type="gramStart"/>
            <w:r w:rsidRPr="007641BA">
              <w:rPr>
                <w:color w:val="FFFFFF" w:themeColor="background1"/>
                <w:szCs w:val="24"/>
              </w:rPr>
              <w:t>contributions</w:t>
            </w:r>
            <w:proofErr w:type="gramEnd"/>
          </w:p>
          <w:p w14:paraId="116940A7" w14:textId="09C39CAA" w:rsidR="00A01DCD" w:rsidRPr="007641BA" w:rsidRDefault="00A01DCD" w:rsidP="00611673">
            <w:pPr>
              <w:tabs>
                <w:tab w:val="left" w:pos="720"/>
                <w:tab w:val="right" w:pos="7920"/>
              </w:tabs>
              <w:jc w:val="right"/>
              <w:rPr>
                <w:color w:val="FFFFFF" w:themeColor="background1"/>
                <w:szCs w:val="24"/>
              </w:rPr>
            </w:pPr>
            <w:r w:rsidRPr="007641BA">
              <w:rPr>
                <w:color w:val="FFFFFF" w:themeColor="background1"/>
                <w:szCs w:val="24"/>
              </w:rPr>
              <w:t>£000</w:t>
            </w:r>
          </w:p>
        </w:tc>
        <w:tc>
          <w:tcPr>
            <w:tcW w:w="2687" w:type="dxa"/>
            <w:shd w:val="clear" w:color="auto" w:fill="BD2716"/>
            <w:vAlign w:val="center"/>
          </w:tcPr>
          <w:p w14:paraId="1B83430C" w14:textId="77777777" w:rsidR="00A01DCD" w:rsidRPr="007641BA" w:rsidRDefault="00A01DCD" w:rsidP="00611673">
            <w:pPr>
              <w:tabs>
                <w:tab w:val="left" w:pos="720"/>
                <w:tab w:val="right" w:pos="7920"/>
              </w:tabs>
              <w:ind w:left="19"/>
              <w:jc w:val="right"/>
              <w:rPr>
                <w:color w:val="FFFFFF" w:themeColor="background1"/>
                <w:szCs w:val="24"/>
              </w:rPr>
            </w:pPr>
            <w:r w:rsidRPr="007641BA">
              <w:rPr>
                <w:color w:val="FFFFFF" w:themeColor="background1"/>
                <w:szCs w:val="24"/>
              </w:rPr>
              <w:t xml:space="preserve">Pension contributions accrued at the standard employer rate for all senior </w:t>
            </w:r>
            <w:proofErr w:type="gramStart"/>
            <w:r w:rsidRPr="007641BA">
              <w:rPr>
                <w:color w:val="FFFFFF" w:themeColor="background1"/>
                <w:szCs w:val="24"/>
              </w:rPr>
              <w:t>officers</w:t>
            </w:r>
            <w:proofErr w:type="gramEnd"/>
          </w:p>
          <w:p w14:paraId="0DE1F9C6" w14:textId="15AFF5C9" w:rsidR="00A01DCD" w:rsidRPr="007641BA" w:rsidRDefault="00A01DCD" w:rsidP="00611673">
            <w:pPr>
              <w:tabs>
                <w:tab w:val="left" w:pos="720"/>
                <w:tab w:val="right" w:pos="7920"/>
              </w:tabs>
              <w:ind w:left="19"/>
              <w:jc w:val="right"/>
              <w:rPr>
                <w:color w:val="FFFFFF" w:themeColor="background1"/>
                <w:szCs w:val="24"/>
              </w:rPr>
            </w:pPr>
            <w:r w:rsidRPr="007641BA">
              <w:rPr>
                <w:color w:val="FFFFFF" w:themeColor="background1"/>
                <w:szCs w:val="24"/>
              </w:rPr>
              <w:t>£000</w:t>
            </w:r>
          </w:p>
        </w:tc>
        <w:tc>
          <w:tcPr>
            <w:tcW w:w="1956" w:type="dxa"/>
            <w:shd w:val="clear" w:color="auto" w:fill="BD2716"/>
            <w:vAlign w:val="center"/>
          </w:tcPr>
          <w:p w14:paraId="0DC30DBF" w14:textId="77777777" w:rsidR="00A01DCD" w:rsidRPr="007641BA" w:rsidRDefault="00A01DCD" w:rsidP="00611673">
            <w:pPr>
              <w:tabs>
                <w:tab w:val="left" w:pos="720"/>
                <w:tab w:val="right" w:pos="7920"/>
              </w:tabs>
              <w:jc w:val="right"/>
              <w:rPr>
                <w:color w:val="FFFFFF" w:themeColor="background1"/>
                <w:szCs w:val="24"/>
              </w:rPr>
            </w:pPr>
            <w:r w:rsidRPr="007641BA">
              <w:rPr>
                <w:color w:val="FFFFFF" w:themeColor="background1"/>
                <w:szCs w:val="24"/>
              </w:rPr>
              <w:t xml:space="preserve">Total Remuneration including pension </w:t>
            </w:r>
            <w:proofErr w:type="gramStart"/>
            <w:r w:rsidRPr="007641BA">
              <w:rPr>
                <w:color w:val="FFFFFF" w:themeColor="background1"/>
                <w:szCs w:val="24"/>
              </w:rPr>
              <w:t>contributions</w:t>
            </w:r>
            <w:proofErr w:type="gramEnd"/>
          </w:p>
          <w:p w14:paraId="7F05754E" w14:textId="0EF30187" w:rsidR="00A01DCD" w:rsidRPr="007641BA" w:rsidRDefault="00A01DCD" w:rsidP="00611673">
            <w:pPr>
              <w:tabs>
                <w:tab w:val="left" w:pos="720"/>
                <w:tab w:val="right" w:pos="7920"/>
              </w:tabs>
              <w:jc w:val="right"/>
              <w:rPr>
                <w:color w:val="FFFFFF" w:themeColor="background1"/>
                <w:szCs w:val="24"/>
              </w:rPr>
            </w:pPr>
            <w:r w:rsidRPr="007641BA">
              <w:rPr>
                <w:color w:val="FFFFFF" w:themeColor="background1"/>
                <w:szCs w:val="24"/>
              </w:rPr>
              <w:t>£000</w:t>
            </w:r>
          </w:p>
        </w:tc>
      </w:tr>
      <w:tr w:rsidR="00D8482A" w:rsidRPr="00381C8E" w14:paraId="24656DDB" w14:textId="77777777" w:rsidTr="00233A66">
        <w:tc>
          <w:tcPr>
            <w:tcW w:w="5987" w:type="dxa"/>
            <w:shd w:val="clear" w:color="auto" w:fill="auto"/>
          </w:tcPr>
          <w:p w14:paraId="7CCFE68E" w14:textId="0DA42437" w:rsidR="00C51C4C" w:rsidRPr="00381C8E" w:rsidRDefault="00D8482A" w:rsidP="00FA71D8">
            <w:pPr>
              <w:tabs>
                <w:tab w:val="left" w:pos="720"/>
                <w:tab w:val="right" w:pos="7920"/>
              </w:tabs>
              <w:rPr>
                <w:szCs w:val="24"/>
              </w:rPr>
            </w:pPr>
            <w:r w:rsidRPr="00381C8E">
              <w:rPr>
                <w:szCs w:val="24"/>
              </w:rPr>
              <w:t>Chief Fire Officer – Justin Johnston</w:t>
            </w:r>
          </w:p>
        </w:tc>
        <w:tc>
          <w:tcPr>
            <w:tcW w:w="1134" w:type="dxa"/>
            <w:shd w:val="clear" w:color="auto" w:fill="auto"/>
            <w:vAlign w:val="center"/>
          </w:tcPr>
          <w:p w14:paraId="4ECCCAFF" w14:textId="28D4E189" w:rsidR="00D8482A" w:rsidRPr="00381C8E" w:rsidRDefault="00D8482A" w:rsidP="00233A66">
            <w:pPr>
              <w:tabs>
                <w:tab w:val="left" w:pos="1168"/>
                <w:tab w:val="right" w:pos="7920"/>
              </w:tabs>
              <w:jc w:val="right"/>
              <w:rPr>
                <w:szCs w:val="24"/>
              </w:rPr>
            </w:pPr>
            <w:r w:rsidRPr="00381C8E">
              <w:rPr>
                <w:szCs w:val="24"/>
              </w:rPr>
              <w:t>152,425</w:t>
            </w:r>
          </w:p>
        </w:tc>
        <w:tc>
          <w:tcPr>
            <w:tcW w:w="1434" w:type="dxa"/>
            <w:shd w:val="clear" w:color="auto" w:fill="auto"/>
            <w:vAlign w:val="center"/>
          </w:tcPr>
          <w:p w14:paraId="21948AC1" w14:textId="02A9FB53" w:rsidR="00D8482A" w:rsidRPr="00381C8E" w:rsidRDefault="00D8482A" w:rsidP="00233A66">
            <w:pPr>
              <w:tabs>
                <w:tab w:val="left" w:pos="720"/>
                <w:tab w:val="right" w:pos="7920"/>
              </w:tabs>
              <w:jc w:val="right"/>
              <w:rPr>
                <w:szCs w:val="24"/>
              </w:rPr>
            </w:pPr>
            <w:r w:rsidRPr="00381C8E">
              <w:rPr>
                <w:szCs w:val="24"/>
              </w:rPr>
              <w:t>-</w:t>
            </w:r>
          </w:p>
        </w:tc>
        <w:tc>
          <w:tcPr>
            <w:tcW w:w="2256" w:type="dxa"/>
            <w:shd w:val="clear" w:color="auto" w:fill="auto"/>
            <w:vAlign w:val="center"/>
          </w:tcPr>
          <w:p w14:paraId="5A9BDA17" w14:textId="06217FFD" w:rsidR="00D8482A" w:rsidRPr="00381C8E" w:rsidRDefault="00D8482A" w:rsidP="00233A66">
            <w:pPr>
              <w:tabs>
                <w:tab w:val="left" w:pos="720"/>
                <w:tab w:val="right" w:pos="7920"/>
              </w:tabs>
              <w:jc w:val="right"/>
              <w:rPr>
                <w:szCs w:val="24"/>
              </w:rPr>
            </w:pPr>
            <w:r w:rsidRPr="00381C8E">
              <w:rPr>
                <w:szCs w:val="24"/>
              </w:rPr>
              <w:t>152,425</w:t>
            </w:r>
          </w:p>
        </w:tc>
        <w:tc>
          <w:tcPr>
            <w:tcW w:w="2687" w:type="dxa"/>
            <w:shd w:val="clear" w:color="auto" w:fill="auto"/>
            <w:vAlign w:val="center"/>
          </w:tcPr>
          <w:p w14:paraId="280A853D" w14:textId="4DD650E0" w:rsidR="00D8482A" w:rsidRPr="00381C8E" w:rsidRDefault="00D8482A" w:rsidP="00233A66">
            <w:pPr>
              <w:jc w:val="right"/>
              <w:rPr>
                <w:rFonts w:cs="Arial"/>
                <w:szCs w:val="24"/>
              </w:rPr>
            </w:pPr>
            <w:r w:rsidRPr="00381C8E">
              <w:rPr>
                <w:rFonts w:cs="Arial"/>
                <w:szCs w:val="24"/>
              </w:rPr>
              <w:t>43,898</w:t>
            </w:r>
          </w:p>
        </w:tc>
        <w:tc>
          <w:tcPr>
            <w:tcW w:w="1956" w:type="dxa"/>
            <w:shd w:val="clear" w:color="auto" w:fill="auto"/>
            <w:vAlign w:val="center"/>
          </w:tcPr>
          <w:p w14:paraId="36A649AE" w14:textId="65A17938" w:rsidR="00D8482A" w:rsidRPr="00381C8E" w:rsidRDefault="00D8482A" w:rsidP="00233A66">
            <w:pPr>
              <w:jc w:val="right"/>
              <w:rPr>
                <w:rFonts w:cs="Arial"/>
                <w:szCs w:val="24"/>
              </w:rPr>
            </w:pPr>
            <w:r w:rsidRPr="00381C8E">
              <w:rPr>
                <w:rFonts w:cs="Arial"/>
                <w:szCs w:val="24"/>
              </w:rPr>
              <w:t>196,324</w:t>
            </w:r>
          </w:p>
        </w:tc>
      </w:tr>
      <w:tr w:rsidR="00D8482A" w:rsidRPr="00381C8E" w14:paraId="4F4531EC" w14:textId="77777777" w:rsidTr="00233A66">
        <w:tc>
          <w:tcPr>
            <w:tcW w:w="5987" w:type="dxa"/>
            <w:shd w:val="clear" w:color="auto" w:fill="auto"/>
          </w:tcPr>
          <w:p w14:paraId="07FA8835" w14:textId="0C9CC1FC" w:rsidR="00C51C4C" w:rsidRPr="00381C8E" w:rsidRDefault="00D8482A" w:rsidP="00FA71D8">
            <w:pPr>
              <w:tabs>
                <w:tab w:val="left" w:pos="720"/>
                <w:tab w:val="right" w:pos="7920"/>
              </w:tabs>
              <w:rPr>
                <w:szCs w:val="24"/>
              </w:rPr>
            </w:pPr>
            <w:r w:rsidRPr="00381C8E">
              <w:rPr>
                <w:szCs w:val="24"/>
              </w:rPr>
              <w:t>Director of Service Delivery – Steve Healey (1 April to 31 December)</w:t>
            </w:r>
          </w:p>
        </w:tc>
        <w:tc>
          <w:tcPr>
            <w:tcW w:w="1134" w:type="dxa"/>
            <w:shd w:val="clear" w:color="auto" w:fill="auto"/>
            <w:vAlign w:val="center"/>
          </w:tcPr>
          <w:p w14:paraId="31481280" w14:textId="64D9C430" w:rsidR="00D8482A" w:rsidRPr="00381C8E" w:rsidRDefault="00D8482A" w:rsidP="00233A66">
            <w:pPr>
              <w:tabs>
                <w:tab w:val="left" w:pos="1168"/>
                <w:tab w:val="right" w:pos="7920"/>
              </w:tabs>
              <w:jc w:val="right"/>
              <w:rPr>
                <w:szCs w:val="24"/>
              </w:rPr>
            </w:pPr>
            <w:r w:rsidRPr="00381C8E">
              <w:rPr>
                <w:szCs w:val="24"/>
              </w:rPr>
              <w:t>104,554</w:t>
            </w:r>
          </w:p>
        </w:tc>
        <w:tc>
          <w:tcPr>
            <w:tcW w:w="1434" w:type="dxa"/>
            <w:shd w:val="clear" w:color="auto" w:fill="auto"/>
            <w:vAlign w:val="center"/>
          </w:tcPr>
          <w:p w14:paraId="34FA89A6" w14:textId="202E24BD" w:rsidR="00D8482A" w:rsidRPr="00381C8E" w:rsidRDefault="00D8482A" w:rsidP="00233A66">
            <w:pPr>
              <w:tabs>
                <w:tab w:val="left" w:pos="720"/>
                <w:tab w:val="right" w:pos="7920"/>
              </w:tabs>
              <w:jc w:val="right"/>
              <w:rPr>
                <w:szCs w:val="24"/>
              </w:rPr>
            </w:pPr>
            <w:r w:rsidRPr="00381C8E">
              <w:rPr>
                <w:szCs w:val="24"/>
              </w:rPr>
              <w:t>-</w:t>
            </w:r>
          </w:p>
        </w:tc>
        <w:tc>
          <w:tcPr>
            <w:tcW w:w="2256" w:type="dxa"/>
            <w:shd w:val="clear" w:color="auto" w:fill="auto"/>
            <w:vAlign w:val="center"/>
          </w:tcPr>
          <w:p w14:paraId="0A7F7448" w14:textId="7050AA80" w:rsidR="00D8482A" w:rsidRPr="00381C8E" w:rsidRDefault="00D8482A" w:rsidP="00233A66">
            <w:pPr>
              <w:tabs>
                <w:tab w:val="left" w:pos="720"/>
                <w:tab w:val="right" w:pos="7920"/>
              </w:tabs>
              <w:jc w:val="right"/>
              <w:rPr>
                <w:szCs w:val="24"/>
              </w:rPr>
            </w:pPr>
            <w:r w:rsidRPr="00381C8E">
              <w:rPr>
                <w:szCs w:val="24"/>
              </w:rPr>
              <w:t>104,55</w:t>
            </w:r>
            <w:r w:rsidR="00721F37" w:rsidRPr="00381C8E">
              <w:rPr>
                <w:szCs w:val="24"/>
              </w:rPr>
              <w:t>4</w:t>
            </w:r>
          </w:p>
        </w:tc>
        <w:tc>
          <w:tcPr>
            <w:tcW w:w="2687" w:type="dxa"/>
            <w:shd w:val="clear" w:color="auto" w:fill="auto"/>
            <w:vAlign w:val="center"/>
          </w:tcPr>
          <w:p w14:paraId="569CB2DD" w14:textId="55C3ACF4" w:rsidR="00D8482A" w:rsidRPr="00381C8E" w:rsidRDefault="00721F37" w:rsidP="00233A66">
            <w:pPr>
              <w:jc w:val="right"/>
              <w:rPr>
                <w:rFonts w:cs="Arial"/>
                <w:szCs w:val="24"/>
              </w:rPr>
            </w:pPr>
            <w:r w:rsidRPr="00381C8E">
              <w:rPr>
                <w:rFonts w:cs="Arial"/>
                <w:szCs w:val="24"/>
              </w:rPr>
              <w:t>30,112</w:t>
            </w:r>
          </w:p>
        </w:tc>
        <w:tc>
          <w:tcPr>
            <w:tcW w:w="1956" w:type="dxa"/>
            <w:shd w:val="clear" w:color="auto" w:fill="auto"/>
            <w:vAlign w:val="center"/>
          </w:tcPr>
          <w:p w14:paraId="5486B7C7" w14:textId="51A2B791" w:rsidR="00D8482A" w:rsidRPr="00381C8E" w:rsidRDefault="00A102B1" w:rsidP="00233A66">
            <w:pPr>
              <w:jc w:val="right"/>
              <w:rPr>
                <w:rFonts w:cs="Arial"/>
                <w:szCs w:val="24"/>
              </w:rPr>
            </w:pPr>
            <w:r w:rsidRPr="00381C8E">
              <w:rPr>
                <w:rFonts w:cs="Arial"/>
                <w:szCs w:val="24"/>
              </w:rPr>
              <w:t>1</w:t>
            </w:r>
            <w:r w:rsidR="00721F37" w:rsidRPr="00381C8E">
              <w:rPr>
                <w:rFonts w:cs="Arial"/>
                <w:szCs w:val="24"/>
              </w:rPr>
              <w:t>34,666</w:t>
            </w:r>
          </w:p>
        </w:tc>
      </w:tr>
      <w:tr w:rsidR="00D8482A" w:rsidRPr="00381C8E" w14:paraId="6D812632" w14:textId="77777777" w:rsidTr="00233A66">
        <w:tc>
          <w:tcPr>
            <w:tcW w:w="5987" w:type="dxa"/>
            <w:shd w:val="clear" w:color="auto" w:fill="auto"/>
          </w:tcPr>
          <w:p w14:paraId="2C990267" w14:textId="74CA9E5C" w:rsidR="00C51C4C" w:rsidRPr="00381C8E" w:rsidRDefault="00D8482A" w:rsidP="00FA71D8">
            <w:pPr>
              <w:tabs>
                <w:tab w:val="left" w:pos="720"/>
                <w:tab w:val="right" w:pos="7920"/>
              </w:tabs>
              <w:rPr>
                <w:szCs w:val="24"/>
              </w:rPr>
            </w:pPr>
            <w:r w:rsidRPr="00381C8E">
              <w:rPr>
                <w:szCs w:val="24"/>
              </w:rPr>
              <w:t>Director of Strategy &amp; Planning – Steve Healey (1 January 22 to date)</w:t>
            </w:r>
          </w:p>
        </w:tc>
        <w:tc>
          <w:tcPr>
            <w:tcW w:w="1134" w:type="dxa"/>
            <w:shd w:val="clear" w:color="auto" w:fill="auto"/>
            <w:vAlign w:val="center"/>
          </w:tcPr>
          <w:p w14:paraId="04FDF0D4" w14:textId="07B3E083" w:rsidR="00D8482A" w:rsidRPr="00381C8E" w:rsidRDefault="00D8482A" w:rsidP="00233A66">
            <w:pPr>
              <w:tabs>
                <w:tab w:val="left" w:pos="1168"/>
                <w:tab w:val="right" w:pos="7920"/>
              </w:tabs>
              <w:jc w:val="right"/>
              <w:rPr>
                <w:szCs w:val="24"/>
              </w:rPr>
            </w:pPr>
            <w:r w:rsidRPr="00381C8E">
              <w:rPr>
                <w:szCs w:val="24"/>
              </w:rPr>
              <w:t>34,851</w:t>
            </w:r>
          </w:p>
        </w:tc>
        <w:tc>
          <w:tcPr>
            <w:tcW w:w="1434" w:type="dxa"/>
            <w:shd w:val="clear" w:color="auto" w:fill="auto"/>
            <w:vAlign w:val="center"/>
          </w:tcPr>
          <w:p w14:paraId="1D0CAC77" w14:textId="3B409C43" w:rsidR="00D8482A" w:rsidRPr="00381C8E" w:rsidRDefault="00D8482A" w:rsidP="00233A66">
            <w:pPr>
              <w:tabs>
                <w:tab w:val="left" w:pos="720"/>
                <w:tab w:val="right" w:pos="7920"/>
              </w:tabs>
              <w:jc w:val="right"/>
              <w:rPr>
                <w:szCs w:val="24"/>
              </w:rPr>
            </w:pPr>
            <w:r w:rsidRPr="00381C8E">
              <w:rPr>
                <w:szCs w:val="24"/>
              </w:rPr>
              <w:t>-</w:t>
            </w:r>
          </w:p>
        </w:tc>
        <w:tc>
          <w:tcPr>
            <w:tcW w:w="2256" w:type="dxa"/>
            <w:shd w:val="clear" w:color="auto" w:fill="auto"/>
            <w:vAlign w:val="center"/>
          </w:tcPr>
          <w:p w14:paraId="0A411498" w14:textId="743750FC" w:rsidR="00D8482A" w:rsidRPr="00381C8E" w:rsidRDefault="00D8482A" w:rsidP="00233A66">
            <w:pPr>
              <w:tabs>
                <w:tab w:val="left" w:pos="720"/>
                <w:tab w:val="right" w:pos="7920"/>
              </w:tabs>
              <w:jc w:val="right"/>
              <w:rPr>
                <w:szCs w:val="24"/>
              </w:rPr>
            </w:pPr>
            <w:r w:rsidRPr="00381C8E">
              <w:rPr>
                <w:szCs w:val="24"/>
              </w:rPr>
              <w:t>34,851</w:t>
            </w:r>
          </w:p>
        </w:tc>
        <w:tc>
          <w:tcPr>
            <w:tcW w:w="2687" w:type="dxa"/>
            <w:shd w:val="clear" w:color="auto" w:fill="auto"/>
            <w:vAlign w:val="center"/>
          </w:tcPr>
          <w:p w14:paraId="7DBFCA01" w14:textId="246BB70B" w:rsidR="00D8482A" w:rsidRPr="00381C8E" w:rsidRDefault="00721F37" w:rsidP="00233A66">
            <w:pPr>
              <w:jc w:val="right"/>
              <w:rPr>
                <w:rFonts w:cs="Arial"/>
                <w:szCs w:val="24"/>
              </w:rPr>
            </w:pPr>
            <w:r w:rsidRPr="00381C8E">
              <w:rPr>
                <w:rFonts w:cs="Arial"/>
                <w:szCs w:val="24"/>
              </w:rPr>
              <w:t>10,037</w:t>
            </w:r>
          </w:p>
        </w:tc>
        <w:tc>
          <w:tcPr>
            <w:tcW w:w="1956" w:type="dxa"/>
            <w:shd w:val="clear" w:color="auto" w:fill="auto"/>
            <w:vAlign w:val="center"/>
          </w:tcPr>
          <w:p w14:paraId="41B590CF" w14:textId="6ED1440F" w:rsidR="00D8482A" w:rsidRPr="00381C8E" w:rsidRDefault="00A102B1" w:rsidP="00233A66">
            <w:pPr>
              <w:jc w:val="right"/>
              <w:rPr>
                <w:rFonts w:cs="Arial"/>
                <w:szCs w:val="24"/>
              </w:rPr>
            </w:pPr>
            <w:r w:rsidRPr="00381C8E">
              <w:rPr>
                <w:rFonts w:cs="Arial"/>
                <w:szCs w:val="24"/>
              </w:rPr>
              <w:t>4</w:t>
            </w:r>
            <w:r w:rsidR="00721F37" w:rsidRPr="00381C8E">
              <w:rPr>
                <w:rFonts w:cs="Arial"/>
                <w:szCs w:val="24"/>
              </w:rPr>
              <w:t>4,888</w:t>
            </w:r>
          </w:p>
        </w:tc>
      </w:tr>
      <w:tr w:rsidR="00D8482A" w:rsidRPr="00381C8E" w14:paraId="38D36A4D" w14:textId="77777777" w:rsidTr="00233A66">
        <w:tc>
          <w:tcPr>
            <w:tcW w:w="5987" w:type="dxa"/>
            <w:shd w:val="clear" w:color="auto" w:fill="auto"/>
          </w:tcPr>
          <w:p w14:paraId="0EA33392" w14:textId="1C2A2A02" w:rsidR="00C51C4C" w:rsidRPr="00381C8E" w:rsidRDefault="00D8482A" w:rsidP="00D8482A">
            <w:pPr>
              <w:tabs>
                <w:tab w:val="left" w:pos="720"/>
                <w:tab w:val="right" w:pos="7920"/>
              </w:tabs>
              <w:rPr>
                <w:szCs w:val="24"/>
              </w:rPr>
            </w:pPr>
            <w:r w:rsidRPr="00381C8E">
              <w:rPr>
                <w:szCs w:val="24"/>
              </w:rPr>
              <w:t>Director of Strategy &amp; Planning – Ben Norman (1 April to 31 December)</w:t>
            </w:r>
          </w:p>
        </w:tc>
        <w:tc>
          <w:tcPr>
            <w:tcW w:w="1134" w:type="dxa"/>
            <w:shd w:val="clear" w:color="auto" w:fill="auto"/>
            <w:vAlign w:val="center"/>
          </w:tcPr>
          <w:p w14:paraId="25FE0EA1" w14:textId="1718A6DB" w:rsidR="00D8482A" w:rsidRPr="00381C8E" w:rsidRDefault="00D8482A" w:rsidP="00233A66">
            <w:pPr>
              <w:tabs>
                <w:tab w:val="left" w:pos="1168"/>
                <w:tab w:val="right" w:pos="7920"/>
              </w:tabs>
              <w:jc w:val="right"/>
              <w:rPr>
                <w:szCs w:val="24"/>
              </w:rPr>
            </w:pPr>
            <w:r w:rsidRPr="00381C8E">
              <w:rPr>
                <w:szCs w:val="24"/>
              </w:rPr>
              <w:t>89,671</w:t>
            </w:r>
          </w:p>
        </w:tc>
        <w:tc>
          <w:tcPr>
            <w:tcW w:w="1434" w:type="dxa"/>
            <w:shd w:val="clear" w:color="auto" w:fill="auto"/>
            <w:vAlign w:val="center"/>
          </w:tcPr>
          <w:p w14:paraId="1E83FEDF" w14:textId="6E8257CE" w:rsidR="00D8482A" w:rsidRPr="00381C8E" w:rsidRDefault="00D8482A" w:rsidP="00233A66">
            <w:pPr>
              <w:tabs>
                <w:tab w:val="left" w:pos="720"/>
                <w:tab w:val="right" w:pos="7920"/>
              </w:tabs>
              <w:jc w:val="right"/>
              <w:rPr>
                <w:szCs w:val="24"/>
              </w:rPr>
            </w:pPr>
            <w:r w:rsidRPr="00381C8E">
              <w:rPr>
                <w:szCs w:val="24"/>
              </w:rPr>
              <w:t>-</w:t>
            </w:r>
          </w:p>
        </w:tc>
        <w:tc>
          <w:tcPr>
            <w:tcW w:w="2256" w:type="dxa"/>
            <w:shd w:val="clear" w:color="auto" w:fill="auto"/>
            <w:vAlign w:val="center"/>
          </w:tcPr>
          <w:p w14:paraId="48D57652" w14:textId="654C0C09" w:rsidR="00D8482A" w:rsidRPr="00381C8E" w:rsidRDefault="00D8482A" w:rsidP="00233A66">
            <w:pPr>
              <w:tabs>
                <w:tab w:val="left" w:pos="1168"/>
                <w:tab w:val="right" w:pos="7920"/>
              </w:tabs>
              <w:jc w:val="right"/>
              <w:rPr>
                <w:szCs w:val="24"/>
              </w:rPr>
            </w:pPr>
            <w:r w:rsidRPr="00381C8E">
              <w:rPr>
                <w:szCs w:val="24"/>
              </w:rPr>
              <w:t>89,671</w:t>
            </w:r>
          </w:p>
        </w:tc>
        <w:tc>
          <w:tcPr>
            <w:tcW w:w="2687" w:type="dxa"/>
            <w:shd w:val="clear" w:color="auto" w:fill="auto"/>
            <w:vAlign w:val="center"/>
          </w:tcPr>
          <w:p w14:paraId="4029024E" w14:textId="2C6B5633" w:rsidR="00D8482A" w:rsidRPr="00381C8E" w:rsidRDefault="00D8482A" w:rsidP="00233A66">
            <w:pPr>
              <w:jc w:val="right"/>
              <w:rPr>
                <w:rFonts w:cs="Arial"/>
                <w:szCs w:val="24"/>
              </w:rPr>
            </w:pPr>
            <w:r w:rsidRPr="00381C8E">
              <w:rPr>
                <w:rFonts w:cs="Arial"/>
                <w:szCs w:val="24"/>
              </w:rPr>
              <w:t>25,825</w:t>
            </w:r>
          </w:p>
        </w:tc>
        <w:tc>
          <w:tcPr>
            <w:tcW w:w="1956" w:type="dxa"/>
            <w:shd w:val="clear" w:color="auto" w:fill="auto"/>
            <w:vAlign w:val="center"/>
          </w:tcPr>
          <w:p w14:paraId="004A2E00" w14:textId="41DD7829" w:rsidR="00D8482A" w:rsidRPr="00381C8E" w:rsidRDefault="00D8482A" w:rsidP="00233A66">
            <w:pPr>
              <w:jc w:val="right"/>
              <w:rPr>
                <w:rFonts w:cs="Arial"/>
                <w:szCs w:val="24"/>
              </w:rPr>
            </w:pPr>
            <w:r w:rsidRPr="00381C8E">
              <w:rPr>
                <w:rFonts w:cs="Arial"/>
                <w:szCs w:val="24"/>
              </w:rPr>
              <w:t>115,496</w:t>
            </w:r>
          </w:p>
        </w:tc>
      </w:tr>
      <w:tr w:rsidR="00D8482A" w:rsidRPr="00381C8E" w14:paraId="0E35F68E" w14:textId="77777777" w:rsidTr="00233A66">
        <w:tc>
          <w:tcPr>
            <w:tcW w:w="5987" w:type="dxa"/>
            <w:shd w:val="clear" w:color="auto" w:fill="auto"/>
          </w:tcPr>
          <w:p w14:paraId="21A1DD93" w14:textId="5625610D" w:rsidR="00D8482A" w:rsidRPr="00381C8E" w:rsidRDefault="00D8482A" w:rsidP="00D8482A">
            <w:pPr>
              <w:tabs>
                <w:tab w:val="left" w:pos="720"/>
                <w:tab w:val="right" w:pos="7920"/>
              </w:tabs>
              <w:rPr>
                <w:szCs w:val="24"/>
              </w:rPr>
            </w:pPr>
            <w:r w:rsidRPr="00381C8E">
              <w:rPr>
                <w:szCs w:val="24"/>
              </w:rPr>
              <w:t>Director of Service Delivery – Jon Charters (1 January 22 to date)</w:t>
            </w:r>
          </w:p>
        </w:tc>
        <w:tc>
          <w:tcPr>
            <w:tcW w:w="1134" w:type="dxa"/>
            <w:shd w:val="clear" w:color="auto" w:fill="auto"/>
            <w:vAlign w:val="center"/>
          </w:tcPr>
          <w:p w14:paraId="59BE0AD8" w14:textId="043E5076" w:rsidR="00D8482A" w:rsidRPr="00381C8E" w:rsidRDefault="00D8482A" w:rsidP="00233A66">
            <w:pPr>
              <w:tabs>
                <w:tab w:val="left" w:pos="1168"/>
                <w:tab w:val="right" w:pos="7920"/>
              </w:tabs>
              <w:jc w:val="right"/>
              <w:rPr>
                <w:szCs w:val="24"/>
              </w:rPr>
            </w:pPr>
            <w:r w:rsidRPr="00381C8E">
              <w:rPr>
                <w:szCs w:val="24"/>
              </w:rPr>
              <w:t>29,040</w:t>
            </w:r>
          </w:p>
        </w:tc>
        <w:tc>
          <w:tcPr>
            <w:tcW w:w="1434" w:type="dxa"/>
            <w:shd w:val="clear" w:color="auto" w:fill="auto"/>
            <w:vAlign w:val="center"/>
          </w:tcPr>
          <w:p w14:paraId="6AB2F461" w14:textId="0021EF53" w:rsidR="00D8482A" w:rsidRPr="00381C8E" w:rsidRDefault="00D8482A" w:rsidP="00233A66">
            <w:pPr>
              <w:tabs>
                <w:tab w:val="left" w:pos="720"/>
                <w:tab w:val="right" w:pos="7920"/>
              </w:tabs>
              <w:jc w:val="right"/>
              <w:rPr>
                <w:szCs w:val="24"/>
              </w:rPr>
            </w:pPr>
            <w:r w:rsidRPr="00381C8E">
              <w:rPr>
                <w:szCs w:val="24"/>
              </w:rPr>
              <w:t>-</w:t>
            </w:r>
          </w:p>
        </w:tc>
        <w:tc>
          <w:tcPr>
            <w:tcW w:w="2256" w:type="dxa"/>
            <w:shd w:val="clear" w:color="auto" w:fill="auto"/>
            <w:vAlign w:val="center"/>
          </w:tcPr>
          <w:p w14:paraId="6E562D5D" w14:textId="2479D3BA" w:rsidR="00D8482A" w:rsidRPr="00381C8E" w:rsidRDefault="00D8482A" w:rsidP="00233A66">
            <w:pPr>
              <w:tabs>
                <w:tab w:val="left" w:pos="1168"/>
                <w:tab w:val="right" w:pos="7920"/>
              </w:tabs>
              <w:jc w:val="right"/>
              <w:rPr>
                <w:szCs w:val="24"/>
              </w:rPr>
            </w:pPr>
            <w:r w:rsidRPr="00381C8E">
              <w:rPr>
                <w:szCs w:val="24"/>
              </w:rPr>
              <w:t>29,040</w:t>
            </w:r>
          </w:p>
        </w:tc>
        <w:tc>
          <w:tcPr>
            <w:tcW w:w="2687" w:type="dxa"/>
            <w:shd w:val="clear" w:color="auto" w:fill="auto"/>
            <w:vAlign w:val="center"/>
          </w:tcPr>
          <w:p w14:paraId="7B1739D9" w14:textId="053E9428" w:rsidR="00D8482A" w:rsidRPr="00381C8E" w:rsidRDefault="00D8482A" w:rsidP="00233A66">
            <w:pPr>
              <w:jc w:val="right"/>
              <w:rPr>
                <w:rFonts w:cs="Arial"/>
                <w:szCs w:val="24"/>
              </w:rPr>
            </w:pPr>
            <w:r w:rsidRPr="00381C8E">
              <w:rPr>
                <w:rFonts w:cs="Arial"/>
                <w:szCs w:val="24"/>
              </w:rPr>
              <w:t>8,364</w:t>
            </w:r>
          </w:p>
        </w:tc>
        <w:tc>
          <w:tcPr>
            <w:tcW w:w="1956" w:type="dxa"/>
            <w:shd w:val="clear" w:color="auto" w:fill="auto"/>
            <w:vAlign w:val="center"/>
          </w:tcPr>
          <w:p w14:paraId="45133DC8" w14:textId="761FAB95" w:rsidR="00D8482A" w:rsidRPr="00381C8E" w:rsidRDefault="00D8482A" w:rsidP="00233A66">
            <w:pPr>
              <w:jc w:val="right"/>
              <w:rPr>
                <w:rFonts w:cs="Arial"/>
                <w:szCs w:val="24"/>
              </w:rPr>
            </w:pPr>
            <w:r w:rsidRPr="00381C8E">
              <w:rPr>
                <w:rFonts w:cs="Arial"/>
                <w:szCs w:val="24"/>
              </w:rPr>
              <w:t>37,404</w:t>
            </w:r>
          </w:p>
        </w:tc>
      </w:tr>
      <w:tr w:rsidR="00D8482A" w:rsidRPr="00381C8E" w14:paraId="696F6AE6" w14:textId="77777777" w:rsidTr="00233A66">
        <w:tc>
          <w:tcPr>
            <w:tcW w:w="5987" w:type="dxa"/>
            <w:shd w:val="clear" w:color="auto" w:fill="auto"/>
          </w:tcPr>
          <w:p w14:paraId="47405158" w14:textId="189A4880" w:rsidR="00C51C4C" w:rsidRPr="00381C8E" w:rsidRDefault="00D8482A" w:rsidP="00D8482A">
            <w:pPr>
              <w:pStyle w:val="CommentText"/>
              <w:tabs>
                <w:tab w:val="left" w:pos="720"/>
                <w:tab w:val="right" w:pos="7920"/>
              </w:tabs>
              <w:rPr>
                <w:sz w:val="24"/>
                <w:szCs w:val="24"/>
              </w:rPr>
            </w:pPr>
            <w:r w:rsidRPr="00381C8E">
              <w:rPr>
                <w:sz w:val="24"/>
                <w:szCs w:val="24"/>
              </w:rPr>
              <w:t>Director of People &amp; Development – Robert Warren</w:t>
            </w:r>
          </w:p>
        </w:tc>
        <w:tc>
          <w:tcPr>
            <w:tcW w:w="1134" w:type="dxa"/>
            <w:shd w:val="clear" w:color="auto" w:fill="auto"/>
            <w:vAlign w:val="center"/>
          </w:tcPr>
          <w:p w14:paraId="097D79CF" w14:textId="6AA5D412" w:rsidR="00D8482A" w:rsidRPr="00381C8E" w:rsidRDefault="00D8482A" w:rsidP="00233A66">
            <w:pPr>
              <w:tabs>
                <w:tab w:val="left" w:pos="1168"/>
                <w:tab w:val="right" w:pos="7920"/>
              </w:tabs>
              <w:jc w:val="right"/>
              <w:rPr>
                <w:szCs w:val="24"/>
              </w:rPr>
            </w:pPr>
            <w:r w:rsidRPr="00381C8E">
              <w:rPr>
                <w:szCs w:val="24"/>
              </w:rPr>
              <w:t>108,277</w:t>
            </w:r>
          </w:p>
        </w:tc>
        <w:tc>
          <w:tcPr>
            <w:tcW w:w="1434" w:type="dxa"/>
            <w:shd w:val="clear" w:color="auto" w:fill="auto"/>
            <w:vAlign w:val="center"/>
          </w:tcPr>
          <w:p w14:paraId="2DB6AFB3" w14:textId="19511096" w:rsidR="00D8482A" w:rsidRPr="00381C8E" w:rsidRDefault="00D8482A" w:rsidP="00233A66">
            <w:pPr>
              <w:tabs>
                <w:tab w:val="left" w:pos="720"/>
                <w:tab w:val="right" w:pos="7920"/>
              </w:tabs>
              <w:jc w:val="right"/>
              <w:rPr>
                <w:szCs w:val="24"/>
              </w:rPr>
            </w:pPr>
            <w:r w:rsidRPr="00381C8E">
              <w:rPr>
                <w:szCs w:val="24"/>
              </w:rPr>
              <w:t>-</w:t>
            </w:r>
          </w:p>
        </w:tc>
        <w:tc>
          <w:tcPr>
            <w:tcW w:w="2256" w:type="dxa"/>
            <w:shd w:val="clear" w:color="auto" w:fill="auto"/>
            <w:vAlign w:val="center"/>
          </w:tcPr>
          <w:p w14:paraId="547F3407" w14:textId="5C3C00D0" w:rsidR="00D8482A" w:rsidRPr="00381C8E" w:rsidRDefault="00D8482A" w:rsidP="00233A66">
            <w:pPr>
              <w:tabs>
                <w:tab w:val="left" w:pos="1168"/>
                <w:tab w:val="right" w:pos="7920"/>
              </w:tabs>
              <w:jc w:val="right"/>
              <w:rPr>
                <w:szCs w:val="24"/>
              </w:rPr>
            </w:pPr>
            <w:r w:rsidRPr="00381C8E">
              <w:rPr>
                <w:szCs w:val="24"/>
              </w:rPr>
              <w:t>108,277</w:t>
            </w:r>
          </w:p>
        </w:tc>
        <w:tc>
          <w:tcPr>
            <w:tcW w:w="2687" w:type="dxa"/>
            <w:shd w:val="clear" w:color="auto" w:fill="auto"/>
            <w:vAlign w:val="center"/>
          </w:tcPr>
          <w:p w14:paraId="2EFBCDC1" w14:textId="3AAC09D0" w:rsidR="00D8482A" w:rsidRPr="00381C8E" w:rsidRDefault="00D8482A" w:rsidP="00233A66">
            <w:pPr>
              <w:jc w:val="right"/>
              <w:rPr>
                <w:rFonts w:cs="Arial"/>
                <w:szCs w:val="24"/>
              </w:rPr>
            </w:pPr>
            <w:r w:rsidRPr="00381C8E">
              <w:rPr>
                <w:rFonts w:cs="Arial"/>
                <w:szCs w:val="24"/>
              </w:rPr>
              <w:t>18,515</w:t>
            </w:r>
          </w:p>
        </w:tc>
        <w:tc>
          <w:tcPr>
            <w:tcW w:w="1956" w:type="dxa"/>
            <w:shd w:val="clear" w:color="auto" w:fill="auto"/>
            <w:vAlign w:val="center"/>
          </w:tcPr>
          <w:p w14:paraId="0D113D75" w14:textId="4E36DB97" w:rsidR="00D8482A" w:rsidRPr="00381C8E" w:rsidRDefault="00D8482A" w:rsidP="00233A66">
            <w:pPr>
              <w:jc w:val="right"/>
              <w:rPr>
                <w:rFonts w:cs="Arial"/>
                <w:szCs w:val="24"/>
              </w:rPr>
            </w:pPr>
            <w:r w:rsidRPr="00381C8E">
              <w:rPr>
                <w:rFonts w:cs="Arial"/>
                <w:szCs w:val="24"/>
              </w:rPr>
              <w:t>126,792</w:t>
            </w:r>
          </w:p>
        </w:tc>
      </w:tr>
      <w:tr w:rsidR="00D8482A" w:rsidRPr="00381C8E" w14:paraId="6A827045" w14:textId="77777777" w:rsidTr="00233A66">
        <w:tc>
          <w:tcPr>
            <w:tcW w:w="5987" w:type="dxa"/>
            <w:shd w:val="clear" w:color="auto" w:fill="auto"/>
          </w:tcPr>
          <w:p w14:paraId="176F3147" w14:textId="66E2A8B1" w:rsidR="00D8482A" w:rsidRPr="00381C8E" w:rsidRDefault="00D8482A" w:rsidP="00D8482A">
            <w:pPr>
              <w:pStyle w:val="CommentText"/>
              <w:tabs>
                <w:tab w:val="left" w:pos="720"/>
                <w:tab w:val="right" w:pos="7920"/>
              </w:tabs>
              <w:rPr>
                <w:sz w:val="24"/>
                <w:szCs w:val="24"/>
              </w:rPr>
            </w:pPr>
            <w:r w:rsidRPr="00381C8E">
              <w:rPr>
                <w:sz w:val="24"/>
                <w:szCs w:val="24"/>
              </w:rPr>
              <w:lastRenderedPageBreak/>
              <w:t>Director of Corporate Services – Keith Mattinson</w:t>
            </w:r>
          </w:p>
        </w:tc>
        <w:tc>
          <w:tcPr>
            <w:tcW w:w="1134" w:type="dxa"/>
            <w:shd w:val="clear" w:color="auto" w:fill="auto"/>
            <w:vAlign w:val="center"/>
          </w:tcPr>
          <w:p w14:paraId="1FC22312" w14:textId="29930068" w:rsidR="00D8482A" w:rsidRPr="00381C8E" w:rsidRDefault="00D8482A" w:rsidP="00233A66">
            <w:pPr>
              <w:tabs>
                <w:tab w:val="left" w:pos="1168"/>
                <w:tab w:val="right" w:pos="7920"/>
              </w:tabs>
              <w:jc w:val="right"/>
              <w:rPr>
                <w:szCs w:val="24"/>
              </w:rPr>
            </w:pPr>
            <w:r w:rsidRPr="00381C8E">
              <w:rPr>
                <w:szCs w:val="24"/>
              </w:rPr>
              <w:t>90,244</w:t>
            </w:r>
          </w:p>
        </w:tc>
        <w:tc>
          <w:tcPr>
            <w:tcW w:w="1434" w:type="dxa"/>
            <w:shd w:val="clear" w:color="auto" w:fill="auto"/>
            <w:vAlign w:val="center"/>
          </w:tcPr>
          <w:p w14:paraId="75C83ECE" w14:textId="07835360" w:rsidR="00D8482A" w:rsidRPr="00381C8E" w:rsidRDefault="00D8482A" w:rsidP="00233A66">
            <w:pPr>
              <w:tabs>
                <w:tab w:val="left" w:pos="720"/>
                <w:tab w:val="right" w:pos="7920"/>
              </w:tabs>
              <w:jc w:val="right"/>
              <w:rPr>
                <w:szCs w:val="24"/>
              </w:rPr>
            </w:pPr>
            <w:r w:rsidRPr="00381C8E">
              <w:rPr>
                <w:szCs w:val="24"/>
              </w:rPr>
              <w:t>-</w:t>
            </w:r>
          </w:p>
        </w:tc>
        <w:tc>
          <w:tcPr>
            <w:tcW w:w="2256" w:type="dxa"/>
            <w:shd w:val="clear" w:color="auto" w:fill="auto"/>
            <w:vAlign w:val="center"/>
          </w:tcPr>
          <w:p w14:paraId="1E1E59CD" w14:textId="54224930" w:rsidR="00D8482A" w:rsidRPr="00381C8E" w:rsidRDefault="00D8482A" w:rsidP="00233A66">
            <w:pPr>
              <w:tabs>
                <w:tab w:val="left" w:pos="1168"/>
                <w:tab w:val="right" w:pos="7920"/>
              </w:tabs>
              <w:jc w:val="right"/>
              <w:rPr>
                <w:szCs w:val="24"/>
              </w:rPr>
            </w:pPr>
            <w:r w:rsidRPr="00381C8E">
              <w:rPr>
                <w:szCs w:val="24"/>
              </w:rPr>
              <w:t>90,244</w:t>
            </w:r>
          </w:p>
        </w:tc>
        <w:tc>
          <w:tcPr>
            <w:tcW w:w="2687" w:type="dxa"/>
            <w:shd w:val="clear" w:color="auto" w:fill="auto"/>
            <w:vAlign w:val="center"/>
          </w:tcPr>
          <w:p w14:paraId="0D67D5C8" w14:textId="425EA2EF" w:rsidR="00D8482A" w:rsidRPr="00381C8E" w:rsidRDefault="00D8482A" w:rsidP="00233A66">
            <w:pPr>
              <w:jc w:val="right"/>
              <w:rPr>
                <w:szCs w:val="24"/>
              </w:rPr>
            </w:pPr>
            <w:r w:rsidRPr="00381C8E">
              <w:rPr>
                <w:rFonts w:cs="Arial"/>
                <w:szCs w:val="24"/>
              </w:rPr>
              <w:t>15,432</w:t>
            </w:r>
          </w:p>
        </w:tc>
        <w:tc>
          <w:tcPr>
            <w:tcW w:w="1956" w:type="dxa"/>
            <w:shd w:val="clear" w:color="auto" w:fill="auto"/>
            <w:vAlign w:val="center"/>
          </w:tcPr>
          <w:p w14:paraId="638117FF" w14:textId="439D8543" w:rsidR="00D8482A" w:rsidRPr="00381C8E" w:rsidRDefault="00D8482A" w:rsidP="00233A66">
            <w:pPr>
              <w:jc w:val="right"/>
              <w:rPr>
                <w:szCs w:val="24"/>
              </w:rPr>
            </w:pPr>
            <w:r w:rsidRPr="00381C8E">
              <w:rPr>
                <w:rFonts w:cs="Arial"/>
                <w:szCs w:val="24"/>
              </w:rPr>
              <w:t>105,675</w:t>
            </w:r>
          </w:p>
        </w:tc>
      </w:tr>
      <w:tr w:rsidR="00D8482A" w:rsidRPr="00381C8E" w14:paraId="17201BDB" w14:textId="77777777" w:rsidTr="00233A66">
        <w:tc>
          <w:tcPr>
            <w:tcW w:w="5987" w:type="dxa"/>
            <w:shd w:val="clear" w:color="auto" w:fill="auto"/>
          </w:tcPr>
          <w:p w14:paraId="7264D8A3" w14:textId="7B3EE95B" w:rsidR="00D8482A" w:rsidRPr="00381C8E" w:rsidRDefault="00FA71D8" w:rsidP="00D8482A">
            <w:pPr>
              <w:tabs>
                <w:tab w:val="left" w:pos="720"/>
                <w:tab w:val="right" w:pos="7920"/>
              </w:tabs>
              <w:rPr>
                <w:szCs w:val="24"/>
              </w:rPr>
            </w:pPr>
            <w:r w:rsidRPr="00381C8E">
              <w:rPr>
                <w:szCs w:val="24"/>
              </w:rPr>
              <w:t>Total</w:t>
            </w:r>
          </w:p>
        </w:tc>
        <w:tc>
          <w:tcPr>
            <w:tcW w:w="1134" w:type="dxa"/>
            <w:shd w:val="clear" w:color="auto" w:fill="auto"/>
            <w:vAlign w:val="center"/>
          </w:tcPr>
          <w:p w14:paraId="21D7D250" w14:textId="767C8779" w:rsidR="00D8482A" w:rsidRPr="00381C8E" w:rsidRDefault="00D8482A" w:rsidP="00233A66">
            <w:pPr>
              <w:tabs>
                <w:tab w:val="left" w:pos="1168"/>
                <w:tab w:val="right" w:pos="7920"/>
              </w:tabs>
              <w:jc w:val="right"/>
              <w:rPr>
                <w:szCs w:val="24"/>
              </w:rPr>
            </w:pPr>
            <w:r w:rsidRPr="00381C8E">
              <w:rPr>
                <w:szCs w:val="24"/>
              </w:rPr>
              <w:t>609,062</w:t>
            </w:r>
          </w:p>
        </w:tc>
        <w:tc>
          <w:tcPr>
            <w:tcW w:w="1434" w:type="dxa"/>
            <w:shd w:val="clear" w:color="auto" w:fill="auto"/>
            <w:vAlign w:val="center"/>
          </w:tcPr>
          <w:p w14:paraId="6FAC0C85" w14:textId="4394BE70" w:rsidR="00D8482A" w:rsidRPr="00381C8E" w:rsidRDefault="00D8482A" w:rsidP="00233A66">
            <w:pPr>
              <w:tabs>
                <w:tab w:val="left" w:pos="720"/>
                <w:tab w:val="right" w:pos="7920"/>
              </w:tabs>
              <w:jc w:val="right"/>
              <w:rPr>
                <w:szCs w:val="24"/>
              </w:rPr>
            </w:pPr>
            <w:r w:rsidRPr="00381C8E">
              <w:rPr>
                <w:szCs w:val="24"/>
              </w:rPr>
              <w:t>-</w:t>
            </w:r>
          </w:p>
        </w:tc>
        <w:tc>
          <w:tcPr>
            <w:tcW w:w="2256" w:type="dxa"/>
            <w:shd w:val="clear" w:color="auto" w:fill="auto"/>
            <w:vAlign w:val="center"/>
          </w:tcPr>
          <w:p w14:paraId="366932C4" w14:textId="7EF71E14" w:rsidR="00D8482A" w:rsidRPr="00381C8E" w:rsidRDefault="00D8482A" w:rsidP="00233A66">
            <w:pPr>
              <w:tabs>
                <w:tab w:val="left" w:pos="720"/>
                <w:tab w:val="right" w:pos="7920"/>
              </w:tabs>
              <w:jc w:val="right"/>
              <w:rPr>
                <w:szCs w:val="24"/>
              </w:rPr>
            </w:pPr>
            <w:r w:rsidRPr="00381C8E">
              <w:rPr>
                <w:szCs w:val="24"/>
              </w:rPr>
              <w:t>609,062</w:t>
            </w:r>
          </w:p>
        </w:tc>
        <w:tc>
          <w:tcPr>
            <w:tcW w:w="2687" w:type="dxa"/>
            <w:shd w:val="clear" w:color="auto" w:fill="auto"/>
            <w:vAlign w:val="center"/>
          </w:tcPr>
          <w:p w14:paraId="7CCD6B22" w14:textId="3A40B293" w:rsidR="00D8482A" w:rsidRPr="00381C8E" w:rsidRDefault="00D8482A" w:rsidP="00233A66">
            <w:pPr>
              <w:jc w:val="right"/>
              <w:rPr>
                <w:szCs w:val="24"/>
              </w:rPr>
            </w:pPr>
            <w:r w:rsidRPr="00381C8E">
              <w:rPr>
                <w:szCs w:val="24"/>
              </w:rPr>
              <w:t>1</w:t>
            </w:r>
            <w:r w:rsidR="00721F37" w:rsidRPr="00381C8E">
              <w:rPr>
                <w:szCs w:val="24"/>
              </w:rPr>
              <w:t>52,183</w:t>
            </w:r>
          </w:p>
        </w:tc>
        <w:tc>
          <w:tcPr>
            <w:tcW w:w="1956" w:type="dxa"/>
            <w:shd w:val="clear" w:color="auto" w:fill="auto"/>
            <w:vAlign w:val="center"/>
          </w:tcPr>
          <w:p w14:paraId="6F93E0B3" w14:textId="702A63CF" w:rsidR="00D8482A" w:rsidRPr="00381C8E" w:rsidRDefault="00D8482A" w:rsidP="00233A66">
            <w:pPr>
              <w:jc w:val="right"/>
              <w:rPr>
                <w:szCs w:val="24"/>
              </w:rPr>
            </w:pPr>
            <w:r w:rsidRPr="00381C8E">
              <w:rPr>
                <w:szCs w:val="24"/>
              </w:rPr>
              <w:t>7</w:t>
            </w:r>
            <w:r w:rsidR="00877F8E" w:rsidRPr="00381C8E">
              <w:rPr>
                <w:szCs w:val="24"/>
              </w:rPr>
              <w:t>6</w:t>
            </w:r>
            <w:r w:rsidRPr="00381C8E">
              <w:rPr>
                <w:szCs w:val="24"/>
              </w:rPr>
              <w:t>1,2</w:t>
            </w:r>
            <w:r w:rsidR="00877F8E" w:rsidRPr="00381C8E">
              <w:rPr>
                <w:szCs w:val="24"/>
              </w:rPr>
              <w:t>4</w:t>
            </w:r>
            <w:r w:rsidR="00721F37" w:rsidRPr="00381C8E">
              <w:rPr>
                <w:szCs w:val="24"/>
              </w:rPr>
              <w:t>5</w:t>
            </w:r>
          </w:p>
        </w:tc>
      </w:tr>
    </w:tbl>
    <w:p w14:paraId="449DC5C7" w14:textId="77777777" w:rsidR="00BE3C0F" w:rsidRPr="002D6690" w:rsidRDefault="00BE3C0F" w:rsidP="00FA71D8">
      <w:pPr>
        <w:pStyle w:val="Heading3"/>
        <w:ind w:firstLine="720"/>
        <w:rPr>
          <w:sz w:val="23"/>
          <w:szCs w:val="23"/>
        </w:rPr>
        <w:sectPr w:rsidR="00BE3C0F" w:rsidRPr="002D6690" w:rsidSect="0050229D">
          <w:pgSz w:w="16840" w:h="11907" w:orient="landscape" w:code="9"/>
          <w:pgMar w:top="567" w:right="454" w:bottom="567" w:left="397" w:header="720" w:footer="720" w:gutter="0"/>
          <w:cols w:space="720"/>
          <w:docGrid w:linePitch="326"/>
        </w:sectPr>
      </w:pPr>
    </w:p>
    <w:p w14:paraId="02E40330" w14:textId="77777777" w:rsidR="002035C7" w:rsidRPr="003278CF" w:rsidRDefault="002035C7" w:rsidP="003278CF">
      <w:pPr>
        <w:ind w:firstLine="720"/>
        <w:rPr>
          <w:b/>
          <w:bCs/>
        </w:rPr>
      </w:pPr>
      <w:r w:rsidRPr="003278CF">
        <w:rPr>
          <w:b/>
          <w:bCs/>
        </w:rPr>
        <w:lastRenderedPageBreak/>
        <w:t>Exit Packages</w:t>
      </w:r>
    </w:p>
    <w:p w14:paraId="005B0BCD" w14:textId="77777777" w:rsidR="002035C7" w:rsidRPr="00AF3DCD" w:rsidRDefault="002035C7" w:rsidP="00FA71D8">
      <w:pPr>
        <w:ind w:left="720"/>
        <w:rPr>
          <w:sz w:val="22"/>
        </w:rPr>
      </w:pPr>
    </w:p>
    <w:p w14:paraId="3FE07644" w14:textId="1A571587" w:rsidR="002035C7" w:rsidRPr="00F74E7D" w:rsidRDefault="006518CB" w:rsidP="00FA71D8">
      <w:pPr>
        <w:ind w:left="720"/>
        <w:rPr>
          <w:szCs w:val="24"/>
        </w:rPr>
      </w:pPr>
      <w:r w:rsidRPr="00F74E7D">
        <w:rPr>
          <w:szCs w:val="24"/>
        </w:rPr>
        <w:t xml:space="preserve">There were no exit packages in </w:t>
      </w:r>
      <w:r w:rsidR="00C72C44" w:rsidRPr="00F74E7D">
        <w:rPr>
          <w:szCs w:val="24"/>
        </w:rPr>
        <w:t>202</w:t>
      </w:r>
      <w:r w:rsidR="00D8482A" w:rsidRPr="00F74E7D">
        <w:rPr>
          <w:szCs w:val="24"/>
        </w:rPr>
        <w:t>2</w:t>
      </w:r>
      <w:r w:rsidR="00F26A44" w:rsidRPr="00F74E7D">
        <w:rPr>
          <w:szCs w:val="24"/>
        </w:rPr>
        <w:t>/2</w:t>
      </w:r>
      <w:r w:rsidR="00D8482A" w:rsidRPr="00F74E7D">
        <w:rPr>
          <w:szCs w:val="24"/>
        </w:rPr>
        <w:t>3</w:t>
      </w:r>
      <w:r w:rsidR="00C72C44" w:rsidRPr="00F74E7D">
        <w:rPr>
          <w:szCs w:val="24"/>
        </w:rPr>
        <w:t xml:space="preserve"> or </w:t>
      </w:r>
      <w:r w:rsidRPr="00F74E7D">
        <w:rPr>
          <w:szCs w:val="24"/>
        </w:rPr>
        <w:t>20</w:t>
      </w:r>
      <w:r w:rsidR="00F26A44" w:rsidRPr="00F74E7D">
        <w:rPr>
          <w:szCs w:val="24"/>
        </w:rPr>
        <w:t>2</w:t>
      </w:r>
      <w:r w:rsidR="00D8482A" w:rsidRPr="00F74E7D">
        <w:rPr>
          <w:szCs w:val="24"/>
        </w:rPr>
        <w:t>1</w:t>
      </w:r>
      <w:r w:rsidR="00F26A44" w:rsidRPr="00F74E7D">
        <w:rPr>
          <w:szCs w:val="24"/>
        </w:rPr>
        <w:t>/2</w:t>
      </w:r>
      <w:r w:rsidR="00D8482A" w:rsidRPr="00F74E7D">
        <w:rPr>
          <w:szCs w:val="24"/>
        </w:rPr>
        <w:t>2</w:t>
      </w:r>
      <w:r w:rsidRPr="00F74E7D">
        <w:rPr>
          <w:szCs w:val="24"/>
        </w:rPr>
        <w:t>.</w:t>
      </w:r>
    </w:p>
    <w:p w14:paraId="2125E16C" w14:textId="77777777" w:rsidR="001937A3" w:rsidRPr="00AF3DCD" w:rsidRDefault="001937A3" w:rsidP="00FA71D8">
      <w:pPr>
        <w:rPr>
          <w:b/>
          <w:sz w:val="22"/>
        </w:rPr>
      </w:pPr>
    </w:p>
    <w:p w14:paraId="4545A3D5" w14:textId="77777777" w:rsidR="00D90216" w:rsidRPr="005D04CB" w:rsidRDefault="00C72C44" w:rsidP="00FA71D8">
      <w:pPr>
        <w:pStyle w:val="Heading2"/>
        <w:jc w:val="left"/>
        <w:rPr>
          <w:sz w:val="24"/>
          <w:szCs w:val="24"/>
        </w:rPr>
      </w:pPr>
      <w:bookmarkStart w:id="30" w:name="_Toc166761537"/>
      <w:r w:rsidRPr="005D04CB">
        <w:rPr>
          <w:sz w:val="24"/>
          <w:szCs w:val="24"/>
        </w:rPr>
        <w:t>4</w:t>
      </w:r>
      <w:r w:rsidR="00D90216" w:rsidRPr="005D04CB">
        <w:rPr>
          <w:sz w:val="24"/>
          <w:szCs w:val="24"/>
        </w:rPr>
        <w:tab/>
        <w:t>External Auditors Fees</w:t>
      </w:r>
      <w:bookmarkEnd w:id="30"/>
    </w:p>
    <w:p w14:paraId="1BAAF3AE" w14:textId="77777777" w:rsidR="00D90216" w:rsidRPr="00AF3DCD" w:rsidRDefault="00D90216" w:rsidP="00FA71D8">
      <w:pPr>
        <w:rPr>
          <w:b/>
          <w:sz w:val="22"/>
        </w:rPr>
      </w:pPr>
    </w:p>
    <w:p w14:paraId="75B6C54E" w14:textId="035D4024" w:rsidR="00D90216" w:rsidRDefault="00D90216" w:rsidP="002D6690">
      <w:pPr>
        <w:pStyle w:val="BodyTextIndent"/>
        <w:rPr>
          <w:szCs w:val="24"/>
          <w:lang w:val="en-GB"/>
        </w:rPr>
      </w:pPr>
      <w:r w:rsidRPr="005D04CB">
        <w:rPr>
          <w:szCs w:val="24"/>
          <w:lang w:val="en-GB"/>
        </w:rPr>
        <w:t xml:space="preserve">In </w:t>
      </w:r>
      <w:r w:rsidR="004A2156" w:rsidRPr="005D04CB">
        <w:rPr>
          <w:caps/>
          <w:szCs w:val="24"/>
          <w:lang w:val="en-GB"/>
        </w:rPr>
        <w:t>20</w:t>
      </w:r>
      <w:r w:rsidR="00C72C44" w:rsidRPr="005D04CB">
        <w:rPr>
          <w:caps/>
          <w:szCs w:val="24"/>
          <w:lang w:val="en-GB"/>
        </w:rPr>
        <w:t>2</w:t>
      </w:r>
      <w:r w:rsidR="00D8482A" w:rsidRPr="005D04CB">
        <w:rPr>
          <w:caps/>
          <w:szCs w:val="24"/>
          <w:lang w:val="en-GB"/>
        </w:rPr>
        <w:t>2</w:t>
      </w:r>
      <w:r w:rsidR="002A48DC" w:rsidRPr="005D04CB">
        <w:rPr>
          <w:caps/>
          <w:szCs w:val="24"/>
          <w:lang w:val="en-GB"/>
        </w:rPr>
        <w:t>/2</w:t>
      </w:r>
      <w:r w:rsidR="00D8482A" w:rsidRPr="005D04CB">
        <w:rPr>
          <w:caps/>
          <w:szCs w:val="24"/>
          <w:lang w:val="en-GB"/>
        </w:rPr>
        <w:t>3</w:t>
      </w:r>
      <w:r w:rsidRPr="005D04CB">
        <w:rPr>
          <w:szCs w:val="24"/>
          <w:lang w:val="en-GB"/>
        </w:rPr>
        <w:t>, the Fire Authority paid a total of £0.</w:t>
      </w:r>
      <w:r w:rsidR="00C91FE8" w:rsidRPr="005D04CB">
        <w:rPr>
          <w:szCs w:val="24"/>
          <w:lang w:val="en-GB"/>
        </w:rPr>
        <w:t>0</w:t>
      </w:r>
      <w:r w:rsidR="00A40F37" w:rsidRPr="005D04CB">
        <w:rPr>
          <w:szCs w:val="24"/>
          <w:lang w:val="en-GB"/>
        </w:rPr>
        <w:t>44</w:t>
      </w:r>
      <w:r w:rsidR="00C91FE8" w:rsidRPr="005D04CB">
        <w:rPr>
          <w:szCs w:val="24"/>
          <w:lang w:val="en-GB"/>
        </w:rPr>
        <w:t xml:space="preserve">m </w:t>
      </w:r>
      <w:r w:rsidRPr="005D04CB">
        <w:rPr>
          <w:szCs w:val="24"/>
          <w:lang w:val="en-GB"/>
        </w:rPr>
        <w:t xml:space="preserve">to its external auditors, </w:t>
      </w:r>
      <w:r w:rsidR="00B20B8E" w:rsidRPr="005D04CB">
        <w:rPr>
          <w:szCs w:val="24"/>
          <w:lang w:val="en-GB"/>
        </w:rPr>
        <w:t>Grant Thornton (20</w:t>
      </w:r>
      <w:r w:rsidR="002A48DC" w:rsidRPr="005D04CB">
        <w:rPr>
          <w:szCs w:val="24"/>
          <w:lang w:val="en-GB"/>
        </w:rPr>
        <w:t>2</w:t>
      </w:r>
      <w:r w:rsidR="00D8482A" w:rsidRPr="005D04CB">
        <w:rPr>
          <w:szCs w:val="24"/>
          <w:lang w:val="en-GB"/>
        </w:rPr>
        <w:t>1</w:t>
      </w:r>
      <w:r w:rsidR="002A48DC" w:rsidRPr="005D04CB">
        <w:rPr>
          <w:szCs w:val="24"/>
          <w:lang w:val="en-GB"/>
        </w:rPr>
        <w:t>/2</w:t>
      </w:r>
      <w:r w:rsidR="00D8482A" w:rsidRPr="005D04CB">
        <w:rPr>
          <w:szCs w:val="24"/>
          <w:lang w:val="en-GB"/>
        </w:rPr>
        <w:t>2</w:t>
      </w:r>
      <w:r w:rsidR="00A01C10" w:rsidRPr="005D04CB">
        <w:rPr>
          <w:szCs w:val="24"/>
          <w:lang w:val="en-GB"/>
        </w:rPr>
        <w:t>: £0.</w:t>
      </w:r>
      <w:r w:rsidR="00C91FE8" w:rsidRPr="005D04CB">
        <w:rPr>
          <w:szCs w:val="24"/>
          <w:lang w:val="en-GB"/>
        </w:rPr>
        <w:t>0</w:t>
      </w:r>
      <w:r w:rsidR="00D8482A" w:rsidRPr="005D04CB">
        <w:rPr>
          <w:szCs w:val="24"/>
          <w:lang w:val="en-GB"/>
        </w:rPr>
        <w:t>44</w:t>
      </w:r>
      <w:r w:rsidR="00C91FE8" w:rsidRPr="005D04CB">
        <w:rPr>
          <w:szCs w:val="24"/>
          <w:lang w:val="en-GB"/>
        </w:rPr>
        <w:t>m</w:t>
      </w:r>
      <w:r w:rsidR="00B20B8E" w:rsidRPr="005D04CB">
        <w:rPr>
          <w:szCs w:val="24"/>
          <w:lang w:val="en-GB"/>
        </w:rPr>
        <w:t>)</w:t>
      </w:r>
      <w:r w:rsidRPr="005D04CB">
        <w:rPr>
          <w:szCs w:val="24"/>
          <w:lang w:val="en-GB"/>
        </w:rPr>
        <w:t>, as follows:</w:t>
      </w:r>
    </w:p>
    <w:p w14:paraId="5DA206E9" w14:textId="77777777" w:rsidR="002D6690" w:rsidRPr="002D6690" w:rsidRDefault="002D6690" w:rsidP="002D6690">
      <w:pPr>
        <w:pStyle w:val="BodyTextIndent"/>
        <w:rPr>
          <w:szCs w:val="24"/>
          <w:lang w:val="en-GB"/>
        </w:rPr>
      </w:pPr>
    </w:p>
    <w:tbl>
      <w:tblPr>
        <w:tblW w:w="85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890"/>
        <w:gridCol w:w="1890"/>
      </w:tblGrid>
      <w:tr w:rsidR="00174738" w:rsidRPr="00AF3DCD" w14:paraId="02DD4BD6" w14:textId="77777777" w:rsidTr="00611673">
        <w:trPr>
          <w:trHeight w:hRule="exact" w:val="578"/>
          <w:tblHeader/>
        </w:trPr>
        <w:tc>
          <w:tcPr>
            <w:tcW w:w="4770" w:type="dxa"/>
            <w:shd w:val="clear" w:color="auto" w:fill="BD2716"/>
          </w:tcPr>
          <w:p w14:paraId="7FBC3193" w14:textId="77777777" w:rsidR="00174738" w:rsidRPr="007641BA" w:rsidRDefault="00174738" w:rsidP="00174738">
            <w:pPr>
              <w:pStyle w:val="Footer"/>
              <w:tabs>
                <w:tab w:val="clear" w:pos="4153"/>
                <w:tab w:val="clear" w:pos="8306"/>
              </w:tabs>
              <w:spacing w:line="360" w:lineRule="auto"/>
              <w:rPr>
                <w:color w:val="FFFFFF" w:themeColor="background1"/>
                <w:szCs w:val="24"/>
              </w:rPr>
            </w:pPr>
          </w:p>
        </w:tc>
        <w:tc>
          <w:tcPr>
            <w:tcW w:w="1890" w:type="dxa"/>
            <w:shd w:val="clear" w:color="auto" w:fill="BD2716"/>
            <w:vAlign w:val="center"/>
          </w:tcPr>
          <w:p w14:paraId="2F4BA16D" w14:textId="77777777" w:rsidR="00174738" w:rsidRPr="007641BA" w:rsidRDefault="00670DBF" w:rsidP="00611673">
            <w:pPr>
              <w:jc w:val="right"/>
              <w:rPr>
                <w:color w:val="FFFFFF" w:themeColor="background1"/>
                <w:szCs w:val="24"/>
              </w:rPr>
            </w:pPr>
            <w:r w:rsidRPr="007641BA">
              <w:rPr>
                <w:color w:val="FFFFFF" w:themeColor="background1"/>
                <w:szCs w:val="24"/>
              </w:rPr>
              <w:t>202</w:t>
            </w:r>
            <w:r w:rsidR="00D8482A" w:rsidRPr="007641BA">
              <w:rPr>
                <w:color w:val="FFFFFF" w:themeColor="background1"/>
                <w:szCs w:val="24"/>
              </w:rPr>
              <w:t>2</w:t>
            </w:r>
            <w:r w:rsidRPr="007641BA">
              <w:rPr>
                <w:color w:val="FFFFFF" w:themeColor="background1"/>
                <w:szCs w:val="24"/>
              </w:rPr>
              <w:t>/2</w:t>
            </w:r>
            <w:r w:rsidR="00D8482A" w:rsidRPr="007641BA">
              <w:rPr>
                <w:color w:val="FFFFFF" w:themeColor="background1"/>
                <w:szCs w:val="24"/>
              </w:rPr>
              <w:t>3</w:t>
            </w:r>
          </w:p>
          <w:p w14:paraId="71C6D880" w14:textId="16EDB077" w:rsidR="00A01DCD" w:rsidRPr="007641BA" w:rsidRDefault="00A01DCD" w:rsidP="00611673">
            <w:pPr>
              <w:jc w:val="right"/>
              <w:rPr>
                <w:rFonts w:cs="Arial"/>
                <w:color w:val="FFFFFF" w:themeColor="background1"/>
                <w:szCs w:val="24"/>
              </w:rPr>
            </w:pPr>
            <w:r w:rsidRPr="007641BA">
              <w:rPr>
                <w:color w:val="FFFFFF" w:themeColor="background1"/>
                <w:szCs w:val="24"/>
              </w:rPr>
              <w:t>£000</w:t>
            </w:r>
          </w:p>
        </w:tc>
        <w:tc>
          <w:tcPr>
            <w:tcW w:w="1890" w:type="dxa"/>
            <w:shd w:val="clear" w:color="auto" w:fill="BD2716"/>
            <w:vAlign w:val="center"/>
          </w:tcPr>
          <w:p w14:paraId="0D3D8B84" w14:textId="77777777" w:rsidR="00A01DCD" w:rsidRPr="007641BA" w:rsidRDefault="00174738" w:rsidP="00611673">
            <w:pPr>
              <w:jc w:val="right"/>
              <w:rPr>
                <w:rFonts w:cs="Arial"/>
                <w:color w:val="FFFFFF" w:themeColor="background1"/>
                <w:szCs w:val="24"/>
              </w:rPr>
            </w:pPr>
            <w:r w:rsidRPr="007641BA">
              <w:rPr>
                <w:rFonts w:cs="Arial"/>
                <w:color w:val="FFFFFF" w:themeColor="background1"/>
                <w:szCs w:val="24"/>
              </w:rPr>
              <w:t>202</w:t>
            </w:r>
            <w:r w:rsidR="00D8482A" w:rsidRPr="007641BA">
              <w:rPr>
                <w:rFonts w:cs="Arial"/>
                <w:color w:val="FFFFFF" w:themeColor="background1"/>
                <w:szCs w:val="24"/>
              </w:rPr>
              <w:t>1</w:t>
            </w:r>
            <w:r w:rsidRPr="007641BA">
              <w:rPr>
                <w:rFonts w:cs="Arial"/>
                <w:color w:val="FFFFFF" w:themeColor="background1"/>
                <w:szCs w:val="24"/>
              </w:rPr>
              <w:t>/2</w:t>
            </w:r>
            <w:r w:rsidR="00D8482A" w:rsidRPr="007641BA">
              <w:rPr>
                <w:rFonts w:cs="Arial"/>
                <w:color w:val="FFFFFF" w:themeColor="background1"/>
                <w:szCs w:val="24"/>
              </w:rPr>
              <w:t>2</w:t>
            </w:r>
          </w:p>
          <w:p w14:paraId="6522AB01" w14:textId="742D24DF" w:rsidR="00372872" w:rsidRPr="007641BA" w:rsidRDefault="00372872" w:rsidP="00611673">
            <w:pPr>
              <w:jc w:val="right"/>
              <w:rPr>
                <w:rFonts w:cs="Arial"/>
                <w:color w:val="FFFFFF" w:themeColor="background1"/>
                <w:szCs w:val="24"/>
              </w:rPr>
            </w:pPr>
            <w:r w:rsidRPr="007641BA">
              <w:rPr>
                <w:rFonts w:cs="Arial"/>
                <w:color w:val="FFFFFF" w:themeColor="background1"/>
                <w:szCs w:val="24"/>
              </w:rPr>
              <w:t>£000</w:t>
            </w:r>
          </w:p>
        </w:tc>
      </w:tr>
      <w:tr w:rsidR="00174738" w:rsidRPr="00AF3DCD" w14:paraId="64C6921C" w14:textId="77777777" w:rsidTr="008B00BF">
        <w:trPr>
          <w:trHeight w:hRule="exact" w:val="300"/>
        </w:trPr>
        <w:tc>
          <w:tcPr>
            <w:tcW w:w="4770" w:type="dxa"/>
          </w:tcPr>
          <w:p w14:paraId="615DD3E0" w14:textId="77777777" w:rsidR="00174738" w:rsidRPr="005D04CB" w:rsidRDefault="00174738" w:rsidP="00174738">
            <w:pPr>
              <w:pStyle w:val="Footer"/>
              <w:tabs>
                <w:tab w:val="clear" w:pos="4153"/>
                <w:tab w:val="clear" w:pos="8306"/>
                <w:tab w:val="left" w:pos="702"/>
              </w:tabs>
              <w:rPr>
                <w:szCs w:val="24"/>
              </w:rPr>
            </w:pPr>
            <w:r w:rsidRPr="005D04CB">
              <w:rPr>
                <w:szCs w:val="24"/>
              </w:rPr>
              <w:t>Audit fees – Grant Thornton</w:t>
            </w:r>
          </w:p>
        </w:tc>
        <w:tc>
          <w:tcPr>
            <w:tcW w:w="1890" w:type="dxa"/>
            <w:vAlign w:val="center"/>
          </w:tcPr>
          <w:p w14:paraId="67961DD3" w14:textId="566C2E4A" w:rsidR="00174738" w:rsidRPr="005D04CB" w:rsidRDefault="00A40F37" w:rsidP="008B00BF">
            <w:pPr>
              <w:pStyle w:val="Footer"/>
              <w:tabs>
                <w:tab w:val="clear" w:pos="4153"/>
                <w:tab w:val="clear" w:pos="8306"/>
                <w:tab w:val="decimal" w:pos="1080"/>
              </w:tabs>
              <w:jc w:val="right"/>
              <w:rPr>
                <w:szCs w:val="24"/>
              </w:rPr>
            </w:pPr>
            <w:r w:rsidRPr="005D04CB">
              <w:rPr>
                <w:szCs w:val="24"/>
              </w:rPr>
              <w:t>44</w:t>
            </w:r>
          </w:p>
        </w:tc>
        <w:tc>
          <w:tcPr>
            <w:tcW w:w="1890" w:type="dxa"/>
            <w:vAlign w:val="center"/>
          </w:tcPr>
          <w:p w14:paraId="5C31248E" w14:textId="523F7CA2" w:rsidR="00174738" w:rsidRPr="005D04CB" w:rsidRDefault="00D8482A" w:rsidP="008B00BF">
            <w:pPr>
              <w:pStyle w:val="Footer"/>
              <w:tabs>
                <w:tab w:val="clear" w:pos="4153"/>
                <w:tab w:val="clear" w:pos="8306"/>
                <w:tab w:val="decimal" w:pos="1080"/>
              </w:tabs>
              <w:jc w:val="right"/>
              <w:rPr>
                <w:szCs w:val="24"/>
              </w:rPr>
            </w:pPr>
            <w:r w:rsidRPr="005D04CB">
              <w:rPr>
                <w:szCs w:val="24"/>
              </w:rPr>
              <w:t>44</w:t>
            </w:r>
          </w:p>
        </w:tc>
      </w:tr>
    </w:tbl>
    <w:p w14:paraId="26F7B86C" w14:textId="77777777" w:rsidR="00595C0D" w:rsidRPr="00AF3DCD" w:rsidRDefault="00595C0D">
      <w:pPr>
        <w:rPr>
          <w:b/>
          <w:sz w:val="22"/>
        </w:rPr>
      </w:pPr>
    </w:p>
    <w:p w14:paraId="086AD790" w14:textId="77777777" w:rsidR="00D90216" w:rsidRPr="00FA71D8" w:rsidRDefault="00C72C44" w:rsidP="00FA71D8">
      <w:pPr>
        <w:pStyle w:val="Heading2"/>
        <w:jc w:val="left"/>
        <w:rPr>
          <w:sz w:val="24"/>
          <w:szCs w:val="24"/>
        </w:rPr>
      </w:pPr>
      <w:bookmarkStart w:id="31" w:name="_Toc166761538"/>
      <w:r w:rsidRPr="00FA71D8">
        <w:rPr>
          <w:sz w:val="24"/>
          <w:szCs w:val="24"/>
        </w:rPr>
        <w:t>5</w:t>
      </w:r>
      <w:r w:rsidR="00D90216" w:rsidRPr="00FA71D8">
        <w:rPr>
          <w:sz w:val="24"/>
          <w:szCs w:val="24"/>
        </w:rPr>
        <w:tab/>
        <w:t>Related Parties Transactions</w:t>
      </w:r>
      <w:bookmarkEnd w:id="31"/>
    </w:p>
    <w:p w14:paraId="05DC5801" w14:textId="77777777" w:rsidR="00D90216" w:rsidRPr="00FA71D8" w:rsidRDefault="00D90216" w:rsidP="00FA71D8">
      <w:pPr>
        <w:rPr>
          <w:b/>
          <w:szCs w:val="24"/>
          <w:u w:val="single"/>
        </w:rPr>
      </w:pPr>
    </w:p>
    <w:p w14:paraId="7128C3AD" w14:textId="0064C938" w:rsidR="00D90216" w:rsidRPr="00FA71D8" w:rsidRDefault="00D90216" w:rsidP="00FA71D8">
      <w:pPr>
        <w:pStyle w:val="BodyTextIndent"/>
        <w:rPr>
          <w:szCs w:val="24"/>
          <w:lang w:val="en-GB"/>
        </w:rPr>
      </w:pPr>
      <w:r w:rsidRPr="00FA71D8">
        <w:rPr>
          <w:szCs w:val="24"/>
          <w:lang w:val="en-GB"/>
        </w:rPr>
        <w:t>The Authority is required to disclose material transactions with related parties – bodies or individuals that have the potential to control or influence the authority or to be controlled or influenced by the Authority. Disclosure of these transactions allows readers to assess the extent to which the Authority might have been constrained in its ability to operate independently or might have secured the ability to limit another party’s ability to bargain freely with the authority.</w:t>
      </w:r>
      <w:r w:rsidR="00000C47" w:rsidRPr="00FA71D8">
        <w:rPr>
          <w:szCs w:val="24"/>
          <w:lang w:val="en-GB"/>
        </w:rPr>
        <w:t xml:space="preserve"> Consideration must be given to materiality from both the viewpoint of the Authority and the related party.</w:t>
      </w:r>
    </w:p>
    <w:p w14:paraId="43E7AF38" w14:textId="77777777" w:rsidR="00D90216" w:rsidRPr="00FA71D8" w:rsidRDefault="00D90216" w:rsidP="00FA71D8">
      <w:pPr>
        <w:pStyle w:val="BodyTextIndent"/>
        <w:ind w:left="0"/>
        <w:rPr>
          <w:szCs w:val="24"/>
          <w:lang w:val="en-GB"/>
        </w:rPr>
      </w:pPr>
    </w:p>
    <w:p w14:paraId="2A39DC6C" w14:textId="77777777" w:rsidR="00D90216" w:rsidRPr="003278CF" w:rsidRDefault="00D90216" w:rsidP="003278CF">
      <w:pPr>
        <w:ind w:firstLine="720"/>
        <w:rPr>
          <w:b/>
          <w:bCs/>
        </w:rPr>
      </w:pPr>
      <w:r w:rsidRPr="003278CF">
        <w:rPr>
          <w:b/>
          <w:bCs/>
        </w:rPr>
        <w:t>Central Government</w:t>
      </w:r>
    </w:p>
    <w:p w14:paraId="08C9F65A" w14:textId="77777777" w:rsidR="00D90216" w:rsidRPr="00FA71D8" w:rsidRDefault="00D90216" w:rsidP="00FA71D8">
      <w:pPr>
        <w:pStyle w:val="BodyTextIndent"/>
        <w:rPr>
          <w:szCs w:val="24"/>
          <w:lang w:val="en-GB"/>
        </w:rPr>
      </w:pPr>
    </w:p>
    <w:p w14:paraId="46FC8960" w14:textId="47F1477B" w:rsidR="00D90216" w:rsidRPr="00FA71D8" w:rsidRDefault="00D90216" w:rsidP="00FA71D8">
      <w:pPr>
        <w:pStyle w:val="BodyTextIndent"/>
        <w:rPr>
          <w:szCs w:val="24"/>
          <w:lang w:val="en-GB"/>
        </w:rPr>
      </w:pPr>
      <w:r w:rsidRPr="00FA71D8">
        <w:rPr>
          <w:szCs w:val="24"/>
          <w:lang w:val="en-GB"/>
        </w:rPr>
        <w:t xml:space="preserve">Central government has effective control over the general operations of the Authority – it is responsible for providing the statutory framework within which the Authority operates, provides </w:t>
      </w:r>
      <w:proofErr w:type="gramStart"/>
      <w:r w:rsidRPr="00FA71D8">
        <w:rPr>
          <w:szCs w:val="24"/>
          <w:lang w:val="en-GB"/>
        </w:rPr>
        <w:t>the majority of</w:t>
      </w:r>
      <w:proofErr w:type="gramEnd"/>
      <w:r w:rsidRPr="00FA71D8">
        <w:rPr>
          <w:szCs w:val="24"/>
          <w:lang w:val="en-GB"/>
        </w:rPr>
        <w:t xml:space="preserve"> its funding in the form of grants and prescribes the terms of many of the transactions that the Authority has with other parties (</w:t>
      </w:r>
      <w:proofErr w:type="spellStart"/>
      <w:r w:rsidR="001D3299" w:rsidRPr="00FA71D8">
        <w:rPr>
          <w:szCs w:val="24"/>
          <w:lang w:val="en-GB"/>
        </w:rPr>
        <w:t>eg</w:t>
      </w:r>
      <w:proofErr w:type="spellEnd"/>
      <w:r w:rsidRPr="00FA71D8">
        <w:rPr>
          <w:szCs w:val="24"/>
          <w:lang w:val="en-GB"/>
        </w:rPr>
        <w:t xml:space="preserve"> council tax bills).</w:t>
      </w:r>
    </w:p>
    <w:p w14:paraId="612F07EE" w14:textId="77777777" w:rsidR="00D90216" w:rsidRPr="00FA71D8" w:rsidRDefault="00D90216" w:rsidP="00FA71D8">
      <w:pPr>
        <w:pStyle w:val="BodyTextIndent"/>
        <w:ind w:left="0"/>
        <w:rPr>
          <w:szCs w:val="24"/>
          <w:lang w:val="en-GB"/>
        </w:rPr>
      </w:pPr>
    </w:p>
    <w:p w14:paraId="6450306B" w14:textId="77777777" w:rsidR="00D90216" w:rsidRPr="003278CF" w:rsidRDefault="00D90216" w:rsidP="003278CF">
      <w:pPr>
        <w:ind w:firstLine="720"/>
        <w:rPr>
          <w:b/>
          <w:bCs/>
        </w:rPr>
      </w:pPr>
      <w:r w:rsidRPr="003278CF">
        <w:rPr>
          <w:b/>
          <w:bCs/>
        </w:rPr>
        <w:t>Members</w:t>
      </w:r>
    </w:p>
    <w:p w14:paraId="735E557B" w14:textId="77777777" w:rsidR="00D90216" w:rsidRPr="00FA71D8" w:rsidRDefault="00D90216" w:rsidP="00FA71D8">
      <w:pPr>
        <w:pStyle w:val="BodyTextIndent"/>
        <w:rPr>
          <w:szCs w:val="24"/>
          <w:lang w:val="en-GB"/>
        </w:rPr>
      </w:pPr>
    </w:p>
    <w:p w14:paraId="05023D02" w14:textId="35880BE3" w:rsidR="00D90216" w:rsidRPr="00FA71D8" w:rsidRDefault="00D90216" w:rsidP="00FA71D8">
      <w:pPr>
        <w:pStyle w:val="BodyTextIndent"/>
        <w:rPr>
          <w:szCs w:val="24"/>
          <w:lang w:val="en-GB"/>
        </w:rPr>
      </w:pPr>
      <w:r w:rsidRPr="00FA71D8">
        <w:rPr>
          <w:szCs w:val="24"/>
          <w:lang w:val="en-GB"/>
        </w:rPr>
        <w:t>Members of the Authority have direct control over the Authority’s financial and operating policies. The total of members’ allowances paid in 20</w:t>
      </w:r>
      <w:r w:rsidR="00C72C44" w:rsidRPr="00FA71D8">
        <w:rPr>
          <w:szCs w:val="24"/>
          <w:lang w:val="en-GB"/>
        </w:rPr>
        <w:t>2</w:t>
      </w:r>
      <w:r w:rsidR="00D8482A" w:rsidRPr="00FA71D8">
        <w:rPr>
          <w:szCs w:val="24"/>
          <w:lang w:val="en-GB"/>
        </w:rPr>
        <w:t>2</w:t>
      </w:r>
      <w:r w:rsidR="002A48DC" w:rsidRPr="00FA71D8">
        <w:rPr>
          <w:szCs w:val="24"/>
          <w:lang w:val="en-GB"/>
        </w:rPr>
        <w:t>/2</w:t>
      </w:r>
      <w:r w:rsidR="00D8482A" w:rsidRPr="00FA71D8">
        <w:rPr>
          <w:szCs w:val="24"/>
          <w:lang w:val="en-GB"/>
        </w:rPr>
        <w:t>3</w:t>
      </w:r>
      <w:r w:rsidRPr="00FA71D8">
        <w:rPr>
          <w:szCs w:val="24"/>
          <w:lang w:val="en-GB"/>
        </w:rPr>
        <w:t xml:space="preserve"> is shown in </w:t>
      </w:r>
      <w:hyperlink w:anchor="N2" w:history="1">
        <w:r w:rsidR="00C72C44" w:rsidRPr="00FA71D8">
          <w:rPr>
            <w:rStyle w:val="Hyperlink"/>
            <w:szCs w:val="24"/>
            <w:lang w:val="en-GB"/>
          </w:rPr>
          <w:t>N</w:t>
        </w:r>
        <w:r w:rsidRPr="00FA71D8">
          <w:rPr>
            <w:rStyle w:val="Hyperlink"/>
            <w:szCs w:val="24"/>
            <w:lang w:val="en-GB"/>
          </w:rPr>
          <w:t xml:space="preserve">ote </w:t>
        </w:r>
        <w:r w:rsidR="001B72DF" w:rsidRPr="00FA71D8">
          <w:rPr>
            <w:rStyle w:val="Hyperlink"/>
            <w:szCs w:val="24"/>
            <w:lang w:val="en-GB"/>
          </w:rPr>
          <w:t>2</w:t>
        </w:r>
      </w:hyperlink>
      <w:r w:rsidRPr="00FA71D8">
        <w:rPr>
          <w:szCs w:val="24"/>
          <w:lang w:val="en-GB"/>
        </w:rPr>
        <w:t xml:space="preserve">. As required under Section 81 of the Local Government Act 2000, </w:t>
      </w:r>
      <w:proofErr w:type="gramStart"/>
      <w:r w:rsidRPr="00FA71D8">
        <w:rPr>
          <w:szCs w:val="24"/>
          <w:lang w:val="en-GB"/>
        </w:rPr>
        <w:t>members’</w:t>
      </w:r>
      <w:proofErr w:type="gramEnd"/>
      <w:r w:rsidRPr="00FA71D8">
        <w:rPr>
          <w:szCs w:val="24"/>
          <w:lang w:val="en-GB"/>
        </w:rPr>
        <w:t xml:space="preserve"> outside interests are recorded in a formal register and the Code of Conduct operated by the Authority requires members to declare any related interests they have, and to take no part in meetings or decisions on issues concerning those related interests. </w:t>
      </w:r>
    </w:p>
    <w:p w14:paraId="41EB29CD" w14:textId="77777777" w:rsidR="00D90216" w:rsidRPr="00FA71D8" w:rsidRDefault="00D90216" w:rsidP="00FA71D8">
      <w:pPr>
        <w:pStyle w:val="BodyTextIndent"/>
        <w:rPr>
          <w:szCs w:val="24"/>
          <w:lang w:val="en-GB"/>
        </w:rPr>
      </w:pPr>
    </w:p>
    <w:p w14:paraId="75AF8086" w14:textId="77777777" w:rsidR="00D90216" w:rsidRPr="00FA71D8" w:rsidRDefault="00D90216" w:rsidP="00FA71D8">
      <w:pPr>
        <w:pStyle w:val="BodyTextIndent"/>
        <w:rPr>
          <w:szCs w:val="24"/>
          <w:lang w:val="en-GB"/>
        </w:rPr>
      </w:pPr>
      <w:r w:rsidRPr="00FA71D8">
        <w:rPr>
          <w:szCs w:val="24"/>
          <w:lang w:val="en-GB"/>
        </w:rPr>
        <w:t>In addition, a survey of the related party interests of members and their immediate family members was carried out in preparing the Statement of Accounts. This survey showed that members have outside interests in bodies that have transactions with the Authority, such as:</w:t>
      </w:r>
    </w:p>
    <w:p w14:paraId="68E299D3" w14:textId="77777777" w:rsidR="00D90216" w:rsidRPr="00FA71D8" w:rsidRDefault="00D90216" w:rsidP="00FA71D8">
      <w:pPr>
        <w:pStyle w:val="BodyTextIndent"/>
        <w:rPr>
          <w:szCs w:val="24"/>
          <w:lang w:val="en-GB"/>
        </w:rPr>
      </w:pPr>
    </w:p>
    <w:p w14:paraId="58342B50" w14:textId="77777777" w:rsidR="00D90216" w:rsidRPr="00FA71D8" w:rsidRDefault="00D90216" w:rsidP="00FA71D8">
      <w:pPr>
        <w:pStyle w:val="BodyTextIndent"/>
        <w:rPr>
          <w:szCs w:val="24"/>
          <w:lang w:val="en-GB"/>
        </w:rPr>
      </w:pPr>
      <w:r w:rsidRPr="00FA71D8">
        <w:rPr>
          <w:szCs w:val="24"/>
          <w:lang w:val="en-GB"/>
        </w:rPr>
        <w:t xml:space="preserve">- roles as members of Lancashire County Council, the district and unitary </w:t>
      </w:r>
      <w:proofErr w:type="gramStart"/>
      <w:r w:rsidRPr="00FA71D8">
        <w:rPr>
          <w:szCs w:val="24"/>
          <w:lang w:val="en-GB"/>
        </w:rPr>
        <w:t>authorities;</w:t>
      </w:r>
      <w:proofErr w:type="gramEnd"/>
    </w:p>
    <w:p w14:paraId="646E78F9" w14:textId="77777777" w:rsidR="00D90216" w:rsidRPr="00FA71D8" w:rsidRDefault="00D90216" w:rsidP="00FA71D8">
      <w:pPr>
        <w:pStyle w:val="BodyTextIndent"/>
        <w:rPr>
          <w:szCs w:val="24"/>
          <w:lang w:val="en-GB"/>
        </w:rPr>
      </w:pPr>
      <w:r w:rsidRPr="00FA71D8">
        <w:rPr>
          <w:szCs w:val="24"/>
          <w:lang w:val="en-GB"/>
        </w:rPr>
        <w:t xml:space="preserve">- roles with voluntary </w:t>
      </w:r>
      <w:proofErr w:type="gramStart"/>
      <w:r w:rsidRPr="00FA71D8">
        <w:rPr>
          <w:szCs w:val="24"/>
          <w:lang w:val="en-GB"/>
        </w:rPr>
        <w:t>organisations;</w:t>
      </w:r>
      <w:proofErr w:type="gramEnd"/>
    </w:p>
    <w:p w14:paraId="7D23CB49" w14:textId="77777777" w:rsidR="00D90216" w:rsidRPr="00FA71D8" w:rsidRDefault="00D90216" w:rsidP="00FA71D8">
      <w:pPr>
        <w:pStyle w:val="BodyTextIndent"/>
        <w:rPr>
          <w:szCs w:val="24"/>
          <w:lang w:val="en-GB"/>
        </w:rPr>
      </w:pPr>
    </w:p>
    <w:p w14:paraId="313AFB53" w14:textId="371BD482" w:rsidR="00F641AC" w:rsidRPr="003278CF" w:rsidRDefault="00A40290" w:rsidP="003278CF">
      <w:pPr>
        <w:pStyle w:val="BodyTextIndent"/>
        <w:rPr>
          <w:szCs w:val="24"/>
          <w:lang w:val="en-GB"/>
        </w:rPr>
      </w:pPr>
      <w:r w:rsidRPr="00FA71D8">
        <w:rPr>
          <w:szCs w:val="24"/>
          <w:lang w:val="en-GB"/>
        </w:rPr>
        <w:t>There is no evidence in these cases of control of one party by the other, however material transactions of £1.003m spend with Lancashire County Council requires disclosure in this note. Most of this sum relates to maintenance of the Authority’s vehicle fleet, in addition to services provided under Service Level Agreements.</w:t>
      </w:r>
    </w:p>
    <w:p w14:paraId="2356C24B" w14:textId="77777777" w:rsidR="003278CF" w:rsidRDefault="003278CF">
      <w:pPr>
        <w:rPr>
          <w:b/>
          <w:bCs/>
        </w:rPr>
      </w:pPr>
      <w:r>
        <w:rPr>
          <w:b/>
          <w:bCs/>
        </w:rPr>
        <w:br w:type="page"/>
      </w:r>
    </w:p>
    <w:p w14:paraId="781ABF28" w14:textId="08FB14B9" w:rsidR="00D90216" w:rsidRPr="003278CF" w:rsidRDefault="00D90216" w:rsidP="003278CF">
      <w:pPr>
        <w:ind w:firstLine="720"/>
        <w:rPr>
          <w:b/>
          <w:bCs/>
        </w:rPr>
      </w:pPr>
      <w:r w:rsidRPr="003278CF">
        <w:rPr>
          <w:b/>
          <w:bCs/>
        </w:rPr>
        <w:lastRenderedPageBreak/>
        <w:t>Officers</w:t>
      </w:r>
    </w:p>
    <w:p w14:paraId="35244ACE" w14:textId="77777777" w:rsidR="00D90216" w:rsidRPr="00FA71D8" w:rsidRDefault="00D90216" w:rsidP="00FA71D8">
      <w:pPr>
        <w:pStyle w:val="BodyTextIndent"/>
        <w:rPr>
          <w:szCs w:val="24"/>
          <w:lang w:val="en-GB"/>
        </w:rPr>
      </w:pPr>
    </w:p>
    <w:p w14:paraId="69F9E87F" w14:textId="3F3CD331" w:rsidR="00A40290" w:rsidRPr="00FA71D8" w:rsidRDefault="00A40290" w:rsidP="00FA71D8">
      <w:pPr>
        <w:pStyle w:val="BodyTextIndent"/>
        <w:rPr>
          <w:szCs w:val="24"/>
          <w:lang w:val="en-GB"/>
        </w:rPr>
      </w:pPr>
      <w:r w:rsidRPr="00FA71D8">
        <w:rPr>
          <w:szCs w:val="24"/>
          <w:lang w:val="en-GB"/>
        </w:rPr>
        <w:t>In 2022/23 one Senior Officer declared a family relationship with a Senior Officer who worked across two of our major billing authorities (in 2021/22 the same officer declared the same family relationship, covering three of our billing authorities). Although there are significant transactions between the parties in relation to business rates (£0.461m received from the billing authorities, 2021/22: £0.669m from the three relevant authorities), and council tax (£5.772m received from the billing authorities, 2021/22: £7.852m from the three relevant authorities), the administration of these is strictly defined by a statutory framework.</w:t>
      </w:r>
    </w:p>
    <w:p w14:paraId="32A962D0" w14:textId="77777777" w:rsidR="00FB42CA" w:rsidRPr="00FA71D8" w:rsidRDefault="00FB42CA" w:rsidP="00FA71D8">
      <w:pPr>
        <w:pStyle w:val="BodyTextIndent"/>
        <w:rPr>
          <w:szCs w:val="24"/>
          <w:lang w:val="en-GB"/>
        </w:rPr>
      </w:pPr>
    </w:p>
    <w:p w14:paraId="2C0DE753" w14:textId="77777777" w:rsidR="00D90216" w:rsidRPr="00FA71D8" w:rsidRDefault="00C72C44" w:rsidP="00FA71D8">
      <w:pPr>
        <w:pStyle w:val="Heading2"/>
        <w:jc w:val="left"/>
        <w:rPr>
          <w:sz w:val="24"/>
          <w:szCs w:val="24"/>
        </w:rPr>
      </w:pPr>
      <w:bookmarkStart w:id="32" w:name="_Toc166761539"/>
      <w:r w:rsidRPr="00FA71D8">
        <w:rPr>
          <w:sz w:val="24"/>
          <w:szCs w:val="24"/>
        </w:rPr>
        <w:t>6</w:t>
      </w:r>
      <w:r w:rsidR="00D90216" w:rsidRPr="00FA71D8">
        <w:rPr>
          <w:sz w:val="24"/>
          <w:szCs w:val="24"/>
        </w:rPr>
        <w:tab/>
      </w:r>
      <w:bookmarkStart w:id="33" w:name="N6"/>
      <w:bookmarkEnd w:id="33"/>
      <w:r w:rsidR="00D90216" w:rsidRPr="00FA71D8">
        <w:rPr>
          <w:sz w:val="24"/>
          <w:szCs w:val="24"/>
        </w:rPr>
        <w:t>Property, Plant &amp; Equipment</w:t>
      </w:r>
      <w:bookmarkEnd w:id="32"/>
    </w:p>
    <w:p w14:paraId="2C702376" w14:textId="77777777" w:rsidR="00D90216" w:rsidRPr="00FA71D8" w:rsidRDefault="00D90216" w:rsidP="00FA71D8">
      <w:pPr>
        <w:ind w:left="720"/>
        <w:rPr>
          <w:szCs w:val="24"/>
        </w:rPr>
      </w:pPr>
    </w:p>
    <w:p w14:paraId="650D2435" w14:textId="64EF765F" w:rsidR="00D90216" w:rsidRPr="00FA71D8" w:rsidRDefault="00D90216" w:rsidP="00FA71D8">
      <w:pPr>
        <w:ind w:left="720"/>
        <w:rPr>
          <w:szCs w:val="24"/>
        </w:rPr>
      </w:pPr>
      <w:r w:rsidRPr="00FA71D8">
        <w:rPr>
          <w:szCs w:val="24"/>
        </w:rPr>
        <w:t xml:space="preserve">Details on policies can be seen in </w:t>
      </w:r>
      <w:hyperlink w:anchor="N29" w:history="1">
        <w:r w:rsidR="00C72C44" w:rsidRPr="00FA71D8">
          <w:rPr>
            <w:rStyle w:val="Hyperlink"/>
            <w:szCs w:val="24"/>
          </w:rPr>
          <w:t>N</w:t>
        </w:r>
        <w:r w:rsidRPr="00FA71D8">
          <w:rPr>
            <w:rStyle w:val="Hyperlink"/>
            <w:szCs w:val="24"/>
          </w:rPr>
          <w:t xml:space="preserve">ote </w:t>
        </w:r>
        <w:r w:rsidR="00F50304" w:rsidRPr="00FA71D8">
          <w:rPr>
            <w:rStyle w:val="Hyperlink"/>
            <w:szCs w:val="24"/>
          </w:rPr>
          <w:t>29</w:t>
        </w:r>
      </w:hyperlink>
      <w:r w:rsidR="00B16EF7" w:rsidRPr="00FA71D8">
        <w:rPr>
          <w:szCs w:val="24"/>
        </w:rPr>
        <w:t>,</w:t>
      </w:r>
      <w:r w:rsidRPr="00FA71D8">
        <w:rPr>
          <w:szCs w:val="24"/>
        </w:rPr>
        <w:t xml:space="preserve"> Accounting Policies.</w:t>
      </w:r>
    </w:p>
    <w:p w14:paraId="4432E3E3" w14:textId="77777777" w:rsidR="00D90216" w:rsidRPr="00FA71D8" w:rsidRDefault="00D90216" w:rsidP="00FA71D8">
      <w:pPr>
        <w:ind w:left="720"/>
        <w:rPr>
          <w:szCs w:val="24"/>
        </w:rPr>
      </w:pPr>
    </w:p>
    <w:p w14:paraId="6F5D651C" w14:textId="77777777" w:rsidR="00D90216" w:rsidRPr="003278CF" w:rsidRDefault="00D90216" w:rsidP="003278CF">
      <w:pPr>
        <w:ind w:firstLine="720"/>
        <w:rPr>
          <w:b/>
          <w:bCs/>
        </w:rPr>
      </w:pPr>
      <w:r w:rsidRPr="003278CF">
        <w:rPr>
          <w:b/>
          <w:bCs/>
        </w:rPr>
        <w:t>Movements during the Year</w:t>
      </w:r>
    </w:p>
    <w:p w14:paraId="6CFCE7B8" w14:textId="77777777" w:rsidR="00D90216" w:rsidRPr="00FA71D8" w:rsidRDefault="00D90216" w:rsidP="00FA71D8">
      <w:pPr>
        <w:ind w:left="720"/>
        <w:rPr>
          <w:szCs w:val="24"/>
        </w:rPr>
      </w:pPr>
    </w:p>
    <w:p w14:paraId="79C712CF" w14:textId="6A38F50B" w:rsidR="00F74E7D" w:rsidRPr="00F74E7D" w:rsidRDefault="00D90216" w:rsidP="00FA71D8">
      <w:pPr>
        <w:pStyle w:val="BodyTextIndent"/>
        <w:rPr>
          <w:szCs w:val="24"/>
          <w:lang w:val="en-GB"/>
        </w:rPr>
      </w:pPr>
      <w:r w:rsidRPr="00FA71D8">
        <w:rPr>
          <w:szCs w:val="24"/>
          <w:lang w:val="en-GB"/>
        </w:rPr>
        <w:t xml:space="preserve">The table below summarises the movements in Property, Plant and Equipment during the year. Land and buildings, vehicles, plant, </w:t>
      </w:r>
      <w:r w:rsidR="000F28B4" w:rsidRPr="00FA71D8">
        <w:rPr>
          <w:szCs w:val="24"/>
          <w:lang w:val="en-GB"/>
        </w:rPr>
        <w:t>furniture,</w:t>
      </w:r>
      <w:r w:rsidRPr="00FA71D8">
        <w:rPr>
          <w:szCs w:val="24"/>
          <w:lang w:val="en-GB"/>
        </w:rPr>
        <w:t xml:space="preserve"> and equipment are all disclosed at their net current value. All additions (</w:t>
      </w:r>
      <w:proofErr w:type="spellStart"/>
      <w:r w:rsidR="00FB5AD0" w:rsidRPr="00FA71D8">
        <w:rPr>
          <w:szCs w:val="24"/>
          <w:lang w:val="en-GB"/>
        </w:rPr>
        <w:t>ie</w:t>
      </w:r>
      <w:proofErr w:type="spellEnd"/>
      <w:r w:rsidRPr="00FA71D8">
        <w:rPr>
          <w:szCs w:val="24"/>
          <w:lang w:val="en-GB"/>
        </w:rPr>
        <w:t xml:space="preserve"> new expenditure) are shown at cost.</w:t>
      </w:r>
    </w:p>
    <w:p w14:paraId="7622E5AC" w14:textId="59A7EC1F" w:rsidR="00F74E7D" w:rsidRDefault="00F74E7D" w:rsidP="008B00BF">
      <w:pPr>
        <w:jc w:val="both"/>
        <w:rPr>
          <w:szCs w:val="24"/>
        </w:rPr>
      </w:pPr>
    </w:p>
    <w:p w14:paraId="68491591" w14:textId="2C0C7CF7" w:rsidR="002C5D98" w:rsidRPr="00F74E7D" w:rsidRDefault="00D90216" w:rsidP="00210760">
      <w:pPr>
        <w:ind w:left="709"/>
        <w:rPr>
          <w:szCs w:val="24"/>
        </w:rPr>
      </w:pPr>
      <w:r w:rsidRPr="00F74E7D">
        <w:rPr>
          <w:szCs w:val="24"/>
        </w:rPr>
        <w:t>Movements in Property, Plant and Equipment analysed into their different categories</w:t>
      </w:r>
      <w:r w:rsidR="00B16EF7" w:rsidRPr="00F74E7D">
        <w:rPr>
          <w:szCs w:val="24"/>
        </w:rPr>
        <w:t xml:space="preserve"> for 20</w:t>
      </w:r>
      <w:r w:rsidR="00C72C44" w:rsidRPr="00F74E7D">
        <w:rPr>
          <w:szCs w:val="24"/>
        </w:rPr>
        <w:t>2</w:t>
      </w:r>
      <w:r w:rsidR="003D6A01" w:rsidRPr="00F74E7D">
        <w:rPr>
          <w:szCs w:val="24"/>
        </w:rPr>
        <w:t>2</w:t>
      </w:r>
      <w:r w:rsidR="00F26A44" w:rsidRPr="00F74E7D">
        <w:rPr>
          <w:szCs w:val="24"/>
        </w:rPr>
        <w:t>/2</w:t>
      </w:r>
      <w:r w:rsidR="003D6A01" w:rsidRPr="00F74E7D">
        <w:rPr>
          <w:szCs w:val="24"/>
        </w:rPr>
        <w:t>3</w:t>
      </w:r>
      <w:r w:rsidRPr="00F74E7D">
        <w:rPr>
          <w:szCs w:val="24"/>
        </w:rPr>
        <w:t xml:space="preserve"> are:</w:t>
      </w:r>
    </w:p>
    <w:tbl>
      <w:tblPr>
        <w:tblW w:w="99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4"/>
        <w:gridCol w:w="1339"/>
        <w:gridCol w:w="1354"/>
        <w:gridCol w:w="1560"/>
        <w:gridCol w:w="1559"/>
      </w:tblGrid>
      <w:tr w:rsidR="004E0330" w:rsidRPr="00210760" w14:paraId="5B0B89D7" w14:textId="77777777" w:rsidTr="00611673">
        <w:trPr>
          <w:trHeight w:val="425"/>
          <w:tblHeader/>
        </w:trPr>
        <w:tc>
          <w:tcPr>
            <w:tcW w:w="4144" w:type="dxa"/>
            <w:shd w:val="clear" w:color="auto" w:fill="BD2716"/>
            <w:noWrap/>
            <w:vAlign w:val="bottom"/>
          </w:tcPr>
          <w:p w14:paraId="56CD4506" w14:textId="68199C39" w:rsidR="004E0330" w:rsidRPr="007641BA" w:rsidRDefault="004E0330" w:rsidP="0014172A">
            <w:pPr>
              <w:ind w:left="175"/>
              <w:rPr>
                <w:rFonts w:cs="Arial"/>
                <w:color w:val="FFFFFF" w:themeColor="background1"/>
                <w:szCs w:val="24"/>
                <w:lang w:eastAsia="en-GB"/>
              </w:rPr>
            </w:pPr>
          </w:p>
        </w:tc>
        <w:tc>
          <w:tcPr>
            <w:tcW w:w="1339" w:type="dxa"/>
            <w:shd w:val="clear" w:color="auto" w:fill="BD2716"/>
            <w:vAlign w:val="center"/>
          </w:tcPr>
          <w:p w14:paraId="4E9CCAC0" w14:textId="77777777" w:rsidR="004E0330" w:rsidRPr="00611673" w:rsidRDefault="004E0330" w:rsidP="00611673">
            <w:pPr>
              <w:jc w:val="right"/>
              <w:rPr>
                <w:rFonts w:cs="Arial"/>
                <w:color w:val="FFFFFF" w:themeColor="background1"/>
                <w:szCs w:val="24"/>
                <w:lang w:eastAsia="en-GB"/>
              </w:rPr>
            </w:pPr>
            <w:r w:rsidRPr="00611673">
              <w:rPr>
                <w:rFonts w:cs="Arial"/>
                <w:color w:val="FFFFFF" w:themeColor="background1"/>
                <w:szCs w:val="24"/>
                <w:lang w:eastAsia="en-GB"/>
              </w:rPr>
              <w:t>Other Land &amp; Buildings</w:t>
            </w:r>
          </w:p>
          <w:p w14:paraId="1BDDDFDB" w14:textId="4B2D8F4F" w:rsidR="00A01DCD" w:rsidRPr="00611673" w:rsidRDefault="00A01DCD" w:rsidP="00611673">
            <w:pPr>
              <w:jc w:val="right"/>
              <w:rPr>
                <w:rFonts w:cs="Arial"/>
                <w:color w:val="FFFFFF" w:themeColor="background1"/>
                <w:szCs w:val="24"/>
                <w:lang w:eastAsia="en-GB"/>
              </w:rPr>
            </w:pPr>
            <w:r w:rsidRPr="00611673">
              <w:rPr>
                <w:rFonts w:cs="Arial"/>
                <w:color w:val="FFFFFF" w:themeColor="background1"/>
                <w:szCs w:val="24"/>
                <w:lang w:eastAsia="en-GB"/>
              </w:rPr>
              <w:t>£000</w:t>
            </w:r>
          </w:p>
        </w:tc>
        <w:tc>
          <w:tcPr>
            <w:tcW w:w="1354" w:type="dxa"/>
            <w:shd w:val="clear" w:color="auto" w:fill="BD2716"/>
            <w:vAlign w:val="center"/>
          </w:tcPr>
          <w:p w14:paraId="7929E470" w14:textId="77777777" w:rsidR="004E0330" w:rsidRPr="00611673" w:rsidRDefault="004E0330" w:rsidP="00611673">
            <w:pPr>
              <w:jc w:val="right"/>
              <w:rPr>
                <w:rFonts w:cs="Arial"/>
                <w:color w:val="FFFFFF" w:themeColor="background1"/>
                <w:szCs w:val="24"/>
                <w:lang w:eastAsia="en-GB"/>
              </w:rPr>
            </w:pPr>
            <w:r w:rsidRPr="00611673">
              <w:rPr>
                <w:rFonts w:cs="Arial"/>
                <w:color w:val="FFFFFF" w:themeColor="background1"/>
                <w:szCs w:val="24"/>
                <w:lang w:eastAsia="en-GB"/>
              </w:rPr>
              <w:t>PFI Assets – land &amp; buildings</w:t>
            </w:r>
          </w:p>
          <w:p w14:paraId="29E1A4E2" w14:textId="5A4B3A5E" w:rsidR="00A01DCD" w:rsidRPr="00611673" w:rsidRDefault="00A01DCD" w:rsidP="00611673">
            <w:pPr>
              <w:jc w:val="right"/>
              <w:rPr>
                <w:rFonts w:cs="Arial"/>
                <w:color w:val="FFFFFF" w:themeColor="background1"/>
                <w:szCs w:val="24"/>
                <w:lang w:eastAsia="en-GB"/>
              </w:rPr>
            </w:pPr>
            <w:r w:rsidRPr="00611673">
              <w:rPr>
                <w:rFonts w:cs="Arial"/>
                <w:color w:val="FFFFFF" w:themeColor="background1"/>
                <w:szCs w:val="24"/>
                <w:lang w:eastAsia="en-GB"/>
              </w:rPr>
              <w:t>£000</w:t>
            </w:r>
          </w:p>
        </w:tc>
        <w:tc>
          <w:tcPr>
            <w:tcW w:w="1560" w:type="dxa"/>
            <w:shd w:val="clear" w:color="auto" w:fill="BD2716"/>
            <w:vAlign w:val="center"/>
          </w:tcPr>
          <w:p w14:paraId="2912F02D" w14:textId="77777777" w:rsidR="004E0330" w:rsidRPr="00611673" w:rsidRDefault="004E0330" w:rsidP="00611673">
            <w:pPr>
              <w:jc w:val="right"/>
              <w:rPr>
                <w:rFonts w:cs="Arial"/>
                <w:color w:val="FFFFFF" w:themeColor="background1"/>
                <w:szCs w:val="24"/>
                <w:lang w:eastAsia="en-GB"/>
              </w:rPr>
            </w:pPr>
            <w:r w:rsidRPr="00611673">
              <w:rPr>
                <w:rFonts w:cs="Arial"/>
                <w:color w:val="FFFFFF" w:themeColor="background1"/>
                <w:szCs w:val="24"/>
                <w:lang w:eastAsia="en-GB"/>
              </w:rPr>
              <w:t>Vehicles, Plant &amp; Equipment</w:t>
            </w:r>
          </w:p>
          <w:p w14:paraId="507F4126" w14:textId="0CEF9526" w:rsidR="00A01DCD" w:rsidRPr="00611673" w:rsidRDefault="00A01DCD" w:rsidP="00611673">
            <w:pPr>
              <w:jc w:val="right"/>
              <w:rPr>
                <w:rFonts w:cs="Arial"/>
                <w:color w:val="FFFFFF" w:themeColor="background1"/>
                <w:szCs w:val="24"/>
                <w:lang w:eastAsia="en-GB"/>
              </w:rPr>
            </w:pPr>
            <w:r w:rsidRPr="00611673">
              <w:rPr>
                <w:rFonts w:cs="Arial"/>
                <w:color w:val="FFFFFF" w:themeColor="background1"/>
                <w:szCs w:val="24"/>
                <w:lang w:eastAsia="en-GB"/>
              </w:rPr>
              <w:t>£000</w:t>
            </w:r>
          </w:p>
        </w:tc>
        <w:tc>
          <w:tcPr>
            <w:tcW w:w="1559" w:type="dxa"/>
            <w:shd w:val="clear" w:color="auto" w:fill="BD2716"/>
            <w:noWrap/>
            <w:vAlign w:val="center"/>
          </w:tcPr>
          <w:p w14:paraId="61EF5229" w14:textId="77777777" w:rsidR="004E0330" w:rsidRPr="00611673" w:rsidRDefault="004E0330" w:rsidP="00611673">
            <w:pPr>
              <w:jc w:val="right"/>
              <w:rPr>
                <w:rFonts w:cs="Arial"/>
                <w:color w:val="FFFFFF" w:themeColor="background1"/>
                <w:szCs w:val="24"/>
                <w:lang w:eastAsia="en-GB"/>
              </w:rPr>
            </w:pPr>
            <w:r w:rsidRPr="00611673">
              <w:rPr>
                <w:rFonts w:cs="Arial"/>
                <w:color w:val="FFFFFF" w:themeColor="background1"/>
                <w:szCs w:val="24"/>
                <w:lang w:eastAsia="en-GB"/>
              </w:rPr>
              <w:t>Total Property, Plant &amp; Equipment</w:t>
            </w:r>
          </w:p>
          <w:p w14:paraId="3CF340D9" w14:textId="2543F98B" w:rsidR="00A01DCD" w:rsidRPr="00611673" w:rsidRDefault="00A01DCD" w:rsidP="00611673">
            <w:pPr>
              <w:jc w:val="right"/>
              <w:rPr>
                <w:color w:val="FFFFFF" w:themeColor="background1"/>
                <w:lang w:eastAsia="en-GB"/>
              </w:rPr>
            </w:pPr>
            <w:r w:rsidRPr="00611673">
              <w:rPr>
                <w:rFonts w:cs="Arial"/>
                <w:color w:val="FFFFFF" w:themeColor="background1"/>
                <w:szCs w:val="24"/>
                <w:lang w:eastAsia="en-GB"/>
              </w:rPr>
              <w:t>£000</w:t>
            </w:r>
          </w:p>
        </w:tc>
      </w:tr>
      <w:tr w:rsidR="00FA71D8" w:rsidRPr="00210760" w14:paraId="6146FB86" w14:textId="77777777" w:rsidTr="007641BA">
        <w:trPr>
          <w:trHeight w:val="212"/>
        </w:trPr>
        <w:tc>
          <w:tcPr>
            <w:tcW w:w="9956" w:type="dxa"/>
            <w:gridSpan w:val="5"/>
            <w:shd w:val="clear" w:color="auto" w:fill="D9D9D9" w:themeFill="background1" w:themeFillShade="D9"/>
            <w:noWrap/>
            <w:vAlign w:val="bottom"/>
          </w:tcPr>
          <w:p w14:paraId="4915B82A" w14:textId="55997751" w:rsidR="00FA71D8" w:rsidRPr="00210760" w:rsidRDefault="00FA71D8" w:rsidP="00BC6C4F">
            <w:pPr>
              <w:rPr>
                <w:rFonts w:cs="Arial"/>
                <w:szCs w:val="24"/>
                <w:lang w:eastAsia="en-GB"/>
              </w:rPr>
            </w:pPr>
            <w:r w:rsidRPr="00210760">
              <w:rPr>
                <w:rFonts w:cs="Arial"/>
                <w:b/>
                <w:bCs/>
                <w:szCs w:val="24"/>
                <w:lang w:eastAsia="en-GB"/>
              </w:rPr>
              <w:t>Cost or valuation</w:t>
            </w:r>
          </w:p>
        </w:tc>
      </w:tr>
      <w:tr w:rsidR="00E64DF7" w:rsidRPr="00210760" w14:paraId="2AAF4C72" w14:textId="77777777" w:rsidTr="008B00BF">
        <w:trPr>
          <w:trHeight w:val="212"/>
        </w:trPr>
        <w:tc>
          <w:tcPr>
            <w:tcW w:w="4144" w:type="dxa"/>
            <w:shd w:val="clear" w:color="auto" w:fill="auto"/>
            <w:noWrap/>
            <w:vAlign w:val="bottom"/>
          </w:tcPr>
          <w:p w14:paraId="7B2C1C77" w14:textId="7F556B4A" w:rsidR="00E64DF7" w:rsidRPr="00210760" w:rsidRDefault="00E64DF7" w:rsidP="00BC6C4F">
            <w:pPr>
              <w:ind w:left="175"/>
              <w:rPr>
                <w:rFonts w:cs="Arial"/>
                <w:szCs w:val="24"/>
                <w:lang w:eastAsia="en-GB"/>
              </w:rPr>
            </w:pPr>
            <w:proofErr w:type="gramStart"/>
            <w:r w:rsidRPr="00210760">
              <w:rPr>
                <w:rFonts w:cs="Arial"/>
                <w:szCs w:val="24"/>
                <w:lang w:eastAsia="en-GB"/>
              </w:rPr>
              <w:t>At</w:t>
            </w:r>
            <w:proofErr w:type="gramEnd"/>
            <w:r w:rsidRPr="00210760">
              <w:rPr>
                <w:rFonts w:cs="Arial"/>
                <w:szCs w:val="24"/>
                <w:lang w:eastAsia="en-GB"/>
              </w:rPr>
              <w:t xml:space="preserve"> 1 April 202</w:t>
            </w:r>
            <w:r w:rsidR="009262FE" w:rsidRPr="00210760">
              <w:rPr>
                <w:rFonts w:cs="Arial"/>
                <w:szCs w:val="24"/>
                <w:lang w:eastAsia="en-GB"/>
              </w:rPr>
              <w:t>2</w:t>
            </w:r>
          </w:p>
        </w:tc>
        <w:tc>
          <w:tcPr>
            <w:tcW w:w="1339" w:type="dxa"/>
            <w:shd w:val="clear" w:color="auto" w:fill="auto"/>
            <w:noWrap/>
            <w:vAlign w:val="center"/>
          </w:tcPr>
          <w:p w14:paraId="664D0ACC" w14:textId="1183B84D" w:rsidR="00E64DF7" w:rsidRPr="00210760" w:rsidRDefault="009262FE" w:rsidP="008B00BF">
            <w:pPr>
              <w:jc w:val="right"/>
              <w:rPr>
                <w:rFonts w:cs="Arial"/>
                <w:szCs w:val="24"/>
                <w:lang w:eastAsia="en-GB"/>
              </w:rPr>
            </w:pPr>
            <w:r w:rsidRPr="00210760">
              <w:rPr>
                <w:szCs w:val="24"/>
              </w:rPr>
              <w:t>69,114</w:t>
            </w:r>
          </w:p>
        </w:tc>
        <w:tc>
          <w:tcPr>
            <w:tcW w:w="1354" w:type="dxa"/>
            <w:vAlign w:val="center"/>
          </w:tcPr>
          <w:p w14:paraId="34A420D5" w14:textId="0542099D" w:rsidR="00E64DF7" w:rsidRPr="00210760" w:rsidRDefault="009262FE" w:rsidP="008B00BF">
            <w:pPr>
              <w:jc w:val="right"/>
              <w:rPr>
                <w:rFonts w:cs="Arial"/>
                <w:szCs w:val="24"/>
                <w:lang w:eastAsia="en-GB"/>
              </w:rPr>
            </w:pPr>
            <w:r w:rsidRPr="00210760">
              <w:rPr>
                <w:szCs w:val="24"/>
              </w:rPr>
              <w:t>31,175</w:t>
            </w:r>
          </w:p>
        </w:tc>
        <w:tc>
          <w:tcPr>
            <w:tcW w:w="1560" w:type="dxa"/>
            <w:vAlign w:val="center"/>
          </w:tcPr>
          <w:p w14:paraId="178C545D" w14:textId="70E4F070" w:rsidR="00E64DF7" w:rsidRPr="00210760" w:rsidRDefault="009262FE" w:rsidP="008B00BF">
            <w:pPr>
              <w:jc w:val="right"/>
              <w:rPr>
                <w:rFonts w:cs="Arial"/>
                <w:szCs w:val="24"/>
                <w:lang w:eastAsia="en-GB"/>
              </w:rPr>
            </w:pPr>
            <w:r w:rsidRPr="00210760">
              <w:rPr>
                <w:szCs w:val="24"/>
              </w:rPr>
              <w:t>24,160</w:t>
            </w:r>
          </w:p>
        </w:tc>
        <w:tc>
          <w:tcPr>
            <w:tcW w:w="1559" w:type="dxa"/>
            <w:shd w:val="clear" w:color="auto" w:fill="auto"/>
            <w:noWrap/>
            <w:vAlign w:val="center"/>
          </w:tcPr>
          <w:p w14:paraId="7D8D241C" w14:textId="1A842A70" w:rsidR="00E64DF7" w:rsidRPr="00210760" w:rsidRDefault="009262FE" w:rsidP="008B00BF">
            <w:pPr>
              <w:jc w:val="right"/>
              <w:rPr>
                <w:rFonts w:cs="Arial"/>
                <w:szCs w:val="24"/>
                <w:lang w:eastAsia="en-GB"/>
              </w:rPr>
            </w:pPr>
            <w:r w:rsidRPr="00210760">
              <w:rPr>
                <w:szCs w:val="24"/>
              </w:rPr>
              <w:t>124,449</w:t>
            </w:r>
          </w:p>
        </w:tc>
      </w:tr>
      <w:tr w:rsidR="00E64DF7" w:rsidRPr="00210760" w14:paraId="418FB422" w14:textId="77777777" w:rsidTr="008B00BF">
        <w:trPr>
          <w:trHeight w:val="212"/>
        </w:trPr>
        <w:tc>
          <w:tcPr>
            <w:tcW w:w="4144" w:type="dxa"/>
            <w:shd w:val="clear" w:color="auto" w:fill="auto"/>
            <w:noWrap/>
            <w:vAlign w:val="bottom"/>
          </w:tcPr>
          <w:p w14:paraId="22147813" w14:textId="16BE21B2" w:rsidR="00E64DF7" w:rsidRPr="00210760" w:rsidRDefault="00BF3BC5" w:rsidP="00BC6C4F">
            <w:pPr>
              <w:ind w:left="175"/>
              <w:rPr>
                <w:rFonts w:cs="Arial"/>
                <w:szCs w:val="24"/>
                <w:lang w:eastAsia="en-GB"/>
              </w:rPr>
            </w:pPr>
            <w:r>
              <w:rPr>
                <w:rFonts w:cs="Arial"/>
                <w:szCs w:val="24"/>
                <w:lang w:eastAsia="en-GB"/>
              </w:rPr>
              <w:t>A</w:t>
            </w:r>
            <w:r w:rsidR="00E64DF7" w:rsidRPr="00210760">
              <w:rPr>
                <w:rFonts w:cs="Arial"/>
                <w:szCs w:val="24"/>
                <w:lang w:eastAsia="en-GB"/>
              </w:rPr>
              <w:t>dditions</w:t>
            </w:r>
          </w:p>
        </w:tc>
        <w:tc>
          <w:tcPr>
            <w:tcW w:w="1339" w:type="dxa"/>
            <w:shd w:val="clear" w:color="auto" w:fill="auto"/>
            <w:noWrap/>
            <w:vAlign w:val="center"/>
          </w:tcPr>
          <w:p w14:paraId="064F2F65" w14:textId="649A246D" w:rsidR="00E64DF7" w:rsidRPr="00210760" w:rsidRDefault="007A1705" w:rsidP="008B00BF">
            <w:pPr>
              <w:jc w:val="right"/>
              <w:rPr>
                <w:rFonts w:cs="Arial"/>
                <w:szCs w:val="24"/>
                <w:lang w:eastAsia="en-GB"/>
              </w:rPr>
            </w:pPr>
            <w:r w:rsidRPr="00210760">
              <w:rPr>
                <w:szCs w:val="24"/>
              </w:rPr>
              <w:t>473</w:t>
            </w:r>
          </w:p>
        </w:tc>
        <w:tc>
          <w:tcPr>
            <w:tcW w:w="1354" w:type="dxa"/>
            <w:vAlign w:val="center"/>
          </w:tcPr>
          <w:p w14:paraId="26D9FBE7" w14:textId="15F35EDD" w:rsidR="00E64DF7" w:rsidRPr="00210760" w:rsidRDefault="007A1705" w:rsidP="008B00BF">
            <w:pPr>
              <w:jc w:val="right"/>
              <w:rPr>
                <w:rFonts w:cs="Arial"/>
                <w:szCs w:val="24"/>
                <w:lang w:eastAsia="en-GB"/>
              </w:rPr>
            </w:pPr>
            <w:r w:rsidRPr="00210760">
              <w:rPr>
                <w:szCs w:val="24"/>
              </w:rPr>
              <w:t>151</w:t>
            </w:r>
          </w:p>
        </w:tc>
        <w:tc>
          <w:tcPr>
            <w:tcW w:w="1560" w:type="dxa"/>
            <w:vAlign w:val="center"/>
          </w:tcPr>
          <w:p w14:paraId="13A187F7" w14:textId="4B4E81F3" w:rsidR="00E64DF7" w:rsidRPr="00210760" w:rsidRDefault="007A1705" w:rsidP="008B00BF">
            <w:pPr>
              <w:jc w:val="right"/>
              <w:rPr>
                <w:rFonts w:cs="Arial"/>
                <w:szCs w:val="24"/>
                <w:lang w:eastAsia="en-GB"/>
              </w:rPr>
            </w:pPr>
            <w:r w:rsidRPr="00210760">
              <w:rPr>
                <w:szCs w:val="24"/>
              </w:rPr>
              <w:t>580</w:t>
            </w:r>
          </w:p>
        </w:tc>
        <w:tc>
          <w:tcPr>
            <w:tcW w:w="1559" w:type="dxa"/>
            <w:shd w:val="clear" w:color="auto" w:fill="auto"/>
            <w:noWrap/>
            <w:vAlign w:val="center"/>
          </w:tcPr>
          <w:p w14:paraId="36E9C74D" w14:textId="118972AC" w:rsidR="00E64DF7" w:rsidRPr="00210760" w:rsidRDefault="007A1705" w:rsidP="008B00BF">
            <w:pPr>
              <w:jc w:val="right"/>
              <w:rPr>
                <w:rFonts w:cs="Arial"/>
                <w:szCs w:val="24"/>
                <w:lang w:eastAsia="en-GB"/>
              </w:rPr>
            </w:pPr>
            <w:r w:rsidRPr="00210760">
              <w:rPr>
                <w:szCs w:val="24"/>
              </w:rPr>
              <w:t>1</w:t>
            </w:r>
            <w:r w:rsidR="00492B19" w:rsidRPr="00210760">
              <w:rPr>
                <w:szCs w:val="24"/>
              </w:rPr>
              <w:t>,</w:t>
            </w:r>
            <w:r w:rsidRPr="00210760">
              <w:rPr>
                <w:szCs w:val="24"/>
              </w:rPr>
              <w:t>20</w:t>
            </w:r>
            <w:r w:rsidR="00BB4358" w:rsidRPr="00210760">
              <w:rPr>
                <w:szCs w:val="24"/>
              </w:rPr>
              <w:t>4</w:t>
            </w:r>
          </w:p>
        </w:tc>
      </w:tr>
      <w:tr w:rsidR="00E64DF7" w:rsidRPr="00210760" w14:paraId="73FBCF6A" w14:textId="77777777" w:rsidTr="008B00BF">
        <w:trPr>
          <w:trHeight w:val="212"/>
        </w:trPr>
        <w:tc>
          <w:tcPr>
            <w:tcW w:w="4144" w:type="dxa"/>
            <w:shd w:val="clear" w:color="auto" w:fill="auto"/>
            <w:noWrap/>
            <w:vAlign w:val="bottom"/>
          </w:tcPr>
          <w:p w14:paraId="40FE4A0D" w14:textId="77777777" w:rsidR="00E64DF7" w:rsidRPr="00210760" w:rsidRDefault="00E64DF7" w:rsidP="00BC6C4F">
            <w:pPr>
              <w:ind w:left="175"/>
              <w:rPr>
                <w:rFonts w:cs="Arial"/>
                <w:szCs w:val="24"/>
                <w:lang w:eastAsia="en-GB"/>
              </w:rPr>
            </w:pPr>
            <w:r w:rsidRPr="00210760">
              <w:rPr>
                <w:rFonts w:cs="Arial"/>
                <w:szCs w:val="24"/>
                <w:lang w:eastAsia="en-GB"/>
              </w:rPr>
              <w:t>Disposals</w:t>
            </w:r>
          </w:p>
        </w:tc>
        <w:tc>
          <w:tcPr>
            <w:tcW w:w="1339" w:type="dxa"/>
            <w:shd w:val="clear" w:color="auto" w:fill="auto"/>
            <w:noWrap/>
            <w:vAlign w:val="center"/>
          </w:tcPr>
          <w:p w14:paraId="766BBC6C" w14:textId="0B012129" w:rsidR="00E64DF7" w:rsidRPr="00210760" w:rsidRDefault="00E64DF7" w:rsidP="008B00BF">
            <w:pPr>
              <w:jc w:val="right"/>
              <w:rPr>
                <w:rFonts w:cs="Arial"/>
                <w:szCs w:val="24"/>
                <w:lang w:eastAsia="en-GB"/>
              </w:rPr>
            </w:pPr>
            <w:r w:rsidRPr="00210760">
              <w:rPr>
                <w:szCs w:val="24"/>
              </w:rPr>
              <w:t>-</w:t>
            </w:r>
          </w:p>
        </w:tc>
        <w:tc>
          <w:tcPr>
            <w:tcW w:w="1354" w:type="dxa"/>
            <w:vAlign w:val="center"/>
          </w:tcPr>
          <w:p w14:paraId="1E286410" w14:textId="3798A288" w:rsidR="00E64DF7" w:rsidRPr="00210760" w:rsidRDefault="00E64DF7" w:rsidP="008B00BF">
            <w:pPr>
              <w:jc w:val="right"/>
              <w:rPr>
                <w:rFonts w:cs="Arial"/>
                <w:szCs w:val="24"/>
                <w:lang w:eastAsia="en-GB"/>
              </w:rPr>
            </w:pPr>
            <w:r w:rsidRPr="00210760">
              <w:rPr>
                <w:szCs w:val="24"/>
              </w:rPr>
              <w:t>-</w:t>
            </w:r>
          </w:p>
        </w:tc>
        <w:tc>
          <w:tcPr>
            <w:tcW w:w="1560" w:type="dxa"/>
            <w:vAlign w:val="center"/>
          </w:tcPr>
          <w:p w14:paraId="0E9371CA" w14:textId="3867DC61" w:rsidR="00E64DF7" w:rsidRPr="00210760" w:rsidRDefault="00E64DF7" w:rsidP="008B00BF">
            <w:pPr>
              <w:jc w:val="right"/>
              <w:rPr>
                <w:rFonts w:cs="Arial"/>
                <w:szCs w:val="24"/>
                <w:lang w:eastAsia="en-GB"/>
              </w:rPr>
            </w:pPr>
            <w:r w:rsidRPr="00210760">
              <w:rPr>
                <w:szCs w:val="24"/>
              </w:rPr>
              <w:t>(</w:t>
            </w:r>
            <w:r w:rsidR="007A1705" w:rsidRPr="00210760">
              <w:rPr>
                <w:szCs w:val="24"/>
              </w:rPr>
              <w:t>32</w:t>
            </w:r>
            <w:r w:rsidRPr="00210760">
              <w:rPr>
                <w:szCs w:val="24"/>
              </w:rPr>
              <w:t>)</w:t>
            </w:r>
          </w:p>
        </w:tc>
        <w:tc>
          <w:tcPr>
            <w:tcW w:w="1559" w:type="dxa"/>
            <w:shd w:val="clear" w:color="auto" w:fill="auto"/>
            <w:noWrap/>
            <w:vAlign w:val="center"/>
          </w:tcPr>
          <w:p w14:paraId="4980F9CB" w14:textId="30A28318" w:rsidR="00E64DF7" w:rsidRPr="00210760" w:rsidRDefault="00E64DF7" w:rsidP="008B00BF">
            <w:pPr>
              <w:jc w:val="right"/>
              <w:rPr>
                <w:rFonts w:cs="Arial"/>
                <w:szCs w:val="24"/>
                <w:lang w:eastAsia="en-GB"/>
              </w:rPr>
            </w:pPr>
            <w:r w:rsidRPr="00210760">
              <w:rPr>
                <w:szCs w:val="24"/>
              </w:rPr>
              <w:t>(</w:t>
            </w:r>
            <w:r w:rsidR="007A1705" w:rsidRPr="00210760">
              <w:rPr>
                <w:szCs w:val="24"/>
              </w:rPr>
              <w:t>32</w:t>
            </w:r>
            <w:r w:rsidRPr="00210760">
              <w:rPr>
                <w:szCs w:val="24"/>
              </w:rPr>
              <w:t>)</w:t>
            </w:r>
          </w:p>
        </w:tc>
      </w:tr>
      <w:tr w:rsidR="00E64DF7" w:rsidRPr="00210760" w14:paraId="2778CBD6" w14:textId="77777777" w:rsidTr="008B00BF">
        <w:trPr>
          <w:trHeight w:val="212"/>
        </w:trPr>
        <w:tc>
          <w:tcPr>
            <w:tcW w:w="4144" w:type="dxa"/>
            <w:shd w:val="clear" w:color="auto" w:fill="auto"/>
            <w:noWrap/>
            <w:vAlign w:val="bottom"/>
          </w:tcPr>
          <w:p w14:paraId="1E50FA37" w14:textId="77777777" w:rsidR="00E64DF7" w:rsidRPr="00210760" w:rsidRDefault="00E64DF7" w:rsidP="00BC6C4F">
            <w:pPr>
              <w:ind w:left="175"/>
              <w:rPr>
                <w:rFonts w:cs="Arial"/>
                <w:szCs w:val="24"/>
                <w:lang w:eastAsia="en-GB"/>
              </w:rPr>
            </w:pPr>
            <w:r w:rsidRPr="00210760">
              <w:rPr>
                <w:rFonts w:cs="Arial"/>
                <w:szCs w:val="24"/>
                <w:lang w:eastAsia="en-GB"/>
              </w:rPr>
              <w:t>Impairment losses recognised in the Revaluation Reserve</w:t>
            </w:r>
          </w:p>
        </w:tc>
        <w:tc>
          <w:tcPr>
            <w:tcW w:w="1339" w:type="dxa"/>
            <w:shd w:val="clear" w:color="auto" w:fill="auto"/>
            <w:noWrap/>
            <w:vAlign w:val="center"/>
          </w:tcPr>
          <w:p w14:paraId="239BC841" w14:textId="1771A700" w:rsidR="000C6C5D" w:rsidRPr="00BF3BC5" w:rsidRDefault="00E64DF7" w:rsidP="008B00BF">
            <w:pPr>
              <w:jc w:val="right"/>
              <w:rPr>
                <w:szCs w:val="24"/>
              </w:rPr>
            </w:pPr>
            <w:r w:rsidRPr="00210760">
              <w:rPr>
                <w:szCs w:val="24"/>
              </w:rPr>
              <w:t>(</w:t>
            </w:r>
            <w:r w:rsidR="007A1705" w:rsidRPr="00210760">
              <w:rPr>
                <w:szCs w:val="24"/>
              </w:rPr>
              <w:t>279</w:t>
            </w:r>
            <w:r w:rsidRPr="00210760">
              <w:rPr>
                <w:szCs w:val="24"/>
              </w:rPr>
              <w:t>)</w:t>
            </w:r>
          </w:p>
        </w:tc>
        <w:tc>
          <w:tcPr>
            <w:tcW w:w="1354" w:type="dxa"/>
            <w:vAlign w:val="center"/>
          </w:tcPr>
          <w:p w14:paraId="2A5E28E7" w14:textId="485B5F1C" w:rsidR="00E64DF7" w:rsidRPr="00210760" w:rsidRDefault="00E64DF7" w:rsidP="008B00BF">
            <w:pPr>
              <w:jc w:val="right"/>
              <w:rPr>
                <w:rFonts w:cs="Arial"/>
                <w:szCs w:val="24"/>
                <w:lang w:eastAsia="en-GB"/>
              </w:rPr>
            </w:pPr>
            <w:r w:rsidRPr="00210760">
              <w:rPr>
                <w:szCs w:val="24"/>
              </w:rPr>
              <w:t>(</w:t>
            </w:r>
            <w:r w:rsidR="007A1705" w:rsidRPr="00210760">
              <w:rPr>
                <w:szCs w:val="24"/>
              </w:rPr>
              <w:t>269</w:t>
            </w:r>
            <w:r w:rsidRPr="00210760">
              <w:rPr>
                <w:szCs w:val="24"/>
              </w:rPr>
              <w:t>)</w:t>
            </w:r>
          </w:p>
        </w:tc>
        <w:tc>
          <w:tcPr>
            <w:tcW w:w="1560" w:type="dxa"/>
            <w:vAlign w:val="center"/>
          </w:tcPr>
          <w:p w14:paraId="7953DDBD" w14:textId="5C0560D3" w:rsidR="00E64DF7" w:rsidRPr="00210760" w:rsidRDefault="00E64DF7" w:rsidP="008B00BF">
            <w:pPr>
              <w:jc w:val="right"/>
              <w:rPr>
                <w:rFonts w:cs="Arial"/>
                <w:szCs w:val="24"/>
                <w:lang w:eastAsia="en-GB"/>
              </w:rPr>
            </w:pPr>
            <w:r w:rsidRPr="00210760">
              <w:rPr>
                <w:szCs w:val="24"/>
              </w:rPr>
              <w:t>-</w:t>
            </w:r>
          </w:p>
        </w:tc>
        <w:tc>
          <w:tcPr>
            <w:tcW w:w="1559" w:type="dxa"/>
            <w:shd w:val="clear" w:color="auto" w:fill="auto"/>
            <w:noWrap/>
            <w:vAlign w:val="center"/>
          </w:tcPr>
          <w:p w14:paraId="216E81DD" w14:textId="623F31F7" w:rsidR="00E64DF7" w:rsidRPr="00210760" w:rsidRDefault="00E64DF7" w:rsidP="008B00BF">
            <w:pPr>
              <w:jc w:val="right"/>
              <w:rPr>
                <w:rFonts w:cs="Arial"/>
                <w:szCs w:val="24"/>
                <w:lang w:eastAsia="en-GB"/>
              </w:rPr>
            </w:pPr>
            <w:r w:rsidRPr="00210760">
              <w:rPr>
                <w:szCs w:val="24"/>
              </w:rPr>
              <w:t>(</w:t>
            </w:r>
            <w:r w:rsidR="007A1705" w:rsidRPr="00210760">
              <w:rPr>
                <w:szCs w:val="24"/>
              </w:rPr>
              <w:t>548</w:t>
            </w:r>
            <w:r w:rsidRPr="00210760">
              <w:rPr>
                <w:szCs w:val="24"/>
              </w:rPr>
              <w:t>)</w:t>
            </w:r>
          </w:p>
        </w:tc>
      </w:tr>
      <w:tr w:rsidR="00E64DF7" w:rsidRPr="00210760" w14:paraId="4F5CC55E" w14:textId="77777777" w:rsidTr="008B00BF">
        <w:trPr>
          <w:trHeight w:val="499"/>
        </w:trPr>
        <w:tc>
          <w:tcPr>
            <w:tcW w:w="4144" w:type="dxa"/>
            <w:shd w:val="clear" w:color="auto" w:fill="auto"/>
            <w:noWrap/>
            <w:vAlign w:val="bottom"/>
          </w:tcPr>
          <w:p w14:paraId="60308E55" w14:textId="25B98699" w:rsidR="00E64DF7" w:rsidRPr="00210760" w:rsidRDefault="00E64DF7" w:rsidP="00BC6C4F">
            <w:pPr>
              <w:ind w:left="175"/>
              <w:rPr>
                <w:rFonts w:cs="Arial"/>
                <w:szCs w:val="24"/>
                <w:lang w:eastAsia="en-GB"/>
              </w:rPr>
            </w:pPr>
            <w:r w:rsidRPr="00210760">
              <w:rPr>
                <w:rFonts w:cs="Arial"/>
                <w:szCs w:val="24"/>
                <w:lang w:eastAsia="en-GB"/>
              </w:rPr>
              <w:t xml:space="preserve">Impairment losses recognised in the </w:t>
            </w:r>
            <w:r w:rsidR="007A1705" w:rsidRPr="00210760">
              <w:rPr>
                <w:rFonts w:cs="Arial"/>
                <w:szCs w:val="24"/>
                <w:lang w:eastAsia="en-GB"/>
              </w:rPr>
              <w:t>CIES</w:t>
            </w:r>
            <w:r w:rsidR="00607136">
              <w:rPr>
                <w:rFonts w:cs="Arial"/>
                <w:szCs w:val="24"/>
                <w:lang w:eastAsia="en-GB"/>
              </w:rPr>
              <w:t xml:space="preserve"> </w:t>
            </w:r>
            <w:r w:rsidRPr="00210760">
              <w:rPr>
                <w:rFonts w:cs="Arial"/>
                <w:szCs w:val="24"/>
                <w:lang w:eastAsia="en-GB"/>
              </w:rPr>
              <w:t>Provision of Services</w:t>
            </w:r>
          </w:p>
        </w:tc>
        <w:tc>
          <w:tcPr>
            <w:tcW w:w="1339" w:type="dxa"/>
            <w:shd w:val="clear" w:color="auto" w:fill="auto"/>
            <w:noWrap/>
            <w:vAlign w:val="center"/>
          </w:tcPr>
          <w:p w14:paraId="41D1388F" w14:textId="3F198ED9" w:rsidR="007A1705" w:rsidRPr="00210760" w:rsidRDefault="000C6C5D" w:rsidP="008B00BF">
            <w:pPr>
              <w:jc w:val="right"/>
              <w:rPr>
                <w:rFonts w:cs="Arial"/>
                <w:szCs w:val="24"/>
                <w:lang w:eastAsia="en-GB"/>
              </w:rPr>
            </w:pPr>
            <w:r w:rsidRPr="00210760">
              <w:rPr>
                <w:rFonts w:cs="Arial"/>
                <w:szCs w:val="24"/>
                <w:lang w:eastAsia="en-GB"/>
              </w:rPr>
              <w:t>(271)</w:t>
            </w:r>
          </w:p>
        </w:tc>
        <w:tc>
          <w:tcPr>
            <w:tcW w:w="1354" w:type="dxa"/>
            <w:vAlign w:val="center"/>
          </w:tcPr>
          <w:p w14:paraId="12738C16" w14:textId="5D9058A6" w:rsidR="00E64DF7" w:rsidRPr="00210760" w:rsidRDefault="00BF3BC5" w:rsidP="008B00BF">
            <w:pPr>
              <w:jc w:val="right"/>
              <w:rPr>
                <w:rFonts w:cs="Arial"/>
                <w:szCs w:val="24"/>
                <w:lang w:eastAsia="en-GB"/>
              </w:rPr>
            </w:pPr>
            <w:r>
              <w:rPr>
                <w:rFonts w:cs="Arial"/>
                <w:szCs w:val="24"/>
                <w:lang w:eastAsia="en-GB"/>
              </w:rPr>
              <w:t>-</w:t>
            </w:r>
          </w:p>
        </w:tc>
        <w:tc>
          <w:tcPr>
            <w:tcW w:w="1560" w:type="dxa"/>
            <w:vAlign w:val="center"/>
          </w:tcPr>
          <w:p w14:paraId="75D1DC10" w14:textId="05A5D224" w:rsidR="007A1705" w:rsidRPr="00210760" w:rsidRDefault="00BF3BC5" w:rsidP="008B00BF">
            <w:pPr>
              <w:jc w:val="right"/>
              <w:rPr>
                <w:rFonts w:cs="Arial"/>
                <w:szCs w:val="24"/>
                <w:lang w:eastAsia="en-GB"/>
              </w:rPr>
            </w:pPr>
            <w:r>
              <w:rPr>
                <w:rFonts w:cs="Arial"/>
                <w:szCs w:val="24"/>
                <w:lang w:eastAsia="en-GB"/>
              </w:rPr>
              <w:t>-</w:t>
            </w:r>
          </w:p>
        </w:tc>
        <w:tc>
          <w:tcPr>
            <w:tcW w:w="1559" w:type="dxa"/>
            <w:shd w:val="clear" w:color="auto" w:fill="auto"/>
            <w:noWrap/>
            <w:vAlign w:val="center"/>
          </w:tcPr>
          <w:p w14:paraId="0EF45B3C" w14:textId="7E207AF2" w:rsidR="007A1705" w:rsidRPr="00210760" w:rsidRDefault="000C6C5D" w:rsidP="008B00BF">
            <w:pPr>
              <w:jc w:val="right"/>
              <w:rPr>
                <w:rFonts w:cs="Arial"/>
                <w:szCs w:val="24"/>
                <w:lang w:eastAsia="en-GB"/>
              </w:rPr>
            </w:pPr>
            <w:r w:rsidRPr="00210760">
              <w:rPr>
                <w:rFonts w:cs="Arial"/>
                <w:szCs w:val="24"/>
                <w:lang w:eastAsia="en-GB"/>
              </w:rPr>
              <w:t>(271)</w:t>
            </w:r>
          </w:p>
        </w:tc>
      </w:tr>
      <w:tr w:rsidR="00E64DF7" w:rsidRPr="00210760" w14:paraId="5A39695D" w14:textId="77777777" w:rsidTr="008B00BF">
        <w:trPr>
          <w:trHeight w:val="212"/>
        </w:trPr>
        <w:tc>
          <w:tcPr>
            <w:tcW w:w="4144" w:type="dxa"/>
            <w:shd w:val="clear" w:color="auto" w:fill="auto"/>
            <w:noWrap/>
            <w:vAlign w:val="bottom"/>
          </w:tcPr>
          <w:p w14:paraId="3351E5D0" w14:textId="77777777" w:rsidR="00E64DF7" w:rsidRPr="00210760" w:rsidRDefault="00E64DF7" w:rsidP="00BC6C4F">
            <w:pPr>
              <w:ind w:left="175"/>
              <w:rPr>
                <w:rFonts w:cs="Arial"/>
                <w:szCs w:val="24"/>
                <w:lang w:eastAsia="en-GB"/>
              </w:rPr>
            </w:pPr>
            <w:r w:rsidRPr="00210760">
              <w:rPr>
                <w:rFonts w:cs="Arial"/>
                <w:szCs w:val="24"/>
                <w:lang w:eastAsia="en-GB"/>
              </w:rPr>
              <w:t>Revaluations</w:t>
            </w:r>
          </w:p>
        </w:tc>
        <w:tc>
          <w:tcPr>
            <w:tcW w:w="1339" w:type="dxa"/>
            <w:shd w:val="clear" w:color="auto" w:fill="auto"/>
            <w:noWrap/>
            <w:vAlign w:val="center"/>
          </w:tcPr>
          <w:p w14:paraId="67EA1AE7" w14:textId="457B6FE4" w:rsidR="00E64DF7" w:rsidRPr="00210760" w:rsidRDefault="007A1705" w:rsidP="008B00BF">
            <w:pPr>
              <w:jc w:val="right"/>
              <w:rPr>
                <w:rFonts w:cs="Arial"/>
                <w:szCs w:val="24"/>
                <w:lang w:eastAsia="en-GB"/>
              </w:rPr>
            </w:pPr>
            <w:r w:rsidRPr="00210760">
              <w:rPr>
                <w:szCs w:val="24"/>
              </w:rPr>
              <w:t>12,838</w:t>
            </w:r>
          </w:p>
        </w:tc>
        <w:tc>
          <w:tcPr>
            <w:tcW w:w="1354" w:type="dxa"/>
            <w:vAlign w:val="center"/>
          </w:tcPr>
          <w:p w14:paraId="1B16EE8E" w14:textId="765F64E7" w:rsidR="00E64DF7" w:rsidRPr="00210760" w:rsidRDefault="007A1705" w:rsidP="008B00BF">
            <w:pPr>
              <w:jc w:val="right"/>
              <w:rPr>
                <w:rFonts w:cs="Arial"/>
                <w:szCs w:val="24"/>
                <w:lang w:eastAsia="en-GB"/>
              </w:rPr>
            </w:pPr>
            <w:r w:rsidRPr="00210760">
              <w:rPr>
                <w:szCs w:val="24"/>
              </w:rPr>
              <w:t>5,375</w:t>
            </w:r>
          </w:p>
        </w:tc>
        <w:tc>
          <w:tcPr>
            <w:tcW w:w="1560" w:type="dxa"/>
            <w:vAlign w:val="center"/>
          </w:tcPr>
          <w:p w14:paraId="59CA80DF" w14:textId="01B37765" w:rsidR="00E64DF7" w:rsidRPr="00210760" w:rsidRDefault="00E64DF7" w:rsidP="008B00BF">
            <w:pPr>
              <w:jc w:val="right"/>
              <w:rPr>
                <w:rFonts w:cs="Arial"/>
                <w:szCs w:val="24"/>
                <w:lang w:eastAsia="en-GB"/>
              </w:rPr>
            </w:pPr>
            <w:r w:rsidRPr="00210760">
              <w:rPr>
                <w:szCs w:val="24"/>
              </w:rPr>
              <w:t>-</w:t>
            </w:r>
          </w:p>
        </w:tc>
        <w:tc>
          <w:tcPr>
            <w:tcW w:w="1559" w:type="dxa"/>
            <w:shd w:val="clear" w:color="auto" w:fill="auto"/>
            <w:noWrap/>
            <w:vAlign w:val="center"/>
          </w:tcPr>
          <w:p w14:paraId="48BEC932" w14:textId="608D89E2" w:rsidR="00E64DF7" w:rsidRPr="00210760" w:rsidRDefault="007A1705" w:rsidP="008B00BF">
            <w:pPr>
              <w:jc w:val="right"/>
              <w:rPr>
                <w:rFonts w:cs="Arial"/>
                <w:szCs w:val="24"/>
                <w:lang w:eastAsia="en-GB"/>
              </w:rPr>
            </w:pPr>
            <w:r w:rsidRPr="00210760">
              <w:rPr>
                <w:szCs w:val="24"/>
              </w:rPr>
              <w:t>18,21</w:t>
            </w:r>
            <w:r w:rsidR="00BF3BC5">
              <w:rPr>
                <w:szCs w:val="24"/>
              </w:rPr>
              <w:t>3</w:t>
            </w:r>
          </w:p>
        </w:tc>
      </w:tr>
      <w:tr w:rsidR="00E64DF7" w:rsidRPr="00210760" w14:paraId="0C553F21" w14:textId="77777777" w:rsidTr="008B00BF">
        <w:trPr>
          <w:trHeight w:val="212"/>
        </w:trPr>
        <w:tc>
          <w:tcPr>
            <w:tcW w:w="4144" w:type="dxa"/>
            <w:shd w:val="clear" w:color="auto" w:fill="auto"/>
            <w:noWrap/>
            <w:vAlign w:val="bottom"/>
          </w:tcPr>
          <w:p w14:paraId="678C0BB2" w14:textId="5E228190" w:rsidR="00E64DF7" w:rsidRPr="00210760" w:rsidRDefault="00E64DF7" w:rsidP="00BC6C4F">
            <w:pPr>
              <w:ind w:left="175"/>
              <w:rPr>
                <w:rFonts w:cs="Arial"/>
                <w:szCs w:val="24"/>
                <w:lang w:eastAsia="en-GB"/>
              </w:rPr>
            </w:pPr>
            <w:r w:rsidRPr="00210760">
              <w:rPr>
                <w:rFonts w:cs="Arial"/>
                <w:szCs w:val="24"/>
                <w:lang w:eastAsia="en-GB"/>
              </w:rPr>
              <w:t xml:space="preserve">As </w:t>
            </w:r>
            <w:proofErr w:type="gramStart"/>
            <w:r w:rsidRPr="00210760">
              <w:rPr>
                <w:rFonts w:cs="Arial"/>
                <w:szCs w:val="24"/>
                <w:lang w:eastAsia="en-GB"/>
              </w:rPr>
              <w:t>at</w:t>
            </w:r>
            <w:proofErr w:type="gramEnd"/>
            <w:r w:rsidRPr="00210760">
              <w:rPr>
                <w:rFonts w:cs="Arial"/>
                <w:szCs w:val="24"/>
                <w:lang w:eastAsia="en-GB"/>
              </w:rPr>
              <w:t xml:space="preserve"> 31 March 202</w:t>
            </w:r>
            <w:r w:rsidR="007A1705" w:rsidRPr="00210760">
              <w:rPr>
                <w:rFonts w:cs="Arial"/>
                <w:szCs w:val="24"/>
                <w:lang w:eastAsia="en-GB"/>
              </w:rPr>
              <w:t>3</w:t>
            </w:r>
          </w:p>
        </w:tc>
        <w:tc>
          <w:tcPr>
            <w:tcW w:w="1339" w:type="dxa"/>
            <w:shd w:val="clear" w:color="auto" w:fill="auto"/>
            <w:noWrap/>
            <w:vAlign w:val="center"/>
          </w:tcPr>
          <w:p w14:paraId="02A98F9F" w14:textId="4104084A" w:rsidR="00E64DF7" w:rsidRPr="00210760" w:rsidRDefault="000C6C5D" w:rsidP="008B00BF">
            <w:pPr>
              <w:jc w:val="right"/>
              <w:rPr>
                <w:rFonts w:cs="Arial"/>
                <w:szCs w:val="24"/>
                <w:lang w:eastAsia="en-GB"/>
              </w:rPr>
            </w:pPr>
            <w:r w:rsidRPr="00210760">
              <w:rPr>
                <w:szCs w:val="24"/>
              </w:rPr>
              <w:t>81,875</w:t>
            </w:r>
          </w:p>
        </w:tc>
        <w:tc>
          <w:tcPr>
            <w:tcW w:w="1354" w:type="dxa"/>
            <w:vAlign w:val="center"/>
          </w:tcPr>
          <w:p w14:paraId="3DF78614" w14:textId="1724DA81" w:rsidR="00E64DF7" w:rsidRPr="00210760" w:rsidRDefault="007A1705" w:rsidP="008B00BF">
            <w:pPr>
              <w:jc w:val="right"/>
              <w:rPr>
                <w:rFonts w:cs="Arial"/>
                <w:szCs w:val="24"/>
                <w:lang w:eastAsia="en-GB"/>
              </w:rPr>
            </w:pPr>
            <w:r w:rsidRPr="00210760">
              <w:rPr>
                <w:szCs w:val="24"/>
              </w:rPr>
              <w:t>36,432</w:t>
            </w:r>
          </w:p>
        </w:tc>
        <w:tc>
          <w:tcPr>
            <w:tcW w:w="1560" w:type="dxa"/>
            <w:vAlign w:val="center"/>
          </w:tcPr>
          <w:p w14:paraId="5BDF7366" w14:textId="70B562E8" w:rsidR="00E64DF7" w:rsidRPr="00210760" w:rsidRDefault="003B7BCA" w:rsidP="008B00BF">
            <w:pPr>
              <w:jc w:val="right"/>
              <w:rPr>
                <w:rFonts w:cs="Arial"/>
                <w:szCs w:val="24"/>
                <w:lang w:eastAsia="en-GB"/>
              </w:rPr>
            </w:pPr>
            <w:r w:rsidRPr="00210760">
              <w:rPr>
                <w:szCs w:val="24"/>
              </w:rPr>
              <w:t>24,708</w:t>
            </w:r>
          </w:p>
        </w:tc>
        <w:tc>
          <w:tcPr>
            <w:tcW w:w="1559" w:type="dxa"/>
            <w:shd w:val="clear" w:color="auto" w:fill="auto"/>
            <w:noWrap/>
            <w:vAlign w:val="center"/>
          </w:tcPr>
          <w:p w14:paraId="265B017F" w14:textId="30EF8B07" w:rsidR="00E64DF7" w:rsidRPr="00210760" w:rsidRDefault="003B7BCA" w:rsidP="008B00BF">
            <w:pPr>
              <w:jc w:val="right"/>
              <w:rPr>
                <w:rFonts w:cs="Arial"/>
                <w:szCs w:val="24"/>
                <w:lang w:eastAsia="en-GB"/>
              </w:rPr>
            </w:pPr>
            <w:r w:rsidRPr="00210760">
              <w:rPr>
                <w:szCs w:val="24"/>
              </w:rPr>
              <w:t>143,015</w:t>
            </w:r>
            <w:r w:rsidR="00E64DF7" w:rsidRPr="00210760">
              <w:rPr>
                <w:szCs w:val="24"/>
              </w:rPr>
              <w:t xml:space="preserve"> </w:t>
            </w:r>
          </w:p>
        </w:tc>
      </w:tr>
    </w:tbl>
    <w:p w14:paraId="43720E67" w14:textId="77777777" w:rsidR="00372872" w:rsidRDefault="00372872"/>
    <w:tbl>
      <w:tblPr>
        <w:tblW w:w="99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4"/>
        <w:gridCol w:w="1339"/>
        <w:gridCol w:w="1354"/>
        <w:gridCol w:w="1560"/>
        <w:gridCol w:w="1559"/>
      </w:tblGrid>
      <w:tr w:rsidR="00FA71D8" w:rsidRPr="00210760" w14:paraId="44D9A6FB" w14:textId="77777777" w:rsidTr="007641BA">
        <w:trPr>
          <w:trHeight w:val="212"/>
        </w:trPr>
        <w:tc>
          <w:tcPr>
            <w:tcW w:w="9956" w:type="dxa"/>
            <w:gridSpan w:val="5"/>
            <w:shd w:val="clear" w:color="auto" w:fill="D9D9D9" w:themeFill="background1" w:themeFillShade="D9"/>
            <w:noWrap/>
            <w:vAlign w:val="bottom"/>
          </w:tcPr>
          <w:p w14:paraId="6718FE1E" w14:textId="340D223C" w:rsidR="00FA71D8" w:rsidRPr="00210760" w:rsidRDefault="00FA71D8" w:rsidP="00BC6C4F">
            <w:pPr>
              <w:rPr>
                <w:rFonts w:cs="Arial"/>
                <w:szCs w:val="24"/>
                <w:lang w:eastAsia="en-GB"/>
              </w:rPr>
            </w:pPr>
            <w:r w:rsidRPr="00210760">
              <w:rPr>
                <w:rFonts w:cs="Arial"/>
                <w:b/>
                <w:bCs/>
                <w:szCs w:val="24"/>
                <w:lang w:eastAsia="en-GB"/>
              </w:rPr>
              <w:t>Depreciation and impairments</w:t>
            </w:r>
          </w:p>
        </w:tc>
      </w:tr>
      <w:tr w:rsidR="008F46F6" w:rsidRPr="00210760" w14:paraId="3074F9E6" w14:textId="77777777" w:rsidTr="008B00BF">
        <w:trPr>
          <w:trHeight w:val="212"/>
        </w:trPr>
        <w:tc>
          <w:tcPr>
            <w:tcW w:w="4144" w:type="dxa"/>
            <w:shd w:val="clear" w:color="auto" w:fill="auto"/>
            <w:noWrap/>
            <w:vAlign w:val="bottom"/>
          </w:tcPr>
          <w:p w14:paraId="6CE7BC1B" w14:textId="2F6F1241" w:rsidR="008F46F6" w:rsidRPr="00210760" w:rsidRDefault="008F46F6" w:rsidP="00BC6C4F">
            <w:pPr>
              <w:ind w:left="175"/>
              <w:rPr>
                <w:rFonts w:cs="Arial"/>
                <w:szCs w:val="24"/>
                <w:lang w:eastAsia="en-GB"/>
              </w:rPr>
            </w:pPr>
            <w:proofErr w:type="gramStart"/>
            <w:r w:rsidRPr="00210760">
              <w:rPr>
                <w:rFonts w:cs="Arial"/>
                <w:szCs w:val="24"/>
                <w:lang w:eastAsia="en-GB"/>
              </w:rPr>
              <w:t>At</w:t>
            </w:r>
            <w:proofErr w:type="gramEnd"/>
            <w:r w:rsidRPr="00210760">
              <w:rPr>
                <w:rFonts w:cs="Arial"/>
                <w:szCs w:val="24"/>
                <w:lang w:eastAsia="en-GB"/>
              </w:rPr>
              <w:t xml:space="preserve"> 1 April 202</w:t>
            </w:r>
            <w:r w:rsidR="007A1705" w:rsidRPr="00210760">
              <w:rPr>
                <w:rFonts w:cs="Arial"/>
                <w:szCs w:val="24"/>
                <w:lang w:eastAsia="en-GB"/>
              </w:rPr>
              <w:t>2</w:t>
            </w:r>
          </w:p>
        </w:tc>
        <w:tc>
          <w:tcPr>
            <w:tcW w:w="1339" w:type="dxa"/>
            <w:shd w:val="clear" w:color="auto" w:fill="auto"/>
            <w:noWrap/>
            <w:vAlign w:val="center"/>
          </w:tcPr>
          <w:p w14:paraId="1128383F" w14:textId="38986353" w:rsidR="008F46F6" w:rsidRPr="00210760" w:rsidRDefault="00E20219" w:rsidP="008B00BF">
            <w:pPr>
              <w:jc w:val="right"/>
              <w:rPr>
                <w:rFonts w:cs="Arial"/>
                <w:szCs w:val="24"/>
                <w:lang w:eastAsia="en-GB"/>
              </w:rPr>
            </w:pPr>
            <w:r w:rsidRPr="00210760">
              <w:rPr>
                <w:rFonts w:cs="Arial"/>
                <w:szCs w:val="24"/>
              </w:rPr>
              <w:t>-</w:t>
            </w:r>
          </w:p>
        </w:tc>
        <w:tc>
          <w:tcPr>
            <w:tcW w:w="1354" w:type="dxa"/>
            <w:vAlign w:val="center"/>
          </w:tcPr>
          <w:p w14:paraId="4F0273AC" w14:textId="1A3D9ACB" w:rsidR="008F46F6" w:rsidRPr="00210760" w:rsidRDefault="008F46F6" w:rsidP="008B00BF">
            <w:pPr>
              <w:jc w:val="right"/>
              <w:rPr>
                <w:rFonts w:cs="Arial"/>
                <w:szCs w:val="24"/>
                <w:lang w:eastAsia="en-GB"/>
              </w:rPr>
            </w:pPr>
            <w:r w:rsidRPr="00210760">
              <w:rPr>
                <w:rFonts w:cs="Arial"/>
                <w:szCs w:val="24"/>
              </w:rPr>
              <w:t>-</w:t>
            </w:r>
          </w:p>
        </w:tc>
        <w:tc>
          <w:tcPr>
            <w:tcW w:w="1560" w:type="dxa"/>
            <w:vAlign w:val="center"/>
          </w:tcPr>
          <w:p w14:paraId="2C1C5C76" w14:textId="53FFAFE9" w:rsidR="008F46F6" w:rsidRPr="00210760" w:rsidRDefault="00E20219" w:rsidP="008B00BF">
            <w:pPr>
              <w:jc w:val="right"/>
              <w:rPr>
                <w:rFonts w:cs="Arial"/>
                <w:szCs w:val="24"/>
                <w:lang w:eastAsia="en-GB"/>
              </w:rPr>
            </w:pPr>
            <w:r w:rsidRPr="00210760">
              <w:rPr>
                <w:rFonts w:cs="Arial"/>
                <w:szCs w:val="24"/>
              </w:rPr>
              <w:t>(15,812)</w:t>
            </w:r>
          </w:p>
        </w:tc>
        <w:tc>
          <w:tcPr>
            <w:tcW w:w="1559" w:type="dxa"/>
            <w:shd w:val="clear" w:color="auto" w:fill="auto"/>
            <w:noWrap/>
            <w:vAlign w:val="center"/>
          </w:tcPr>
          <w:p w14:paraId="5713DF93" w14:textId="4BB10BDE" w:rsidR="008F46F6" w:rsidRPr="00210760" w:rsidRDefault="008F46F6" w:rsidP="008B00BF">
            <w:pPr>
              <w:jc w:val="right"/>
              <w:rPr>
                <w:rFonts w:cs="Arial"/>
                <w:szCs w:val="24"/>
                <w:lang w:eastAsia="en-GB"/>
              </w:rPr>
            </w:pPr>
            <w:r w:rsidRPr="00210760">
              <w:rPr>
                <w:rFonts w:cs="Arial"/>
                <w:szCs w:val="24"/>
              </w:rPr>
              <w:t>(</w:t>
            </w:r>
            <w:r w:rsidR="00E20219" w:rsidRPr="00210760">
              <w:rPr>
                <w:rFonts w:cs="Arial"/>
                <w:szCs w:val="24"/>
              </w:rPr>
              <w:t>15,812</w:t>
            </w:r>
            <w:r w:rsidRPr="00210760">
              <w:rPr>
                <w:rFonts w:cs="Arial"/>
                <w:szCs w:val="24"/>
              </w:rPr>
              <w:t>)</w:t>
            </w:r>
          </w:p>
        </w:tc>
      </w:tr>
      <w:tr w:rsidR="008F46F6" w:rsidRPr="00210760" w14:paraId="4F529EF0" w14:textId="77777777" w:rsidTr="008B00BF">
        <w:trPr>
          <w:trHeight w:val="212"/>
        </w:trPr>
        <w:tc>
          <w:tcPr>
            <w:tcW w:w="4144" w:type="dxa"/>
            <w:shd w:val="clear" w:color="auto" w:fill="auto"/>
            <w:noWrap/>
            <w:vAlign w:val="bottom"/>
          </w:tcPr>
          <w:p w14:paraId="12A3AAD3" w14:textId="7CE89E31" w:rsidR="008F46F6" w:rsidRPr="00210760" w:rsidRDefault="008F46F6" w:rsidP="00BC6C4F">
            <w:pPr>
              <w:ind w:left="175"/>
              <w:rPr>
                <w:rFonts w:cs="Arial"/>
                <w:szCs w:val="24"/>
                <w:lang w:eastAsia="en-GB"/>
              </w:rPr>
            </w:pPr>
            <w:r w:rsidRPr="00210760">
              <w:rPr>
                <w:rFonts w:cs="Arial"/>
                <w:szCs w:val="24"/>
                <w:lang w:eastAsia="en-GB"/>
              </w:rPr>
              <w:t>Depreciation charge for 202</w:t>
            </w:r>
            <w:r w:rsidR="006634F8" w:rsidRPr="00210760">
              <w:rPr>
                <w:rFonts w:cs="Arial"/>
                <w:szCs w:val="24"/>
                <w:lang w:eastAsia="en-GB"/>
              </w:rPr>
              <w:t>2</w:t>
            </w:r>
            <w:r w:rsidRPr="00210760">
              <w:rPr>
                <w:rFonts w:cs="Arial"/>
                <w:szCs w:val="24"/>
                <w:lang w:eastAsia="en-GB"/>
              </w:rPr>
              <w:t>/2</w:t>
            </w:r>
            <w:r w:rsidR="006634F8" w:rsidRPr="00210760">
              <w:rPr>
                <w:rFonts w:cs="Arial"/>
                <w:szCs w:val="24"/>
                <w:lang w:eastAsia="en-GB"/>
              </w:rPr>
              <w:t>3</w:t>
            </w:r>
          </w:p>
        </w:tc>
        <w:tc>
          <w:tcPr>
            <w:tcW w:w="1339" w:type="dxa"/>
            <w:shd w:val="clear" w:color="auto" w:fill="auto"/>
            <w:noWrap/>
            <w:vAlign w:val="center"/>
          </w:tcPr>
          <w:p w14:paraId="2BDD11F5" w14:textId="6FD31F83" w:rsidR="008F46F6" w:rsidRPr="00210760" w:rsidRDefault="008F46F6" w:rsidP="008B00BF">
            <w:pPr>
              <w:jc w:val="right"/>
              <w:rPr>
                <w:rFonts w:cs="Arial"/>
                <w:szCs w:val="24"/>
                <w:lang w:eastAsia="en-GB"/>
              </w:rPr>
            </w:pPr>
            <w:r w:rsidRPr="00210760">
              <w:rPr>
                <w:rFonts w:cs="Arial"/>
                <w:szCs w:val="24"/>
              </w:rPr>
              <w:t>(</w:t>
            </w:r>
            <w:r w:rsidR="00E20219" w:rsidRPr="00210760">
              <w:rPr>
                <w:rFonts w:cs="Arial"/>
                <w:szCs w:val="24"/>
              </w:rPr>
              <w:t>3</w:t>
            </w:r>
            <w:r w:rsidR="00492B19" w:rsidRPr="00210760">
              <w:rPr>
                <w:rFonts w:cs="Arial"/>
                <w:szCs w:val="24"/>
              </w:rPr>
              <w:t>,</w:t>
            </w:r>
            <w:r w:rsidR="00E20219" w:rsidRPr="00210760">
              <w:rPr>
                <w:rFonts w:cs="Arial"/>
                <w:szCs w:val="24"/>
              </w:rPr>
              <w:t>034</w:t>
            </w:r>
            <w:r w:rsidRPr="00210760">
              <w:rPr>
                <w:rFonts w:cs="Arial"/>
                <w:szCs w:val="24"/>
              </w:rPr>
              <w:t>)</w:t>
            </w:r>
          </w:p>
        </w:tc>
        <w:tc>
          <w:tcPr>
            <w:tcW w:w="1354" w:type="dxa"/>
            <w:vAlign w:val="center"/>
          </w:tcPr>
          <w:p w14:paraId="5B06AB69" w14:textId="311101EE" w:rsidR="008F46F6" w:rsidRPr="00210760" w:rsidRDefault="008F46F6" w:rsidP="008B00BF">
            <w:pPr>
              <w:jc w:val="right"/>
              <w:rPr>
                <w:rFonts w:cs="Arial"/>
                <w:szCs w:val="24"/>
                <w:lang w:eastAsia="en-GB"/>
              </w:rPr>
            </w:pPr>
            <w:r w:rsidRPr="00210760">
              <w:rPr>
                <w:rFonts w:cs="Arial"/>
                <w:szCs w:val="24"/>
              </w:rPr>
              <w:t>(</w:t>
            </w:r>
            <w:r w:rsidR="00E20219" w:rsidRPr="00210760">
              <w:rPr>
                <w:rFonts w:cs="Arial"/>
                <w:szCs w:val="24"/>
              </w:rPr>
              <w:t>1,016</w:t>
            </w:r>
            <w:r w:rsidRPr="00210760">
              <w:rPr>
                <w:rFonts w:cs="Arial"/>
                <w:szCs w:val="24"/>
              </w:rPr>
              <w:t>)</w:t>
            </w:r>
          </w:p>
        </w:tc>
        <w:tc>
          <w:tcPr>
            <w:tcW w:w="1560" w:type="dxa"/>
            <w:vAlign w:val="center"/>
          </w:tcPr>
          <w:p w14:paraId="29EAB8F5" w14:textId="66D5EA7D" w:rsidR="008F46F6" w:rsidRPr="00210760" w:rsidRDefault="008F46F6" w:rsidP="008B00BF">
            <w:pPr>
              <w:jc w:val="right"/>
              <w:rPr>
                <w:rFonts w:cs="Arial"/>
                <w:szCs w:val="24"/>
                <w:lang w:eastAsia="en-GB"/>
              </w:rPr>
            </w:pPr>
            <w:r w:rsidRPr="00210760">
              <w:rPr>
                <w:rFonts w:cs="Arial"/>
                <w:szCs w:val="24"/>
              </w:rPr>
              <w:t>(1,</w:t>
            </w:r>
            <w:r w:rsidR="00E20219" w:rsidRPr="00210760">
              <w:rPr>
                <w:rFonts w:cs="Arial"/>
                <w:szCs w:val="24"/>
              </w:rPr>
              <w:t>538</w:t>
            </w:r>
            <w:r w:rsidRPr="00210760">
              <w:rPr>
                <w:rFonts w:cs="Arial"/>
                <w:szCs w:val="24"/>
              </w:rPr>
              <w:t>)</w:t>
            </w:r>
          </w:p>
        </w:tc>
        <w:tc>
          <w:tcPr>
            <w:tcW w:w="1559" w:type="dxa"/>
            <w:shd w:val="clear" w:color="auto" w:fill="auto"/>
            <w:noWrap/>
            <w:vAlign w:val="center"/>
          </w:tcPr>
          <w:p w14:paraId="2CC6525E" w14:textId="4960F1AA" w:rsidR="008F46F6" w:rsidRPr="00210760" w:rsidRDefault="008F46F6" w:rsidP="008B00BF">
            <w:pPr>
              <w:jc w:val="right"/>
              <w:rPr>
                <w:rFonts w:cs="Arial"/>
                <w:szCs w:val="24"/>
                <w:lang w:eastAsia="en-GB"/>
              </w:rPr>
            </w:pPr>
            <w:r w:rsidRPr="00210760">
              <w:rPr>
                <w:rFonts w:cs="Arial"/>
                <w:szCs w:val="24"/>
              </w:rPr>
              <w:t>(</w:t>
            </w:r>
            <w:r w:rsidR="00E20219" w:rsidRPr="00210760">
              <w:rPr>
                <w:rFonts w:cs="Arial"/>
                <w:szCs w:val="24"/>
              </w:rPr>
              <w:t>5,588</w:t>
            </w:r>
            <w:r w:rsidRPr="00210760">
              <w:rPr>
                <w:rFonts w:cs="Arial"/>
                <w:szCs w:val="24"/>
              </w:rPr>
              <w:t>)</w:t>
            </w:r>
          </w:p>
        </w:tc>
      </w:tr>
      <w:tr w:rsidR="008F46F6" w:rsidRPr="00210760" w14:paraId="4E32CA31" w14:textId="77777777" w:rsidTr="008B00BF">
        <w:trPr>
          <w:trHeight w:val="249"/>
        </w:trPr>
        <w:tc>
          <w:tcPr>
            <w:tcW w:w="4144" w:type="dxa"/>
            <w:shd w:val="clear" w:color="auto" w:fill="auto"/>
            <w:noWrap/>
            <w:vAlign w:val="bottom"/>
          </w:tcPr>
          <w:p w14:paraId="2FA83F45" w14:textId="77777777" w:rsidR="008F46F6" w:rsidRPr="00210760" w:rsidRDefault="008F46F6" w:rsidP="00BC6C4F">
            <w:pPr>
              <w:ind w:left="175"/>
              <w:rPr>
                <w:rFonts w:cs="Arial"/>
                <w:szCs w:val="24"/>
                <w:lang w:eastAsia="en-GB"/>
              </w:rPr>
            </w:pPr>
            <w:r w:rsidRPr="00210760">
              <w:rPr>
                <w:rFonts w:cs="Arial"/>
                <w:szCs w:val="24"/>
                <w:lang w:eastAsia="en-GB"/>
              </w:rPr>
              <w:t>Disposals</w:t>
            </w:r>
          </w:p>
        </w:tc>
        <w:tc>
          <w:tcPr>
            <w:tcW w:w="1339" w:type="dxa"/>
            <w:shd w:val="clear" w:color="auto" w:fill="auto"/>
            <w:noWrap/>
            <w:vAlign w:val="center"/>
          </w:tcPr>
          <w:p w14:paraId="64900AFD" w14:textId="5F604A1C" w:rsidR="008F46F6" w:rsidRPr="00210760" w:rsidRDefault="008F46F6" w:rsidP="008B00BF">
            <w:pPr>
              <w:jc w:val="right"/>
              <w:rPr>
                <w:rFonts w:cs="Arial"/>
                <w:szCs w:val="24"/>
                <w:lang w:eastAsia="en-GB"/>
              </w:rPr>
            </w:pPr>
            <w:r w:rsidRPr="00210760">
              <w:rPr>
                <w:rFonts w:cs="Arial"/>
                <w:szCs w:val="24"/>
              </w:rPr>
              <w:t>-</w:t>
            </w:r>
          </w:p>
        </w:tc>
        <w:tc>
          <w:tcPr>
            <w:tcW w:w="1354" w:type="dxa"/>
            <w:vAlign w:val="center"/>
          </w:tcPr>
          <w:p w14:paraId="05026C59" w14:textId="6BC0CEBE" w:rsidR="008F46F6" w:rsidRPr="00210760" w:rsidRDefault="008F46F6" w:rsidP="008B00BF">
            <w:pPr>
              <w:jc w:val="right"/>
              <w:rPr>
                <w:rFonts w:cs="Arial"/>
                <w:szCs w:val="24"/>
                <w:lang w:eastAsia="en-GB"/>
              </w:rPr>
            </w:pPr>
            <w:r w:rsidRPr="00210760">
              <w:rPr>
                <w:rFonts w:cs="Arial"/>
                <w:szCs w:val="24"/>
              </w:rPr>
              <w:t>-</w:t>
            </w:r>
          </w:p>
        </w:tc>
        <w:tc>
          <w:tcPr>
            <w:tcW w:w="1560" w:type="dxa"/>
            <w:vAlign w:val="center"/>
          </w:tcPr>
          <w:p w14:paraId="49033D0A" w14:textId="4612B020" w:rsidR="008F46F6" w:rsidRPr="00210760" w:rsidRDefault="00E20219" w:rsidP="008B00BF">
            <w:pPr>
              <w:jc w:val="right"/>
              <w:rPr>
                <w:rFonts w:cs="Arial"/>
                <w:szCs w:val="24"/>
                <w:lang w:eastAsia="en-GB"/>
              </w:rPr>
            </w:pPr>
            <w:r w:rsidRPr="00210760">
              <w:rPr>
                <w:rFonts w:cs="Arial"/>
                <w:szCs w:val="24"/>
              </w:rPr>
              <w:t>32</w:t>
            </w:r>
          </w:p>
        </w:tc>
        <w:tc>
          <w:tcPr>
            <w:tcW w:w="1559" w:type="dxa"/>
            <w:shd w:val="clear" w:color="auto" w:fill="auto"/>
            <w:noWrap/>
            <w:vAlign w:val="center"/>
          </w:tcPr>
          <w:p w14:paraId="1C499701" w14:textId="322E4A8C" w:rsidR="008F46F6" w:rsidRPr="00210760" w:rsidRDefault="00E20219" w:rsidP="008B00BF">
            <w:pPr>
              <w:jc w:val="right"/>
              <w:rPr>
                <w:rFonts w:cs="Arial"/>
                <w:szCs w:val="24"/>
                <w:lang w:eastAsia="en-GB"/>
              </w:rPr>
            </w:pPr>
            <w:r w:rsidRPr="00210760">
              <w:rPr>
                <w:rFonts w:cs="Arial"/>
                <w:szCs w:val="24"/>
              </w:rPr>
              <w:t>32</w:t>
            </w:r>
          </w:p>
        </w:tc>
      </w:tr>
      <w:tr w:rsidR="006A552D" w:rsidRPr="00210760" w14:paraId="377D3D36" w14:textId="77777777" w:rsidTr="008B00BF">
        <w:trPr>
          <w:trHeight w:val="249"/>
        </w:trPr>
        <w:tc>
          <w:tcPr>
            <w:tcW w:w="4144" w:type="dxa"/>
            <w:shd w:val="clear" w:color="auto" w:fill="auto"/>
            <w:noWrap/>
            <w:vAlign w:val="bottom"/>
          </w:tcPr>
          <w:p w14:paraId="50718B95" w14:textId="11ECF5F6" w:rsidR="006A552D" w:rsidRPr="00210760" w:rsidRDefault="006A552D" w:rsidP="00BC6C4F">
            <w:pPr>
              <w:ind w:left="175"/>
              <w:rPr>
                <w:rFonts w:cs="Arial"/>
                <w:szCs w:val="24"/>
                <w:lang w:eastAsia="en-GB"/>
              </w:rPr>
            </w:pPr>
            <w:r w:rsidRPr="00210760">
              <w:rPr>
                <w:rFonts w:cs="Arial"/>
                <w:szCs w:val="24"/>
                <w:lang w:eastAsia="en-GB"/>
              </w:rPr>
              <w:t>Revaluations</w:t>
            </w:r>
          </w:p>
        </w:tc>
        <w:tc>
          <w:tcPr>
            <w:tcW w:w="1339" w:type="dxa"/>
            <w:shd w:val="clear" w:color="auto" w:fill="auto"/>
            <w:noWrap/>
            <w:vAlign w:val="center"/>
          </w:tcPr>
          <w:p w14:paraId="2F04B2AA" w14:textId="25ADF7CC" w:rsidR="006A552D" w:rsidRPr="00210760" w:rsidRDefault="006A552D" w:rsidP="008B00BF">
            <w:pPr>
              <w:jc w:val="right"/>
              <w:rPr>
                <w:rFonts w:cs="Arial"/>
                <w:szCs w:val="24"/>
              </w:rPr>
            </w:pPr>
            <w:r w:rsidRPr="00210760">
              <w:rPr>
                <w:rFonts w:cs="Arial"/>
                <w:szCs w:val="24"/>
              </w:rPr>
              <w:t>3,054</w:t>
            </w:r>
          </w:p>
        </w:tc>
        <w:tc>
          <w:tcPr>
            <w:tcW w:w="1354" w:type="dxa"/>
            <w:vAlign w:val="center"/>
          </w:tcPr>
          <w:p w14:paraId="6246EDEF" w14:textId="6D13A501" w:rsidR="006A552D" w:rsidRPr="00210760" w:rsidRDefault="006A552D" w:rsidP="008B00BF">
            <w:pPr>
              <w:jc w:val="right"/>
              <w:rPr>
                <w:rFonts w:cs="Arial"/>
                <w:szCs w:val="24"/>
              </w:rPr>
            </w:pPr>
            <w:r w:rsidRPr="00210760">
              <w:rPr>
                <w:rFonts w:cs="Arial"/>
                <w:szCs w:val="24"/>
              </w:rPr>
              <w:t>1,016</w:t>
            </w:r>
          </w:p>
        </w:tc>
        <w:tc>
          <w:tcPr>
            <w:tcW w:w="1560" w:type="dxa"/>
            <w:vAlign w:val="center"/>
          </w:tcPr>
          <w:p w14:paraId="5622E348" w14:textId="1E081E42" w:rsidR="006A552D" w:rsidRPr="00210760" w:rsidRDefault="006A552D" w:rsidP="008B00BF">
            <w:pPr>
              <w:jc w:val="right"/>
              <w:rPr>
                <w:rFonts w:cs="Arial"/>
                <w:szCs w:val="24"/>
              </w:rPr>
            </w:pPr>
            <w:r w:rsidRPr="00210760">
              <w:rPr>
                <w:rFonts w:cs="Arial"/>
                <w:szCs w:val="24"/>
              </w:rPr>
              <w:t>-</w:t>
            </w:r>
          </w:p>
        </w:tc>
        <w:tc>
          <w:tcPr>
            <w:tcW w:w="1559" w:type="dxa"/>
            <w:shd w:val="clear" w:color="auto" w:fill="auto"/>
            <w:noWrap/>
            <w:vAlign w:val="center"/>
          </w:tcPr>
          <w:p w14:paraId="13762BDB" w14:textId="055626D4" w:rsidR="006A552D" w:rsidRPr="00210760" w:rsidRDefault="006A552D" w:rsidP="008B00BF">
            <w:pPr>
              <w:jc w:val="right"/>
              <w:rPr>
                <w:rFonts w:cs="Arial"/>
                <w:szCs w:val="24"/>
              </w:rPr>
            </w:pPr>
            <w:r w:rsidRPr="00210760">
              <w:rPr>
                <w:rFonts w:cs="Arial"/>
                <w:szCs w:val="24"/>
              </w:rPr>
              <w:t>4,070</w:t>
            </w:r>
          </w:p>
        </w:tc>
      </w:tr>
      <w:tr w:rsidR="008F46F6" w:rsidRPr="00210760" w14:paraId="4F4AEA5C" w14:textId="77777777" w:rsidTr="008B00BF">
        <w:trPr>
          <w:trHeight w:val="254"/>
        </w:trPr>
        <w:tc>
          <w:tcPr>
            <w:tcW w:w="4144" w:type="dxa"/>
            <w:shd w:val="clear" w:color="auto" w:fill="auto"/>
            <w:noWrap/>
            <w:vAlign w:val="bottom"/>
          </w:tcPr>
          <w:p w14:paraId="24F932C1" w14:textId="4263A967" w:rsidR="008F46F6" w:rsidRPr="00210760" w:rsidRDefault="008F46F6" w:rsidP="00BC6C4F">
            <w:pPr>
              <w:ind w:left="175"/>
              <w:rPr>
                <w:rFonts w:cs="Arial"/>
                <w:szCs w:val="24"/>
                <w:lang w:eastAsia="en-GB"/>
              </w:rPr>
            </w:pPr>
            <w:r w:rsidRPr="00210760">
              <w:rPr>
                <w:rFonts w:cs="Arial"/>
                <w:szCs w:val="24"/>
                <w:lang w:eastAsia="en-GB"/>
              </w:rPr>
              <w:t xml:space="preserve">As </w:t>
            </w:r>
            <w:proofErr w:type="gramStart"/>
            <w:r w:rsidRPr="00210760">
              <w:rPr>
                <w:rFonts w:cs="Arial"/>
                <w:szCs w:val="24"/>
                <w:lang w:eastAsia="en-GB"/>
              </w:rPr>
              <w:t>at</w:t>
            </w:r>
            <w:proofErr w:type="gramEnd"/>
            <w:r w:rsidRPr="00210760">
              <w:rPr>
                <w:rFonts w:cs="Arial"/>
                <w:szCs w:val="24"/>
                <w:lang w:eastAsia="en-GB"/>
              </w:rPr>
              <w:t xml:space="preserve"> 31 March 202</w:t>
            </w:r>
            <w:r w:rsidR="00A23B2D" w:rsidRPr="00210760">
              <w:rPr>
                <w:rFonts w:cs="Arial"/>
                <w:szCs w:val="24"/>
                <w:lang w:eastAsia="en-GB"/>
              </w:rPr>
              <w:t>3</w:t>
            </w:r>
          </w:p>
        </w:tc>
        <w:tc>
          <w:tcPr>
            <w:tcW w:w="1339" w:type="dxa"/>
            <w:shd w:val="clear" w:color="auto" w:fill="auto"/>
            <w:noWrap/>
            <w:vAlign w:val="center"/>
          </w:tcPr>
          <w:p w14:paraId="071CD9ED" w14:textId="113A9C72" w:rsidR="008F46F6" w:rsidRPr="00210760" w:rsidRDefault="00E20219" w:rsidP="008B00BF">
            <w:pPr>
              <w:jc w:val="right"/>
              <w:rPr>
                <w:rFonts w:cs="Arial"/>
                <w:szCs w:val="24"/>
                <w:lang w:eastAsia="en-GB"/>
              </w:rPr>
            </w:pPr>
            <w:r w:rsidRPr="00210760">
              <w:rPr>
                <w:rFonts w:cs="Arial"/>
                <w:szCs w:val="24"/>
              </w:rPr>
              <w:t>20</w:t>
            </w:r>
          </w:p>
        </w:tc>
        <w:tc>
          <w:tcPr>
            <w:tcW w:w="1354" w:type="dxa"/>
            <w:vAlign w:val="center"/>
          </w:tcPr>
          <w:p w14:paraId="78E11B55" w14:textId="190EB402" w:rsidR="008F46F6" w:rsidRPr="00210760" w:rsidRDefault="008F46F6" w:rsidP="008B00BF">
            <w:pPr>
              <w:jc w:val="right"/>
              <w:rPr>
                <w:rFonts w:cs="Arial"/>
                <w:szCs w:val="24"/>
                <w:lang w:eastAsia="en-GB"/>
              </w:rPr>
            </w:pPr>
            <w:r w:rsidRPr="00210760">
              <w:rPr>
                <w:rFonts w:cs="Arial"/>
                <w:szCs w:val="24"/>
              </w:rPr>
              <w:t>-</w:t>
            </w:r>
          </w:p>
        </w:tc>
        <w:tc>
          <w:tcPr>
            <w:tcW w:w="1560" w:type="dxa"/>
            <w:vAlign w:val="center"/>
          </w:tcPr>
          <w:p w14:paraId="6EE27B98" w14:textId="04D0B7E9" w:rsidR="008F46F6" w:rsidRPr="00210760" w:rsidRDefault="008F46F6" w:rsidP="008B00BF">
            <w:pPr>
              <w:jc w:val="right"/>
              <w:rPr>
                <w:rFonts w:cs="Arial"/>
                <w:szCs w:val="24"/>
                <w:lang w:eastAsia="en-GB"/>
              </w:rPr>
            </w:pPr>
            <w:r w:rsidRPr="00210760">
              <w:rPr>
                <w:rFonts w:cs="Arial"/>
                <w:szCs w:val="24"/>
              </w:rPr>
              <w:t>(1</w:t>
            </w:r>
            <w:r w:rsidR="00093C7E" w:rsidRPr="00210760">
              <w:rPr>
                <w:rFonts w:cs="Arial"/>
                <w:szCs w:val="24"/>
              </w:rPr>
              <w:t>7,318</w:t>
            </w:r>
            <w:r w:rsidRPr="00210760">
              <w:rPr>
                <w:rFonts w:cs="Arial"/>
                <w:szCs w:val="24"/>
              </w:rPr>
              <w:t>)</w:t>
            </w:r>
          </w:p>
        </w:tc>
        <w:tc>
          <w:tcPr>
            <w:tcW w:w="1559" w:type="dxa"/>
            <w:shd w:val="clear" w:color="auto" w:fill="auto"/>
            <w:noWrap/>
            <w:vAlign w:val="center"/>
          </w:tcPr>
          <w:p w14:paraId="01AC6FD5" w14:textId="661F6967" w:rsidR="008F46F6" w:rsidRPr="00210760" w:rsidRDefault="008F46F6" w:rsidP="008B00BF">
            <w:pPr>
              <w:jc w:val="right"/>
              <w:rPr>
                <w:rFonts w:cs="Arial"/>
                <w:szCs w:val="24"/>
                <w:lang w:eastAsia="en-GB"/>
              </w:rPr>
            </w:pPr>
            <w:r w:rsidRPr="00210760">
              <w:rPr>
                <w:rFonts w:cs="Arial"/>
                <w:szCs w:val="24"/>
              </w:rPr>
              <w:t>(1</w:t>
            </w:r>
            <w:r w:rsidR="003B7BCA" w:rsidRPr="00210760">
              <w:rPr>
                <w:rFonts w:cs="Arial"/>
                <w:szCs w:val="24"/>
              </w:rPr>
              <w:t>7,298</w:t>
            </w:r>
            <w:r w:rsidRPr="00210760">
              <w:rPr>
                <w:rFonts w:cs="Arial"/>
                <w:szCs w:val="24"/>
              </w:rPr>
              <w:t>)</w:t>
            </w:r>
          </w:p>
        </w:tc>
      </w:tr>
      <w:tr w:rsidR="001009CE" w:rsidRPr="00210760" w14:paraId="2E43B047" w14:textId="77777777" w:rsidTr="008B00BF">
        <w:trPr>
          <w:trHeight w:val="212"/>
        </w:trPr>
        <w:tc>
          <w:tcPr>
            <w:tcW w:w="4144" w:type="dxa"/>
            <w:shd w:val="clear" w:color="auto" w:fill="auto"/>
            <w:noWrap/>
            <w:vAlign w:val="bottom"/>
          </w:tcPr>
          <w:p w14:paraId="7CBB4956" w14:textId="519C8FC7" w:rsidR="001009CE" w:rsidRPr="00210760" w:rsidRDefault="001009CE" w:rsidP="00BC6C4F">
            <w:pPr>
              <w:ind w:left="175"/>
              <w:rPr>
                <w:rFonts w:cs="Arial"/>
                <w:szCs w:val="24"/>
                <w:lang w:eastAsia="en-GB"/>
              </w:rPr>
            </w:pPr>
            <w:r w:rsidRPr="00210760">
              <w:rPr>
                <w:rFonts w:cs="Arial"/>
                <w:szCs w:val="24"/>
                <w:lang w:eastAsia="en-GB"/>
              </w:rPr>
              <w:t xml:space="preserve">Balance sheet </w:t>
            </w:r>
            <w:proofErr w:type="gramStart"/>
            <w:r w:rsidRPr="00210760">
              <w:rPr>
                <w:rFonts w:cs="Arial"/>
                <w:szCs w:val="24"/>
                <w:lang w:eastAsia="en-GB"/>
              </w:rPr>
              <w:t>at</w:t>
            </w:r>
            <w:proofErr w:type="gramEnd"/>
            <w:r w:rsidRPr="00210760">
              <w:rPr>
                <w:rFonts w:cs="Arial"/>
                <w:szCs w:val="24"/>
                <w:lang w:eastAsia="en-GB"/>
              </w:rPr>
              <w:t xml:space="preserve"> 31 March 202</w:t>
            </w:r>
            <w:r w:rsidR="00E20219" w:rsidRPr="00210760">
              <w:rPr>
                <w:rFonts w:cs="Arial"/>
                <w:szCs w:val="24"/>
                <w:lang w:eastAsia="en-GB"/>
              </w:rPr>
              <w:t>3</w:t>
            </w:r>
          </w:p>
        </w:tc>
        <w:tc>
          <w:tcPr>
            <w:tcW w:w="1339" w:type="dxa"/>
            <w:shd w:val="clear" w:color="auto" w:fill="auto"/>
            <w:noWrap/>
            <w:vAlign w:val="center"/>
          </w:tcPr>
          <w:p w14:paraId="37F952CB" w14:textId="641C5E95" w:rsidR="001009CE" w:rsidRPr="00210760" w:rsidRDefault="00E20219" w:rsidP="008B00BF">
            <w:pPr>
              <w:jc w:val="right"/>
              <w:rPr>
                <w:rFonts w:cs="Arial"/>
                <w:szCs w:val="24"/>
                <w:lang w:eastAsia="en-GB"/>
              </w:rPr>
            </w:pPr>
            <w:r w:rsidRPr="00210760">
              <w:rPr>
                <w:rFonts w:cs="Arial"/>
                <w:szCs w:val="24"/>
              </w:rPr>
              <w:t>8</w:t>
            </w:r>
            <w:r w:rsidR="00F641AC" w:rsidRPr="00210760">
              <w:rPr>
                <w:rFonts w:cs="Arial"/>
                <w:szCs w:val="24"/>
              </w:rPr>
              <w:t>1,895</w:t>
            </w:r>
          </w:p>
        </w:tc>
        <w:tc>
          <w:tcPr>
            <w:tcW w:w="1354" w:type="dxa"/>
            <w:vAlign w:val="center"/>
          </w:tcPr>
          <w:p w14:paraId="72E9F49C" w14:textId="311F2E08" w:rsidR="001009CE" w:rsidRPr="00210760" w:rsidRDefault="00E20219" w:rsidP="008B00BF">
            <w:pPr>
              <w:jc w:val="right"/>
              <w:rPr>
                <w:rFonts w:cs="Arial"/>
                <w:szCs w:val="24"/>
                <w:lang w:eastAsia="en-GB"/>
              </w:rPr>
            </w:pPr>
            <w:r w:rsidRPr="00210760">
              <w:rPr>
                <w:rFonts w:cs="Arial"/>
                <w:szCs w:val="24"/>
              </w:rPr>
              <w:t>36,432</w:t>
            </w:r>
          </w:p>
        </w:tc>
        <w:tc>
          <w:tcPr>
            <w:tcW w:w="1560" w:type="dxa"/>
            <w:vAlign w:val="center"/>
          </w:tcPr>
          <w:p w14:paraId="1459EDB9" w14:textId="2F655A43" w:rsidR="001009CE" w:rsidRPr="00210760" w:rsidRDefault="00E20219" w:rsidP="008B00BF">
            <w:pPr>
              <w:jc w:val="right"/>
              <w:rPr>
                <w:rFonts w:cs="Arial"/>
                <w:szCs w:val="24"/>
                <w:lang w:eastAsia="en-GB"/>
              </w:rPr>
            </w:pPr>
            <w:r w:rsidRPr="00210760">
              <w:rPr>
                <w:rFonts w:cs="Arial"/>
                <w:szCs w:val="24"/>
              </w:rPr>
              <w:t>7,390</w:t>
            </w:r>
          </w:p>
        </w:tc>
        <w:tc>
          <w:tcPr>
            <w:tcW w:w="1559" w:type="dxa"/>
            <w:shd w:val="clear" w:color="auto" w:fill="auto"/>
            <w:noWrap/>
            <w:vAlign w:val="center"/>
          </w:tcPr>
          <w:p w14:paraId="59019F28" w14:textId="5E4497E7" w:rsidR="001009CE" w:rsidRPr="00210760" w:rsidRDefault="00E20219" w:rsidP="008B00BF">
            <w:pPr>
              <w:jc w:val="right"/>
              <w:rPr>
                <w:rFonts w:cs="Arial"/>
                <w:szCs w:val="24"/>
                <w:lang w:eastAsia="en-GB"/>
              </w:rPr>
            </w:pPr>
            <w:r w:rsidRPr="00210760">
              <w:rPr>
                <w:rFonts w:cs="Arial"/>
                <w:szCs w:val="24"/>
              </w:rPr>
              <w:t>125</w:t>
            </w:r>
            <w:r w:rsidR="00DF5C98" w:rsidRPr="00210760">
              <w:rPr>
                <w:rFonts w:cs="Arial"/>
                <w:szCs w:val="24"/>
              </w:rPr>
              <w:t>,</w:t>
            </w:r>
            <w:r w:rsidR="00BB4358" w:rsidRPr="00210760">
              <w:rPr>
                <w:rFonts w:cs="Arial"/>
                <w:szCs w:val="24"/>
              </w:rPr>
              <w:t>717</w:t>
            </w:r>
          </w:p>
        </w:tc>
      </w:tr>
      <w:tr w:rsidR="001009CE" w:rsidRPr="00210760" w14:paraId="531808D5" w14:textId="77777777" w:rsidTr="008B00BF">
        <w:trPr>
          <w:trHeight w:val="212"/>
        </w:trPr>
        <w:tc>
          <w:tcPr>
            <w:tcW w:w="4144" w:type="dxa"/>
            <w:shd w:val="clear" w:color="auto" w:fill="auto"/>
            <w:noWrap/>
            <w:vAlign w:val="bottom"/>
          </w:tcPr>
          <w:p w14:paraId="3703B2BF" w14:textId="1231FF53" w:rsidR="001009CE" w:rsidRPr="00210760" w:rsidRDefault="001009CE" w:rsidP="00BC6C4F">
            <w:pPr>
              <w:ind w:left="175"/>
              <w:rPr>
                <w:rFonts w:cs="Arial"/>
                <w:szCs w:val="24"/>
                <w:lang w:eastAsia="en-GB"/>
              </w:rPr>
            </w:pPr>
            <w:r w:rsidRPr="00210760">
              <w:rPr>
                <w:rFonts w:cs="Arial"/>
                <w:szCs w:val="24"/>
                <w:lang w:eastAsia="en-GB"/>
              </w:rPr>
              <w:t xml:space="preserve">Balance sheet </w:t>
            </w:r>
            <w:proofErr w:type="gramStart"/>
            <w:r w:rsidRPr="00210760">
              <w:rPr>
                <w:rFonts w:cs="Arial"/>
                <w:szCs w:val="24"/>
                <w:lang w:eastAsia="en-GB"/>
              </w:rPr>
              <w:t>at</w:t>
            </w:r>
            <w:proofErr w:type="gramEnd"/>
            <w:r w:rsidRPr="00210760">
              <w:rPr>
                <w:rFonts w:cs="Arial"/>
                <w:szCs w:val="24"/>
                <w:lang w:eastAsia="en-GB"/>
              </w:rPr>
              <w:t xml:space="preserve"> 31 March 202</w:t>
            </w:r>
            <w:r w:rsidR="00DF5C98" w:rsidRPr="00210760">
              <w:rPr>
                <w:rFonts w:cs="Arial"/>
                <w:szCs w:val="24"/>
                <w:lang w:eastAsia="en-GB"/>
              </w:rPr>
              <w:t>2</w:t>
            </w:r>
          </w:p>
        </w:tc>
        <w:tc>
          <w:tcPr>
            <w:tcW w:w="1339" w:type="dxa"/>
            <w:shd w:val="clear" w:color="auto" w:fill="auto"/>
            <w:noWrap/>
            <w:vAlign w:val="center"/>
          </w:tcPr>
          <w:p w14:paraId="23ED14C4" w14:textId="5733F07A" w:rsidR="001009CE" w:rsidRPr="00210760" w:rsidRDefault="00DF5C98" w:rsidP="008B00BF">
            <w:pPr>
              <w:jc w:val="right"/>
              <w:rPr>
                <w:rFonts w:cs="Arial"/>
                <w:szCs w:val="24"/>
                <w:lang w:eastAsia="en-GB"/>
              </w:rPr>
            </w:pPr>
            <w:r w:rsidRPr="00210760">
              <w:rPr>
                <w:rFonts w:cs="Arial"/>
                <w:szCs w:val="24"/>
              </w:rPr>
              <w:t>69,114</w:t>
            </w:r>
          </w:p>
        </w:tc>
        <w:tc>
          <w:tcPr>
            <w:tcW w:w="1354" w:type="dxa"/>
            <w:vAlign w:val="center"/>
          </w:tcPr>
          <w:p w14:paraId="594272B3" w14:textId="7E9D4F29" w:rsidR="001009CE" w:rsidRPr="00210760" w:rsidRDefault="00DF5C98" w:rsidP="008B00BF">
            <w:pPr>
              <w:jc w:val="right"/>
              <w:rPr>
                <w:rFonts w:cs="Arial"/>
                <w:szCs w:val="24"/>
                <w:lang w:eastAsia="en-GB"/>
              </w:rPr>
            </w:pPr>
            <w:r w:rsidRPr="00210760">
              <w:rPr>
                <w:rFonts w:cs="Arial"/>
                <w:szCs w:val="24"/>
              </w:rPr>
              <w:t>31,175</w:t>
            </w:r>
          </w:p>
        </w:tc>
        <w:tc>
          <w:tcPr>
            <w:tcW w:w="1560" w:type="dxa"/>
            <w:vAlign w:val="center"/>
          </w:tcPr>
          <w:p w14:paraId="65373283" w14:textId="4398C897" w:rsidR="001009CE" w:rsidRPr="00210760" w:rsidRDefault="00DF5C98" w:rsidP="008B00BF">
            <w:pPr>
              <w:jc w:val="right"/>
              <w:rPr>
                <w:rFonts w:cs="Arial"/>
                <w:szCs w:val="24"/>
                <w:lang w:eastAsia="en-GB"/>
              </w:rPr>
            </w:pPr>
            <w:r w:rsidRPr="00210760">
              <w:rPr>
                <w:rFonts w:cs="Arial"/>
                <w:szCs w:val="24"/>
              </w:rPr>
              <w:t>8,348</w:t>
            </w:r>
          </w:p>
        </w:tc>
        <w:tc>
          <w:tcPr>
            <w:tcW w:w="1559" w:type="dxa"/>
            <w:shd w:val="clear" w:color="auto" w:fill="auto"/>
            <w:noWrap/>
            <w:vAlign w:val="center"/>
          </w:tcPr>
          <w:p w14:paraId="1199C49A" w14:textId="4FE0EE10" w:rsidR="001009CE" w:rsidRPr="00210760" w:rsidRDefault="00DF5C98" w:rsidP="008B00BF">
            <w:pPr>
              <w:jc w:val="right"/>
              <w:rPr>
                <w:rFonts w:cs="Arial"/>
                <w:szCs w:val="24"/>
                <w:lang w:eastAsia="en-GB"/>
              </w:rPr>
            </w:pPr>
            <w:r w:rsidRPr="00210760">
              <w:rPr>
                <w:rFonts w:cs="Arial"/>
                <w:szCs w:val="24"/>
              </w:rPr>
              <w:t>108,637</w:t>
            </w:r>
          </w:p>
        </w:tc>
      </w:tr>
    </w:tbl>
    <w:p w14:paraId="099F6555" w14:textId="77777777" w:rsidR="00372872" w:rsidRDefault="00372872"/>
    <w:tbl>
      <w:tblPr>
        <w:tblW w:w="99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4"/>
        <w:gridCol w:w="1339"/>
        <w:gridCol w:w="1354"/>
        <w:gridCol w:w="1560"/>
        <w:gridCol w:w="1559"/>
      </w:tblGrid>
      <w:tr w:rsidR="00FA71D8" w:rsidRPr="00210760" w14:paraId="06CA2B96" w14:textId="77777777" w:rsidTr="007641BA">
        <w:trPr>
          <w:trHeight w:val="212"/>
        </w:trPr>
        <w:tc>
          <w:tcPr>
            <w:tcW w:w="9956" w:type="dxa"/>
            <w:gridSpan w:val="5"/>
            <w:shd w:val="clear" w:color="auto" w:fill="D9D9D9" w:themeFill="background1" w:themeFillShade="D9"/>
            <w:noWrap/>
            <w:vAlign w:val="bottom"/>
          </w:tcPr>
          <w:p w14:paraId="04CB5009" w14:textId="53428931" w:rsidR="00FA71D8" w:rsidRPr="00210760" w:rsidRDefault="00FA71D8" w:rsidP="00BC6C4F">
            <w:pPr>
              <w:rPr>
                <w:rFonts w:cs="Arial"/>
                <w:szCs w:val="24"/>
                <w:lang w:eastAsia="en-GB"/>
              </w:rPr>
            </w:pPr>
            <w:r w:rsidRPr="00210760">
              <w:rPr>
                <w:rFonts w:cs="Arial"/>
                <w:b/>
                <w:bCs/>
                <w:szCs w:val="24"/>
                <w:lang w:eastAsia="en-GB"/>
              </w:rPr>
              <w:t>Nature of asset holding</w:t>
            </w:r>
          </w:p>
        </w:tc>
      </w:tr>
      <w:tr w:rsidR="001009CE" w:rsidRPr="00210760" w14:paraId="6232A57B" w14:textId="77777777" w:rsidTr="008B00BF">
        <w:trPr>
          <w:trHeight w:val="212"/>
        </w:trPr>
        <w:tc>
          <w:tcPr>
            <w:tcW w:w="4144" w:type="dxa"/>
            <w:shd w:val="clear" w:color="auto" w:fill="auto"/>
            <w:noWrap/>
            <w:vAlign w:val="bottom"/>
          </w:tcPr>
          <w:p w14:paraId="14F6C374" w14:textId="77777777" w:rsidR="001009CE" w:rsidRPr="00210760" w:rsidRDefault="001009CE" w:rsidP="00BC6C4F">
            <w:pPr>
              <w:ind w:left="175"/>
              <w:rPr>
                <w:rFonts w:cs="Arial"/>
                <w:szCs w:val="24"/>
                <w:lang w:eastAsia="en-GB"/>
              </w:rPr>
            </w:pPr>
            <w:r w:rsidRPr="00210760">
              <w:rPr>
                <w:rFonts w:cs="Arial"/>
                <w:szCs w:val="24"/>
                <w:lang w:eastAsia="en-GB"/>
              </w:rPr>
              <w:t>Owned</w:t>
            </w:r>
          </w:p>
        </w:tc>
        <w:tc>
          <w:tcPr>
            <w:tcW w:w="1339" w:type="dxa"/>
            <w:shd w:val="clear" w:color="auto" w:fill="auto"/>
            <w:noWrap/>
            <w:vAlign w:val="center"/>
          </w:tcPr>
          <w:p w14:paraId="59B50830" w14:textId="0C8E5704" w:rsidR="001009CE" w:rsidRPr="00210760" w:rsidRDefault="00DF5C98" w:rsidP="008B00BF">
            <w:pPr>
              <w:jc w:val="right"/>
              <w:rPr>
                <w:rFonts w:cs="Arial"/>
                <w:szCs w:val="24"/>
                <w:lang w:eastAsia="en-GB"/>
              </w:rPr>
            </w:pPr>
            <w:r w:rsidRPr="00210760">
              <w:rPr>
                <w:rFonts w:cs="Arial"/>
                <w:szCs w:val="24"/>
              </w:rPr>
              <w:t>8</w:t>
            </w:r>
            <w:r w:rsidR="00F641AC" w:rsidRPr="00210760">
              <w:rPr>
                <w:rFonts w:cs="Arial"/>
                <w:szCs w:val="24"/>
              </w:rPr>
              <w:t>1,895</w:t>
            </w:r>
          </w:p>
        </w:tc>
        <w:tc>
          <w:tcPr>
            <w:tcW w:w="1354" w:type="dxa"/>
            <w:vAlign w:val="center"/>
          </w:tcPr>
          <w:p w14:paraId="11080B7B" w14:textId="43E9942C" w:rsidR="001009CE" w:rsidRPr="00210760" w:rsidRDefault="001009CE" w:rsidP="008B00BF">
            <w:pPr>
              <w:jc w:val="right"/>
              <w:rPr>
                <w:rFonts w:cs="Arial"/>
                <w:szCs w:val="24"/>
                <w:lang w:eastAsia="en-GB"/>
              </w:rPr>
            </w:pPr>
            <w:r w:rsidRPr="00210760">
              <w:rPr>
                <w:rFonts w:cs="Arial"/>
                <w:szCs w:val="24"/>
              </w:rPr>
              <w:t>-</w:t>
            </w:r>
          </w:p>
        </w:tc>
        <w:tc>
          <w:tcPr>
            <w:tcW w:w="1560" w:type="dxa"/>
            <w:shd w:val="clear" w:color="auto" w:fill="auto"/>
            <w:vAlign w:val="center"/>
          </w:tcPr>
          <w:p w14:paraId="7CAD32B0" w14:textId="04865302" w:rsidR="001009CE" w:rsidRPr="00210760" w:rsidRDefault="00DF5C98" w:rsidP="008B00BF">
            <w:pPr>
              <w:jc w:val="right"/>
              <w:rPr>
                <w:rFonts w:cs="Arial"/>
                <w:szCs w:val="24"/>
                <w:lang w:eastAsia="en-GB"/>
              </w:rPr>
            </w:pPr>
            <w:r w:rsidRPr="00210760">
              <w:rPr>
                <w:rFonts w:cs="Arial"/>
                <w:szCs w:val="24"/>
              </w:rPr>
              <w:t>7,3</w:t>
            </w:r>
            <w:r w:rsidR="00F24E98" w:rsidRPr="00210760">
              <w:rPr>
                <w:rFonts w:cs="Arial"/>
                <w:szCs w:val="24"/>
              </w:rPr>
              <w:t>8</w:t>
            </w:r>
            <w:r w:rsidR="00F641AC" w:rsidRPr="00210760">
              <w:rPr>
                <w:rFonts w:cs="Arial"/>
                <w:szCs w:val="24"/>
              </w:rPr>
              <w:t>7</w:t>
            </w:r>
          </w:p>
        </w:tc>
        <w:tc>
          <w:tcPr>
            <w:tcW w:w="1559" w:type="dxa"/>
            <w:shd w:val="clear" w:color="auto" w:fill="auto"/>
            <w:noWrap/>
            <w:vAlign w:val="center"/>
          </w:tcPr>
          <w:p w14:paraId="1B7E954F" w14:textId="04C4EDF6" w:rsidR="001009CE" w:rsidRPr="00210760" w:rsidRDefault="00DF5C98" w:rsidP="008B00BF">
            <w:pPr>
              <w:jc w:val="right"/>
              <w:rPr>
                <w:rFonts w:cs="Arial"/>
                <w:szCs w:val="24"/>
                <w:lang w:eastAsia="en-GB"/>
              </w:rPr>
            </w:pPr>
            <w:r w:rsidRPr="00210760">
              <w:rPr>
                <w:rFonts w:cs="Arial"/>
                <w:szCs w:val="24"/>
              </w:rPr>
              <w:t>89,</w:t>
            </w:r>
            <w:r w:rsidR="00BB4358" w:rsidRPr="00210760">
              <w:rPr>
                <w:rFonts w:cs="Arial"/>
                <w:szCs w:val="24"/>
              </w:rPr>
              <w:t>282</w:t>
            </w:r>
          </w:p>
        </w:tc>
      </w:tr>
      <w:tr w:rsidR="001009CE" w:rsidRPr="00210760" w14:paraId="2E12440D" w14:textId="77777777" w:rsidTr="008B00BF">
        <w:trPr>
          <w:trHeight w:val="212"/>
        </w:trPr>
        <w:tc>
          <w:tcPr>
            <w:tcW w:w="4144" w:type="dxa"/>
            <w:shd w:val="clear" w:color="auto" w:fill="auto"/>
            <w:noWrap/>
            <w:vAlign w:val="bottom"/>
          </w:tcPr>
          <w:p w14:paraId="4C0338D9" w14:textId="77777777" w:rsidR="001009CE" w:rsidRPr="00210760" w:rsidRDefault="001009CE" w:rsidP="00BC6C4F">
            <w:pPr>
              <w:ind w:left="175"/>
              <w:rPr>
                <w:rFonts w:cs="Arial"/>
                <w:szCs w:val="24"/>
                <w:lang w:eastAsia="en-GB"/>
              </w:rPr>
            </w:pPr>
            <w:r w:rsidRPr="00210760">
              <w:rPr>
                <w:rFonts w:cs="Arial"/>
                <w:szCs w:val="24"/>
                <w:lang w:eastAsia="en-GB"/>
              </w:rPr>
              <w:t>Finance lease</w:t>
            </w:r>
          </w:p>
        </w:tc>
        <w:tc>
          <w:tcPr>
            <w:tcW w:w="1339" w:type="dxa"/>
            <w:shd w:val="clear" w:color="auto" w:fill="auto"/>
            <w:noWrap/>
            <w:vAlign w:val="center"/>
          </w:tcPr>
          <w:p w14:paraId="32A8BC84" w14:textId="4A87A7C3" w:rsidR="001009CE" w:rsidRPr="00210760" w:rsidRDefault="00F641AC" w:rsidP="008B00BF">
            <w:pPr>
              <w:jc w:val="right"/>
              <w:rPr>
                <w:rFonts w:cs="Arial"/>
                <w:szCs w:val="24"/>
                <w:lang w:eastAsia="en-GB"/>
              </w:rPr>
            </w:pPr>
            <w:r w:rsidRPr="00210760">
              <w:rPr>
                <w:rFonts w:cs="Arial"/>
                <w:szCs w:val="24"/>
              </w:rPr>
              <w:t>-</w:t>
            </w:r>
          </w:p>
        </w:tc>
        <w:tc>
          <w:tcPr>
            <w:tcW w:w="1354" w:type="dxa"/>
            <w:vAlign w:val="center"/>
          </w:tcPr>
          <w:p w14:paraId="0E54EC12" w14:textId="1AB32F86" w:rsidR="001009CE" w:rsidRPr="00210760" w:rsidRDefault="001009CE" w:rsidP="008B00BF">
            <w:pPr>
              <w:jc w:val="right"/>
              <w:rPr>
                <w:rFonts w:cs="Arial"/>
                <w:szCs w:val="24"/>
                <w:lang w:eastAsia="en-GB"/>
              </w:rPr>
            </w:pPr>
            <w:r w:rsidRPr="00210760">
              <w:rPr>
                <w:rFonts w:cs="Arial"/>
                <w:szCs w:val="24"/>
              </w:rPr>
              <w:t>-</w:t>
            </w:r>
          </w:p>
        </w:tc>
        <w:tc>
          <w:tcPr>
            <w:tcW w:w="1560" w:type="dxa"/>
            <w:shd w:val="clear" w:color="auto" w:fill="auto"/>
            <w:vAlign w:val="center"/>
          </w:tcPr>
          <w:p w14:paraId="6AF13964" w14:textId="3A3BE5BF" w:rsidR="001009CE" w:rsidRPr="00210760" w:rsidRDefault="00F24E98" w:rsidP="008B00BF">
            <w:pPr>
              <w:jc w:val="right"/>
              <w:rPr>
                <w:rFonts w:cs="Arial"/>
                <w:szCs w:val="24"/>
                <w:lang w:eastAsia="en-GB"/>
              </w:rPr>
            </w:pPr>
            <w:r w:rsidRPr="00210760">
              <w:rPr>
                <w:rFonts w:cs="Arial"/>
                <w:szCs w:val="24"/>
                <w:lang w:eastAsia="en-GB"/>
              </w:rPr>
              <w:t>3</w:t>
            </w:r>
          </w:p>
        </w:tc>
        <w:tc>
          <w:tcPr>
            <w:tcW w:w="1559" w:type="dxa"/>
            <w:shd w:val="clear" w:color="auto" w:fill="auto"/>
            <w:noWrap/>
            <w:vAlign w:val="center"/>
          </w:tcPr>
          <w:p w14:paraId="43339CC7" w14:textId="6732E80B" w:rsidR="001009CE" w:rsidRPr="00210760" w:rsidRDefault="00F24E98" w:rsidP="008B00BF">
            <w:pPr>
              <w:jc w:val="right"/>
              <w:rPr>
                <w:rFonts w:cs="Arial"/>
                <w:szCs w:val="24"/>
                <w:lang w:eastAsia="en-GB"/>
              </w:rPr>
            </w:pPr>
            <w:r w:rsidRPr="00210760">
              <w:rPr>
                <w:rFonts w:cs="Arial"/>
                <w:szCs w:val="24"/>
              </w:rPr>
              <w:t>3</w:t>
            </w:r>
          </w:p>
        </w:tc>
      </w:tr>
      <w:tr w:rsidR="001009CE" w:rsidRPr="00210760" w14:paraId="1B2A1A53" w14:textId="77777777" w:rsidTr="008B00BF">
        <w:trPr>
          <w:trHeight w:val="212"/>
        </w:trPr>
        <w:tc>
          <w:tcPr>
            <w:tcW w:w="4144" w:type="dxa"/>
            <w:shd w:val="clear" w:color="auto" w:fill="auto"/>
            <w:noWrap/>
            <w:vAlign w:val="bottom"/>
          </w:tcPr>
          <w:p w14:paraId="0DC984B0" w14:textId="77777777" w:rsidR="001009CE" w:rsidRPr="00210760" w:rsidRDefault="001009CE" w:rsidP="00BC6C4F">
            <w:pPr>
              <w:ind w:left="175"/>
              <w:rPr>
                <w:rFonts w:cs="Arial"/>
                <w:szCs w:val="24"/>
                <w:lang w:eastAsia="en-GB"/>
              </w:rPr>
            </w:pPr>
            <w:r w:rsidRPr="00210760">
              <w:rPr>
                <w:rFonts w:cs="Arial"/>
                <w:szCs w:val="24"/>
                <w:lang w:eastAsia="en-GB"/>
              </w:rPr>
              <w:t>PFI</w:t>
            </w:r>
          </w:p>
        </w:tc>
        <w:tc>
          <w:tcPr>
            <w:tcW w:w="1339" w:type="dxa"/>
            <w:shd w:val="clear" w:color="auto" w:fill="auto"/>
            <w:noWrap/>
            <w:vAlign w:val="center"/>
          </w:tcPr>
          <w:p w14:paraId="06F3FEE0" w14:textId="041705D3" w:rsidR="001009CE" w:rsidRPr="00210760" w:rsidRDefault="001009CE" w:rsidP="008B00BF">
            <w:pPr>
              <w:jc w:val="right"/>
              <w:rPr>
                <w:rFonts w:cs="Arial"/>
                <w:szCs w:val="24"/>
                <w:lang w:eastAsia="en-GB"/>
              </w:rPr>
            </w:pPr>
            <w:r w:rsidRPr="00210760">
              <w:rPr>
                <w:rFonts w:cs="Arial"/>
                <w:szCs w:val="24"/>
              </w:rPr>
              <w:t>-</w:t>
            </w:r>
          </w:p>
        </w:tc>
        <w:tc>
          <w:tcPr>
            <w:tcW w:w="1354" w:type="dxa"/>
            <w:vAlign w:val="center"/>
          </w:tcPr>
          <w:p w14:paraId="59858DEC" w14:textId="02472CF3" w:rsidR="001009CE" w:rsidRPr="00210760" w:rsidRDefault="00DF5C98" w:rsidP="008B00BF">
            <w:pPr>
              <w:jc w:val="right"/>
              <w:rPr>
                <w:rFonts w:cs="Arial"/>
                <w:szCs w:val="24"/>
                <w:lang w:eastAsia="en-GB"/>
              </w:rPr>
            </w:pPr>
            <w:r w:rsidRPr="00210760">
              <w:rPr>
                <w:rFonts w:cs="Arial"/>
                <w:szCs w:val="24"/>
              </w:rPr>
              <w:t>36,432</w:t>
            </w:r>
          </w:p>
        </w:tc>
        <w:tc>
          <w:tcPr>
            <w:tcW w:w="1560" w:type="dxa"/>
            <w:shd w:val="clear" w:color="auto" w:fill="auto"/>
            <w:vAlign w:val="center"/>
          </w:tcPr>
          <w:p w14:paraId="73A27990" w14:textId="0FEDD139" w:rsidR="001009CE" w:rsidRPr="00210760" w:rsidRDefault="001009CE" w:rsidP="008B00BF">
            <w:pPr>
              <w:jc w:val="right"/>
              <w:rPr>
                <w:rFonts w:cs="Arial"/>
                <w:szCs w:val="24"/>
                <w:lang w:eastAsia="en-GB"/>
              </w:rPr>
            </w:pPr>
            <w:r w:rsidRPr="00210760">
              <w:rPr>
                <w:rFonts w:cs="Arial"/>
                <w:szCs w:val="24"/>
              </w:rPr>
              <w:t>-</w:t>
            </w:r>
          </w:p>
        </w:tc>
        <w:tc>
          <w:tcPr>
            <w:tcW w:w="1559" w:type="dxa"/>
            <w:shd w:val="clear" w:color="auto" w:fill="auto"/>
            <w:noWrap/>
            <w:vAlign w:val="center"/>
          </w:tcPr>
          <w:p w14:paraId="3B1E798E" w14:textId="3180397F" w:rsidR="001009CE" w:rsidRPr="00210760" w:rsidRDefault="00DF5C98" w:rsidP="008B00BF">
            <w:pPr>
              <w:jc w:val="right"/>
              <w:rPr>
                <w:rFonts w:cs="Arial"/>
                <w:szCs w:val="24"/>
                <w:lang w:eastAsia="en-GB"/>
              </w:rPr>
            </w:pPr>
            <w:r w:rsidRPr="00210760">
              <w:rPr>
                <w:rFonts w:cs="Arial"/>
                <w:szCs w:val="24"/>
              </w:rPr>
              <w:t>36,432</w:t>
            </w:r>
          </w:p>
        </w:tc>
      </w:tr>
      <w:tr w:rsidR="008B00BF" w:rsidRPr="00210760" w14:paraId="30DC4FA8" w14:textId="77777777" w:rsidTr="00611673">
        <w:trPr>
          <w:trHeight w:val="225"/>
        </w:trPr>
        <w:tc>
          <w:tcPr>
            <w:tcW w:w="4144" w:type="dxa"/>
            <w:shd w:val="clear" w:color="auto" w:fill="BD2716"/>
            <w:noWrap/>
            <w:vAlign w:val="bottom"/>
          </w:tcPr>
          <w:p w14:paraId="355358A6" w14:textId="77777777" w:rsidR="008B00BF" w:rsidRPr="007641BA" w:rsidRDefault="008B00BF" w:rsidP="008B00BF">
            <w:pPr>
              <w:ind w:left="175"/>
              <w:rPr>
                <w:rFonts w:cs="Arial"/>
                <w:color w:val="FFFFFF" w:themeColor="background1"/>
                <w:szCs w:val="24"/>
                <w:lang w:eastAsia="en-GB"/>
              </w:rPr>
            </w:pPr>
          </w:p>
        </w:tc>
        <w:tc>
          <w:tcPr>
            <w:tcW w:w="1339" w:type="dxa"/>
            <w:shd w:val="clear" w:color="auto" w:fill="BD2716"/>
            <w:noWrap/>
            <w:vAlign w:val="center"/>
          </w:tcPr>
          <w:p w14:paraId="7292D6EA" w14:textId="77777777" w:rsidR="008B00BF" w:rsidRPr="00611673" w:rsidRDefault="008B00BF" w:rsidP="00611673">
            <w:pPr>
              <w:jc w:val="right"/>
              <w:rPr>
                <w:rFonts w:cs="Arial"/>
                <w:color w:val="FFFFFF" w:themeColor="background1"/>
                <w:szCs w:val="24"/>
                <w:lang w:eastAsia="en-GB"/>
              </w:rPr>
            </w:pPr>
            <w:r w:rsidRPr="00611673">
              <w:rPr>
                <w:rFonts w:cs="Arial"/>
                <w:color w:val="FFFFFF" w:themeColor="background1"/>
                <w:szCs w:val="24"/>
                <w:lang w:eastAsia="en-GB"/>
              </w:rPr>
              <w:t>Other Land &amp; Buildings</w:t>
            </w:r>
          </w:p>
          <w:p w14:paraId="597C9F69" w14:textId="064BC5EC" w:rsidR="008B00BF" w:rsidRPr="00611673" w:rsidRDefault="008B00BF" w:rsidP="00611673">
            <w:pPr>
              <w:pStyle w:val="CommentText"/>
              <w:jc w:val="right"/>
              <w:rPr>
                <w:rFonts w:cs="Arial"/>
                <w:color w:val="FFFFFF" w:themeColor="background1"/>
                <w:sz w:val="24"/>
                <w:szCs w:val="24"/>
              </w:rPr>
            </w:pPr>
            <w:r w:rsidRPr="00611673">
              <w:rPr>
                <w:rFonts w:cs="Arial"/>
                <w:color w:val="FFFFFF" w:themeColor="background1"/>
                <w:sz w:val="24"/>
                <w:szCs w:val="24"/>
                <w:lang w:eastAsia="en-GB"/>
              </w:rPr>
              <w:t>£000</w:t>
            </w:r>
          </w:p>
        </w:tc>
        <w:tc>
          <w:tcPr>
            <w:tcW w:w="1354" w:type="dxa"/>
            <w:shd w:val="clear" w:color="auto" w:fill="BD2716"/>
            <w:vAlign w:val="center"/>
          </w:tcPr>
          <w:p w14:paraId="23F4AC67" w14:textId="77777777" w:rsidR="008B00BF" w:rsidRPr="00611673" w:rsidRDefault="008B00BF" w:rsidP="00611673">
            <w:pPr>
              <w:jc w:val="right"/>
              <w:rPr>
                <w:rFonts w:cs="Arial"/>
                <w:color w:val="FFFFFF" w:themeColor="background1"/>
                <w:szCs w:val="24"/>
                <w:lang w:eastAsia="en-GB"/>
              </w:rPr>
            </w:pPr>
            <w:r w:rsidRPr="00611673">
              <w:rPr>
                <w:rFonts w:cs="Arial"/>
                <w:color w:val="FFFFFF" w:themeColor="background1"/>
                <w:szCs w:val="24"/>
                <w:lang w:eastAsia="en-GB"/>
              </w:rPr>
              <w:t>PFI Assets – land &amp; buildings</w:t>
            </w:r>
          </w:p>
          <w:p w14:paraId="1CFC6772" w14:textId="7C86B1B3" w:rsidR="008B00BF" w:rsidRPr="00611673" w:rsidRDefault="008B00BF" w:rsidP="00611673">
            <w:pPr>
              <w:jc w:val="right"/>
              <w:rPr>
                <w:rFonts w:cs="Arial"/>
                <w:color w:val="FFFFFF" w:themeColor="background1"/>
                <w:szCs w:val="24"/>
              </w:rPr>
            </w:pPr>
            <w:r w:rsidRPr="00611673">
              <w:rPr>
                <w:rFonts w:cs="Arial"/>
                <w:color w:val="FFFFFF" w:themeColor="background1"/>
                <w:szCs w:val="24"/>
                <w:lang w:eastAsia="en-GB"/>
              </w:rPr>
              <w:t>£000</w:t>
            </w:r>
          </w:p>
        </w:tc>
        <w:tc>
          <w:tcPr>
            <w:tcW w:w="1560" w:type="dxa"/>
            <w:shd w:val="clear" w:color="auto" w:fill="BD2716"/>
            <w:vAlign w:val="center"/>
          </w:tcPr>
          <w:p w14:paraId="565C0867" w14:textId="77777777" w:rsidR="008B00BF" w:rsidRPr="00611673" w:rsidRDefault="008B00BF" w:rsidP="00611673">
            <w:pPr>
              <w:jc w:val="right"/>
              <w:rPr>
                <w:rFonts w:cs="Arial"/>
                <w:color w:val="FFFFFF" w:themeColor="background1"/>
                <w:szCs w:val="24"/>
                <w:lang w:eastAsia="en-GB"/>
              </w:rPr>
            </w:pPr>
            <w:r w:rsidRPr="00611673">
              <w:rPr>
                <w:rFonts w:cs="Arial"/>
                <w:color w:val="FFFFFF" w:themeColor="background1"/>
                <w:szCs w:val="24"/>
                <w:lang w:eastAsia="en-GB"/>
              </w:rPr>
              <w:t>Vehicles, Plant &amp; Equipment</w:t>
            </w:r>
          </w:p>
          <w:p w14:paraId="1A195443" w14:textId="23BB324F" w:rsidR="008B00BF" w:rsidRPr="00611673" w:rsidRDefault="008B00BF" w:rsidP="00611673">
            <w:pPr>
              <w:jc w:val="right"/>
              <w:rPr>
                <w:rFonts w:cs="Arial"/>
                <w:color w:val="FFFFFF" w:themeColor="background1"/>
                <w:szCs w:val="24"/>
              </w:rPr>
            </w:pPr>
            <w:r w:rsidRPr="00611673">
              <w:rPr>
                <w:rFonts w:cs="Arial"/>
                <w:color w:val="FFFFFF" w:themeColor="background1"/>
                <w:szCs w:val="24"/>
                <w:lang w:eastAsia="en-GB"/>
              </w:rPr>
              <w:t>£000</w:t>
            </w:r>
          </w:p>
        </w:tc>
        <w:tc>
          <w:tcPr>
            <w:tcW w:w="1559" w:type="dxa"/>
            <w:shd w:val="clear" w:color="auto" w:fill="BD2716"/>
            <w:noWrap/>
            <w:vAlign w:val="center"/>
          </w:tcPr>
          <w:p w14:paraId="5F85C0D6" w14:textId="77777777" w:rsidR="008B00BF" w:rsidRPr="00611673" w:rsidRDefault="008B00BF" w:rsidP="00611673">
            <w:pPr>
              <w:jc w:val="right"/>
              <w:rPr>
                <w:rFonts w:cs="Arial"/>
                <w:color w:val="FFFFFF" w:themeColor="background1"/>
                <w:szCs w:val="24"/>
                <w:lang w:eastAsia="en-GB"/>
              </w:rPr>
            </w:pPr>
            <w:r w:rsidRPr="00611673">
              <w:rPr>
                <w:rFonts w:cs="Arial"/>
                <w:color w:val="FFFFFF" w:themeColor="background1"/>
                <w:szCs w:val="24"/>
                <w:lang w:eastAsia="en-GB"/>
              </w:rPr>
              <w:t>Total Property, Plant &amp; Equipment</w:t>
            </w:r>
          </w:p>
          <w:p w14:paraId="58C24BA1" w14:textId="2943BE2A" w:rsidR="008B00BF" w:rsidRPr="00611673" w:rsidRDefault="008B00BF" w:rsidP="00611673">
            <w:pPr>
              <w:jc w:val="right"/>
              <w:rPr>
                <w:rFonts w:cs="Arial"/>
                <w:color w:val="FFFFFF" w:themeColor="background1"/>
                <w:szCs w:val="24"/>
              </w:rPr>
            </w:pPr>
            <w:r w:rsidRPr="00611673">
              <w:rPr>
                <w:rFonts w:cs="Arial"/>
                <w:color w:val="FFFFFF" w:themeColor="background1"/>
                <w:szCs w:val="24"/>
                <w:lang w:eastAsia="en-GB"/>
              </w:rPr>
              <w:t>£000</w:t>
            </w:r>
          </w:p>
        </w:tc>
      </w:tr>
      <w:tr w:rsidR="008B00BF" w:rsidRPr="00210760" w14:paraId="07FFE7EE" w14:textId="77777777" w:rsidTr="008B00BF">
        <w:trPr>
          <w:trHeight w:val="225"/>
        </w:trPr>
        <w:tc>
          <w:tcPr>
            <w:tcW w:w="4144" w:type="dxa"/>
            <w:shd w:val="clear" w:color="auto" w:fill="auto"/>
            <w:noWrap/>
            <w:vAlign w:val="bottom"/>
          </w:tcPr>
          <w:p w14:paraId="39409E8C" w14:textId="5B3F3BB2" w:rsidR="008B00BF" w:rsidRPr="00210760" w:rsidRDefault="008B00BF" w:rsidP="008B00BF">
            <w:pPr>
              <w:ind w:left="175"/>
              <w:rPr>
                <w:rFonts w:cs="Arial"/>
                <w:szCs w:val="24"/>
                <w:lang w:eastAsia="en-GB"/>
              </w:rPr>
            </w:pPr>
            <w:r>
              <w:rPr>
                <w:rFonts w:cs="Arial"/>
                <w:szCs w:val="24"/>
                <w:lang w:eastAsia="en-GB"/>
              </w:rPr>
              <w:t>Total</w:t>
            </w:r>
          </w:p>
        </w:tc>
        <w:tc>
          <w:tcPr>
            <w:tcW w:w="1339" w:type="dxa"/>
            <w:shd w:val="clear" w:color="auto" w:fill="auto"/>
            <w:noWrap/>
            <w:vAlign w:val="center"/>
          </w:tcPr>
          <w:p w14:paraId="7F0F23C4" w14:textId="15F4F07B" w:rsidR="008B00BF" w:rsidRPr="00210760" w:rsidRDefault="008B00BF" w:rsidP="008B00BF">
            <w:pPr>
              <w:pStyle w:val="CommentText"/>
              <w:jc w:val="right"/>
              <w:rPr>
                <w:rFonts w:cs="Arial"/>
                <w:sz w:val="24"/>
                <w:szCs w:val="24"/>
                <w:lang w:eastAsia="en-GB"/>
              </w:rPr>
            </w:pPr>
            <w:r w:rsidRPr="00210760">
              <w:rPr>
                <w:rFonts w:cs="Arial"/>
                <w:sz w:val="24"/>
                <w:szCs w:val="24"/>
              </w:rPr>
              <w:t>81,895</w:t>
            </w:r>
          </w:p>
        </w:tc>
        <w:tc>
          <w:tcPr>
            <w:tcW w:w="1354" w:type="dxa"/>
            <w:vAlign w:val="center"/>
          </w:tcPr>
          <w:p w14:paraId="02DC1E47" w14:textId="1F2A830C" w:rsidR="008B00BF" w:rsidRPr="00210760" w:rsidRDefault="008B00BF" w:rsidP="008B00BF">
            <w:pPr>
              <w:jc w:val="right"/>
              <w:rPr>
                <w:rFonts w:cs="Arial"/>
                <w:szCs w:val="24"/>
                <w:lang w:eastAsia="en-GB"/>
              </w:rPr>
            </w:pPr>
            <w:r w:rsidRPr="00210760">
              <w:rPr>
                <w:rFonts w:cs="Arial"/>
                <w:szCs w:val="24"/>
              </w:rPr>
              <w:t>36,432</w:t>
            </w:r>
          </w:p>
        </w:tc>
        <w:tc>
          <w:tcPr>
            <w:tcW w:w="1560" w:type="dxa"/>
            <w:shd w:val="clear" w:color="auto" w:fill="auto"/>
            <w:vAlign w:val="center"/>
          </w:tcPr>
          <w:p w14:paraId="518237E0" w14:textId="3117A23F" w:rsidR="008B00BF" w:rsidRPr="00210760" w:rsidRDefault="008B00BF" w:rsidP="008B00BF">
            <w:pPr>
              <w:jc w:val="right"/>
              <w:rPr>
                <w:rFonts w:cs="Arial"/>
                <w:szCs w:val="24"/>
                <w:lang w:eastAsia="en-GB"/>
              </w:rPr>
            </w:pPr>
            <w:r w:rsidRPr="00210760">
              <w:rPr>
                <w:rFonts w:cs="Arial"/>
                <w:szCs w:val="24"/>
              </w:rPr>
              <w:t>7,390</w:t>
            </w:r>
          </w:p>
        </w:tc>
        <w:tc>
          <w:tcPr>
            <w:tcW w:w="1559" w:type="dxa"/>
            <w:shd w:val="clear" w:color="auto" w:fill="auto"/>
            <w:noWrap/>
            <w:vAlign w:val="center"/>
          </w:tcPr>
          <w:p w14:paraId="0BA65B0E" w14:textId="72B8288B" w:rsidR="008B00BF" w:rsidRPr="00210760" w:rsidRDefault="008B00BF" w:rsidP="008B00BF">
            <w:pPr>
              <w:jc w:val="right"/>
              <w:rPr>
                <w:rFonts w:cs="Arial"/>
                <w:szCs w:val="24"/>
                <w:lang w:eastAsia="en-GB"/>
              </w:rPr>
            </w:pPr>
            <w:r w:rsidRPr="00210760">
              <w:rPr>
                <w:rFonts w:cs="Arial"/>
                <w:szCs w:val="24"/>
              </w:rPr>
              <w:t>125,717</w:t>
            </w:r>
          </w:p>
        </w:tc>
      </w:tr>
    </w:tbl>
    <w:p w14:paraId="42FF252D" w14:textId="77777777" w:rsidR="00372872" w:rsidRDefault="00372872"/>
    <w:tbl>
      <w:tblPr>
        <w:tblW w:w="99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4"/>
        <w:gridCol w:w="1339"/>
        <w:gridCol w:w="1354"/>
        <w:gridCol w:w="1560"/>
        <w:gridCol w:w="1559"/>
      </w:tblGrid>
      <w:tr w:rsidR="00FA71D8" w:rsidRPr="00210760" w14:paraId="02FCF334" w14:textId="77777777" w:rsidTr="007641BA">
        <w:trPr>
          <w:trHeight w:val="104"/>
        </w:trPr>
        <w:tc>
          <w:tcPr>
            <w:tcW w:w="9956" w:type="dxa"/>
            <w:gridSpan w:val="5"/>
            <w:shd w:val="clear" w:color="auto" w:fill="D9D9D9" w:themeFill="background1" w:themeFillShade="D9"/>
            <w:noWrap/>
            <w:vAlign w:val="bottom"/>
          </w:tcPr>
          <w:p w14:paraId="7CCDECA8" w14:textId="0EB048FC" w:rsidR="00FA71D8" w:rsidRPr="00FA71D8" w:rsidRDefault="00FA71D8" w:rsidP="00BC6C4F">
            <w:pPr>
              <w:rPr>
                <w:rFonts w:cs="Arial"/>
                <w:b/>
                <w:bCs/>
                <w:szCs w:val="24"/>
                <w:lang w:eastAsia="en-GB"/>
              </w:rPr>
            </w:pPr>
            <w:r>
              <w:rPr>
                <w:rFonts w:cs="Arial"/>
                <w:b/>
                <w:bCs/>
                <w:szCs w:val="24"/>
                <w:lang w:eastAsia="en-GB"/>
              </w:rPr>
              <w:t>Historical cost</w:t>
            </w:r>
          </w:p>
        </w:tc>
      </w:tr>
      <w:tr w:rsidR="001009CE" w:rsidRPr="00210760" w14:paraId="567E91E5" w14:textId="77777777" w:rsidTr="008B00BF">
        <w:trPr>
          <w:trHeight w:val="225"/>
        </w:trPr>
        <w:tc>
          <w:tcPr>
            <w:tcW w:w="4144" w:type="dxa"/>
            <w:shd w:val="clear" w:color="auto" w:fill="auto"/>
            <w:noWrap/>
            <w:vAlign w:val="bottom"/>
          </w:tcPr>
          <w:p w14:paraId="3D0AC345" w14:textId="77777777" w:rsidR="001009CE" w:rsidRPr="00210760" w:rsidRDefault="001009CE" w:rsidP="00BC6C4F">
            <w:pPr>
              <w:ind w:left="175"/>
              <w:rPr>
                <w:rFonts w:cs="Arial"/>
                <w:szCs w:val="24"/>
                <w:lang w:eastAsia="en-GB"/>
              </w:rPr>
            </w:pPr>
            <w:r w:rsidRPr="00210760">
              <w:rPr>
                <w:rFonts w:cs="Arial"/>
                <w:szCs w:val="24"/>
                <w:lang w:eastAsia="en-GB"/>
              </w:rPr>
              <w:t>Carried at historical cost</w:t>
            </w:r>
          </w:p>
        </w:tc>
        <w:tc>
          <w:tcPr>
            <w:tcW w:w="1339" w:type="dxa"/>
            <w:shd w:val="clear" w:color="auto" w:fill="auto"/>
            <w:noWrap/>
            <w:vAlign w:val="center"/>
          </w:tcPr>
          <w:p w14:paraId="60F1FC71" w14:textId="04027243" w:rsidR="001009CE" w:rsidRPr="00210760" w:rsidRDefault="001009CE" w:rsidP="008B00BF">
            <w:pPr>
              <w:pStyle w:val="CommentText"/>
              <w:jc w:val="right"/>
              <w:rPr>
                <w:rFonts w:cs="Arial"/>
                <w:sz w:val="24"/>
                <w:szCs w:val="24"/>
                <w:lang w:eastAsia="en-GB"/>
              </w:rPr>
            </w:pPr>
            <w:r w:rsidRPr="00210760">
              <w:rPr>
                <w:rFonts w:cs="Arial"/>
                <w:sz w:val="24"/>
                <w:szCs w:val="24"/>
              </w:rPr>
              <w:t>-</w:t>
            </w:r>
          </w:p>
        </w:tc>
        <w:tc>
          <w:tcPr>
            <w:tcW w:w="1354" w:type="dxa"/>
            <w:vAlign w:val="center"/>
          </w:tcPr>
          <w:p w14:paraId="3E6E6BBE" w14:textId="131A351E" w:rsidR="001009CE" w:rsidRPr="00210760" w:rsidRDefault="001009CE" w:rsidP="008B00BF">
            <w:pPr>
              <w:jc w:val="right"/>
              <w:rPr>
                <w:rFonts w:cs="Arial"/>
                <w:szCs w:val="24"/>
                <w:lang w:eastAsia="en-GB"/>
              </w:rPr>
            </w:pPr>
            <w:r w:rsidRPr="00210760">
              <w:rPr>
                <w:rFonts w:cs="Arial"/>
                <w:szCs w:val="24"/>
              </w:rPr>
              <w:t>-</w:t>
            </w:r>
          </w:p>
        </w:tc>
        <w:tc>
          <w:tcPr>
            <w:tcW w:w="1560" w:type="dxa"/>
            <w:shd w:val="clear" w:color="auto" w:fill="auto"/>
            <w:vAlign w:val="center"/>
          </w:tcPr>
          <w:p w14:paraId="2D28390F" w14:textId="6F74868E" w:rsidR="001009CE" w:rsidRPr="00210760" w:rsidRDefault="00DF5C98" w:rsidP="008B00BF">
            <w:pPr>
              <w:jc w:val="right"/>
              <w:rPr>
                <w:rFonts w:cs="Arial"/>
                <w:szCs w:val="24"/>
                <w:lang w:eastAsia="en-GB"/>
              </w:rPr>
            </w:pPr>
            <w:r w:rsidRPr="00210760">
              <w:rPr>
                <w:rFonts w:cs="Arial"/>
                <w:szCs w:val="24"/>
              </w:rPr>
              <w:t>7,390</w:t>
            </w:r>
          </w:p>
        </w:tc>
        <w:tc>
          <w:tcPr>
            <w:tcW w:w="1559" w:type="dxa"/>
            <w:shd w:val="clear" w:color="auto" w:fill="auto"/>
            <w:noWrap/>
            <w:vAlign w:val="center"/>
          </w:tcPr>
          <w:p w14:paraId="7B21B08A" w14:textId="645ADA70" w:rsidR="001009CE" w:rsidRPr="00210760" w:rsidRDefault="00DF5C98" w:rsidP="008B00BF">
            <w:pPr>
              <w:jc w:val="right"/>
              <w:rPr>
                <w:rFonts w:cs="Arial"/>
                <w:szCs w:val="24"/>
                <w:lang w:eastAsia="en-GB"/>
              </w:rPr>
            </w:pPr>
            <w:r w:rsidRPr="00210760">
              <w:rPr>
                <w:rFonts w:cs="Arial"/>
                <w:szCs w:val="24"/>
              </w:rPr>
              <w:t>7,390</w:t>
            </w:r>
          </w:p>
        </w:tc>
      </w:tr>
    </w:tbl>
    <w:p w14:paraId="4028F99B" w14:textId="77777777" w:rsidR="00372872" w:rsidRDefault="00372872"/>
    <w:tbl>
      <w:tblPr>
        <w:tblW w:w="99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4"/>
        <w:gridCol w:w="1339"/>
        <w:gridCol w:w="1354"/>
        <w:gridCol w:w="1560"/>
        <w:gridCol w:w="1559"/>
      </w:tblGrid>
      <w:tr w:rsidR="00BF3BC5" w:rsidRPr="00210760" w14:paraId="427607FC" w14:textId="77777777" w:rsidTr="007641BA">
        <w:trPr>
          <w:trHeight w:val="225"/>
        </w:trPr>
        <w:tc>
          <w:tcPr>
            <w:tcW w:w="9956" w:type="dxa"/>
            <w:gridSpan w:val="5"/>
            <w:shd w:val="clear" w:color="auto" w:fill="D9D9D9" w:themeFill="background1" w:themeFillShade="D9"/>
            <w:noWrap/>
            <w:vAlign w:val="bottom"/>
          </w:tcPr>
          <w:p w14:paraId="75A12785" w14:textId="3ED222E6" w:rsidR="00BF3BC5" w:rsidRPr="00BD79B2" w:rsidRDefault="00BF3BC5" w:rsidP="00BC6C4F">
            <w:pPr>
              <w:rPr>
                <w:rFonts w:cs="Arial"/>
                <w:b/>
                <w:bCs/>
                <w:szCs w:val="24"/>
                <w:lang w:eastAsia="en-GB"/>
              </w:rPr>
            </w:pPr>
            <w:r w:rsidRPr="00BD79B2">
              <w:rPr>
                <w:rFonts w:cs="Arial"/>
                <w:b/>
                <w:bCs/>
                <w:szCs w:val="24"/>
                <w:lang w:eastAsia="en-GB"/>
              </w:rPr>
              <w:t>Valued at current value as at:</w:t>
            </w:r>
          </w:p>
        </w:tc>
      </w:tr>
      <w:tr w:rsidR="001009CE" w:rsidRPr="00210760" w14:paraId="239F3500" w14:textId="77777777" w:rsidTr="008B00BF">
        <w:trPr>
          <w:trHeight w:val="225"/>
        </w:trPr>
        <w:tc>
          <w:tcPr>
            <w:tcW w:w="4144" w:type="dxa"/>
            <w:shd w:val="clear" w:color="auto" w:fill="auto"/>
            <w:noWrap/>
            <w:vAlign w:val="bottom"/>
          </w:tcPr>
          <w:p w14:paraId="451D3353" w14:textId="246D7D6B" w:rsidR="001009CE" w:rsidRPr="00210760" w:rsidRDefault="001009CE" w:rsidP="00BC6C4F">
            <w:pPr>
              <w:ind w:left="175"/>
              <w:rPr>
                <w:rFonts w:cs="Arial"/>
                <w:szCs w:val="24"/>
                <w:lang w:eastAsia="en-GB"/>
              </w:rPr>
            </w:pPr>
            <w:r w:rsidRPr="00210760">
              <w:rPr>
                <w:rFonts w:cs="Arial"/>
                <w:szCs w:val="24"/>
                <w:lang w:eastAsia="en-GB"/>
              </w:rPr>
              <w:t>31 March 202</w:t>
            </w:r>
            <w:r w:rsidR="00DF5C98" w:rsidRPr="00210760">
              <w:rPr>
                <w:rFonts w:cs="Arial"/>
                <w:szCs w:val="24"/>
                <w:lang w:eastAsia="en-GB"/>
              </w:rPr>
              <w:t>3</w:t>
            </w:r>
          </w:p>
        </w:tc>
        <w:tc>
          <w:tcPr>
            <w:tcW w:w="1339" w:type="dxa"/>
            <w:shd w:val="clear" w:color="auto" w:fill="auto"/>
            <w:noWrap/>
            <w:vAlign w:val="center"/>
          </w:tcPr>
          <w:p w14:paraId="0C46DCC2" w14:textId="570FA05A" w:rsidR="001009CE" w:rsidRPr="00210760" w:rsidRDefault="00DF5C98" w:rsidP="008B00BF">
            <w:pPr>
              <w:pStyle w:val="CommentText"/>
              <w:jc w:val="right"/>
              <w:rPr>
                <w:rFonts w:cs="Arial"/>
                <w:sz w:val="24"/>
                <w:szCs w:val="24"/>
                <w:lang w:eastAsia="en-GB"/>
              </w:rPr>
            </w:pPr>
            <w:r w:rsidRPr="00210760">
              <w:rPr>
                <w:rFonts w:cs="Arial"/>
                <w:sz w:val="24"/>
                <w:szCs w:val="24"/>
              </w:rPr>
              <w:t>8</w:t>
            </w:r>
            <w:r w:rsidR="00BB4358" w:rsidRPr="00210760">
              <w:rPr>
                <w:rFonts w:cs="Arial"/>
                <w:sz w:val="24"/>
                <w:szCs w:val="24"/>
              </w:rPr>
              <w:t>1,895</w:t>
            </w:r>
          </w:p>
        </w:tc>
        <w:tc>
          <w:tcPr>
            <w:tcW w:w="1354" w:type="dxa"/>
            <w:vAlign w:val="center"/>
          </w:tcPr>
          <w:p w14:paraId="158FBDA5" w14:textId="0D877E1B" w:rsidR="001009CE" w:rsidRPr="00210760" w:rsidRDefault="00DF5C98" w:rsidP="008B00BF">
            <w:pPr>
              <w:jc w:val="right"/>
              <w:rPr>
                <w:rFonts w:cs="Arial"/>
                <w:szCs w:val="24"/>
                <w:lang w:eastAsia="en-GB"/>
              </w:rPr>
            </w:pPr>
            <w:r w:rsidRPr="00210760">
              <w:rPr>
                <w:rFonts w:cs="Arial"/>
                <w:szCs w:val="24"/>
              </w:rPr>
              <w:t>36,432</w:t>
            </w:r>
          </w:p>
        </w:tc>
        <w:tc>
          <w:tcPr>
            <w:tcW w:w="1560" w:type="dxa"/>
            <w:shd w:val="clear" w:color="auto" w:fill="auto"/>
            <w:vAlign w:val="center"/>
          </w:tcPr>
          <w:p w14:paraId="466B1B23" w14:textId="37B22BD1" w:rsidR="001009CE" w:rsidRPr="00210760" w:rsidRDefault="001009CE" w:rsidP="008B00BF">
            <w:pPr>
              <w:jc w:val="right"/>
              <w:rPr>
                <w:rFonts w:cs="Arial"/>
                <w:szCs w:val="24"/>
                <w:lang w:eastAsia="en-GB"/>
              </w:rPr>
            </w:pPr>
            <w:r w:rsidRPr="00210760">
              <w:rPr>
                <w:rFonts w:cs="Arial"/>
                <w:szCs w:val="24"/>
              </w:rPr>
              <w:t>-</w:t>
            </w:r>
          </w:p>
        </w:tc>
        <w:tc>
          <w:tcPr>
            <w:tcW w:w="1559" w:type="dxa"/>
            <w:shd w:val="clear" w:color="auto" w:fill="auto"/>
            <w:noWrap/>
            <w:vAlign w:val="center"/>
          </w:tcPr>
          <w:p w14:paraId="15FCF066" w14:textId="4947B363" w:rsidR="001009CE" w:rsidRPr="00210760" w:rsidRDefault="00DF5C98" w:rsidP="008B00BF">
            <w:pPr>
              <w:jc w:val="right"/>
              <w:rPr>
                <w:rFonts w:cs="Arial"/>
                <w:szCs w:val="24"/>
                <w:lang w:eastAsia="en-GB"/>
              </w:rPr>
            </w:pPr>
            <w:r w:rsidRPr="00210760">
              <w:rPr>
                <w:rFonts w:cs="Arial"/>
                <w:szCs w:val="24"/>
              </w:rPr>
              <w:t>118,</w:t>
            </w:r>
            <w:r w:rsidR="00BB4358" w:rsidRPr="00210760">
              <w:rPr>
                <w:rFonts w:cs="Arial"/>
                <w:szCs w:val="24"/>
              </w:rPr>
              <w:t>327</w:t>
            </w:r>
          </w:p>
        </w:tc>
      </w:tr>
      <w:tr w:rsidR="001009CE" w:rsidRPr="00210760" w14:paraId="515DB2FB" w14:textId="77777777" w:rsidTr="008B00BF">
        <w:trPr>
          <w:trHeight w:val="225"/>
        </w:trPr>
        <w:tc>
          <w:tcPr>
            <w:tcW w:w="4144" w:type="dxa"/>
            <w:shd w:val="clear" w:color="auto" w:fill="auto"/>
            <w:noWrap/>
            <w:vAlign w:val="bottom"/>
          </w:tcPr>
          <w:p w14:paraId="2DC10077" w14:textId="518B1D19" w:rsidR="001009CE" w:rsidRPr="00210760" w:rsidRDefault="001009CE" w:rsidP="00BC6C4F">
            <w:pPr>
              <w:ind w:left="175"/>
              <w:rPr>
                <w:rFonts w:cs="Arial"/>
                <w:szCs w:val="24"/>
                <w:lang w:eastAsia="en-GB"/>
              </w:rPr>
            </w:pPr>
            <w:r w:rsidRPr="00210760">
              <w:rPr>
                <w:rFonts w:cs="Arial"/>
                <w:szCs w:val="24"/>
                <w:lang w:eastAsia="en-GB"/>
              </w:rPr>
              <w:t>31 March 2010</w:t>
            </w:r>
          </w:p>
        </w:tc>
        <w:tc>
          <w:tcPr>
            <w:tcW w:w="1339" w:type="dxa"/>
            <w:shd w:val="clear" w:color="auto" w:fill="auto"/>
            <w:noWrap/>
            <w:vAlign w:val="center"/>
          </w:tcPr>
          <w:p w14:paraId="603BA94C" w14:textId="5CFF3996" w:rsidR="001009CE" w:rsidRPr="00210760" w:rsidRDefault="001009CE" w:rsidP="008B00BF">
            <w:pPr>
              <w:pStyle w:val="CommentText"/>
              <w:jc w:val="right"/>
              <w:rPr>
                <w:rFonts w:cs="Arial"/>
                <w:sz w:val="24"/>
                <w:szCs w:val="24"/>
                <w:lang w:eastAsia="en-GB"/>
              </w:rPr>
            </w:pPr>
            <w:r w:rsidRPr="00210760">
              <w:rPr>
                <w:rFonts w:cs="Arial"/>
                <w:sz w:val="24"/>
                <w:szCs w:val="24"/>
              </w:rPr>
              <w:t>-</w:t>
            </w:r>
          </w:p>
        </w:tc>
        <w:tc>
          <w:tcPr>
            <w:tcW w:w="1354" w:type="dxa"/>
            <w:vAlign w:val="center"/>
          </w:tcPr>
          <w:p w14:paraId="6BDAC12B" w14:textId="203298C5" w:rsidR="001009CE" w:rsidRPr="00210760" w:rsidRDefault="001009CE" w:rsidP="008B00BF">
            <w:pPr>
              <w:jc w:val="right"/>
              <w:rPr>
                <w:rFonts w:cs="Arial"/>
                <w:szCs w:val="24"/>
                <w:lang w:eastAsia="en-GB"/>
              </w:rPr>
            </w:pPr>
            <w:r w:rsidRPr="00210760">
              <w:rPr>
                <w:rFonts w:cs="Arial"/>
                <w:szCs w:val="24"/>
              </w:rPr>
              <w:t>-</w:t>
            </w:r>
          </w:p>
        </w:tc>
        <w:tc>
          <w:tcPr>
            <w:tcW w:w="1560" w:type="dxa"/>
            <w:shd w:val="clear" w:color="auto" w:fill="auto"/>
            <w:vAlign w:val="center"/>
          </w:tcPr>
          <w:p w14:paraId="4231726D" w14:textId="73C326D7" w:rsidR="001009CE" w:rsidRPr="00210760" w:rsidRDefault="001009CE" w:rsidP="008B00BF">
            <w:pPr>
              <w:jc w:val="right"/>
              <w:rPr>
                <w:rFonts w:cs="Arial"/>
                <w:szCs w:val="24"/>
                <w:lang w:eastAsia="en-GB"/>
              </w:rPr>
            </w:pPr>
            <w:r w:rsidRPr="00210760">
              <w:rPr>
                <w:rFonts w:cs="Arial"/>
                <w:szCs w:val="24"/>
              </w:rPr>
              <w:t>-</w:t>
            </w:r>
          </w:p>
        </w:tc>
        <w:tc>
          <w:tcPr>
            <w:tcW w:w="1559" w:type="dxa"/>
            <w:shd w:val="clear" w:color="auto" w:fill="auto"/>
            <w:noWrap/>
            <w:vAlign w:val="center"/>
          </w:tcPr>
          <w:p w14:paraId="7DFF9756" w14:textId="180601A3" w:rsidR="001009CE" w:rsidRPr="00210760" w:rsidRDefault="001009CE" w:rsidP="008B00BF">
            <w:pPr>
              <w:jc w:val="right"/>
              <w:rPr>
                <w:rFonts w:cs="Arial"/>
                <w:szCs w:val="24"/>
                <w:lang w:eastAsia="en-GB"/>
              </w:rPr>
            </w:pPr>
            <w:r w:rsidRPr="00210760">
              <w:rPr>
                <w:rFonts w:cs="Arial"/>
                <w:szCs w:val="24"/>
              </w:rPr>
              <w:t>-</w:t>
            </w:r>
          </w:p>
        </w:tc>
      </w:tr>
      <w:tr w:rsidR="001009CE" w:rsidRPr="00210760" w14:paraId="1356EF90" w14:textId="77777777" w:rsidTr="008B00BF">
        <w:trPr>
          <w:trHeight w:val="225"/>
        </w:trPr>
        <w:tc>
          <w:tcPr>
            <w:tcW w:w="4144" w:type="dxa"/>
            <w:shd w:val="clear" w:color="auto" w:fill="auto"/>
            <w:noWrap/>
            <w:vAlign w:val="bottom"/>
          </w:tcPr>
          <w:p w14:paraId="12A82107" w14:textId="77777777" w:rsidR="001009CE" w:rsidRPr="00210760" w:rsidRDefault="001009CE" w:rsidP="00BC6C4F">
            <w:pPr>
              <w:ind w:left="175"/>
              <w:rPr>
                <w:rFonts w:cs="Arial"/>
                <w:szCs w:val="24"/>
                <w:lang w:eastAsia="en-GB"/>
              </w:rPr>
            </w:pPr>
            <w:r w:rsidRPr="00210760">
              <w:rPr>
                <w:rFonts w:cs="Arial"/>
                <w:szCs w:val="24"/>
                <w:lang w:eastAsia="en-GB"/>
              </w:rPr>
              <w:t>Total cost or valuation</w:t>
            </w:r>
          </w:p>
        </w:tc>
        <w:tc>
          <w:tcPr>
            <w:tcW w:w="1339" w:type="dxa"/>
            <w:shd w:val="clear" w:color="auto" w:fill="auto"/>
            <w:noWrap/>
            <w:vAlign w:val="center"/>
          </w:tcPr>
          <w:p w14:paraId="5707B4DA" w14:textId="084199A9" w:rsidR="001009CE" w:rsidRPr="00210760" w:rsidRDefault="000C6C5D" w:rsidP="008B00BF">
            <w:pPr>
              <w:pStyle w:val="CommentText"/>
              <w:jc w:val="right"/>
              <w:rPr>
                <w:rFonts w:cs="Arial"/>
                <w:sz w:val="24"/>
                <w:szCs w:val="24"/>
                <w:lang w:eastAsia="en-GB"/>
              </w:rPr>
            </w:pPr>
            <w:r w:rsidRPr="00210760">
              <w:rPr>
                <w:rFonts w:cs="Arial"/>
                <w:sz w:val="24"/>
                <w:szCs w:val="24"/>
              </w:rPr>
              <w:t>81,895</w:t>
            </w:r>
          </w:p>
        </w:tc>
        <w:tc>
          <w:tcPr>
            <w:tcW w:w="1354" w:type="dxa"/>
            <w:vAlign w:val="center"/>
          </w:tcPr>
          <w:p w14:paraId="5DB1E895" w14:textId="2F4135B3" w:rsidR="001009CE" w:rsidRPr="00210760" w:rsidRDefault="00DF5C98" w:rsidP="008B00BF">
            <w:pPr>
              <w:jc w:val="right"/>
              <w:rPr>
                <w:rFonts w:cs="Arial"/>
                <w:szCs w:val="24"/>
                <w:lang w:eastAsia="en-GB"/>
              </w:rPr>
            </w:pPr>
            <w:r w:rsidRPr="00210760">
              <w:rPr>
                <w:rFonts w:cs="Arial"/>
                <w:szCs w:val="24"/>
              </w:rPr>
              <w:t>36,432</w:t>
            </w:r>
          </w:p>
        </w:tc>
        <w:tc>
          <w:tcPr>
            <w:tcW w:w="1560" w:type="dxa"/>
            <w:shd w:val="clear" w:color="auto" w:fill="auto"/>
            <w:vAlign w:val="center"/>
          </w:tcPr>
          <w:p w14:paraId="0D3490B9" w14:textId="23E0C16E" w:rsidR="001009CE" w:rsidRPr="00210760" w:rsidRDefault="00DF5C98" w:rsidP="008B00BF">
            <w:pPr>
              <w:jc w:val="right"/>
              <w:rPr>
                <w:rFonts w:cs="Arial"/>
                <w:szCs w:val="24"/>
                <w:lang w:eastAsia="en-GB"/>
              </w:rPr>
            </w:pPr>
            <w:r w:rsidRPr="00210760">
              <w:rPr>
                <w:rFonts w:cs="Arial"/>
                <w:szCs w:val="24"/>
              </w:rPr>
              <w:t>7,390</w:t>
            </w:r>
          </w:p>
        </w:tc>
        <w:tc>
          <w:tcPr>
            <w:tcW w:w="1559" w:type="dxa"/>
            <w:shd w:val="clear" w:color="auto" w:fill="auto"/>
            <w:noWrap/>
            <w:vAlign w:val="center"/>
          </w:tcPr>
          <w:p w14:paraId="34A0AE99" w14:textId="62D4344A" w:rsidR="001009CE" w:rsidRPr="00210760" w:rsidRDefault="000C6C5D" w:rsidP="008B00BF">
            <w:pPr>
              <w:jc w:val="right"/>
              <w:rPr>
                <w:rFonts w:cs="Arial"/>
                <w:szCs w:val="24"/>
                <w:lang w:eastAsia="en-GB"/>
              </w:rPr>
            </w:pPr>
            <w:r w:rsidRPr="00210760">
              <w:rPr>
                <w:rFonts w:cs="Arial"/>
                <w:szCs w:val="24"/>
              </w:rPr>
              <w:t>125,717</w:t>
            </w:r>
          </w:p>
        </w:tc>
      </w:tr>
    </w:tbl>
    <w:p w14:paraId="5F97BB5F" w14:textId="77777777" w:rsidR="00F74E7D" w:rsidRDefault="00F74E7D" w:rsidP="00210760">
      <w:pPr>
        <w:pStyle w:val="BodyTextIndent"/>
        <w:ind w:left="0" w:right="425"/>
        <w:jc w:val="both"/>
        <w:rPr>
          <w:szCs w:val="24"/>
          <w:lang w:val="en-GB"/>
        </w:rPr>
      </w:pPr>
    </w:p>
    <w:p w14:paraId="3CEBBCE6" w14:textId="4ACAC295" w:rsidR="00F70B51" w:rsidRPr="00210760" w:rsidRDefault="004E6BCF" w:rsidP="00210760">
      <w:pPr>
        <w:pStyle w:val="BodyTextIndent"/>
        <w:ind w:left="709" w:right="425"/>
        <w:rPr>
          <w:szCs w:val="24"/>
          <w:lang w:val="en-GB"/>
        </w:rPr>
      </w:pPr>
      <w:r w:rsidRPr="00210760">
        <w:rPr>
          <w:szCs w:val="24"/>
          <w:lang w:val="en-GB"/>
        </w:rPr>
        <w:t>On 31 March 20</w:t>
      </w:r>
      <w:r w:rsidR="0095101D" w:rsidRPr="00210760">
        <w:rPr>
          <w:szCs w:val="24"/>
          <w:lang w:val="en-GB"/>
        </w:rPr>
        <w:t>2</w:t>
      </w:r>
      <w:r w:rsidR="00DF5C98" w:rsidRPr="00210760">
        <w:rPr>
          <w:szCs w:val="24"/>
          <w:lang w:val="en-GB"/>
        </w:rPr>
        <w:t>3</w:t>
      </w:r>
      <w:r w:rsidRPr="00210760">
        <w:rPr>
          <w:szCs w:val="24"/>
          <w:lang w:val="en-GB"/>
        </w:rPr>
        <w:t xml:space="preserve"> the Authority undertook a </w:t>
      </w:r>
      <w:r w:rsidR="002B7458" w:rsidRPr="00210760">
        <w:rPr>
          <w:szCs w:val="24"/>
          <w:lang w:val="en-GB"/>
        </w:rPr>
        <w:t xml:space="preserve">full </w:t>
      </w:r>
      <w:r w:rsidRPr="00210760">
        <w:rPr>
          <w:szCs w:val="24"/>
          <w:lang w:val="en-GB"/>
        </w:rPr>
        <w:t xml:space="preserve">revaluation review on </w:t>
      </w:r>
      <w:r w:rsidR="002E480C" w:rsidRPr="00210760">
        <w:rPr>
          <w:szCs w:val="24"/>
          <w:lang w:val="en-GB"/>
        </w:rPr>
        <w:t xml:space="preserve">approximately one </w:t>
      </w:r>
      <w:r w:rsidR="002C5D98" w:rsidRPr="00210760">
        <w:rPr>
          <w:szCs w:val="24"/>
          <w:lang w:val="en-GB"/>
        </w:rPr>
        <w:t>fifth</w:t>
      </w:r>
      <w:r w:rsidRPr="00210760">
        <w:rPr>
          <w:szCs w:val="24"/>
          <w:lang w:val="en-GB"/>
        </w:rPr>
        <w:t xml:space="preserve"> of its land and buildings, </w:t>
      </w:r>
      <w:r w:rsidR="00DB413B" w:rsidRPr="00210760">
        <w:rPr>
          <w:szCs w:val="24"/>
          <w:lang w:val="en-GB"/>
        </w:rPr>
        <w:t>and in addition carried out a</w:t>
      </w:r>
      <w:r w:rsidR="00091649" w:rsidRPr="00210760">
        <w:rPr>
          <w:szCs w:val="24"/>
          <w:lang w:val="en-GB"/>
        </w:rPr>
        <w:t xml:space="preserve"> desktop revaluation</w:t>
      </w:r>
      <w:r w:rsidR="00DB413B" w:rsidRPr="00210760">
        <w:rPr>
          <w:szCs w:val="24"/>
          <w:lang w:val="en-GB"/>
        </w:rPr>
        <w:t xml:space="preserve"> exercise on the remainder, </w:t>
      </w:r>
      <w:r w:rsidRPr="00210760">
        <w:rPr>
          <w:szCs w:val="24"/>
          <w:lang w:val="en-GB"/>
        </w:rPr>
        <w:t xml:space="preserve">which resulted in </w:t>
      </w:r>
      <w:r w:rsidR="00F70B51" w:rsidRPr="00210760">
        <w:rPr>
          <w:szCs w:val="24"/>
          <w:lang w:val="en-GB"/>
        </w:rPr>
        <w:t xml:space="preserve">a net </w:t>
      </w:r>
      <w:r w:rsidR="001A2087" w:rsidRPr="00210760">
        <w:rPr>
          <w:szCs w:val="24"/>
          <w:lang w:val="en-GB"/>
        </w:rPr>
        <w:t xml:space="preserve">revaluation </w:t>
      </w:r>
      <w:r w:rsidR="00FD242B" w:rsidRPr="00210760">
        <w:rPr>
          <w:szCs w:val="24"/>
          <w:lang w:val="en-GB"/>
        </w:rPr>
        <w:t>gain</w:t>
      </w:r>
      <w:r w:rsidR="00F70B51" w:rsidRPr="00210760">
        <w:rPr>
          <w:szCs w:val="24"/>
          <w:lang w:val="en-GB"/>
        </w:rPr>
        <w:t xml:space="preserve"> of </w:t>
      </w:r>
      <w:r w:rsidR="00750768" w:rsidRPr="00210760">
        <w:rPr>
          <w:szCs w:val="24"/>
          <w:lang w:val="en-GB"/>
        </w:rPr>
        <w:t>£</w:t>
      </w:r>
      <w:r w:rsidR="008522E1" w:rsidRPr="00210760">
        <w:rPr>
          <w:szCs w:val="24"/>
          <w:lang w:val="en-GB"/>
        </w:rPr>
        <w:t>22.283</w:t>
      </w:r>
      <w:r w:rsidR="00F70B51" w:rsidRPr="00210760">
        <w:rPr>
          <w:szCs w:val="24"/>
          <w:lang w:val="en-GB"/>
        </w:rPr>
        <w:t>m</w:t>
      </w:r>
      <w:r w:rsidR="003F791B" w:rsidRPr="00210760">
        <w:rPr>
          <w:szCs w:val="24"/>
          <w:lang w:val="en-GB"/>
        </w:rPr>
        <w:t xml:space="preserve"> (20</w:t>
      </w:r>
      <w:r w:rsidR="001F4E9F" w:rsidRPr="00210760">
        <w:rPr>
          <w:szCs w:val="24"/>
          <w:lang w:val="en-GB"/>
        </w:rPr>
        <w:t>2</w:t>
      </w:r>
      <w:r w:rsidR="00DF5C98" w:rsidRPr="00210760">
        <w:rPr>
          <w:szCs w:val="24"/>
          <w:lang w:val="en-GB"/>
        </w:rPr>
        <w:t>1</w:t>
      </w:r>
      <w:r w:rsidR="001F4E9F" w:rsidRPr="00210760">
        <w:rPr>
          <w:szCs w:val="24"/>
          <w:lang w:val="en-GB"/>
        </w:rPr>
        <w:t>/2</w:t>
      </w:r>
      <w:r w:rsidR="00DF5C98" w:rsidRPr="00210760">
        <w:rPr>
          <w:szCs w:val="24"/>
          <w:lang w:val="en-GB"/>
        </w:rPr>
        <w:t>2</w:t>
      </w:r>
      <w:r w:rsidR="00D66F6A" w:rsidRPr="00210760">
        <w:rPr>
          <w:szCs w:val="24"/>
          <w:lang w:val="en-GB"/>
        </w:rPr>
        <w:t xml:space="preserve">: net </w:t>
      </w:r>
      <w:r w:rsidR="00B81C41" w:rsidRPr="00210760">
        <w:rPr>
          <w:szCs w:val="24"/>
          <w:lang w:val="en-GB"/>
        </w:rPr>
        <w:t>gain</w:t>
      </w:r>
      <w:r w:rsidR="00D66F6A" w:rsidRPr="00210760">
        <w:rPr>
          <w:szCs w:val="24"/>
          <w:lang w:val="en-GB"/>
        </w:rPr>
        <w:t xml:space="preserve"> of £</w:t>
      </w:r>
      <w:r w:rsidR="00DF5C98" w:rsidRPr="00210760">
        <w:rPr>
          <w:szCs w:val="24"/>
          <w:lang w:val="en-GB"/>
        </w:rPr>
        <w:t>12.340m</w:t>
      </w:r>
      <w:r w:rsidR="003F791B" w:rsidRPr="00210760">
        <w:rPr>
          <w:szCs w:val="24"/>
          <w:lang w:val="en-GB"/>
        </w:rPr>
        <w:t>)</w:t>
      </w:r>
      <w:r w:rsidR="00F70B51" w:rsidRPr="00210760">
        <w:rPr>
          <w:szCs w:val="24"/>
          <w:lang w:val="en-GB"/>
        </w:rPr>
        <w:t>.</w:t>
      </w:r>
    </w:p>
    <w:p w14:paraId="49BBD071" w14:textId="77777777" w:rsidR="0059226C" w:rsidRPr="00210760" w:rsidRDefault="0059226C" w:rsidP="00210760">
      <w:pPr>
        <w:pStyle w:val="BodyTextIndent"/>
        <w:ind w:left="709" w:right="425"/>
        <w:rPr>
          <w:szCs w:val="24"/>
          <w:lang w:val="en-GB"/>
        </w:rPr>
      </w:pPr>
    </w:p>
    <w:p w14:paraId="144993ED" w14:textId="77777777" w:rsidR="00372872" w:rsidRDefault="0059226C" w:rsidP="00372872">
      <w:pPr>
        <w:pStyle w:val="BodyTextIndent"/>
        <w:ind w:left="709" w:right="425"/>
        <w:rPr>
          <w:szCs w:val="24"/>
          <w:lang w:val="en-GB"/>
        </w:rPr>
      </w:pPr>
      <w:r w:rsidRPr="00210760">
        <w:rPr>
          <w:szCs w:val="24"/>
          <w:lang w:val="en-GB"/>
        </w:rPr>
        <w:t xml:space="preserve">Revenue Leases are included </w:t>
      </w:r>
      <w:r w:rsidR="002B09C5" w:rsidRPr="00210760">
        <w:rPr>
          <w:szCs w:val="24"/>
          <w:lang w:val="en-GB"/>
        </w:rPr>
        <w:t>in the quinquennial asset valuation programme to meet IFRS 16 requirements however are considered on a desktop basis only this year. All will be valued as full asset valuations from commencement of the 2023-24 financial year, in line with CIPFA Code of Practice.</w:t>
      </w:r>
    </w:p>
    <w:p w14:paraId="110DB437" w14:textId="77777777" w:rsidR="00372872" w:rsidRDefault="00372872" w:rsidP="00372872">
      <w:pPr>
        <w:pStyle w:val="BodyTextIndent"/>
        <w:ind w:left="709" w:right="425"/>
        <w:rPr>
          <w:szCs w:val="24"/>
          <w:lang w:val="en-GB"/>
        </w:rPr>
      </w:pPr>
    </w:p>
    <w:p w14:paraId="2394049C" w14:textId="65BCA4DE" w:rsidR="00B16EF7" w:rsidRPr="00210760" w:rsidRDefault="00B16EF7" w:rsidP="00372872">
      <w:pPr>
        <w:pStyle w:val="BodyTextIndent"/>
        <w:ind w:left="709" w:right="425"/>
        <w:rPr>
          <w:szCs w:val="24"/>
          <w:lang w:val="en-GB"/>
        </w:rPr>
      </w:pPr>
      <w:r w:rsidRPr="00210760">
        <w:rPr>
          <w:szCs w:val="24"/>
          <w:lang w:val="en-GB"/>
        </w:rPr>
        <w:t>The comparative figures detailing the movement during 20</w:t>
      </w:r>
      <w:r w:rsidR="001F4E9F" w:rsidRPr="00210760">
        <w:rPr>
          <w:szCs w:val="24"/>
          <w:lang w:val="en-GB"/>
        </w:rPr>
        <w:t>2</w:t>
      </w:r>
      <w:r w:rsidR="00D8482A" w:rsidRPr="00210760">
        <w:rPr>
          <w:szCs w:val="24"/>
          <w:lang w:val="en-GB"/>
        </w:rPr>
        <w:t>1</w:t>
      </w:r>
      <w:r w:rsidR="001F4E9F" w:rsidRPr="00210760">
        <w:rPr>
          <w:szCs w:val="24"/>
          <w:lang w:val="en-GB"/>
        </w:rPr>
        <w:t>/2</w:t>
      </w:r>
      <w:r w:rsidR="00D8482A" w:rsidRPr="00210760">
        <w:rPr>
          <w:szCs w:val="24"/>
          <w:lang w:val="en-GB"/>
        </w:rPr>
        <w:t>2</w:t>
      </w:r>
      <w:r w:rsidR="00A10006" w:rsidRPr="00210760">
        <w:rPr>
          <w:szCs w:val="24"/>
          <w:lang w:val="en-GB"/>
        </w:rPr>
        <w:t>:</w:t>
      </w:r>
    </w:p>
    <w:p w14:paraId="074BED65" w14:textId="77777777" w:rsidR="00F74E7D" w:rsidRPr="00F74E7D" w:rsidRDefault="00F74E7D" w:rsidP="00400584">
      <w:pPr>
        <w:pStyle w:val="BodyTextIndent"/>
        <w:ind w:left="709" w:right="425"/>
        <w:jc w:val="both"/>
        <w:rPr>
          <w:szCs w:val="24"/>
          <w:lang w:val="en-GB"/>
        </w:rPr>
      </w:pPr>
    </w:p>
    <w:tbl>
      <w:tblPr>
        <w:tblW w:w="9956" w:type="dxa"/>
        <w:tblInd w:w="534" w:type="dxa"/>
        <w:tblLayout w:type="fixed"/>
        <w:tblLook w:val="0000" w:firstRow="0" w:lastRow="0" w:firstColumn="0" w:lastColumn="0" w:noHBand="0" w:noVBand="0"/>
      </w:tblPr>
      <w:tblGrid>
        <w:gridCol w:w="4286"/>
        <w:gridCol w:w="1346"/>
        <w:gridCol w:w="1299"/>
        <w:gridCol w:w="1466"/>
        <w:gridCol w:w="1559"/>
      </w:tblGrid>
      <w:tr w:rsidR="00A01DCD" w:rsidRPr="00210760" w14:paraId="507E9E27" w14:textId="77777777" w:rsidTr="00611673">
        <w:trPr>
          <w:trHeight w:val="507"/>
          <w:tblHeader/>
        </w:trPr>
        <w:tc>
          <w:tcPr>
            <w:tcW w:w="4286" w:type="dxa"/>
            <w:tcBorders>
              <w:top w:val="single" w:sz="4" w:space="0" w:color="auto"/>
              <w:left w:val="single" w:sz="4" w:space="0" w:color="auto"/>
              <w:bottom w:val="single" w:sz="4" w:space="0" w:color="auto"/>
              <w:right w:val="single" w:sz="4" w:space="0" w:color="auto"/>
            </w:tcBorders>
            <w:shd w:val="clear" w:color="auto" w:fill="BD2716"/>
            <w:noWrap/>
            <w:vAlign w:val="bottom"/>
          </w:tcPr>
          <w:p w14:paraId="652465C0" w14:textId="398B3436" w:rsidR="00A01DCD" w:rsidRPr="007641BA" w:rsidRDefault="00A01DCD" w:rsidP="00A01DCD">
            <w:pPr>
              <w:ind w:left="175"/>
              <w:rPr>
                <w:rFonts w:cs="Arial"/>
                <w:color w:val="FFFFFF" w:themeColor="background1"/>
                <w:szCs w:val="24"/>
                <w:lang w:eastAsia="en-GB"/>
              </w:rPr>
            </w:pPr>
          </w:p>
        </w:tc>
        <w:tc>
          <w:tcPr>
            <w:tcW w:w="1346" w:type="dxa"/>
            <w:tcBorders>
              <w:top w:val="single" w:sz="4" w:space="0" w:color="auto"/>
              <w:left w:val="single" w:sz="4" w:space="0" w:color="auto"/>
              <w:bottom w:val="single" w:sz="4" w:space="0" w:color="auto"/>
              <w:right w:val="single" w:sz="4" w:space="0" w:color="auto"/>
            </w:tcBorders>
            <w:shd w:val="clear" w:color="auto" w:fill="BD2716"/>
            <w:vAlign w:val="center"/>
          </w:tcPr>
          <w:p w14:paraId="6EBD15B2" w14:textId="77777777" w:rsidR="00A01DCD" w:rsidRPr="00611673" w:rsidRDefault="00A01DCD" w:rsidP="00611673">
            <w:pPr>
              <w:jc w:val="right"/>
              <w:rPr>
                <w:rFonts w:cs="Arial"/>
                <w:color w:val="FFFFFF" w:themeColor="background1"/>
                <w:szCs w:val="24"/>
                <w:lang w:eastAsia="en-GB"/>
              </w:rPr>
            </w:pPr>
            <w:r w:rsidRPr="00611673">
              <w:rPr>
                <w:rFonts w:cs="Arial"/>
                <w:color w:val="FFFFFF" w:themeColor="background1"/>
                <w:szCs w:val="24"/>
                <w:lang w:eastAsia="en-GB"/>
              </w:rPr>
              <w:t>Other Land &amp; Buildings</w:t>
            </w:r>
          </w:p>
          <w:p w14:paraId="40605310" w14:textId="66F63A3C" w:rsidR="00A01DCD" w:rsidRPr="00611673" w:rsidRDefault="00A01DCD" w:rsidP="00611673">
            <w:pPr>
              <w:jc w:val="right"/>
              <w:rPr>
                <w:rFonts w:cs="Arial"/>
                <w:color w:val="FFFFFF" w:themeColor="background1"/>
                <w:szCs w:val="24"/>
                <w:lang w:eastAsia="en-GB"/>
              </w:rPr>
            </w:pPr>
            <w:r w:rsidRPr="00611673">
              <w:rPr>
                <w:rFonts w:cs="Arial"/>
                <w:color w:val="FFFFFF" w:themeColor="background1"/>
                <w:szCs w:val="24"/>
                <w:lang w:eastAsia="en-GB"/>
              </w:rPr>
              <w:t>£000</w:t>
            </w:r>
          </w:p>
        </w:tc>
        <w:tc>
          <w:tcPr>
            <w:tcW w:w="1299" w:type="dxa"/>
            <w:tcBorders>
              <w:top w:val="single" w:sz="4" w:space="0" w:color="auto"/>
              <w:left w:val="single" w:sz="4" w:space="0" w:color="auto"/>
              <w:bottom w:val="single" w:sz="4" w:space="0" w:color="auto"/>
              <w:right w:val="single" w:sz="4" w:space="0" w:color="auto"/>
            </w:tcBorders>
            <w:shd w:val="clear" w:color="auto" w:fill="BD2716"/>
            <w:vAlign w:val="center"/>
          </w:tcPr>
          <w:p w14:paraId="174916B3" w14:textId="77777777" w:rsidR="00A01DCD" w:rsidRPr="00611673" w:rsidRDefault="00A01DCD" w:rsidP="00611673">
            <w:pPr>
              <w:jc w:val="right"/>
              <w:rPr>
                <w:rFonts w:cs="Arial"/>
                <w:color w:val="FFFFFF" w:themeColor="background1"/>
                <w:szCs w:val="24"/>
                <w:lang w:eastAsia="en-GB"/>
              </w:rPr>
            </w:pPr>
            <w:r w:rsidRPr="00611673">
              <w:rPr>
                <w:rFonts w:cs="Arial"/>
                <w:color w:val="FFFFFF" w:themeColor="background1"/>
                <w:szCs w:val="24"/>
                <w:lang w:eastAsia="en-GB"/>
              </w:rPr>
              <w:t>PFI Assets – land &amp; buildings</w:t>
            </w:r>
          </w:p>
          <w:p w14:paraId="4A5F5E42" w14:textId="69F885B3" w:rsidR="00A01DCD" w:rsidRPr="00611673" w:rsidRDefault="00A01DCD" w:rsidP="00611673">
            <w:pPr>
              <w:jc w:val="right"/>
              <w:rPr>
                <w:rFonts w:cs="Arial"/>
                <w:color w:val="FFFFFF" w:themeColor="background1"/>
                <w:szCs w:val="24"/>
                <w:lang w:eastAsia="en-GB"/>
              </w:rPr>
            </w:pPr>
            <w:r w:rsidRPr="00611673">
              <w:rPr>
                <w:rFonts w:cs="Arial"/>
                <w:color w:val="FFFFFF" w:themeColor="background1"/>
                <w:szCs w:val="24"/>
                <w:lang w:eastAsia="en-GB"/>
              </w:rPr>
              <w:t>£000</w:t>
            </w:r>
          </w:p>
        </w:tc>
        <w:tc>
          <w:tcPr>
            <w:tcW w:w="1466" w:type="dxa"/>
            <w:tcBorders>
              <w:top w:val="single" w:sz="4" w:space="0" w:color="auto"/>
              <w:left w:val="single" w:sz="4" w:space="0" w:color="auto"/>
              <w:bottom w:val="single" w:sz="4" w:space="0" w:color="auto"/>
              <w:right w:val="single" w:sz="4" w:space="0" w:color="auto"/>
            </w:tcBorders>
            <w:shd w:val="clear" w:color="auto" w:fill="BD2716"/>
            <w:vAlign w:val="center"/>
          </w:tcPr>
          <w:p w14:paraId="496D7169" w14:textId="77777777" w:rsidR="00A01DCD" w:rsidRPr="00611673" w:rsidRDefault="00A01DCD" w:rsidP="00611673">
            <w:pPr>
              <w:jc w:val="right"/>
              <w:rPr>
                <w:rFonts w:cs="Arial"/>
                <w:color w:val="FFFFFF" w:themeColor="background1"/>
                <w:szCs w:val="24"/>
                <w:lang w:eastAsia="en-GB"/>
              </w:rPr>
            </w:pPr>
            <w:r w:rsidRPr="00611673">
              <w:rPr>
                <w:rFonts w:cs="Arial"/>
                <w:color w:val="FFFFFF" w:themeColor="background1"/>
                <w:szCs w:val="24"/>
                <w:lang w:eastAsia="en-GB"/>
              </w:rPr>
              <w:t>Vehicles, Plant &amp; Equipment</w:t>
            </w:r>
          </w:p>
          <w:p w14:paraId="47AFF4D3" w14:textId="06A49D71" w:rsidR="00A01DCD" w:rsidRPr="00611673" w:rsidRDefault="00A01DCD" w:rsidP="00611673">
            <w:pPr>
              <w:jc w:val="right"/>
              <w:rPr>
                <w:rFonts w:cs="Arial"/>
                <w:color w:val="FFFFFF" w:themeColor="background1"/>
                <w:szCs w:val="24"/>
                <w:lang w:eastAsia="en-GB"/>
              </w:rPr>
            </w:pPr>
            <w:r w:rsidRPr="00611673">
              <w:rPr>
                <w:rFonts w:cs="Arial"/>
                <w:color w:val="FFFFFF" w:themeColor="background1"/>
                <w:szCs w:val="24"/>
                <w:lang w:eastAsia="en-GB"/>
              </w:rPr>
              <w:t>£000</w:t>
            </w:r>
          </w:p>
        </w:tc>
        <w:tc>
          <w:tcPr>
            <w:tcW w:w="1559" w:type="dxa"/>
            <w:tcBorders>
              <w:top w:val="single" w:sz="4" w:space="0" w:color="auto"/>
              <w:left w:val="single" w:sz="4" w:space="0" w:color="auto"/>
              <w:bottom w:val="single" w:sz="4" w:space="0" w:color="auto"/>
              <w:right w:val="single" w:sz="4" w:space="0" w:color="auto"/>
            </w:tcBorders>
            <w:shd w:val="clear" w:color="auto" w:fill="BD2716"/>
            <w:noWrap/>
            <w:vAlign w:val="center"/>
          </w:tcPr>
          <w:p w14:paraId="3F15F4D3" w14:textId="77777777" w:rsidR="00A01DCD" w:rsidRPr="00611673" w:rsidRDefault="00A01DCD" w:rsidP="00611673">
            <w:pPr>
              <w:jc w:val="right"/>
              <w:rPr>
                <w:rFonts w:cs="Arial"/>
                <w:color w:val="FFFFFF" w:themeColor="background1"/>
                <w:szCs w:val="24"/>
                <w:lang w:eastAsia="en-GB"/>
              </w:rPr>
            </w:pPr>
            <w:r w:rsidRPr="00611673">
              <w:rPr>
                <w:rFonts w:cs="Arial"/>
                <w:color w:val="FFFFFF" w:themeColor="background1"/>
                <w:szCs w:val="24"/>
                <w:lang w:eastAsia="en-GB"/>
              </w:rPr>
              <w:t>Total Property, Plant &amp; Equipment</w:t>
            </w:r>
          </w:p>
          <w:p w14:paraId="44501D3E" w14:textId="485E1B98" w:rsidR="00A01DCD" w:rsidRPr="00611673" w:rsidRDefault="00A01DCD" w:rsidP="00611673">
            <w:pPr>
              <w:pStyle w:val="CommentSubject"/>
              <w:jc w:val="right"/>
              <w:rPr>
                <w:rFonts w:ascii="Arial" w:hAnsi="Arial" w:cs="Arial"/>
                <w:b w:val="0"/>
                <w:color w:val="FFFFFF" w:themeColor="background1"/>
                <w:sz w:val="24"/>
                <w:szCs w:val="24"/>
                <w:lang w:eastAsia="en-GB"/>
              </w:rPr>
            </w:pPr>
            <w:r w:rsidRPr="00611673">
              <w:rPr>
                <w:rFonts w:ascii="Arial" w:hAnsi="Arial" w:cs="Arial"/>
                <w:b w:val="0"/>
                <w:color w:val="FFFFFF" w:themeColor="background1"/>
                <w:sz w:val="24"/>
                <w:szCs w:val="24"/>
                <w:lang w:eastAsia="en-GB"/>
              </w:rPr>
              <w:t>£000</w:t>
            </w:r>
          </w:p>
        </w:tc>
      </w:tr>
      <w:tr w:rsidR="00372872" w:rsidRPr="00210760" w14:paraId="42BC0A01" w14:textId="77777777" w:rsidTr="007641BA">
        <w:trPr>
          <w:trHeight w:val="253"/>
        </w:trPr>
        <w:tc>
          <w:tcPr>
            <w:tcW w:w="995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C0CD108" w14:textId="5BC104B2" w:rsidR="00372872" w:rsidRPr="00210760" w:rsidRDefault="00372872" w:rsidP="00286249">
            <w:pPr>
              <w:rPr>
                <w:rFonts w:cs="Arial"/>
                <w:szCs w:val="24"/>
                <w:lang w:eastAsia="en-GB"/>
              </w:rPr>
            </w:pPr>
            <w:r w:rsidRPr="00210760">
              <w:rPr>
                <w:rFonts w:cs="Arial"/>
                <w:b/>
                <w:bCs/>
                <w:szCs w:val="24"/>
                <w:lang w:eastAsia="en-GB"/>
              </w:rPr>
              <w:t>Cost or valuation</w:t>
            </w:r>
          </w:p>
        </w:tc>
      </w:tr>
      <w:tr w:rsidR="00D8482A" w:rsidRPr="00210760" w14:paraId="33EB7D6B"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8A9FF" w14:textId="77777777" w:rsidR="00D8482A" w:rsidRPr="00210760" w:rsidRDefault="00D8482A" w:rsidP="00BC6C4F">
            <w:pPr>
              <w:ind w:left="175"/>
              <w:rPr>
                <w:rFonts w:cs="Arial"/>
                <w:szCs w:val="24"/>
                <w:lang w:eastAsia="en-GB"/>
              </w:rPr>
            </w:pPr>
            <w:proofErr w:type="gramStart"/>
            <w:r w:rsidRPr="00210760">
              <w:rPr>
                <w:rFonts w:cs="Arial"/>
                <w:szCs w:val="24"/>
                <w:lang w:eastAsia="en-GB"/>
              </w:rPr>
              <w:t>At</w:t>
            </w:r>
            <w:proofErr w:type="gramEnd"/>
            <w:r w:rsidRPr="00210760">
              <w:rPr>
                <w:rFonts w:cs="Arial"/>
                <w:szCs w:val="24"/>
                <w:lang w:eastAsia="en-GB"/>
              </w:rPr>
              <w:t xml:space="preserve"> 1 April 2021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E691E" w14:textId="73EA530E" w:rsidR="00D8482A" w:rsidRPr="00210760" w:rsidRDefault="00D8482A" w:rsidP="008B00BF">
            <w:pPr>
              <w:jc w:val="right"/>
              <w:rPr>
                <w:rFonts w:cs="Arial"/>
                <w:szCs w:val="24"/>
                <w:lang w:eastAsia="en-GB"/>
              </w:rPr>
            </w:pPr>
            <w:r w:rsidRPr="00210760">
              <w:rPr>
                <w:szCs w:val="24"/>
              </w:rPr>
              <w:t>60,814</w:t>
            </w:r>
          </w:p>
        </w:tc>
        <w:tc>
          <w:tcPr>
            <w:tcW w:w="1299" w:type="dxa"/>
            <w:tcBorders>
              <w:top w:val="single" w:sz="4" w:space="0" w:color="auto"/>
              <w:left w:val="single" w:sz="4" w:space="0" w:color="auto"/>
              <w:bottom w:val="single" w:sz="4" w:space="0" w:color="auto"/>
              <w:right w:val="single" w:sz="4" w:space="0" w:color="auto"/>
            </w:tcBorders>
            <w:vAlign w:val="center"/>
          </w:tcPr>
          <w:p w14:paraId="17135055" w14:textId="1A6FC0F2" w:rsidR="00D8482A" w:rsidRPr="00210760" w:rsidRDefault="00D8482A" w:rsidP="008B00BF">
            <w:pPr>
              <w:jc w:val="right"/>
              <w:rPr>
                <w:rFonts w:cs="Arial"/>
                <w:szCs w:val="24"/>
                <w:lang w:eastAsia="en-GB"/>
              </w:rPr>
            </w:pPr>
            <w:r w:rsidRPr="00210760">
              <w:rPr>
                <w:szCs w:val="24"/>
              </w:rPr>
              <w:t>29,200</w:t>
            </w:r>
          </w:p>
        </w:tc>
        <w:tc>
          <w:tcPr>
            <w:tcW w:w="1466" w:type="dxa"/>
            <w:tcBorders>
              <w:top w:val="single" w:sz="4" w:space="0" w:color="auto"/>
              <w:left w:val="single" w:sz="4" w:space="0" w:color="auto"/>
              <w:bottom w:val="single" w:sz="4" w:space="0" w:color="auto"/>
              <w:right w:val="single" w:sz="4" w:space="0" w:color="auto"/>
            </w:tcBorders>
            <w:vAlign w:val="center"/>
          </w:tcPr>
          <w:p w14:paraId="5AFD9BB4" w14:textId="4529B0B0" w:rsidR="00D8482A" w:rsidRPr="00210760" w:rsidRDefault="00D8482A" w:rsidP="008B00BF">
            <w:pPr>
              <w:jc w:val="right"/>
              <w:rPr>
                <w:rFonts w:cs="Arial"/>
                <w:szCs w:val="24"/>
                <w:lang w:eastAsia="en-GB"/>
              </w:rPr>
            </w:pPr>
            <w:r w:rsidRPr="00210760">
              <w:rPr>
                <w:szCs w:val="24"/>
              </w:rPr>
              <w:t>24,150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B2587" w14:textId="2E5AD6AD" w:rsidR="00D8482A" w:rsidRPr="00210760" w:rsidRDefault="00D8482A" w:rsidP="008B00BF">
            <w:pPr>
              <w:jc w:val="right"/>
              <w:rPr>
                <w:rFonts w:cs="Arial"/>
                <w:szCs w:val="24"/>
                <w:lang w:eastAsia="en-GB"/>
              </w:rPr>
            </w:pPr>
            <w:r w:rsidRPr="00210760">
              <w:rPr>
                <w:szCs w:val="24"/>
              </w:rPr>
              <w:t>114,164</w:t>
            </w:r>
          </w:p>
        </w:tc>
      </w:tr>
      <w:tr w:rsidR="00D8482A" w:rsidRPr="00210760" w14:paraId="6CDBE9DC"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72F63" w14:textId="77777777" w:rsidR="00D8482A" w:rsidRPr="00210760" w:rsidRDefault="00D8482A" w:rsidP="00BC6C4F">
            <w:pPr>
              <w:ind w:left="175"/>
              <w:rPr>
                <w:rFonts w:cs="Arial"/>
                <w:szCs w:val="24"/>
                <w:lang w:eastAsia="en-GB"/>
              </w:rPr>
            </w:pPr>
            <w:r w:rsidRPr="00210760">
              <w:rPr>
                <w:rFonts w:cs="Arial"/>
                <w:szCs w:val="24"/>
                <w:lang w:eastAsia="en-GB"/>
              </w:rPr>
              <w:t>Additions</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1C7AD" w14:textId="55594EFE" w:rsidR="00D8482A" w:rsidRPr="00210760" w:rsidRDefault="00D8482A" w:rsidP="008B00BF">
            <w:pPr>
              <w:jc w:val="right"/>
              <w:rPr>
                <w:rFonts w:cs="Arial"/>
                <w:szCs w:val="24"/>
                <w:lang w:eastAsia="en-GB"/>
              </w:rPr>
            </w:pPr>
            <w:r w:rsidRPr="00210760">
              <w:rPr>
                <w:szCs w:val="24"/>
              </w:rPr>
              <w:t>2,865</w:t>
            </w:r>
          </w:p>
        </w:tc>
        <w:tc>
          <w:tcPr>
            <w:tcW w:w="1299" w:type="dxa"/>
            <w:tcBorders>
              <w:top w:val="single" w:sz="4" w:space="0" w:color="auto"/>
              <w:left w:val="single" w:sz="4" w:space="0" w:color="auto"/>
              <w:bottom w:val="single" w:sz="4" w:space="0" w:color="auto"/>
              <w:right w:val="single" w:sz="4" w:space="0" w:color="auto"/>
            </w:tcBorders>
            <w:vAlign w:val="center"/>
          </w:tcPr>
          <w:p w14:paraId="56F6021A" w14:textId="311CD1E5" w:rsidR="00D8482A" w:rsidRPr="00210760" w:rsidRDefault="009E63DB" w:rsidP="008B00BF">
            <w:pPr>
              <w:jc w:val="right"/>
              <w:rPr>
                <w:rFonts w:cs="Arial"/>
                <w:szCs w:val="24"/>
                <w:lang w:eastAsia="en-GB"/>
              </w:rPr>
            </w:pPr>
            <w:r w:rsidRPr="00210760">
              <w:rPr>
                <w:szCs w:val="24"/>
              </w:rPr>
              <w:t>-</w:t>
            </w:r>
          </w:p>
        </w:tc>
        <w:tc>
          <w:tcPr>
            <w:tcW w:w="1466" w:type="dxa"/>
            <w:tcBorders>
              <w:top w:val="single" w:sz="4" w:space="0" w:color="auto"/>
              <w:left w:val="single" w:sz="4" w:space="0" w:color="auto"/>
              <w:bottom w:val="single" w:sz="4" w:space="0" w:color="auto"/>
              <w:right w:val="single" w:sz="4" w:space="0" w:color="auto"/>
            </w:tcBorders>
            <w:vAlign w:val="center"/>
          </w:tcPr>
          <w:p w14:paraId="36BB7983" w14:textId="3F4F0A49" w:rsidR="00D8482A" w:rsidRPr="00210760" w:rsidRDefault="00D8482A" w:rsidP="008B00BF">
            <w:pPr>
              <w:jc w:val="right"/>
              <w:rPr>
                <w:rFonts w:cs="Arial"/>
                <w:szCs w:val="24"/>
                <w:lang w:eastAsia="en-GB"/>
              </w:rPr>
            </w:pPr>
            <w:r w:rsidRPr="00210760">
              <w:rPr>
                <w:szCs w:val="24"/>
              </w:rPr>
              <w:t>487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156CD" w14:textId="0253BE44" w:rsidR="00D8482A" w:rsidRPr="00210760" w:rsidRDefault="00D8482A" w:rsidP="008B00BF">
            <w:pPr>
              <w:jc w:val="right"/>
              <w:rPr>
                <w:rFonts w:cs="Arial"/>
                <w:szCs w:val="24"/>
                <w:lang w:eastAsia="en-GB"/>
              </w:rPr>
            </w:pPr>
            <w:r w:rsidRPr="00210760">
              <w:rPr>
                <w:szCs w:val="24"/>
              </w:rPr>
              <w:t>3,352</w:t>
            </w:r>
          </w:p>
        </w:tc>
      </w:tr>
      <w:tr w:rsidR="00D8482A" w:rsidRPr="00210760" w14:paraId="35ECFFE1"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792A2" w14:textId="77777777" w:rsidR="00D8482A" w:rsidRPr="00210760" w:rsidRDefault="00D8482A" w:rsidP="00BC6C4F">
            <w:pPr>
              <w:ind w:left="175"/>
              <w:rPr>
                <w:rFonts w:cs="Arial"/>
                <w:szCs w:val="24"/>
                <w:lang w:eastAsia="en-GB"/>
              </w:rPr>
            </w:pPr>
            <w:r w:rsidRPr="00210760">
              <w:rPr>
                <w:rFonts w:cs="Arial"/>
                <w:szCs w:val="24"/>
                <w:lang w:eastAsia="en-GB"/>
              </w:rPr>
              <w:t>Disposals</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13879" w14:textId="3A827C83" w:rsidR="00D8482A" w:rsidRPr="00210760" w:rsidRDefault="00D8482A" w:rsidP="008B00BF">
            <w:pPr>
              <w:jc w:val="right"/>
              <w:rPr>
                <w:rFonts w:cs="Arial"/>
                <w:szCs w:val="24"/>
                <w:lang w:eastAsia="en-GB"/>
              </w:rPr>
            </w:pPr>
            <w:r w:rsidRPr="00210760">
              <w:rPr>
                <w:szCs w:val="24"/>
              </w:rPr>
              <w:t>-</w:t>
            </w:r>
          </w:p>
        </w:tc>
        <w:tc>
          <w:tcPr>
            <w:tcW w:w="1299" w:type="dxa"/>
            <w:tcBorders>
              <w:top w:val="single" w:sz="4" w:space="0" w:color="auto"/>
              <w:left w:val="single" w:sz="4" w:space="0" w:color="auto"/>
              <w:bottom w:val="single" w:sz="4" w:space="0" w:color="auto"/>
              <w:right w:val="single" w:sz="4" w:space="0" w:color="auto"/>
            </w:tcBorders>
            <w:vAlign w:val="center"/>
          </w:tcPr>
          <w:p w14:paraId="07D0822E" w14:textId="213B7528" w:rsidR="00D8482A" w:rsidRPr="00210760" w:rsidRDefault="00D8482A" w:rsidP="008B00BF">
            <w:pPr>
              <w:jc w:val="right"/>
              <w:rPr>
                <w:rFonts w:cs="Arial"/>
                <w:szCs w:val="24"/>
                <w:lang w:eastAsia="en-GB"/>
              </w:rPr>
            </w:pPr>
            <w:r w:rsidRPr="00210760">
              <w:rPr>
                <w:szCs w:val="24"/>
              </w:rPr>
              <w:t>-</w:t>
            </w:r>
          </w:p>
        </w:tc>
        <w:tc>
          <w:tcPr>
            <w:tcW w:w="1466" w:type="dxa"/>
            <w:tcBorders>
              <w:top w:val="single" w:sz="4" w:space="0" w:color="auto"/>
              <w:left w:val="single" w:sz="4" w:space="0" w:color="auto"/>
              <w:bottom w:val="single" w:sz="4" w:space="0" w:color="auto"/>
              <w:right w:val="single" w:sz="4" w:space="0" w:color="auto"/>
            </w:tcBorders>
            <w:vAlign w:val="center"/>
          </w:tcPr>
          <w:p w14:paraId="651EDAE0" w14:textId="77777777" w:rsidR="00D8482A" w:rsidRPr="00210760" w:rsidRDefault="00D8482A" w:rsidP="008B00BF">
            <w:pPr>
              <w:jc w:val="right"/>
              <w:rPr>
                <w:rFonts w:cs="Arial"/>
                <w:szCs w:val="24"/>
                <w:lang w:eastAsia="en-GB"/>
              </w:rPr>
            </w:pPr>
            <w:r w:rsidRPr="00210760">
              <w:rPr>
                <w:szCs w:val="24"/>
              </w:rPr>
              <w:t>(405)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FBE1B" w14:textId="77777777" w:rsidR="00D8482A" w:rsidRPr="00210760" w:rsidRDefault="00D8482A" w:rsidP="008B00BF">
            <w:pPr>
              <w:jc w:val="right"/>
              <w:rPr>
                <w:rFonts w:cs="Arial"/>
                <w:szCs w:val="24"/>
                <w:lang w:eastAsia="en-GB"/>
              </w:rPr>
            </w:pPr>
            <w:r w:rsidRPr="00210760">
              <w:rPr>
                <w:szCs w:val="24"/>
              </w:rPr>
              <w:t>(405)</w:t>
            </w:r>
          </w:p>
        </w:tc>
      </w:tr>
      <w:tr w:rsidR="00D8482A" w:rsidRPr="00210760" w14:paraId="2B3A41F5"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12E22" w14:textId="77777777" w:rsidR="00D8482A" w:rsidRPr="00210760" w:rsidRDefault="00D8482A" w:rsidP="00BC6C4F">
            <w:pPr>
              <w:ind w:left="175"/>
              <w:rPr>
                <w:rFonts w:cs="Arial"/>
                <w:szCs w:val="24"/>
                <w:lang w:eastAsia="en-GB"/>
              </w:rPr>
            </w:pPr>
            <w:r w:rsidRPr="00210760">
              <w:rPr>
                <w:rFonts w:cs="Arial"/>
                <w:szCs w:val="24"/>
                <w:lang w:eastAsia="en-GB"/>
              </w:rPr>
              <w:t>Impairment losses recognised in the Revaluation Reserve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3AE8F" w14:textId="77777777" w:rsidR="00D8482A" w:rsidRPr="00210760" w:rsidRDefault="00D8482A" w:rsidP="008B00BF">
            <w:pPr>
              <w:jc w:val="right"/>
              <w:rPr>
                <w:rFonts w:cs="Arial"/>
                <w:szCs w:val="24"/>
                <w:lang w:eastAsia="en-GB"/>
              </w:rPr>
            </w:pPr>
            <w:r w:rsidRPr="00210760">
              <w:rPr>
                <w:szCs w:val="24"/>
              </w:rPr>
              <w:t>(1,004)</w:t>
            </w:r>
          </w:p>
        </w:tc>
        <w:tc>
          <w:tcPr>
            <w:tcW w:w="1299" w:type="dxa"/>
            <w:tcBorders>
              <w:top w:val="single" w:sz="4" w:space="0" w:color="auto"/>
              <w:left w:val="single" w:sz="4" w:space="0" w:color="auto"/>
              <w:bottom w:val="single" w:sz="4" w:space="0" w:color="auto"/>
              <w:right w:val="single" w:sz="4" w:space="0" w:color="auto"/>
            </w:tcBorders>
            <w:vAlign w:val="center"/>
          </w:tcPr>
          <w:p w14:paraId="667C867A" w14:textId="77777777" w:rsidR="00D8482A" w:rsidRPr="00210760" w:rsidRDefault="00D8482A" w:rsidP="008B00BF">
            <w:pPr>
              <w:jc w:val="right"/>
              <w:rPr>
                <w:rFonts w:cs="Arial"/>
                <w:szCs w:val="24"/>
                <w:lang w:eastAsia="en-GB"/>
              </w:rPr>
            </w:pPr>
            <w:r w:rsidRPr="00210760">
              <w:rPr>
                <w:szCs w:val="24"/>
              </w:rPr>
              <w:t>(726)</w:t>
            </w:r>
          </w:p>
        </w:tc>
        <w:tc>
          <w:tcPr>
            <w:tcW w:w="1466" w:type="dxa"/>
            <w:tcBorders>
              <w:top w:val="single" w:sz="4" w:space="0" w:color="auto"/>
              <w:left w:val="single" w:sz="4" w:space="0" w:color="auto"/>
              <w:bottom w:val="single" w:sz="4" w:space="0" w:color="auto"/>
              <w:right w:val="single" w:sz="4" w:space="0" w:color="auto"/>
            </w:tcBorders>
            <w:vAlign w:val="center"/>
          </w:tcPr>
          <w:p w14:paraId="523FF121" w14:textId="65370C76" w:rsidR="00D8482A" w:rsidRPr="00210760" w:rsidRDefault="00D8482A" w:rsidP="008B00BF">
            <w:pPr>
              <w:jc w:val="right"/>
              <w:rPr>
                <w:rFonts w:cs="Arial"/>
                <w:szCs w:val="24"/>
                <w:lang w:eastAsia="en-GB"/>
              </w:rPr>
            </w:pPr>
            <w:r w:rsidRPr="00210760">
              <w:rPr>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24DA9" w14:textId="77777777" w:rsidR="00D8482A" w:rsidRPr="00210760" w:rsidRDefault="00D8482A" w:rsidP="008B00BF">
            <w:pPr>
              <w:jc w:val="right"/>
              <w:rPr>
                <w:rFonts w:cs="Arial"/>
                <w:szCs w:val="24"/>
                <w:lang w:eastAsia="en-GB"/>
              </w:rPr>
            </w:pPr>
            <w:r w:rsidRPr="00210760">
              <w:rPr>
                <w:szCs w:val="24"/>
              </w:rPr>
              <w:t>(1,730)</w:t>
            </w:r>
          </w:p>
        </w:tc>
      </w:tr>
      <w:tr w:rsidR="00D8482A" w:rsidRPr="00210760" w14:paraId="7D21803B"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12DB1" w14:textId="6E45F0A8" w:rsidR="00D8482A" w:rsidRPr="00210760" w:rsidRDefault="00D8482A" w:rsidP="00BC6C4F">
            <w:pPr>
              <w:ind w:left="175"/>
              <w:rPr>
                <w:rFonts w:cs="Arial"/>
                <w:szCs w:val="24"/>
                <w:lang w:eastAsia="en-GB"/>
              </w:rPr>
            </w:pPr>
            <w:r w:rsidRPr="00210760">
              <w:rPr>
                <w:rFonts w:cs="Arial"/>
                <w:szCs w:val="24"/>
                <w:lang w:eastAsia="en-GB"/>
              </w:rPr>
              <w:t xml:space="preserve">Impairment losses recognised in the </w:t>
            </w:r>
            <w:r w:rsidR="00607136">
              <w:rPr>
                <w:rFonts w:cs="Arial"/>
                <w:szCs w:val="24"/>
                <w:lang w:eastAsia="en-GB"/>
              </w:rPr>
              <w:t>CIES</w:t>
            </w:r>
            <w:r w:rsidRPr="00210760">
              <w:rPr>
                <w:rFonts w:cs="Arial"/>
                <w:szCs w:val="24"/>
                <w:lang w:eastAsia="en-GB"/>
              </w:rPr>
              <w:t xml:space="preserve"> Provision of Services</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2C966" w14:textId="7D705A42" w:rsidR="00D8482A" w:rsidRPr="00210760" w:rsidRDefault="0031565D" w:rsidP="008B00BF">
            <w:pPr>
              <w:jc w:val="right"/>
              <w:rPr>
                <w:rFonts w:cs="Arial"/>
                <w:szCs w:val="24"/>
                <w:lang w:eastAsia="en-GB"/>
              </w:rPr>
            </w:pPr>
            <w:r>
              <w:rPr>
                <w:rFonts w:cs="Arial"/>
                <w:szCs w:val="24"/>
                <w:lang w:eastAsia="en-GB"/>
              </w:rPr>
              <w:t>-</w:t>
            </w:r>
          </w:p>
        </w:tc>
        <w:tc>
          <w:tcPr>
            <w:tcW w:w="1299" w:type="dxa"/>
            <w:tcBorders>
              <w:top w:val="single" w:sz="4" w:space="0" w:color="auto"/>
              <w:left w:val="single" w:sz="4" w:space="0" w:color="auto"/>
              <w:bottom w:val="single" w:sz="4" w:space="0" w:color="auto"/>
              <w:right w:val="single" w:sz="4" w:space="0" w:color="auto"/>
            </w:tcBorders>
            <w:vAlign w:val="center"/>
          </w:tcPr>
          <w:p w14:paraId="22352FB0" w14:textId="3A177E38" w:rsidR="00D8482A" w:rsidRPr="00210760" w:rsidRDefault="00D8482A" w:rsidP="008B00BF">
            <w:pPr>
              <w:jc w:val="right"/>
              <w:rPr>
                <w:rFonts w:cs="Arial"/>
                <w:szCs w:val="24"/>
                <w:lang w:eastAsia="en-GB"/>
              </w:rPr>
            </w:pPr>
            <w:r w:rsidRPr="00210760">
              <w:rPr>
                <w:szCs w:val="24"/>
              </w:rPr>
              <w:t>-</w:t>
            </w:r>
          </w:p>
        </w:tc>
        <w:tc>
          <w:tcPr>
            <w:tcW w:w="1466" w:type="dxa"/>
            <w:tcBorders>
              <w:top w:val="single" w:sz="4" w:space="0" w:color="auto"/>
              <w:left w:val="single" w:sz="4" w:space="0" w:color="auto"/>
              <w:bottom w:val="single" w:sz="4" w:space="0" w:color="auto"/>
              <w:right w:val="single" w:sz="4" w:space="0" w:color="auto"/>
            </w:tcBorders>
            <w:vAlign w:val="center"/>
          </w:tcPr>
          <w:p w14:paraId="6D734069" w14:textId="77777777" w:rsidR="00D8482A" w:rsidRPr="00210760" w:rsidRDefault="00D8482A" w:rsidP="008B00BF">
            <w:pPr>
              <w:jc w:val="right"/>
              <w:rPr>
                <w:rFonts w:cs="Arial"/>
                <w:szCs w:val="24"/>
                <w:lang w:eastAsia="en-GB"/>
              </w:rPr>
            </w:pPr>
            <w:r w:rsidRPr="00210760">
              <w:rPr>
                <w:szCs w:val="24"/>
              </w:rPr>
              <w:t>(72)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AF54D" w14:textId="77777777" w:rsidR="00D8482A" w:rsidRPr="00210760" w:rsidRDefault="00D8482A" w:rsidP="008B00BF">
            <w:pPr>
              <w:jc w:val="right"/>
              <w:rPr>
                <w:rFonts w:cs="Arial"/>
                <w:szCs w:val="24"/>
                <w:lang w:eastAsia="en-GB"/>
              </w:rPr>
            </w:pPr>
            <w:r w:rsidRPr="00210760">
              <w:rPr>
                <w:szCs w:val="24"/>
              </w:rPr>
              <w:t>(72)</w:t>
            </w:r>
          </w:p>
        </w:tc>
      </w:tr>
      <w:tr w:rsidR="00D8482A" w:rsidRPr="00210760" w14:paraId="6CC0B35D"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161FB" w14:textId="77777777" w:rsidR="00D8482A" w:rsidRPr="00210760" w:rsidRDefault="00D8482A" w:rsidP="00BC6C4F">
            <w:pPr>
              <w:ind w:left="175"/>
              <w:rPr>
                <w:rFonts w:cs="Arial"/>
                <w:szCs w:val="24"/>
                <w:lang w:eastAsia="en-GB"/>
              </w:rPr>
            </w:pPr>
            <w:r w:rsidRPr="00210760">
              <w:rPr>
                <w:rFonts w:cs="Arial"/>
                <w:szCs w:val="24"/>
                <w:lang w:eastAsia="en-GB"/>
              </w:rPr>
              <w:t>Revaluations</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8881E" w14:textId="714D82D2" w:rsidR="00D8482A" w:rsidRPr="00210760" w:rsidRDefault="00D8482A" w:rsidP="008B00BF">
            <w:pPr>
              <w:jc w:val="right"/>
              <w:rPr>
                <w:rFonts w:cs="Arial"/>
                <w:szCs w:val="24"/>
                <w:lang w:eastAsia="en-GB"/>
              </w:rPr>
            </w:pPr>
            <w:r w:rsidRPr="00210760">
              <w:rPr>
                <w:szCs w:val="24"/>
              </w:rPr>
              <w:t>6,439</w:t>
            </w:r>
          </w:p>
        </w:tc>
        <w:tc>
          <w:tcPr>
            <w:tcW w:w="1299" w:type="dxa"/>
            <w:tcBorders>
              <w:top w:val="single" w:sz="4" w:space="0" w:color="auto"/>
              <w:left w:val="single" w:sz="4" w:space="0" w:color="auto"/>
              <w:bottom w:val="single" w:sz="4" w:space="0" w:color="auto"/>
              <w:right w:val="single" w:sz="4" w:space="0" w:color="auto"/>
            </w:tcBorders>
            <w:vAlign w:val="center"/>
          </w:tcPr>
          <w:p w14:paraId="5B6AA7A3" w14:textId="335D9587" w:rsidR="00D8482A" w:rsidRPr="00210760" w:rsidRDefault="00D8482A" w:rsidP="008B00BF">
            <w:pPr>
              <w:jc w:val="right"/>
              <w:rPr>
                <w:rFonts w:cs="Arial"/>
                <w:szCs w:val="24"/>
                <w:lang w:eastAsia="en-GB"/>
              </w:rPr>
            </w:pPr>
            <w:r w:rsidRPr="00210760">
              <w:rPr>
                <w:szCs w:val="24"/>
              </w:rPr>
              <w:t>2,701</w:t>
            </w:r>
          </w:p>
        </w:tc>
        <w:tc>
          <w:tcPr>
            <w:tcW w:w="1466" w:type="dxa"/>
            <w:tcBorders>
              <w:top w:val="single" w:sz="4" w:space="0" w:color="auto"/>
              <w:left w:val="single" w:sz="4" w:space="0" w:color="auto"/>
              <w:bottom w:val="single" w:sz="4" w:space="0" w:color="auto"/>
              <w:right w:val="single" w:sz="4" w:space="0" w:color="auto"/>
            </w:tcBorders>
            <w:vAlign w:val="center"/>
          </w:tcPr>
          <w:p w14:paraId="25ADEFA8" w14:textId="7E52E6D8" w:rsidR="00D8482A" w:rsidRPr="00210760" w:rsidRDefault="00D8482A" w:rsidP="008B00BF">
            <w:pPr>
              <w:jc w:val="right"/>
              <w:rPr>
                <w:rFonts w:cs="Arial"/>
                <w:szCs w:val="24"/>
                <w:lang w:eastAsia="en-GB"/>
              </w:rPr>
            </w:pPr>
            <w:r w:rsidRPr="00210760">
              <w:rPr>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FD8E6" w14:textId="2629C787" w:rsidR="00D8482A" w:rsidRPr="00210760" w:rsidRDefault="00D8482A" w:rsidP="008B00BF">
            <w:pPr>
              <w:jc w:val="right"/>
              <w:rPr>
                <w:rFonts w:cs="Arial"/>
                <w:szCs w:val="24"/>
                <w:lang w:eastAsia="en-GB"/>
              </w:rPr>
            </w:pPr>
            <w:r w:rsidRPr="00210760">
              <w:rPr>
                <w:szCs w:val="24"/>
              </w:rPr>
              <w:t>9,140</w:t>
            </w:r>
          </w:p>
        </w:tc>
      </w:tr>
      <w:tr w:rsidR="00D8482A" w:rsidRPr="00210760" w14:paraId="31ED15B3"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DDF63" w14:textId="77777777" w:rsidR="00D8482A" w:rsidRPr="00210760" w:rsidRDefault="00D8482A" w:rsidP="00BC6C4F">
            <w:pPr>
              <w:ind w:left="175"/>
              <w:rPr>
                <w:rFonts w:cs="Arial"/>
                <w:szCs w:val="24"/>
                <w:lang w:eastAsia="en-GB"/>
              </w:rPr>
            </w:pPr>
            <w:r w:rsidRPr="00210760">
              <w:rPr>
                <w:rFonts w:cs="Arial"/>
                <w:szCs w:val="24"/>
                <w:lang w:eastAsia="en-GB"/>
              </w:rPr>
              <w:t xml:space="preserve">As </w:t>
            </w:r>
            <w:proofErr w:type="gramStart"/>
            <w:r w:rsidRPr="00210760">
              <w:rPr>
                <w:rFonts w:cs="Arial"/>
                <w:szCs w:val="24"/>
                <w:lang w:eastAsia="en-GB"/>
              </w:rPr>
              <w:t>at</w:t>
            </w:r>
            <w:proofErr w:type="gramEnd"/>
            <w:r w:rsidRPr="00210760">
              <w:rPr>
                <w:rFonts w:cs="Arial"/>
                <w:szCs w:val="24"/>
                <w:lang w:eastAsia="en-GB"/>
              </w:rPr>
              <w:t xml:space="preserve"> 31 March 2022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FA252" w14:textId="791C451B" w:rsidR="00D8482A" w:rsidRPr="00210760" w:rsidRDefault="00D8482A" w:rsidP="008B00BF">
            <w:pPr>
              <w:jc w:val="right"/>
              <w:rPr>
                <w:rFonts w:cs="Arial"/>
                <w:szCs w:val="24"/>
                <w:lang w:eastAsia="en-GB"/>
              </w:rPr>
            </w:pPr>
            <w:r w:rsidRPr="00210760">
              <w:rPr>
                <w:szCs w:val="24"/>
              </w:rPr>
              <w:t>69,114</w:t>
            </w:r>
          </w:p>
        </w:tc>
        <w:tc>
          <w:tcPr>
            <w:tcW w:w="1299" w:type="dxa"/>
            <w:tcBorders>
              <w:top w:val="single" w:sz="4" w:space="0" w:color="auto"/>
              <w:left w:val="single" w:sz="4" w:space="0" w:color="auto"/>
              <w:bottom w:val="single" w:sz="4" w:space="0" w:color="auto"/>
              <w:right w:val="single" w:sz="4" w:space="0" w:color="auto"/>
            </w:tcBorders>
            <w:vAlign w:val="center"/>
          </w:tcPr>
          <w:p w14:paraId="03E2F6F7" w14:textId="690FEF13" w:rsidR="00D8482A" w:rsidRPr="00210760" w:rsidRDefault="00D8482A" w:rsidP="008B00BF">
            <w:pPr>
              <w:jc w:val="right"/>
              <w:rPr>
                <w:rFonts w:cs="Arial"/>
                <w:szCs w:val="24"/>
                <w:lang w:eastAsia="en-GB"/>
              </w:rPr>
            </w:pPr>
            <w:r w:rsidRPr="00210760">
              <w:rPr>
                <w:szCs w:val="24"/>
              </w:rPr>
              <w:t>31,175</w:t>
            </w:r>
          </w:p>
        </w:tc>
        <w:tc>
          <w:tcPr>
            <w:tcW w:w="1466" w:type="dxa"/>
            <w:tcBorders>
              <w:top w:val="single" w:sz="4" w:space="0" w:color="auto"/>
              <w:left w:val="single" w:sz="4" w:space="0" w:color="auto"/>
              <w:bottom w:val="single" w:sz="4" w:space="0" w:color="auto"/>
              <w:right w:val="single" w:sz="4" w:space="0" w:color="auto"/>
            </w:tcBorders>
            <w:vAlign w:val="center"/>
          </w:tcPr>
          <w:p w14:paraId="352906AC" w14:textId="5813269D" w:rsidR="00D8482A" w:rsidRPr="00210760" w:rsidRDefault="00D8482A" w:rsidP="008B00BF">
            <w:pPr>
              <w:jc w:val="right"/>
              <w:rPr>
                <w:rFonts w:cs="Arial"/>
                <w:szCs w:val="24"/>
                <w:lang w:eastAsia="en-GB"/>
              </w:rPr>
            </w:pPr>
            <w:r w:rsidRPr="00210760">
              <w:rPr>
                <w:szCs w:val="24"/>
              </w:rPr>
              <w:t>24,160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1BD05" w14:textId="047C595E" w:rsidR="00D8482A" w:rsidRPr="00210760" w:rsidRDefault="00D8482A" w:rsidP="008B00BF">
            <w:pPr>
              <w:jc w:val="right"/>
              <w:rPr>
                <w:rFonts w:cs="Arial"/>
                <w:szCs w:val="24"/>
                <w:lang w:eastAsia="en-GB"/>
              </w:rPr>
            </w:pPr>
            <w:r w:rsidRPr="00210760">
              <w:rPr>
                <w:szCs w:val="24"/>
              </w:rPr>
              <w:t>124,449</w:t>
            </w:r>
          </w:p>
        </w:tc>
      </w:tr>
    </w:tbl>
    <w:p w14:paraId="16DE1555" w14:textId="77777777" w:rsidR="00372872" w:rsidRDefault="00372872"/>
    <w:tbl>
      <w:tblPr>
        <w:tblW w:w="9956" w:type="dxa"/>
        <w:tblInd w:w="534" w:type="dxa"/>
        <w:tblLayout w:type="fixed"/>
        <w:tblLook w:val="0000" w:firstRow="0" w:lastRow="0" w:firstColumn="0" w:lastColumn="0" w:noHBand="0" w:noVBand="0"/>
      </w:tblPr>
      <w:tblGrid>
        <w:gridCol w:w="4286"/>
        <w:gridCol w:w="1346"/>
        <w:gridCol w:w="1299"/>
        <w:gridCol w:w="1466"/>
        <w:gridCol w:w="1559"/>
      </w:tblGrid>
      <w:tr w:rsidR="0031565D" w:rsidRPr="00210760" w14:paraId="1B54AA37" w14:textId="77777777" w:rsidTr="007641BA">
        <w:trPr>
          <w:trHeight w:val="253"/>
        </w:trPr>
        <w:tc>
          <w:tcPr>
            <w:tcW w:w="995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9130FDE" w14:textId="28F94247" w:rsidR="0031565D" w:rsidRPr="00210760" w:rsidRDefault="0031565D" w:rsidP="00BC6C4F">
            <w:pPr>
              <w:rPr>
                <w:rFonts w:cs="Arial"/>
                <w:szCs w:val="24"/>
                <w:lang w:eastAsia="en-GB"/>
              </w:rPr>
            </w:pPr>
            <w:r w:rsidRPr="00210760">
              <w:rPr>
                <w:rFonts w:cs="Arial"/>
                <w:b/>
                <w:bCs/>
                <w:szCs w:val="24"/>
                <w:lang w:eastAsia="en-GB"/>
              </w:rPr>
              <w:t>Depreciation and impairments</w:t>
            </w:r>
          </w:p>
        </w:tc>
      </w:tr>
      <w:tr w:rsidR="00D8482A" w:rsidRPr="00210760" w14:paraId="67FE604B"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2CF68" w14:textId="77777777" w:rsidR="00D8482A" w:rsidRPr="00210760" w:rsidRDefault="00D8482A" w:rsidP="00BC6C4F">
            <w:pPr>
              <w:ind w:left="175"/>
              <w:rPr>
                <w:rFonts w:cs="Arial"/>
                <w:szCs w:val="24"/>
                <w:lang w:eastAsia="en-GB"/>
              </w:rPr>
            </w:pPr>
            <w:proofErr w:type="gramStart"/>
            <w:r w:rsidRPr="00210760">
              <w:rPr>
                <w:rFonts w:cs="Arial"/>
                <w:szCs w:val="24"/>
                <w:lang w:eastAsia="en-GB"/>
              </w:rPr>
              <w:t>At</w:t>
            </w:r>
            <w:proofErr w:type="gramEnd"/>
            <w:r w:rsidRPr="00210760">
              <w:rPr>
                <w:rFonts w:cs="Arial"/>
                <w:szCs w:val="24"/>
                <w:lang w:eastAsia="en-GB"/>
              </w:rPr>
              <w:t xml:space="preserve"> 1 April 2021</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B90F0" w14:textId="77777777" w:rsidR="00D8482A" w:rsidRPr="00210760" w:rsidRDefault="00D8482A" w:rsidP="008B00BF">
            <w:pPr>
              <w:jc w:val="right"/>
              <w:rPr>
                <w:rFonts w:cs="Arial"/>
                <w:szCs w:val="24"/>
                <w:lang w:eastAsia="en-GB"/>
              </w:rPr>
            </w:pPr>
            <w:r w:rsidRPr="00210760">
              <w:rPr>
                <w:rFonts w:cs="Arial"/>
                <w:szCs w:val="24"/>
              </w:rPr>
              <w:t>(30)</w:t>
            </w:r>
          </w:p>
        </w:tc>
        <w:tc>
          <w:tcPr>
            <w:tcW w:w="1299" w:type="dxa"/>
            <w:tcBorders>
              <w:top w:val="single" w:sz="4" w:space="0" w:color="auto"/>
              <w:left w:val="single" w:sz="4" w:space="0" w:color="auto"/>
              <w:bottom w:val="single" w:sz="4" w:space="0" w:color="auto"/>
              <w:right w:val="single" w:sz="4" w:space="0" w:color="auto"/>
            </w:tcBorders>
            <w:vAlign w:val="center"/>
          </w:tcPr>
          <w:p w14:paraId="76E41DF4" w14:textId="0D9C11CB" w:rsidR="00D8482A" w:rsidRPr="00210760" w:rsidRDefault="00D8482A" w:rsidP="008B00BF">
            <w:pPr>
              <w:jc w:val="right"/>
              <w:rPr>
                <w:rFonts w:cs="Arial"/>
                <w:szCs w:val="24"/>
                <w:lang w:eastAsia="en-GB"/>
              </w:rPr>
            </w:pPr>
            <w:r w:rsidRPr="00210760">
              <w:rPr>
                <w:rFonts w:cs="Arial"/>
                <w:szCs w:val="24"/>
              </w:rPr>
              <w:t>-</w:t>
            </w:r>
          </w:p>
        </w:tc>
        <w:tc>
          <w:tcPr>
            <w:tcW w:w="1466" w:type="dxa"/>
            <w:tcBorders>
              <w:top w:val="single" w:sz="4" w:space="0" w:color="auto"/>
              <w:left w:val="single" w:sz="4" w:space="0" w:color="auto"/>
              <w:bottom w:val="single" w:sz="4" w:space="0" w:color="auto"/>
              <w:right w:val="single" w:sz="4" w:space="0" w:color="auto"/>
            </w:tcBorders>
            <w:vAlign w:val="center"/>
          </w:tcPr>
          <w:p w14:paraId="285E0085" w14:textId="77777777" w:rsidR="00D8482A" w:rsidRPr="00210760" w:rsidRDefault="00D8482A" w:rsidP="008B00BF">
            <w:pPr>
              <w:jc w:val="right"/>
              <w:rPr>
                <w:rFonts w:cs="Arial"/>
                <w:szCs w:val="24"/>
                <w:lang w:eastAsia="en-GB"/>
              </w:rPr>
            </w:pPr>
            <w:r w:rsidRPr="00210760">
              <w:rPr>
                <w:rFonts w:cs="Arial"/>
                <w:szCs w:val="24"/>
              </w:rPr>
              <w:t>(14,596)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6B0EE" w14:textId="77777777" w:rsidR="00D8482A" w:rsidRPr="00210760" w:rsidRDefault="00D8482A" w:rsidP="008B00BF">
            <w:pPr>
              <w:jc w:val="right"/>
              <w:rPr>
                <w:rFonts w:cs="Arial"/>
                <w:szCs w:val="24"/>
                <w:lang w:eastAsia="en-GB"/>
              </w:rPr>
            </w:pPr>
            <w:r w:rsidRPr="00210760">
              <w:rPr>
                <w:rFonts w:cs="Arial"/>
                <w:szCs w:val="24"/>
              </w:rPr>
              <w:t>(14,626)</w:t>
            </w:r>
          </w:p>
        </w:tc>
      </w:tr>
      <w:tr w:rsidR="00D8482A" w:rsidRPr="00210760" w14:paraId="7B878A86"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1022D" w14:textId="77777777" w:rsidR="00D8482A" w:rsidRPr="00210760" w:rsidRDefault="00D8482A" w:rsidP="00BC6C4F">
            <w:pPr>
              <w:ind w:left="175"/>
              <w:rPr>
                <w:rFonts w:cs="Arial"/>
                <w:szCs w:val="24"/>
                <w:lang w:eastAsia="en-GB"/>
              </w:rPr>
            </w:pPr>
            <w:r w:rsidRPr="00210760">
              <w:rPr>
                <w:rFonts w:cs="Arial"/>
                <w:szCs w:val="24"/>
                <w:lang w:eastAsia="en-GB"/>
              </w:rPr>
              <w:t>Depreciation charge for 2021/22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D4587" w14:textId="77777777" w:rsidR="00D8482A" w:rsidRPr="00210760" w:rsidRDefault="00D8482A" w:rsidP="008B00BF">
            <w:pPr>
              <w:jc w:val="right"/>
              <w:rPr>
                <w:rFonts w:cs="Arial"/>
                <w:szCs w:val="24"/>
                <w:lang w:eastAsia="en-GB"/>
              </w:rPr>
            </w:pPr>
            <w:r w:rsidRPr="00210760">
              <w:rPr>
                <w:rFonts w:cs="Arial"/>
                <w:szCs w:val="24"/>
              </w:rPr>
              <w:t>(2,416)</w:t>
            </w:r>
          </w:p>
        </w:tc>
        <w:tc>
          <w:tcPr>
            <w:tcW w:w="1299" w:type="dxa"/>
            <w:tcBorders>
              <w:top w:val="single" w:sz="4" w:space="0" w:color="auto"/>
              <w:left w:val="single" w:sz="4" w:space="0" w:color="auto"/>
              <w:bottom w:val="single" w:sz="4" w:space="0" w:color="auto"/>
              <w:right w:val="single" w:sz="4" w:space="0" w:color="auto"/>
            </w:tcBorders>
            <w:vAlign w:val="center"/>
          </w:tcPr>
          <w:p w14:paraId="2FE102F7" w14:textId="77777777" w:rsidR="00D8482A" w:rsidRPr="00210760" w:rsidRDefault="00D8482A" w:rsidP="008B00BF">
            <w:pPr>
              <w:jc w:val="right"/>
              <w:rPr>
                <w:rFonts w:cs="Arial"/>
                <w:szCs w:val="24"/>
                <w:lang w:eastAsia="en-GB"/>
              </w:rPr>
            </w:pPr>
            <w:r w:rsidRPr="00210760">
              <w:rPr>
                <w:rFonts w:cs="Arial"/>
                <w:szCs w:val="24"/>
              </w:rPr>
              <w:t>(753)</w:t>
            </w:r>
          </w:p>
        </w:tc>
        <w:tc>
          <w:tcPr>
            <w:tcW w:w="1466" w:type="dxa"/>
            <w:tcBorders>
              <w:top w:val="single" w:sz="4" w:space="0" w:color="auto"/>
              <w:left w:val="single" w:sz="4" w:space="0" w:color="auto"/>
              <w:bottom w:val="single" w:sz="4" w:space="0" w:color="auto"/>
              <w:right w:val="single" w:sz="4" w:space="0" w:color="auto"/>
            </w:tcBorders>
            <w:vAlign w:val="center"/>
          </w:tcPr>
          <w:p w14:paraId="663B9D0A" w14:textId="77777777" w:rsidR="00D8482A" w:rsidRPr="00210760" w:rsidRDefault="00D8482A" w:rsidP="008B00BF">
            <w:pPr>
              <w:jc w:val="right"/>
              <w:rPr>
                <w:rFonts w:cs="Arial"/>
                <w:szCs w:val="24"/>
                <w:lang w:eastAsia="en-GB"/>
              </w:rPr>
            </w:pPr>
            <w:r w:rsidRPr="00210760">
              <w:rPr>
                <w:rFonts w:cs="Arial"/>
                <w:szCs w:val="24"/>
              </w:rPr>
              <w:t>(1,622)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46446" w14:textId="77777777" w:rsidR="00D8482A" w:rsidRPr="00210760" w:rsidRDefault="00D8482A" w:rsidP="008B00BF">
            <w:pPr>
              <w:jc w:val="right"/>
              <w:rPr>
                <w:rFonts w:cs="Arial"/>
                <w:szCs w:val="24"/>
                <w:lang w:eastAsia="en-GB"/>
              </w:rPr>
            </w:pPr>
            <w:r w:rsidRPr="00210760">
              <w:rPr>
                <w:rFonts w:cs="Arial"/>
                <w:szCs w:val="24"/>
              </w:rPr>
              <w:t>(4,791)</w:t>
            </w:r>
          </w:p>
        </w:tc>
      </w:tr>
      <w:tr w:rsidR="00D8482A" w:rsidRPr="00210760" w14:paraId="5A48BCDB" w14:textId="77777777" w:rsidTr="008B00BF">
        <w:trPr>
          <w:trHeight w:val="297"/>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A2042" w14:textId="77777777" w:rsidR="00D8482A" w:rsidRPr="00210760" w:rsidRDefault="00D8482A" w:rsidP="00BC6C4F">
            <w:pPr>
              <w:ind w:left="175"/>
              <w:rPr>
                <w:rFonts w:cs="Arial"/>
                <w:szCs w:val="24"/>
                <w:lang w:eastAsia="en-GB"/>
              </w:rPr>
            </w:pPr>
            <w:r w:rsidRPr="00210760">
              <w:rPr>
                <w:rFonts w:cs="Arial"/>
                <w:szCs w:val="24"/>
                <w:lang w:eastAsia="en-GB"/>
              </w:rPr>
              <w:t>Disposals</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434E7" w14:textId="6C3AD76E" w:rsidR="00D8482A" w:rsidRPr="00210760" w:rsidRDefault="00D8482A" w:rsidP="008B00BF">
            <w:pPr>
              <w:jc w:val="right"/>
              <w:rPr>
                <w:rFonts w:cs="Arial"/>
                <w:szCs w:val="24"/>
                <w:lang w:eastAsia="en-GB"/>
              </w:rPr>
            </w:pPr>
            <w:r w:rsidRPr="00210760">
              <w:rPr>
                <w:rFonts w:cs="Arial"/>
                <w:szCs w:val="24"/>
              </w:rPr>
              <w:t>-</w:t>
            </w:r>
          </w:p>
        </w:tc>
        <w:tc>
          <w:tcPr>
            <w:tcW w:w="1299" w:type="dxa"/>
            <w:tcBorders>
              <w:top w:val="single" w:sz="4" w:space="0" w:color="auto"/>
              <w:left w:val="single" w:sz="4" w:space="0" w:color="auto"/>
              <w:bottom w:val="single" w:sz="4" w:space="0" w:color="auto"/>
              <w:right w:val="single" w:sz="4" w:space="0" w:color="auto"/>
            </w:tcBorders>
            <w:vAlign w:val="center"/>
          </w:tcPr>
          <w:p w14:paraId="023E7337" w14:textId="20BA18C5" w:rsidR="00D8482A" w:rsidRPr="00210760" w:rsidRDefault="00D8482A" w:rsidP="008B00BF">
            <w:pPr>
              <w:jc w:val="right"/>
              <w:rPr>
                <w:rFonts w:cs="Arial"/>
                <w:szCs w:val="24"/>
                <w:lang w:eastAsia="en-GB"/>
              </w:rPr>
            </w:pPr>
            <w:r w:rsidRPr="00210760">
              <w:rPr>
                <w:rFonts w:cs="Arial"/>
                <w:szCs w:val="24"/>
              </w:rPr>
              <w:t>-</w:t>
            </w:r>
          </w:p>
        </w:tc>
        <w:tc>
          <w:tcPr>
            <w:tcW w:w="1466" w:type="dxa"/>
            <w:tcBorders>
              <w:top w:val="single" w:sz="4" w:space="0" w:color="auto"/>
              <w:left w:val="single" w:sz="4" w:space="0" w:color="auto"/>
              <w:bottom w:val="single" w:sz="4" w:space="0" w:color="auto"/>
              <w:right w:val="single" w:sz="4" w:space="0" w:color="auto"/>
            </w:tcBorders>
            <w:vAlign w:val="center"/>
          </w:tcPr>
          <w:p w14:paraId="30D6AAAC" w14:textId="225A1AA7" w:rsidR="00D8482A" w:rsidRPr="00210760" w:rsidRDefault="00D8482A" w:rsidP="008B00BF">
            <w:pPr>
              <w:jc w:val="right"/>
              <w:rPr>
                <w:rFonts w:cs="Arial"/>
                <w:szCs w:val="24"/>
                <w:lang w:eastAsia="en-GB"/>
              </w:rPr>
            </w:pPr>
            <w:r w:rsidRPr="00210760">
              <w:rPr>
                <w:rFonts w:cs="Arial"/>
                <w:szCs w:val="24"/>
              </w:rPr>
              <w:t>405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E49FA" w14:textId="77974D70" w:rsidR="00D8482A" w:rsidRPr="00210760" w:rsidRDefault="00D8482A" w:rsidP="008B00BF">
            <w:pPr>
              <w:jc w:val="right"/>
              <w:rPr>
                <w:rFonts w:cs="Arial"/>
                <w:szCs w:val="24"/>
                <w:lang w:eastAsia="en-GB"/>
              </w:rPr>
            </w:pPr>
            <w:r w:rsidRPr="00210760">
              <w:rPr>
                <w:rFonts w:cs="Arial"/>
                <w:szCs w:val="24"/>
              </w:rPr>
              <w:t>40</w:t>
            </w:r>
            <w:r w:rsidR="0031565D">
              <w:rPr>
                <w:rFonts w:cs="Arial"/>
                <w:szCs w:val="24"/>
              </w:rPr>
              <w:t>5</w:t>
            </w:r>
          </w:p>
        </w:tc>
      </w:tr>
      <w:tr w:rsidR="00D8482A" w:rsidRPr="00210760" w14:paraId="3381C2B3"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210E0" w14:textId="77777777" w:rsidR="00D8482A" w:rsidRPr="00210760" w:rsidRDefault="00D8482A" w:rsidP="00BC6C4F">
            <w:pPr>
              <w:ind w:left="175"/>
              <w:rPr>
                <w:rFonts w:cs="Arial"/>
                <w:szCs w:val="24"/>
                <w:lang w:eastAsia="en-GB"/>
              </w:rPr>
            </w:pPr>
            <w:r w:rsidRPr="00210760">
              <w:rPr>
                <w:rFonts w:cs="Arial"/>
                <w:szCs w:val="24"/>
                <w:lang w:eastAsia="en-GB"/>
              </w:rPr>
              <w:t>Revaluations</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E29C2" w14:textId="6BD18558" w:rsidR="00D8482A" w:rsidRPr="00210760" w:rsidRDefault="00D8482A" w:rsidP="008B00BF">
            <w:pPr>
              <w:jc w:val="right"/>
              <w:rPr>
                <w:rFonts w:cs="Arial"/>
                <w:szCs w:val="24"/>
                <w:lang w:eastAsia="en-GB"/>
              </w:rPr>
            </w:pPr>
            <w:r w:rsidRPr="00210760">
              <w:rPr>
                <w:rFonts w:cs="Arial"/>
                <w:szCs w:val="24"/>
              </w:rPr>
              <w:t>2,446</w:t>
            </w:r>
          </w:p>
        </w:tc>
        <w:tc>
          <w:tcPr>
            <w:tcW w:w="1299" w:type="dxa"/>
            <w:tcBorders>
              <w:top w:val="single" w:sz="4" w:space="0" w:color="auto"/>
              <w:left w:val="single" w:sz="4" w:space="0" w:color="auto"/>
              <w:bottom w:val="single" w:sz="4" w:space="0" w:color="auto"/>
              <w:right w:val="single" w:sz="4" w:space="0" w:color="auto"/>
            </w:tcBorders>
            <w:vAlign w:val="center"/>
          </w:tcPr>
          <w:p w14:paraId="4324BCC9" w14:textId="67E50CAE" w:rsidR="00D8482A" w:rsidRPr="00210760" w:rsidRDefault="00D8482A" w:rsidP="008B00BF">
            <w:pPr>
              <w:jc w:val="right"/>
              <w:rPr>
                <w:rFonts w:cs="Arial"/>
                <w:szCs w:val="24"/>
                <w:lang w:eastAsia="en-GB"/>
              </w:rPr>
            </w:pPr>
            <w:r w:rsidRPr="00210760">
              <w:rPr>
                <w:rFonts w:cs="Arial"/>
                <w:szCs w:val="24"/>
              </w:rPr>
              <w:t>753</w:t>
            </w:r>
          </w:p>
        </w:tc>
        <w:tc>
          <w:tcPr>
            <w:tcW w:w="1466" w:type="dxa"/>
            <w:tcBorders>
              <w:top w:val="single" w:sz="4" w:space="0" w:color="auto"/>
              <w:left w:val="single" w:sz="4" w:space="0" w:color="auto"/>
              <w:bottom w:val="single" w:sz="4" w:space="0" w:color="auto"/>
              <w:right w:val="single" w:sz="4" w:space="0" w:color="auto"/>
            </w:tcBorders>
            <w:vAlign w:val="center"/>
          </w:tcPr>
          <w:p w14:paraId="736B4588" w14:textId="7AA9AC69" w:rsidR="00D8482A" w:rsidRPr="00210760" w:rsidRDefault="00D8482A" w:rsidP="008B00BF">
            <w:pPr>
              <w:jc w:val="right"/>
              <w:rPr>
                <w:rFonts w:cs="Arial"/>
                <w:szCs w:val="24"/>
                <w:lang w:eastAsia="en-GB"/>
              </w:rPr>
            </w:pPr>
            <w:r w:rsidRPr="00210760">
              <w:rPr>
                <w:rFonts w:cs="Arial"/>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75C6D" w14:textId="1C36E7A8" w:rsidR="00D8482A" w:rsidRPr="00210760" w:rsidRDefault="00D8482A" w:rsidP="008B00BF">
            <w:pPr>
              <w:jc w:val="right"/>
              <w:rPr>
                <w:rFonts w:cs="Arial"/>
                <w:szCs w:val="24"/>
                <w:lang w:eastAsia="en-GB"/>
              </w:rPr>
            </w:pPr>
            <w:r w:rsidRPr="00210760">
              <w:rPr>
                <w:rFonts w:cs="Arial"/>
                <w:szCs w:val="24"/>
              </w:rPr>
              <w:t>3,200</w:t>
            </w:r>
          </w:p>
        </w:tc>
      </w:tr>
      <w:tr w:rsidR="00D8482A" w:rsidRPr="00210760" w14:paraId="39D5CA07"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725AC" w14:textId="77777777" w:rsidR="00D8482A" w:rsidRPr="00210760" w:rsidRDefault="00D8482A" w:rsidP="00BC6C4F">
            <w:pPr>
              <w:ind w:left="175"/>
              <w:rPr>
                <w:rFonts w:cs="Arial"/>
                <w:szCs w:val="24"/>
                <w:lang w:eastAsia="en-GB"/>
              </w:rPr>
            </w:pPr>
            <w:r w:rsidRPr="00210760">
              <w:rPr>
                <w:rFonts w:cs="Arial"/>
                <w:szCs w:val="24"/>
                <w:lang w:eastAsia="en-GB"/>
              </w:rPr>
              <w:t xml:space="preserve">As </w:t>
            </w:r>
            <w:proofErr w:type="gramStart"/>
            <w:r w:rsidRPr="00210760">
              <w:rPr>
                <w:rFonts w:cs="Arial"/>
                <w:szCs w:val="24"/>
                <w:lang w:eastAsia="en-GB"/>
              </w:rPr>
              <w:t>at</w:t>
            </w:r>
            <w:proofErr w:type="gramEnd"/>
            <w:r w:rsidRPr="00210760">
              <w:rPr>
                <w:rFonts w:cs="Arial"/>
                <w:szCs w:val="24"/>
                <w:lang w:eastAsia="en-GB"/>
              </w:rPr>
              <w:t xml:space="preserve"> 31 March 2022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CE663" w14:textId="474E3889" w:rsidR="00D8482A" w:rsidRPr="00210760" w:rsidRDefault="00D8482A" w:rsidP="008B00BF">
            <w:pPr>
              <w:jc w:val="right"/>
              <w:rPr>
                <w:rFonts w:cs="Arial"/>
                <w:szCs w:val="24"/>
                <w:lang w:eastAsia="en-GB"/>
              </w:rPr>
            </w:pPr>
            <w:r w:rsidRPr="00210760">
              <w:rPr>
                <w:rFonts w:cs="Arial"/>
                <w:szCs w:val="24"/>
              </w:rPr>
              <w:t>-</w:t>
            </w:r>
          </w:p>
        </w:tc>
        <w:tc>
          <w:tcPr>
            <w:tcW w:w="1299" w:type="dxa"/>
            <w:tcBorders>
              <w:top w:val="single" w:sz="4" w:space="0" w:color="auto"/>
              <w:left w:val="single" w:sz="4" w:space="0" w:color="auto"/>
              <w:bottom w:val="single" w:sz="4" w:space="0" w:color="auto"/>
              <w:right w:val="single" w:sz="4" w:space="0" w:color="auto"/>
            </w:tcBorders>
            <w:vAlign w:val="center"/>
          </w:tcPr>
          <w:p w14:paraId="24EF58EE" w14:textId="30BCAA02" w:rsidR="00D8482A" w:rsidRPr="00210760" w:rsidRDefault="00D8482A" w:rsidP="008B00BF">
            <w:pPr>
              <w:jc w:val="right"/>
              <w:rPr>
                <w:rFonts w:cs="Arial"/>
                <w:szCs w:val="24"/>
                <w:lang w:eastAsia="en-GB"/>
              </w:rPr>
            </w:pPr>
            <w:r w:rsidRPr="00210760">
              <w:rPr>
                <w:rFonts w:cs="Arial"/>
                <w:szCs w:val="24"/>
              </w:rPr>
              <w:t>-</w:t>
            </w:r>
          </w:p>
        </w:tc>
        <w:tc>
          <w:tcPr>
            <w:tcW w:w="1466" w:type="dxa"/>
            <w:tcBorders>
              <w:top w:val="single" w:sz="4" w:space="0" w:color="auto"/>
              <w:left w:val="single" w:sz="4" w:space="0" w:color="auto"/>
              <w:bottom w:val="single" w:sz="4" w:space="0" w:color="auto"/>
              <w:right w:val="single" w:sz="4" w:space="0" w:color="auto"/>
            </w:tcBorders>
            <w:vAlign w:val="center"/>
          </w:tcPr>
          <w:p w14:paraId="0D336AB2" w14:textId="77777777" w:rsidR="00D8482A" w:rsidRPr="00210760" w:rsidRDefault="00D8482A" w:rsidP="008B00BF">
            <w:pPr>
              <w:jc w:val="right"/>
              <w:rPr>
                <w:rFonts w:cs="Arial"/>
                <w:szCs w:val="24"/>
                <w:lang w:eastAsia="en-GB"/>
              </w:rPr>
            </w:pPr>
            <w:r w:rsidRPr="00210760">
              <w:rPr>
                <w:rFonts w:cs="Arial"/>
                <w:szCs w:val="24"/>
              </w:rPr>
              <w:t>(15,812)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0E60A" w14:textId="77777777" w:rsidR="00D8482A" w:rsidRPr="00210760" w:rsidRDefault="00D8482A" w:rsidP="008B00BF">
            <w:pPr>
              <w:jc w:val="right"/>
              <w:rPr>
                <w:rFonts w:cs="Arial"/>
                <w:szCs w:val="24"/>
                <w:lang w:eastAsia="en-GB"/>
              </w:rPr>
            </w:pPr>
            <w:r w:rsidRPr="00210760">
              <w:rPr>
                <w:rFonts w:cs="Arial"/>
                <w:szCs w:val="24"/>
              </w:rPr>
              <w:t>(15,812)</w:t>
            </w:r>
          </w:p>
        </w:tc>
      </w:tr>
      <w:tr w:rsidR="00D8482A" w:rsidRPr="00210760" w14:paraId="561B4F27" w14:textId="77777777" w:rsidTr="00372872">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CC4A5" w14:textId="77777777" w:rsidR="00D8482A" w:rsidRPr="00210760" w:rsidRDefault="00D8482A" w:rsidP="00BC6C4F">
            <w:pPr>
              <w:ind w:left="175"/>
              <w:rPr>
                <w:rFonts w:cs="Arial"/>
                <w:szCs w:val="24"/>
                <w:lang w:eastAsia="en-GB"/>
              </w:rPr>
            </w:pPr>
            <w:r w:rsidRPr="00210760">
              <w:rPr>
                <w:rFonts w:cs="Arial"/>
                <w:szCs w:val="24"/>
                <w:lang w:eastAsia="en-GB"/>
              </w:rPr>
              <w:t xml:space="preserve">Balance sheet </w:t>
            </w:r>
            <w:proofErr w:type="gramStart"/>
            <w:r w:rsidRPr="00210760">
              <w:rPr>
                <w:rFonts w:cs="Arial"/>
                <w:szCs w:val="24"/>
                <w:lang w:eastAsia="en-GB"/>
              </w:rPr>
              <w:t>at</w:t>
            </w:r>
            <w:proofErr w:type="gramEnd"/>
            <w:r w:rsidRPr="00210760">
              <w:rPr>
                <w:rFonts w:cs="Arial"/>
                <w:szCs w:val="24"/>
                <w:lang w:eastAsia="en-GB"/>
              </w:rPr>
              <w:t xml:space="preserve"> 31 March 2022</w:t>
            </w:r>
          </w:p>
        </w:tc>
        <w:tc>
          <w:tcPr>
            <w:tcW w:w="1346" w:type="dxa"/>
            <w:tcBorders>
              <w:top w:val="single" w:sz="4" w:space="0" w:color="auto"/>
              <w:left w:val="single" w:sz="4" w:space="0" w:color="auto"/>
              <w:bottom w:val="single" w:sz="4" w:space="0" w:color="auto"/>
              <w:right w:val="single" w:sz="4" w:space="0" w:color="auto"/>
            </w:tcBorders>
            <w:shd w:val="clear" w:color="auto" w:fill="auto"/>
            <w:noWrap/>
          </w:tcPr>
          <w:p w14:paraId="0C40D08D" w14:textId="6B80F014" w:rsidR="00D8482A" w:rsidRPr="00210760" w:rsidRDefault="00D8482A" w:rsidP="008B00BF">
            <w:pPr>
              <w:jc w:val="right"/>
              <w:rPr>
                <w:rFonts w:cs="Arial"/>
                <w:szCs w:val="24"/>
              </w:rPr>
            </w:pPr>
            <w:r w:rsidRPr="00210760">
              <w:rPr>
                <w:rFonts w:cs="Arial"/>
                <w:szCs w:val="24"/>
              </w:rPr>
              <w:t>69,114</w:t>
            </w:r>
          </w:p>
        </w:tc>
        <w:tc>
          <w:tcPr>
            <w:tcW w:w="1299" w:type="dxa"/>
            <w:tcBorders>
              <w:top w:val="single" w:sz="4" w:space="0" w:color="auto"/>
              <w:left w:val="single" w:sz="4" w:space="0" w:color="auto"/>
              <w:bottom w:val="single" w:sz="4" w:space="0" w:color="auto"/>
              <w:right w:val="single" w:sz="4" w:space="0" w:color="auto"/>
            </w:tcBorders>
          </w:tcPr>
          <w:p w14:paraId="2D8D6633" w14:textId="74CB333D" w:rsidR="00D8482A" w:rsidRPr="00210760" w:rsidRDefault="00D8482A" w:rsidP="008B00BF">
            <w:pPr>
              <w:jc w:val="right"/>
              <w:rPr>
                <w:rFonts w:cs="Arial"/>
                <w:szCs w:val="24"/>
              </w:rPr>
            </w:pPr>
            <w:r w:rsidRPr="00210760">
              <w:rPr>
                <w:rFonts w:cs="Arial"/>
                <w:szCs w:val="24"/>
              </w:rPr>
              <w:t>31,175</w:t>
            </w:r>
          </w:p>
        </w:tc>
        <w:tc>
          <w:tcPr>
            <w:tcW w:w="1466" w:type="dxa"/>
            <w:tcBorders>
              <w:top w:val="single" w:sz="4" w:space="0" w:color="auto"/>
              <w:left w:val="single" w:sz="4" w:space="0" w:color="auto"/>
              <w:bottom w:val="single" w:sz="4" w:space="0" w:color="auto"/>
              <w:right w:val="single" w:sz="4" w:space="0" w:color="auto"/>
            </w:tcBorders>
          </w:tcPr>
          <w:p w14:paraId="2496761D" w14:textId="7E349D2F" w:rsidR="00D8482A" w:rsidRPr="00210760" w:rsidRDefault="00D8482A" w:rsidP="008B00BF">
            <w:pPr>
              <w:jc w:val="right"/>
              <w:rPr>
                <w:rFonts w:cs="Arial"/>
                <w:szCs w:val="24"/>
              </w:rPr>
            </w:pPr>
            <w:r w:rsidRPr="00210760">
              <w:rPr>
                <w:rFonts w:cs="Arial"/>
                <w:szCs w:val="24"/>
              </w:rPr>
              <w:t>8,348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B3E0A3B" w14:textId="7DC0D388" w:rsidR="00D8482A" w:rsidRPr="00210760" w:rsidRDefault="00D8482A" w:rsidP="008B00BF">
            <w:pPr>
              <w:jc w:val="right"/>
              <w:rPr>
                <w:rFonts w:cs="Arial"/>
                <w:szCs w:val="24"/>
              </w:rPr>
            </w:pPr>
            <w:r w:rsidRPr="00210760">
              <w:rPr>
                <w:rFonts w:cs="Arial"/>
                <w:szCs w:val="24"/>
              </w:rPr>
              <w:t>108,637</w:t>
            </w:r>
          </w:p>
        </w:tc>
      </w:tr>
      <w:tr w:rsidR="008B00BF" w:rsidRPr="00210760" w14:paraId="587823B9" w14:textId="77777777" w:rsidTr="00611673">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BD2716"/>
            <w:noWrap/>
            <w:vAlign w:val="bottom"/>
          </w:tcPr>
          <w:p w14:paraId="5CD3CC92" w14:textId="77777777" w:rsidR="008B00BF" w:rsidRPr="007641BA" w:rsidRDefault="008B00BF" w:rsidP="008B00BF">
            <w:pPr>
              <w:ind w:left="175"/>
              <w:rPr>
                <w:rFonts w:cs="Arial"/>
                <w:color w:val="FFFFFF" w:themeColor="background1"/>
                <w:szCs w:val="24"/>
                <w:lang w:eastAsia="en-GB"/>
              </w:rPr>
            </w:pPr>
          </w:p>
        </w:tc>
        <w:tc>
          <w:tcPr>
            <w:tcW w:w="1346" w:type="dxa"/>
            <w:tcBorders>
              <w:top w:val="single" w:sz="4" w:space="0" w:color="auto"/>
              <w:left w:val="single" w:sz="4" w:space="0" w:color="auto"/>
              <w:bottom w:val="single" w:sz="4" w:space="0" w:color="auto"/>
              <w:right w:val="single" w:sz="4" w:space="0" w:color="auto"/>
            </w:tcBorders>
            <w:shd w:val="clear" w:color="auto" w:fill="BD2716"/>
            <w:noWrap/>
            <w:vAlign w:val="center"/>
          </w:tcPr>
          <w:p w14:paraId="41D790FA" w14:textId="77777777" w:rsidR="008B00BF" w:rsidRPr="00611673" w:rsidRDefault="008B00BF" w:rsidP="00611673">
            <w:pPr>
              <w:jc w:val="right"/>
              <w:rPr>
                <w:rFonts w:cs="Arial"/>
                <w:color w:val="FFFFFF" w:themeColor="background1"/>
                <w:szCs w:val="24"/>
                <w:lang w:eastAsia="en-GB"/>
              </w:rPr>
            </w:pPr>
            <w:r w:rsidRPr="00611673">
              <w:rPr>
                <w:rFonts w:cs="Arial"/>
                <w:color w:val="FFFFFF" w:themeColor="background1"/>
                <w:szCs w:val="24"/>
                <w:lang w:eastAsia="en-GB"/>
              </w:rPr>
              <w:t>Other Land &amp; Buildings</w:t>
            </w:r>
          </w:p>
          <w:p w14:paraId="445BE6FD" w14:textId="05E19CFE" w:rsidR="008B00BF" w:rsidRPr="00611673" w:rsidRDefault="008B00BF" w:rsidP="00611673">
            <w:pPr>
              <w:jc w:val="right"/>
              <w:rPr>
                <w:rFonts w:cs="Arial"/>
                <w:color w:val="FFFFFF" w:themeColor="background1"/>
                <w:szCs w:val="24"/>
              </w:rPr>
            </w:pPr>
            <w:r w:rsidRPr="00611673">
              <w:rPr>
                <w:rFonts w:cs="Arial"/>
                <w:color w:val="FFFFFF" w:themeColor="background1"/>
                <w:szCs w:val="24"/>
                <w:lang w:eastAsia="en-GB"/>
              </w:rPr>
              <w:t>£000</w:t>
            </w:r>
          </w:p>
        </w:tc>
        <w:tc>
          <w:tcPr>
            <w:tcW w:w="1299" w:type="dxa"/>
            <w:tcBorders>
              <w:top w:val="single" w:sz="4" w:space="0" w:color="auto"/>
              <w:left w:val="single" w:sz="4" w:space="0" w:color="auto"/>
              <w:bottom w:val="single" w:sz="4" w:space="0" w:color="auto"/>
              <w:right w:val="single" w:sz="4" w:space="0" w:color="auto"/>
            </w:tcBorders>
            <w:shd w:val="clear" w:color="auto" w:fill="BD2716"/>
            <w:vAlign w:val="center"/>
          </w:tcPr>
          <w:p w14:paraId="3B506B67" w14:textId="77777777" w:rsidR="008B00BF" w:rsidRPr="00611673" w:rsidRDefault="008B00BF" w:rsidP="00611673">
            <w:pPr>
              <w:jc w:val="right"/>
              <w:rPr>
                <w:rFonts w:cs="Arial"/>
                <w:color w:val="FFFFFF" w:themeColor="background1"/>
                <w:szCs w:val="24"/>
                <w:lang w:eastAsia="en-GB"/>
              </w:rPr>
            </w:pPr>
            <w:r w:rsidRPr="00611673">
              <w:rPr>
                <w:rFonts w:cs="Arial"/>
                <w:color w:val="FFFFFF" w:themeColor="background1"/>
                <w:szCs w:val="24"/>
                <w:lang w:eastAsia="en-GB"/>
              </w:rPr>
              <w:t>PFI Assets – land &amp; buildings</w:t>
            </w:r>
          </w:p>
          <w:p w14:paraId="14B94B9C" w14:textId="173531ED" w:rsidR="008B00BF" w:rsidRPr="00611673" w:rsidRDefault="008B00BF" w:rsidP="00611673">
            <w:pPr>
              <w:jc w:val="right"/>
              <w:rPr>
                <w:rFonts w:cs="Arial"/>
                <w:color w:val="FFFFFF" w:themeColor="background1"/>
                <w:szCs w:val="24"/>
              </w:rPr>
            </w:pPr>
            <w:r w:rsidRPr="00611673">
              <w:rPr>
                <w:rFonts w:cs="Arial"/>
                <w:color w:val="FFFFFF" w:themeColor="background1"/>
                <w:szCs w:val="24"/>
                <w:lang w:eastAsia="en-GB"/>
              </w:rPr>
              <w:t>£000</w:t>
            </w:r>
          </w:p>
        </w:tc>
        <w:tc>
          <w:tcPr>
            <w:tcW w:w="1466" w:type="dxa"/>
            <w:tcBorders>
              <w:top w:val="single" w:sz="4" w:space="0" w:color="auto"/>
              <w:left w:val="single" w:sz="4" w:space="0" w:color="auto"/>
              <w:bottom w:val="single" w:sz="4" w:space="0" w:color="auto"/>
              <w:right w:val="single" w:sz="4" w:space="0" w:color="auto"/>
            </w:tcBorders>
            <w:shd w:val="clear" w:color="auto" w:fill="BD2716"/>
            <w:vAlign w:val="center"/>
          </w:tcPr>
          <w:p w14:paraId="6EC90CF6" w14:textId="77777777" w:rsidR="008B00BF" w:rsidRPr="00611673" w:rsidRDefault="008B00BF" w:rsidP="00611673">
            <w:pPr>
              <w:jc w:val="right"/>
              <w:rPr>
                <w:rFonts w:cs="Arial"/>
                <w:color w:val="FFFFFF" w:themeColor="background1"/>
                <w:szCs w:val="24"/>
                <w:lang w:eastAsia="en-GB"/>
              </w:rPr>
            </w:pPr>
            <w:r w:rsidRPr="00611673">
              <w:rPr>
                <w:rFonts w:cs="Arial"/>
                <w:color w:val="FFFFFF" w:themeColor="background1"/>
                <w:szCs w:val="24"/>
                <w:lang w:eastAsia="en-GB"/>
              </w:rPr>
              <w:t>Vehicles, Plant &amp; Equipment</w:t>
            </w:r>
          </w:p>
          <w:p w14:paraId="23964F07" w14:textId="32033E97" w:rsidR="008B00BF" w:rsidRPr="00611673" w:rsidRDefault="008B00BF" w:rsidP="00611673">
            <w:pPr>
              <w:jc w:val="right"/>
              <w:rPr>
                <w:rFonts w:cs="Arial"/>
                <w:color w:val="FFFFFF" w:themeColor="background1"/>
                <w:szCs w:val="24"/>
              </w:rPr>
            </w:pPr>
            <w:r w:rsidRPr="00611673">
              <w:rPr>
                <w:rFonts w:cs="Arial"/>
                <w:color w:val="FFFFFF" w:themeColor="background1"/>
                <w:szCs w:val="24"/>
                <w:lang w:eastAsia="en-GB"/>
              </w:rPr>
              <w:t>£000</w:t>
            </w:r>
          </w:p>
        </w:tc>
        <w:tc>
          <w:tcPr>
            <w:tcW w:w="1559" w:type="dxa"/>
            <w:tcBorders>
              <w:top w:val="single" w:sz="4" w:space="0" w:color="auto"/>
              <w:left w:val="single" w:sz="4" w:space="0" w:color="auto"/>
              <w:bottom w:val="single" w:sz="4" w:space="0" w:color="auto"/>
              <w:right w:val="single" w:sz="4" w:space="0" w:color="auto"/>
            </w:tcBorders>
            <w:shd w:val="clear" w:color="auto" w:fill="BD2716"/>
            <w:noWrap/>
            <w:vAlign w:val="center"/>
          </w:tcPr>
          <w:p w14:paraId="4184FF32" w14:textId="77777777" w:rsidR="008B00BF" w:rsidRPr="00611673" w:rsidRDefault="008B00BF" w:rsidP="00611673">
            <w:pPr>
              <w:jc w:val="right"/>
              <w:rPr>
                <w:rFonts w:cs="Arial"/>
                <w:color w:val="FFFFFF" w:themeColor="background1"/>
                <w:szCs w:val="24"/>
                <w:lang w:eastAsia="en-GB"/>
              </w:rPr>
            </w:pPr>
            <w:r w:rsidRPr="00611673">
              <w:rPr>
                <w:rFonts w:cs="Arial"/>
                <w:color w:val="FFFFFF" w:themeColor="background1"/>
                <w:szCs w:val="24"/>
                <w:lang w:eastAsia="en-GB"/>
              </w:rPr>
              <w:t>Total Property, Plant &amp; Equipment</w:t>
            </w:r>
          </w:p>
          <w:p w14:paraId="58629197" w14:textId="263F00ED" w:rsidR="008B00BF" w:rsidRPr="00611673" w:rsidRDefault="008B00BF" w:rsidP="00611673">
            <w:pPr>
              <w:jc w:val="right"/>
              <w:rPr>
                <w:rFonts w:cs="Arial"/>
                <w:color w:val="FFFFFF" w:themeColor="background1"/>
                <w:szCs w:val="24"/>
              </w:rPr>
            </w:pPr>
            <w:r w:rsidRPr="00611673">
              <w:rPr>
                <w:rFonts w:cs="Arial"/>
                <w:color w:val="FFFFFF" w:themeColor="background1"/>
                <w:szCs w:val="24"/>
                <w:lang w:eastAsia="en-GB"/>
              </w:rPr>
              <w:t>£000</w:t>
            </w:r>
          </w:p>
        </w:tc>
      </w:tr>
      <w:tr w:rsidR="008B00BF" w:rsidRPr="00210760" w14:paraId="7D52BC2C" w14:textId="77777777" w:rsidTr="00372872">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07452" w14:textId="77777777" w:rsidR="008B00BF" w:rsidRPr="00210760" w:rsidRDefault="008B00BF" w:rsidP="008B00BF">
            <w:pPr>
              <w:ind w:left="175"/>
              <w:rPr>
                <w:rFonts w:cs="Arial"/>
                <w:szCs w:val="24"/>
                <w:lang w:eastAsia="en-GB"/>
              </w:rPr>
            </w:pPr>
            <w:r w:rsidRPr="00210760">
              <w:rPr>
                <w:rFonts w:cs="Arial"/>
                <w:szCs w:val="24"/>
                <w:lang w:eastAsia="en-GB"/>
              </w:rPr>
              <w:t xml:space="preserve">Balance sheet </w:t>
            </w:r>
            <w:proofErr w:type="gramStart"/>
            <w:r w:rsidRPr="00210760">
              <w:rPr>
                <w:rFonts w:cs="Arial"/>
                <w:szCs w:val="24"/>
                <w:lang w:eastAsia="en-GB"/>
              </w:rPr>
              <w:t>at</w:t>
            </w:r>
            <w:proofErr w:type="gramEnd"/>
            <w:r w:rsidRPr="00210760">
              <w:rPr>
                <w:rFonts w:cs="Arial"/>
                <w:szCs w:val="24"/>
                <w:lang w:eastAsia="en-GB"/>
              </w:rPr>
              <w:t xml:space="preserve"> 31 March 2021</w:t>
            </w:r>
          </w:p>
        </w:tc>
        <w:tc>
          <w:tcPr>
            <w:tcW w:w="1346" w:type="dxa"/>
            <w:tcBorders>
              <w:top w:val="single" w:sz="4" w:space="0" w:color="auto"/>
              <w:left w:val="single" w:sz="4" w:space="0" w:color="auto"/>
              <w:bottom w:val="single" w:sz="4" w:space="0" w:color="auto"/>
              <w:right w:val="single" w:sz="4" w:space="0" w:color="auto"/>
            </w:tcBorders>
            <w:shd w:val="clear" w:color="auto" w:fill="auto"/>
            <w:noWrap/>
          </w:tcPr>
          <w:p w14:paraId="6C4B31BF" w14:textId="092FEC69" w:rsidR="008B00BF" w:rsidRPr="00210760" w:rsidRDefault="008B00BF" w:rsidP="008B00BF">
            <w:pPr>
              <w:jc w:val="right"/>
              <w:rPr>
                <w:rFonts w:cs="Arial"/>
                <w:szCs w:val="24"/>
              </w:rPr>
            </w:pPr>
            <w:r w:rsidRPr="00210760">
              <w:rPr>
                <w:rFonts w:cs="Arial"/>
                <w:szCs w:val="24"/>
              </w:rPr>
              <w:t>60,783</w:t>
            </w:r>
          </w:p>
        </w:tc>
        <w:tc>
          <w:tcPr>
            <w:tcW w:w="1299" w:type="dxa"/>
            <w:tcBorders>
              <w:top w:val="single" w:sz="4" w:space="0" w:color="auto"/>
              <w:left w:val="single" w:sz="4" w:space="0" w:color="auto"/>
              <w:bottom w:val="single" w:sz="4" w:space="0" w:color="auto"/>
              <w:right w:val="single" w:sz="4" w:space="0" w:color="auto"/>
            </w:tcBorders>
          </w:tcPr>
          <w:p w14:paraId="1BC062ED" w14:textId="5BBD82AE" w:rsidR="008B00BF" w:rsidRPr="00210760" w:rsidRDefault="008B00BF" w:rsidP="008B00BF">
            <w:pPr>
              <w:jc w:val="right"/>
              <w:rPr>
                <w:rFonts w:cs="Arial"/>
                <w:szCs w:val="24"/>
              </w:rPr>
            </w:pPr>
            <w:r w:rsidRPr="00210760">
              <w:rPr>
                <w:rFonts w:cs="Arial"/>
                <w:szCs w:val="24"/>
              </w:rPr>
              <w:t>29,200</w:t>
            </w:r>
          </w:p>
        </w:tc>
        <w:tc>
          <w:tcPr>
            <w:tcW w:w="1466" w:type="dxa"/>
            <w:tcBorders>
              <w:top w:val="single" w:sz="4" w:space="0" w:color="auto"/>
              <w:left w:val="single" w:sz="4" w:space="0" w:color="auto"/>
              <w:bottom w:val="single" w:sz="4" w:space="0" w:color="auto"/>
              <w:right w:val="single" w:sz="4" w:space="0" w:color="auto"/>
            </w:tcBorders>
          </w:tcPr>
          <w:p w14:paraId="3E9FDF5C" w14:textId="2DDE12A1" w:rsidR="008B00BF" w:rsidRPr="00210760" w:rsidRDefault="008B00BF" w:rsidP="008B00BF">
            <w:pPr>
              <w:jc w:val="right"/>
              <w:rPr>
                <w:rFonts w:cs="Arial"/>
                <w:szCs w:val="24"/>
              </w:rPr>
            </w:pPr>
            <w:r w:rsidRPr="00210760">
              <w:rPr>
                <w:rFonts w:cs="Arial"/>
                <w:szCs w:val="24"/>
              </w:rPr>
              <w:t>9,555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1648AE48" w14:textId="576A51C9" w:rsidR="008B00BF" w:rsidRPr="00210760" w:rsidRDefault="008B00BF" w:rsidP="008B00BF">
            <w:pPr>
              <w:jc w:val="right"/>
              <w:rPr>
                <w:rFonts w:cs="Arial"/>
                <w:szCs w:val="24"/>
              </w:rPr>
            </w:pPr>
            <w:r w:rsidRPr="00210760">
              <w:rPr>
                <w:rFonts w:cs="Arial"/>
                <w:szCs w:val="24"/>
              </w:rPr>
              <w:t>99,538</w:t>
            </w:r>
          </w:p>
        </w:tc>
      </w:tr>
    </w:tbl>
    <w:p w14:paraId="3A6FCCCE" w14:textId="77777777" w:rsidR="00372872" w:rsidRDefault="00372872"/>
    <w:tbl>
      <w:tblPr>
        <w:tblW w:w="9956" w:type="dxa"/>
        <w:tblInd w:w="534" w:type="dxa"/>
        <w:tblLayout w:type="fixed"/>
        <w:tblLook w:val="0000" w:firstRow="0" w:lastRow="0" w:firstColumn="0" w:lastColumn="0" w:noHBand="0" w:noVBand="0"/>
      </w:tblPr>
      <w:tblGrid>
        <w:gridCol w:w="4286"/>
        <w:gridCol w:w="1346"/>
        <w:gridCol w:w="1299"/>
        <w:gridCol w:w="1466"/>
        <w:gridCol w:w="1559"/>
      </w:tblGrid>
      <w:tr w:rsidR="0031565D" w:rsidRPr="00210760" w14:paraId="45CE38FC" w14:textId="77777777" w:rsidTr="007641BA">
        <w:trPr>
          <w:trHeight w:val="253"/>
        </w:trPr>
        <w:tc>
          <w:tcPr>
            <w:tcW w:w="995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1D86602" w14:textId="5BB3DABA" w:rsidR="0031565D" w:rsidRPr="00210760" w:rsidRDefault="0031565D" w:rsidP="00BC6C4F">
            <w:pPr>
              <w:rPr>
                <w:rFonts w:cs="Arial"/>
                <w:szCs w:val="24"/>
                <w:lang w:eastAsia="en-GB"/>
              </w:rPr>
            </w:pPr>
            <w:r w:rsidRPr="00210760">
              <w:rPr>
                <w:rFonts w:cs="Arial"/>
                <w:b/>
                <w:bCs/>
                <w:szCs w:val="24"/>
                <w:lang w:eastAsia="en-GB"/>
              </w:rPr>
              <w:t>Nature of asset holding</w:t>
            </w:r>
          </w:p>
        </w:tc>
      </w:tr>
      <w:tr w:rsidR="00D8482A" w:rsidRPr="00210760" w14:paraId="40C94385"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D08B8" w14:textId="77777777" w:rsidR="00D8482A" w:rsidRPr="00210760" w:rsidRDefault="00D8482A" w:rsidP="00BC6C4F">
            <w:pPr>
              <w:ind w:left="175"/>
              <w:rPr>
                <w:rFonts w:cs="Arial"/>
                <w:szCs w:val="24"/>
                <w:lang w:eastAsia="en-GB"/>
              </w:rPr>
            </w:pPr>
            <w:r w:rsidRPr="00210760">
              <w:rPr>
                <w:rFonts w:cs="Arial"/>
                <w:szCs w:val="24"/>
                <w:lang w:eastAsia="en-GB"/>
              </w:rPr>
              <w:t>Owned</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44745" w14:textId="7B12B2EB" w:rsidR="00D8482A" w:rsidRPr="00210760" w:rsidRDefault="00D8482A" w:rsidP="008B00BF">
            <w:pPr>
              <w:jc w:val="right"/>
              <w:rPr>
                <w:rFonts w:cs="Arial"/>
                <w:szCs w:val="24"/>
              </w:rPr>
            </w:pPr>
            <w:r w:rsidRPr="00210760">
              <w:rPr>
                <w:rFonts w:cs="Arial"/>
                <w:szCs w:val="24"/>
              </w:rPr>
              <w:t>68,844</w:t>
            </w:r>
          </w:p>
        </w:tc>
        <w:tc>
          <w:tcPr>
            <w:tcW w:w="1299" w:type="dxa"/>
            <w:tcBorders>
              <w:top w:val="single" w:sz="4" w:space="0" w:color="auto"/>
              <w:left w:val="single" w:sz="4" w:space="0" w:color="auto"/>
              <w:bottom w:val="single" w:sz="4" w:space="0" w:color="auto"/>
              <w:right w:val="single" w:sz="4" w:space="0" w:color="auto"/>
            </w:tcBorders>
            <w:vAlign w:val="center"/>
          </w:tcPr>
          <w:p w14:paraId="2E5F0666" w14:textId="7C5EEC0A" w:rsidR="00D8482A" w:rsidRPr="00210760" w:rsidRDefault="00D8482A" w:rsidP="008B00BF">
            <w:pPr>
              <w:jc w:val="right"/>
              <w:rPr>
                <w:rFonts w:cs="Arial"/>
                <w:szCs w:val="24"/>
              </w:rPr>
            </w:pPr>
            <w:r w:rsidRPr="00210760">
              <w:rPr>
                <w:rFonts w:cs="Arial"/>
                <w:szCs w:val="24"/>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0E8532DA" w14:textId="64423B98" w:rsidR="00D8482A" w:rsidRPr="00210760" w:rsidRDefault="00D8482A" w:rsidP="008B00BF">
            <w:pPr>
              <w:jc w:val="right"/>
              <w:rPr>
                <w:rFonts w:cs="Arial"/>
                <w:szCs w:val="24"/>
              </w:rPr>
            </w:pPr>
            <w:r w:rsidRPr="00210760">
              <w:rPr>
                <w:rFonts w:cs="Arial"/>
                <w:szCs w:val="24"/>
              </w:rPr>
              <w:t>8,305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C86BA" w14:textId="66257540" w:rsidR="00D8482A" w:rsidRPr="00210760" w:rsidRDefault="00D8482A" w:rsidP="008B00BF">
            <w:pPr>
              <w:jc w:val="right"/>
              <w:rPr>
                <w:rFonts w:cs="Arial"/>
                <w:szCs w:val="24"/>
              </w:rPr>
            </w:pPr>
            <w:r w:rsidRPr="00210760">
              <w:rPr>
                <w:rFonts w:cs="Arial"/>
                <w:szCs w:val="24"/>
              </w:rPr>
              <w:t>77,149</w:t>
            </w:r>
          </w:p>
        </w:tc>
      </w:tr>
      <w:tr w:rsidR="00D8482A" w:rsidRPr="00210760" w14:paraId="3D3CE784"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016C4" w14:textId="77777777" w:rsidR="00D8482A" w:rsidRPr="00210760" w:rsidRDefault="00D8482A" w:rsidP="00BC6C4F">
            <w:pPr>
              <w:ind w:left="175"/>
              <w:rPr>
                <w:rFonts w:cs="Arial"/>
                <w:szCs w:val="24"/>
                <w:lang w:eastAsia="en-GB"/>
              </w:rPr>
            </w:pPr>
            <w:r w:rsidRPr="00210760">
              <w:rPr>
                <w:rFonts w:cs="Arial"/>
                <w:szCs w:val="24"/>
                <w:lang w:eastAsia="en-GB"/>
              </w:rPr>
              <w:t>Finance lease</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621B0" w14:textId="73811ABC" w:rsidR="00D8482A" w:rsidRPr="00210760" w:rsidRDefault="00D8482A" w:rsidP="008B00BF">
            <w:pPr>
              <w:jc w:val="right"/>
              <w:rPr>
                <w:rFonts w:cs="Arial"/>
                <w:szCs w:val="24"/>
              </w:rPr>
            </w:pPr>
            <w:r w:rsidRPr="00210760">
              <w:rPr>
                <w:rFonts w:cs="Arial"/>
                <w:szCs w:val="24"/>
              </w:rPr>
              <w:t>270</w:t>
            </w:r>
          </w:p>
        </w:tc>
        <w:tc>
          <w:tcPr>
            <w:tcW w:w="1299" w:type="dxa"/>
            <w:tcBorders>
              <w:top w:val="single" w:sz="4" w:space="0" w:color="auto"/>
              <w:left w:val="single" w:sz="4" w:space="0" w:color="auto"/>
              <w:bottom w:val="single" w:sz="4" w:space="0" w:color="auto"/>
              <w:right w:val="single" w:sz="4" w:space="0" w:color="auto"/>
            </w:tcBorders>
            <w:vAlign w:val="center"/>
          </w:tcPr>
          <w:p w14:paraId="6EA73786" w14:textId="3AF348C8" w:rsidR="00D8482A" w:rsidRPr="00210760" w:rsidRDefault="00D8482A" w:rsidP="008B00BF">
            <w:pPr>
              <w:jc w:val="right"/>
              <w:rPr>
                <w:rFonts w:cs="Arial"/>
                <w:szCs w:val="24"/>
              </w:rPr>
            </w:pPr>
            <w:r w:rsidRPr="00210760">
              <w:rPr>
                <w:rFonts w:cs="Arial"/>
                <w:szCs w:val="24"/>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200A00AC" w14:textId="6CAD767B" w:rsidR="00D8482A" w:rsidRPr="00210760" w:rsidRDefault="00D8482A" w:rsidP="008B00BF">
            <w:pPr>
              <w:jc w:val="right"/>
              <w:rPr>
                <w:rFonts w:cs="Arial"/>
                <w:szCs w:val="24"/>
              </w:rPr>
            </w:pPr>
            <w:r w:rsidRPr="00210760">
              <w:rPr>
                <w:rFonts w:cs="Arial"/>
                <w:szCs w:val="24"/>
              </w:rPr>
              <w:t>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89D07" w14:textId="24448497" w:rsidR="00D8482A" w:rsidRPr="00210760" w:rsidRDefault="00D8482A" w:rsidP="008B00BF">
            <w:pPr>
              <w:jc w:val="right"/>
              <w:rPr>
                <w:rFonts w:cs="Arial"/>
                <w:szCs w:val="24"/>
              </w:rPr>
            </w:pPr>
            <w:r w:rsidRPr="00210760">
              <w:rPr>
                <w:rFonts w:cs="Arial"/>
                <w:szCs w:val="24"/>
              </w:rPr>
              <w:t>313</w:t>
            </w:r>
          </w:p>
        </w:tc>
      </w:tr>
      <w:tr w:rsidR="00D8482A" w:rsidRPr="00210760" w14:paraId="23AD389A" w14:textId="77777777" w:rsidTr="008B00BF">
        <w:trPr>
          <w:trHeight w:val="253"/>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A81DA" w14:textId="77777777" w:rsidR="00D8482A" w:rsidRPr="00210760" w:rsidRDefault="00D8482A" w:rsidP="00BC6C4F">
            <w:pPr>
              <w:ind w:left="175"/>
              <w:rPr>
                <w:rFonts w:cs="Arial"/>
                <w:szCs w:val="24"/>
                <w:lang w:eastAsia="en-GB"/>
              </w:rPr>
            </w:pPr>
            <w:r w:rsidRPr="00210760">
              <w:rPr>
                <w:rFonts w:cs="Arial"/>
                <w:szCs w:val="24"/>
                <w:lang w:eastAsia="en-GB"/>
              </w:rPr>
              <w:t>PFI</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46C4D" w14:textId="7B34816B" w:rsidR="00D8482A" w:rsidRPr="00210760" w:rsidRDefault="00D8482A" w:rsidP="008B00BF">
            <w:pPr>
              <w:jc w:val="right"/>
              <w:rPr>
                <w:rFonts w:cs="Arial"/>
                <w:szCs w:val="24"/>
              </w:rPr>
            </w:pPr>
            <w:r w:rsidRPr="00210760">
              <w:rPr>
                <w:rFonts w:cs="Arial"/>
                <w:szCs w:val="24"/>
              </w:rPr>
              <w:t>-</w:t>
            </w:r>
          </w:p>
        </w:tc>
        <w:tc>
          <w:tcPr>
            <w:tcW w:w="1299" w:type="dxa"/>
            <w:tcBorders>
              <w:top w:val="single" w:sz="4" w:space="0" w:color="auto"/>
              <w:left w:val="single" w:sz="4" w:space="0" w:color="auto"/>
              <w:bottom w:val="single" w:sz="4" w:space="0" w:color="auto"/>
              <w:right w:val="single" w:sz="4" w:space="0" w:color="auto"/>
            </w:tcBorders>
            <w:vAlign w:val="center"/>
          </w:tcPr>
          <w:p w14:paraId="2EDB933A" w14:textId="008DEE11" w:rsidR="00D8482A" w:rsidRPr="00210760" w:rsidRDefault="00D8482A" w:rsidP="008B00BF">
            <w:pPr>
              <w:jc w:val="right"/>
              <w:rPr>
                <w:rFonts w:cs="Arial"/>
                <w:szCs w:val="24"/>
              </w:rPr>
            </w:pPr>
            <w:r w:rsidRPr="00210760">
              <w:rPr>
                <w:rFonts w:cs="Arial"/>
                <w:szCs w:val="24"/>
              </w:rPr>
              <w:t>31,175</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38ABD5F6" w14:textId="59BE2D20" w:rsidR="00D8482A" w:rsidRPr="00210760" w:rsidRDefault="00D8482A" w:rsidP="008B00BF">
            <w:pPr>
              <w:jc w:val="right"/>
              <w:rPr>
                <w:rFonts w:cs="Arial"/>
                <w:szCs w:val="24"/>
              </w:rPr>
            </w:pPr>
            <w:r w:rsidRPr="00210760">
              <w:rPr>
                <w:rFonts w:cs="Arial"/>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C198E" w14:textId="0397DE7A" w:rsidR="00D8482A" w:rsidRPr="00210760" w:rsidRDefault="00D8482A" w:rsidP="008B00BF">
            <w:pPr>
              <w:jc w:val="right"/>
              <w:rPr>
                <w:rFonts w:cs="Arial"/>
                <w:szCs w:val="24"/>
              </w:rPr>
            </w:pPr>
            <w:r w:rsidRPr="00210760">
              <w:rPr>
                <w:rFonts w:cs="Arial"/>
                <w:szCs w:val="24"/>
              </w:rPr>
              <w:t>31,175</w:t>
            </w:r>
          </w:p>
        </w:tc>
      </w:tr>
      <w:tr w:rsidR="00D8482A" w:rsidRPr="00210760" w14:paraId="66371742" w14:textId="77777777" w:rsidTr="008B00BF">
        <w:trPr>
          <w:trHeight w:val="171"/>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12185" w14:textId="72C64649" w:rsidR="00D8482A" w:rsidRPr="00210760" w:rsidRDefault="00372872" w:rsidP="00BC6C4F">
            <w:pPr>
              <w:ind w:left="175"/>
              <w:rPr>
                <w:rFonts w:cs="Arial"/>
                <w:szCs w:val="24"/>
                <w:lang w:eastAsia="en-GB"/>
              </w:rPr>
            </w:pPr>
            <w:r>
              <w:rPr>
                <w:rFonts w:cs="Arial"/>
                <w:szCs w:val="24"/>
                <w:lang w:eastAsia="en-GB"/>
              </w:rPr>
              <w:t>Total</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FC048" w14:textId="3AB9EA53" w:rsidR="00D8482A" w:rsidRPr="00210760" w:rsidRDefault="00D8482A" w:rsidP="008B00BF">
            <w:pPr>
              <w:pStyle w:val="CommentText"/>
              <w:jc w:val="right"/>
              <w:rPr>
                <w:rFonts w:cs="Arial"/>
                <w:sz w:val="24"/>
                <w:szCs w:val="24"/>
                <w:lang w:eastAsia="en-GB"/>
              </w:rPr>
            </w:pPr>
            <w:r w:rsidRPr="00210760">
              <w:rPr>
                <w:rFonts w:cs="Arial"/>
                <w:sz w:val="24"/>
                <w:szCs w:val="24"/>
              </w:rPr>
              <w:t>69,114</w:t>
            </w:r>
          </w:p>
        </w:tc>
        <w:tc>
          <w:tcPr>
            <w:tcW w:w="1299" w:type="dxa"/>
            <w:tcBorders>
              <w:top w:val="single" w:sz="4" w:space="0" w:color="auto"/>
              <w:left w:val="single" w:sz="4" w:space="0" w:color="auto"/>
              <w:bottom w:val="single" w:sz="4" w:space="0" w:color="auto"/>
              <w:right w:val="single" w:sz="4" w:space="0" w:color="auto"/>
            </w:tcBorders>
            <w:vAlign w:val="center"/>
          </w:tcPr>
          <w:p w14:paraId="3290899C" w14:textId="2937F255" w:rsidR="00D8482A" w:rsidRPr="00210760" w:rsidRDefault="00D8482A" w:rsidP="008B00BF">
            <w:pPr>
              <w:jc w:val="right"/>
              <w:rPr>
                <w:rFonts w:cs="Arial"/>
                <w:szCs w:val="24"/>
                <w:lang w:eastAsia="en-GB"/>
              </w:rPr>
            </w:pPr>
            <w:r w:rsidRPr="00210760">
              <w:rPr>
                <w:rFonts w:cs="Arial"/>
                <w:szCs w:val="24"/>
              </w:rPr>
              <w:t>31,175</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6DFBFE76" w14:textId="77718E78" w:rsidR="00D8482A" w:rsidRPr="00210760" w:rsidRDefault="00D8482A" w:rsidP="008B00BF">
            <w:pPr>
              <w:jc w:val="right"/>
              <w:rPr>
                <w:rFonts w:cs="Arial"/>
                <w:szCs w:val="24"/>
                <w:lang w:eastAsia="en-GB"/>
              </w:rPr>
            </w:pPr>
            <w:r w:rsidRPr="00210760">
              <w:rPr>
                <w:rFonts w:cs="Arial"/>
                <w:szCs w:val="24"/>
              </w:rPr>
              <w:t>8,348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DD812" w14:textId="202B5F95" w:rsidR="00D8482A" w:rsidRPr="00210760" w:rsidRDefault="00D8482A" w:rsidP="008B00BF">
            <w:pPr>
              <w:jc w:val="right"/>
              <w:rPr>
                <w:rFonts w:cs="Arial"/>
                <w:szCs w:val="24"/>
                <w:lang w:eastAsia="en-GB"/>
              </w:rPr>
            </w:pPr>
            <w:r w:rsidRPr="00210760">
              <w:rPr>
                <w:rFonts w:cs="Arial"/>
                <w:szCs w:val="24"/>
              </w:rPr>
              <w:t>108,637</w:t>
            </w:r>
          </w:p>
        </w:tc>
      </w:tr>
    </w:tbl>
    <w:p w14:paraId="7C9DA949" w14:textId="77777777" w:rsidR="00372872" w:rsidRDefault="00372872"/>
    <w:tbl>
      <w:tblPr>
        <w:tblW w:w="9956" w:type="dxa"/>
        <w:tblInd w:w="534" w:type="dxa"/>
        <w:tblLayout w:type="fixed"/>
        <w:tblLook w:val="0000" w:firstRow="0" w:lastRow="0" w:firstColumn="0" w:lastColumn="0" w:noHBand="0" w:noVBand="0"/>
      </w:tblPr>
      <w:tblGrid>
        <w:gridCol w:w="4286"/>
        <w:gridCol w:w="1346"/>
        <w:gridCol w:w="1299"/>
        <w:gridCol w:w="1466"/>
        <w:gridCol w:w="1559"/>
      </w:tblGrid>
      <w:tr w:rsidR="00372872" w:rsidRPr="00210760" w14:paraId="4DF5BA03" w14:textId="77777777" w:rsidTr="007641BA">
        <w:trPr>
          <w:trHeight w:val="268"/>
        </w:trPr>
        <w:tc>
          <w:tcPr>
            <w:tcW w:w="995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FF465E4" w14:textId="4193697B" w:rsidR="00372872" w:rsidRPr="00372872" w:rsidRDefault="00372872" w:rsidP="00372872">
            <w:pPr>
              <w:rPr>
                <w:rFonts w:cs="Arial"/>
                <w:b/>
                <w:bCs/>
                <w:szCs w:val="24"/>
              </w:rPr>
            </w:pPr>
            <w:r>
              <w:rPr>
                <w:rFonts w:cs="Arial"/>
                <w:b/>
                <w:bCs/>
                <w:szCs w:val="24"/>
              </w:rPr>
              <w:t>Historical cost</w:t>
            </w:r>
          </w:p>
        </w:tc>
      </w:tr>
      <w:tr w:rsidR="00D8482A" w:rsidRPr="00210760" w14:paraId="09CF493C" w14:textId="77777777" w:rsidTr="008B00BF">
        <w:trPr>
          <w:trHeight w:val="268"/>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CC157" w14:textId="77777777" w:rsidR="00D8482A" w:rsidRPr="00210760" w:rsidRDefault="00D8482A" w:rsidP="00BC6C4F">
            <w:pPr>
              <w:ind w:left="175"/>
              <w:rPr>
                <w:rFonts w:cs="Arial"/>
                <w:szCs w:val="24"/>
                <w:lang w:eastAsia="en-GB"/>
              </w:rPr>
            </w:pPr>
            <w:r w:rsidRPr="00210760">
              <w:rPr>
                <w:rFonts w:cs="Arial"/>
                <w:szCs w:val="24"/>
                <w:lang w:eastAsia="en-GB"/>
              </w:rPr>
              <w:t>Carried at historical cost</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216C6" w14:textId="2B46D44E" w:rsidR="00D8482A" w:rsidRPr="00210760" w:rsidRDefault="00D8482A" w:rsidP="008B00BF">
            <w:pPr>
              <w:pStyle w:val="CommentText"/>
              <w:jc w:val="right"/>
              <w:rPr>
                <w:rFonts w:cs="Arial"/>
                <w:sz w:val="24"/>
                <w:szCs w:val="24"/>
                <w:lang w:eastAsia="en-GB"/>
              </w:rPr>
            </w:pPr>
            <w:r w:rsidRPr="00210760">
              <w:rPr>
                <w:rFonts w:cs="Arial"/>
                <w:sz w:val="24"/>
                <w:szCs w:val="24"/>
              </w:rPr>
              <w:t>-</w:t>
            </w:r>
          </w:p>
        </w:tc>
        <w:tc>
          <w:tcPr>
            <w:tcW w:w="1299" w:type="dxa"/>
            <w:tcBorders>
              <w:top w:val="single" w:sz="4" w:space="0" w:color="auto"/>
              <w:left w:val="single" w:sz="4" w:space="0" w:color="auto"/>
              <w:bottom w:val="single" w:sz="4" w:space="0" w:color="auto"/>
              <w:right w:val="single" w:sz="4" w:space="0" w:color="auto"/>
            </w:tcBorders>
            <w:vAlign w:val="center"/>
          </w:tcPr>
          <w:p w14:paraId="00A0808D" w14:textId="66E153C0" w:rsidR="00D8482A" w:rsidRPr="00210760" w:rsidRDefault="00D8482A" w:rsidP="008B00BF">
            <w:pPr>
              <w:jc w:val="right"/>
              <w:rPr>
                <w:rFonts w:cs="Arial"/>
                <w:szCs w:val="24"/>
                <w:lang w:eastAsia="en-GB"/>
              </w:rPr>
            </w:pPr>
            <w:r w:rsidRPr="00210760">
              <w:rPr>
                <w:rFonts w:cs="Arial"/>
                <w:szCs w:val="24"/>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287053CD" w14:textId="3601B589" w:rsidR="00D8482A" w:rsidRPr="00210760" w:rsidRDefault="00D8482A" w:rsidP="008B00BF">
            <w:pPr>
              <w:jc w:val="right"/>
              <w:rPr>
                <w:rFonts w:cs="Arial"/>
                <w:szCs w:val="24"/>
                <w:lang w:eastAsia="en-GB"/>
              </w:rPr>
            </w:pPr>
            <w:r w:rsidRPr="00210760">
              <w:rPr>
                <w:rFonts w:cs="Arial"/>
                <w:szCs w:val="24"/>
              </w:rPr>
              <w:t>8,348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BAA40" w14:textId="1ED395A8" w:rsidR="00D8482A" w:rsidRPr="00210760" w:rsidRDefault="00D8482A" w:rsidP="008B00BF">
            <w:pPr>
              <w:jc w:val="right"/>
              <w:rPr>
                <w:rFonts w:cs="Arial"/>
                <w:szCs w:val="24"/>
                <w:lang w:eastAsia="en-GB"/>
              </w:rPr>
            </w:pPr>
            <w:r w:rsidRPr="00210760">
              <w:rPr>
                <w:rFonts w:cs="Arial"/>
                <w:szCs w:val="24"/>
              </w:rPr>
              <w:t>8,348</w:t>
            </w:r>
          </w:p>
        </w:tc>
      </w:tr>
    </w:tbl>
    <w:p w14:paraId="4F425E50" w14:textId="77777777" w:rsidR="00372872" w:rsidRDefault="00372872"/>
    <w:tbl>
      <w:tblPr>
        <w:tblW w:w="9956" w:type="dxa"/>
        <w:tblInd w:w="534" w:type="dxa"/>
        <w:tblLayout w:type="fixed"/>
        <w:tblLook w:val="0000" w:firstRow="0" w:lastRow="0" w:firstColumn="0" w:lastColumn="0" w:noHBand="0" w:noVBand="0"/>
      </w:tblPr>
      <w:tblGrid>
        <w:gridCol w:w="4286"/>
        <w:gridCol w:w="1346"/>
        <w:gridCol w:w="1299"/>
        <w:gridCol w:w="1466"/>
        <w:gridCol w:w="1559"/>
      </w:tblGrid>
      <w:tr w:rsidR="00607136" w:rsidRPr="00210760" w14:paraId="5891E77F" w14:textId="77777777" w:rsidTr="007641BA">
        <w:trPr>
          <w:trHeight w:val="268"/>
        </w:trPr>
        <w:tc>
          <w:tcPr>
            <w:tcW w:w="995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850A334" w14:textId="5F2DE55E" w:rsidR="00607136" w:rsidRPr="00BD79B2" w:rsidRDefault="00607136" w:rsidP="00BC6C4F">
            <w:pPr>
              <w:rPr>
                <w:rFonts w:cs="Arial"/>
                <w:b/>
                <w:bCs/>
                <w:szCs w:val="24"/>
                <w:lang w:eastAsia="en-GB"/>
              </w:rPr>
            </w:pPr>
            <w:r w:rsidRPr="00BD79B2">
              <w:rPr>
                <w:rFonts w:cs="Arial"/>
                <w:b/>
                <w:bCs/>
                <w:szCs w:val="24"/>
                <w:lang w:eastAsia="en-GB"/>
              </w:rPr>
              <w:t>Valued at current value as at:</w:t>
            </w:r>
          </w:p>
        </w:tc>
      </w:tr>
      <w:tr w:rsidR="00D8482A" w:rsidRPr="00210760" w14:paraId="5268D23D" w14:textId="77777777" w:rsidTr="008B00BF">
        <w:trPr>
          <w:trHeight w:val="268"/>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AC94D" w14:textId="77777777" w:rsidR="00D8482A" w:rsidRPr="00210760" w:rsidRDefault="00D8482A" w:rsidP="00BC6C4F">
            <w:pPr>
              <w:ind w:left="175"/>
              <w:rPr>
                <w:rFonts w:cs="Arial"/>
                <w:szCs w:val="24"/>
                <w:lang w:eastAsia="en-GB"/>
              </w:rPr>
            </w:pPr>
            <w:r w:rsidRPr="00210760">
              <w:rPr>
                <w:rFonts w:cs="Arial"/>
                <w:szCs w:val="24"/>
                <w:lang w:eastAsia="en-GB"/>
              </w:rPr>
              <w:t>31 March 2022</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98AD4" w14:textId="071670E2" w:rsidR="00D8482A" w:rsidRPr="00210760" w:rsidRDefault="00D8482A" w:rsidP="008B00BF">
            <w:pPr>
              <w:pStyle w:val="CommentText"/>
              <w:jc w:val="right"/>
              <w:rPr>
                <w:rFonts w:cs="Arial"/>
                <w:sz w:val="24"/>
                <w:szCs w:val="24"/>
                <w:lang w:eastAsia="en-GB"/>
              </w:rPr>
            </w:pPr>
            <w:r w:rsidRPr="00210760">
              <w:rPr>
                <w:rFonts w:cs="Arial"/>
                <w:sz w:val="24"/>
                <w:szCs w:val="24"/>
              </w:rPr>
              <w:t>69,114</w:t>
            </w:r>
          </w:p>
        </w:tc>
        <w:tc>
          <w:tcPr>
            <w:tcW w:w="1299" w:type="dxa"/>
            <w:tcBorders>
              <w:top w:val="single" w:sz="4" w:space="0" w:color="auto"/>
              <w:left w:val="single" w:sz="4" w:space="0" w:color="auto"/>
              <w:bottom w:val="single" w:sz="4" w:space="0" w:color="auto"/>
              <w:right w:val="single" w:sz="4" w:space="0" w:color="auto"/>
            </w:tcBorders>
            <w:vAlign w:val="center"/>
          </w:tcPr>
          <w:p w14:paraId="280FCA99" w14:textId="1BEEF7B5" w:rsidR="00D8482A" w:rsidRPr="00210760" w:rsidRDefault="00D8482A" w:rsidP="008B00BF">
            <w:pPr>
              <w:jc w:val="right"/>
              <w:rPr>
                <w:rFonts w:cs="Arial"/>
                <w:szCs w:val="24"/>
                <w:lang w:eastAsia="en-GB"/>
              </w:rPr>
            </w:pPr>
            <w:r w:rsidRPr="00210760">
              <w:rPr>
                <w:rFonts w:cs="Arial"/>
                <w:szCs w:val="24"/>
              </w:rPr>
              <w:t>31,175</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00DC126C" w14:textId="618D5D98" w:rsidR="00D8482A" w:rsidRPr="00210760" w:rsidRDefault="00D8482A" w:rsidP="008B00BF">
            <w:pPr>
              <w:jc w:val="right"/>
              <w:rPr>
                <w:rFonts w:cs="Arial"/>
                <w:szCs w:val="24"/>
                <w:lang w:eastAsia="en-GB"/>
              </w:rPr>
            </w:pPr>
            <w:r w:rsidRPr="00210760">
              <w:rPr>
                <w:rFonts w:cs="Arial"/>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B6D9D" w14:textId="5E9A6149" w:rsidR="00D8482A" w:rsidRPr="00210760" w:rsidRDefault="00D8482A" w:rsidP="008B00BF">
            <w:pPr>
              <w:jc w:val="right"/>
              <w:rPr>
                <w:rFonts w:cs="Arial"/>
                <w:szCs w:val="24"/>
                <w:lang w:eastAsia="en-GB"/>
              </w:rPr>
            </w:pPr>
            <w:r w:rsidRPr="00210760">
              <w:rPr>
                <w:rFonts w:cs="Arial"/>
                <w:szCs w:val="24"/>
              </w:rPr>
              <w:t>100,289</w:t>
            </w:r>
          </w:p>
        </w:tc>
      </w:tr>
      <w:tr w:rsidR="00D8482A" w:rsidRPr="00210760" w14:paraId="59805120" w14:textId="77777777" w:rsidTr="008B00BF">
        <w:trPr>
          <w:trHeight w:val="268"/>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647F7" w14:textId="77777777" w:rsidR="00D8482A" w:rsidRPr="00210760" w:rsidRDefault="00D8482A" w:rsidP="00BC6C4F">
            <w:pPr>
              <w:ind w:left="175"/>
              <w:rPr>
                <w:rFonts w:cs="Arial"/>
                <w:szCs w:val="24"/>
                <w:lang w:eastAsia="en-GB"/>
              </w:rPr>
            </w:pPr>
            <w:r w:rsidRPr="00210760">
              <w:rPr>
                <w:rFonts w:cs="Arial"/>
                <w:szCs w:val="24"/>
                <w:lang w:eastAsia="en-GB"/>
              </w:rPr>
              <w:t>31 March 2010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389C5" w14:textId="22E5C12F" w:rsidR="00D8482A" w:rsidRPr="00210760" w:rsidRDefault="00D8482A" w:rsidP="008B00BF">
            <w:pPr>
              <w:pStyle w:val="CommentText"/>
              <w:jc w:val="right"/>
              <w:rPr>
                <w:rFonts w:cs="Arial"/>
                <w:sz w:val="24"/>
                <w:szCs w:val="24"/>
                <w:lang w:eastAsia="en-GB"/>
              </w:rPr>
            </w:pPr>
            <w:r w:rsidRPr="00210760">
              <w:rPr>
                <w:rFonts w:cs="Arial"/>
                <w:sz w:val="24"/>
                <w:szCs w:val="24"/>
              </w:rPr>
              <w:t>-</w:t>
            </w:r>
          </w:p>
        </w:tc>
        <w:tc>
          <w:tcPr>
            <w:tcW w:w="1299" w:type="dxa"/>
            <w:tcBorders>
              <w:top w:val="single" w:sz="4" w:space="0" w:color="auto"/>
              <w:left w:val="single" w:sz="4" w:space="0" w:color="auto"/>
              <w:bottom w:val="single" w:sz="4" w:space="0" w:color="auto"/>
              <w:right w:val="single" w:sz="4" w:space="0" w:color="auto"/>
            </w:tcBorders>
            <w:vAlign w:val="center"/>
          </w:tcPr>
          <w:p w14:paraId="37994FDD" w14:textId="1ADEDD44" w:rsidR="00D8482A" w:rsidRPr="00210760" w:rsidRDefault="00D8482A" w:rsidP="008B00BF">
            <w:pPr>
              <w:jc w:val="right"/>
              <w:rPr>
                <w:rFonts w:cs="Arial"/>
                <w:szCs w:val="24"/>
                <w:lang w:eastAsia="en-GB"/>
              </w:rPr>
            </w:pPr>
            <w:r w:rsidRPr="00210760">
              <w:rPr>
                <w:rFonts w:cs="Arial"/>
                <w:szCs w:val="24"/>
              </w:rPr>
              <w:t>-</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0F99B086" w14:textId="6887F1AA" w:rsidR="00D8482A" w:rsidRPr="00210760" w:rsidRDefault="00D8482A" w:rsidP="008B00BF">
            <w:pPr>
              <w:jc w:val="right"/>
              <w:rPr>
                <w:rFonts w:cs="Arial"/>
                <w:szCs w:val="24"/>
                <w:lang w:eastAsia="en-GB"/>
              </w:rPr>
            </w:pPr>
            <w:r w:rsidRPr="00210760">
              <w:rPr>
                <w:rFonts w:cs="Arial"/>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5B2FD" w14:textId="6172F914" w:rsidR="00D8482A" w:rsidRPr="00210760" w:rsidRDefault="00D8482A" w:rsidP="008B00BF">
            <w:pPr>
              <w:jc w:val="right"/>
              <w:rPr>
                <w:rFonts w:cs="Arial"/>
                <w:szCs w:val="24"/>
                <w:lang w:eastAsia="en-GB"/>
              </w:rPr>
            </w:pPr>
            <w:r w:rsidRPr="00210760">
              <w:rPr>
                <w:rFonts w:cs="Arial"/>
                <w:szCs w:val="24"/>
              </w:rPr>
              <w:t>-</w:t>
            </w:r>
          </w:p>
        </w:tc>
      </w:tr>
      <w:tr w:rsidR="00D8482A" w:rsidRPr="00210760" w14:paraId="21C57D4B" w14:textId="77777777" w:rsidTr="008B00BF">
        <w:trPr>
          <w:trHeight w:val="268"/>
        </w:trPr>
        <w:tc>
          <w:tcPr>
            <w:tcW w:w="42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521D3" w14:textId="77777777" w:rsidR="00D8482A" w:rsidRPr="00210760" w:rsidRDefault="00D8482A" w:rsidP="00BC6C4F">
            <w:pPr>
              <w:ind w:left="175"/>
              <w:rPr>
                <w:rFonts w:cs="Arial"/>
                <w:szCs w:val="24"/>
                <w:lang w:eastAsia="en-GB"/>
              </w:rPr>
            </w:pPr>
            <w:r w:rsidRPr="00210760">
              <w:rPr>
                <w:rFonts w:cs="Arial"/>
                <w:szCs w:val="24"/>
                <w:lang w:eastAsia="en-GB"/>
              </w:rPr>
              <w:t>Total cost or valuation</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F7665" w14:textId="54056566" w:rsidR="00D8482A" w:rsidRPr="00210760" w:rsidRDefault="00D8482A" w:rsidP="008B00BF">
            <w:pPr>
              <w:pStyle w:val="CommentText"/>
              <w:jc w:val="right"/>
              <w:rPr>
                <w:rFonts w:cs="Arial"/>
                <w:sz w:val="24"/>
                <w:szCs w:val="24"/>
                <w:lang w:eastAsia="en-GB"/>
              </w:rPr>
            </w:pPr>
            <w:r w:rsidRPr="00210760">
              <w:rPr>
                <w:rFonts w:cs="Arial"/>
                <w:sz w:val="24"/>
                <w:szCs w:val="24"/>
              </w:rPr>
              <w:t>69,114</w:t>
            </w:r>
          </w:p>
        </w:tc>
        <w:tc>
          <w:tcPr>
            <w:tcW w:w="1299" w:type="dxa"/>
            <w:tcBorders>
              <w:top w:val="single" w:sz="4" w:space="0" w:color="auto"/>
              <w:left w:val="single" w:sz="4" w:space="0" w:color="auto"/>
              <w:bottom w:val="single" w:sz="4" w:space="0" w:color="auto"/>
              <w:right w:val="single" w:sz="4" w:space="0" w:color="auto"/>
            </w:tcBorders>
            <w:vAlign w:val="center"/>
          </w:tcPr>
          <w:p w14:paraId="74CDB2E4" w14:textId="72EFCAF4" w:rsidR="00D8482A" w:rsidRPr="00210760" w:rsidRDefault="00D8482A" w:rsidP="008B00BF">
            <w:pPr>
              <w:jc w:val="right"/>
              <w:rPr>
                <w:rFonts w:cs="Arial"/>
                <w:szCs w:val="24"/>
                <w:lang w:eastAsia="en-GB"/>
              </w:rPr>
            </w:pPr>
            <w:r w:rsidRPr="00210760">
              <w:rPr>
                <w:rFonts w:cs="Arial"/>
                <w:szCs w:val="24"/>
              </w:rPr>
              <w:t>31,175</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1254C97F" w14:textId="5008077B" w:rsidR="00D8482A" w:rsidRPr="00210760" w:rsidRDefault="00D8482A" w:rsidP="008B00BF">
            <w:pPr>
              <w:jc w:val="right"/>
              <w:rPr>
                <w:rFonts w:cs="Arial"/>
                <w:szCs w:val="24"/>
                <w:lang w:eastAsia="en-GB"/>
              </w:rPr>
            </w:pPr>
            <w:r w:rsidRPr="00210760">
              <w:rPr>
                <w:rFonts w:cs="Arial"/>
                <w:szCs w:val="24"/>
              </w:rPr>
              <w:t>8,348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2D07F" w14:textId="15535C9D" w:rsidR="00D8482A" w:rsidRPr="00210760" w:rsidRDefault="00D8482A" w:rsidP="008B00BF">
            <w:pPr>
              <w:jc w:val="right"/>
              <w:rPr>
                <w:rFonts w:cs="Arial"/>
                <w:szCs w:val="24"/>
                <w:lang w:eastAsia="en-GB"/>
              </w:rPr>
            </w:pPr>
            <w:r w:rsidRPr="00210760">
              <w:rPr>
                <w:rFonts w:cs="Arial"/>
                <w:szCs w:val="24"/>
              </w:rPr>
              <w:t>108,637</w:t>
            </w:r>
          </w:p>
        </w:tc>
      </w:tr>
      <w:tr w:rsidR="00C72C44" w:rsidRPr="00AF3DCD" w14:paraId="49F16D04" w14:textId="77777777" w:rsidTr="00372872">
        <w:trPr>
          <w:trHeight w:val="507"/>
        </w:trPr>
        <w:tc>
          <w:tcPr>
            <w:tcW w:w="4286" w:type="dxa"/>
            <w:tcBorders>
              <w:top w:val="single" w:sz="4" w:space="0" w:color="auto"/>
              <w:left w:val="nil"/>
              <w:bottom w:val="nil"/>
              <w:right w:val="nil"/>
            </w:tcBorders>
            <w:shd w:val="clear" w:color="auto" w:fill="auto"/>
            <w:noWrap/>
            <w:vAlign w:val="bottom"/>
          </w:tcPr>
          <w:p w14:paraId="0456AB39" w14:textId="7EE5C4B5" w:rsidR="00C72C44" w:rsidRPr="00AF3DCD" w:rsidRDefault="00C72C44" w:rsidP="00445D8B">
            <w:pPr>
              <w:ind w:left="175"/>
              <w:rPr>
                <w:rFonts w:cs="Arial"/>
                <w:sz w:val="20"/>
                <w:lang w:eastAsia="en-GB"/>
              </w:rPr>
            </w:pPr>
          </w:p>
        </w:tc>
        <w:tc>
          <w:tcPr>
            <w:tcW w:w="1346" w:type="dxa"/>
            <w:tcBorders>
              <w:top w:val="single" w:sz="4" w:space="0" w:color="auto"/>
              <w:left w:val="nil"/>
              <w:bottom w:val="nil"/>
              <w:right w:val="nil"/>
            </w:tcBorders>
            <w:shd w:val="clear" w:color="auto" w:fill="auto"/>
            <w:vAlign w:val="bottom"/>
          </w:tcPr>
          <w:p w14:paraId="0BF3547F" w14:textId="0831F08B" w:rsidR="00C72C44" w:rsidRPr="00AF3DCD" w:rsidRDefault="00C72C44" w:rsidP="00445D8B">
            <w:pPr>
              <w:jc w:val="center"/>
              <w:rPr>
                <w:rFonts w:cs="Arial"/>
                <w:b/>
                <w:bCs/>
                <w:sz w:val="20"/>
                <w:lang w:eastAsia="en-GB"/>
              </w:rPr>
            </w:pPr>
          </w:p>
        </w:tc>
        <w:tc>
          <w:tcPr>
            <w:tcW w:w="1299" w:type="dxa"/>
            <w:tcBorders>
              <w:top w:val="single" w:sz="4" w:space="0" w:color="auto"/>
              <w:left w:val="nil"/>
              <w:bottom w:val="nil"/>
              <w:right w:val="nil"/>
            </w:tcBorders>
            <w:vAlign w:val="bottom"/>
          </w:tcPr>
          <w:p w14:paraId="10FD403F" w14:textId="481FD4C2" w:rsidR="00C72C44" w:rsidRPr="00AF3DCD" w:rsidRDefault="00C72C44" w:rsidP="00445D8B">
            <w:pPr>
              <w:jc w:val="center"/>
              <w:rPr>
                <w:rFonts w:cs="Arial"/>
                <w:b/>
                <w:bCs/>
                <w:sz w:val="20"/>
                <w:lang w:eastAsia="en-GB"/>
              </w:rPr>
            </w:pPr>
          </w:p>
        </w:tc>
        <w:tc>
          <w:tcPr>
            <w:tcW w:w="1466" w:type="dxa"/>
            <w:tcBorders>
              <w:top w:val="single" w:sz="4" w:space="0" w:color="auto"/>
              <w:left w:val="nil"/>
              <w:bottom w:val="nil"/>
              <w:right w:val="nil"/>
            </w:tcBorders>
            <w:vAlign w:val="bottom"/>
          </w:tcPr>
          <w:p w14:paraId="5E967C9E" w14:textId="21AB6A75" w:rsidR="00C72C44" w:rsidRPr="00AF3DCD" w:rsidRDefault="00C72C44" w:rsidP="00445D8B">
            <w:pPr>
              <w:jc w:val="center"/>
              <w:rPr>
                <w:rFonts w:cs="Arial"/>
                <w:b/>
                <w:bCs/>
                <w:sz w:val="20"/>
                <w:lang w:eastAsia="en-GB"/>
              </w:rPr>
            </w:pPr>
          </w:p>
        </w:tc>
        <w:tc>
          <w:tcPr>
            <w:tcW w:w="1559" w:type="dxa"/>
            <w:tcBorders>
              <w:top w:val="single" w:sz="4" w:space="0" w:color="auto"/>
              <w:left w:val="nil"/>
              <w:bottom w:val="nil"/>
              <w:right w:val="nil"/>
            </w:tcBorders>
            <w:shd w:val="clear" w:color="auto" w:fill="auto"/>
            <w:noWrap/>
            <w:vAlign w:val="bottom"/>
          </w:tcPr>
          <w:p w14:paraId="4E37B396" w14:textId="743EA0CA" w:rsidR="00C72C44" w:rsidRPr="00AF3DCD" w:rsidRDefault="00C72C44" w:rsidP="00445D8B">
            <w:pPr>
              <w:pStyle w:val="CommentSubject"/>
              <w:jc w:val="center"/>
              <w:rPr>
                <w:rFonts w:ascii="Arial" w:hAnsi="Arial" w:cs="Arial"/>
                <w:lang w:eastAsia="en-GB"/>
              </w:rPr>
            </w:pPr>
          </w:p>
        </w:tc>
      </w:tr>
    </w:tbl>
    <w:p w14:paraId="6968CE45" w14:textId="54072872" w:rsidR="00C5659D" w:rsidRPr="003278CF" w:rsidRDefault="00C5659D" w:rsidP="003278CF">
      <w:pPr>
        <w:ind w:firstLine="709"/>
        <w:rPr>
          <w:b/>
          <w:bCs/>
        </w:rPr>
      </w:pPr>
      <w:r w:rsidRPr="003278CF">
        <w:rPr>
          <w:b/>
          <w:bCs/>
        </w:rPr>
        <w:t>Heritage Assets</w:t>
      </w:r>
    </w:p>
    <w:p w14:paraId="74BE22A0" w14:textId="77777777" w:rsidR="00C5659D" w:rsidRPr="00210760" w:rsidRDefault="00C5659D" w:rsidP="00BC6C4F">
      <w:pPr>
        <w:pStyle w:val="BodyTextIndent"/>
        <w:rPr>
          <w:b/>
          <w:szCs w:val="24"/>
          <w:lang w:val="en-GB"/>
        </w:rPr>
      </w:pPr>
    </w:p>
    <w:p w14:paraId="517A1625" w14:textId="5AF27D81" w:rsidR="00F74E7D" w:rsidRDefault="00C5659D" w:rsidP="00BC6C4F">
      <w:pPr>
        <w:pStyle w:val="BodyTextIndent"/>
        <w:ind w:left="709" w:right="425"/>
        <w:rPr>
          <w:szCs w:val="24"/>
          <w:lang w:val="en-GB"/>
        </w:rPr>
      </w:pPr>
      <w:r w:rsidRPr="00210760">
        <w:rPr>
          <w:szCs w:val="24"/>
          <w:lang w:val="en-GB"/>
        </w:rPr>
        <w:t xml:space="preserve">The Authority holds several heritage assets, in the form of both fire memorabilia such as antique fire extinguishers, </w:t>
      </w:r>
      <w:r w:rsidR="00DF2B00" w:rsidRPr="00210760">
        <w:rPr>
          <w:szCs w:val="24"/>
          <w:lang w:val="en-GB"/>
        </w:rPr>
        <w:t>and</w:t>
      </w:r>
      <w:r w:rsidRPr="00210760">
        <w:rPr>
          <w:szCs w:val="24"/>
          <w:lang w:val="en-GB"/>
        </w:rPr>
        <w:t xml:space="preserve"> two vintage fire appliances. Due to the nature of these assets, it is not possible to market test the value of these, therefore they are not included in the Property, Plant and Equipment note.</w:t>
      </w:r>
    </w:p>
    <w:p w14:paraId="6DE6AB3C" w14:textId="77777777" w:rsidR="00372872" w:rsidRPr="00BC6C4F" w:rsidRDefault="00372872" w:rsidP="00BC6C4F">
      <w:pPr>
        <w:pStyle w:val="BodyTextIndent"/>
        <w:ind w:left="709" w:right="425"/>
        <w:rPr>
          <w:szCs w:val="24"/>
          <w:lang w:val="en-GB"/>
        </w:rPr>
      </w:pPr>
    </w:p>
    <w:p w14:paraId="09B690A3" w14:textId="4E531AC1" w:rsidR="00D90216" w:rsidRPr="003278CF" w:rsidRDefault="00D90216" w:rsidP="003278CF">
      <w:pPr>
        <w:ind w:firstLine="709"/>
        <w:rPr>
          <w:b/>
          <w:bCs/>
        </w:rPr>
      </w:pPr>
      <w:r w:rsidRPr="003278CF">
        <w:rPr>
          <w:b/>
          <w:bCs/>
        </w:rPr>
        <w:t>Capital Expenditure</w:t>
      </w:r>
    </w:p>
    <w:p w14:paraId="3BD76D2B" w14:textId="77777777" w:rsidR="00D90216" w:rsidRPr="00210760" w:rsidRDefault="00D90216" w:rsidP="00210760">
      <w:pPr>
        <w:pStyle w:val="BodyTextIndent"/>
        <w:rPr>
          <w:szCs w:val="24"/>
          <w:lang w:val="en-GB"/>
        </w:rPr>
      </w:pPr>
    </w:p>
    <w:p w14:paraId="5283EE0D" w14:textId="37758ED6" w:rsidR="00D90216" w:rsidRPr="00210760" w:rsidRDefault="00D90216" w:rsidP="00210760">
      <w:pPr>
        <w:tabs>
          <w:tab w:val="left" w:pos="720"/>
          <w:tab w:val="right" w:pos="7200"/>
        </w:tabs>
        <w:ind w:left="720"/>
        <w:rPr>
          <w:szCs w:val="24"/>
        </w:rPr>
      </w:pPr>
      <w:r w:rsidRPr="00210760">
        <w:rPr>
          <w:szCs w:val="24"/>
        </w:rPr>
        <w:t>The total capital expenditure in 20</w:t>
      </w:r>
      <w:r w:rsidR="006B2155" w:rsidRPr="00210760">
        <w:rPr>
          <w:szCs w:val="24"/>
        </w:rPr>
        <w:t>2</w:t>
      </w:r>
      <w:r w:rsidR="003D6A01" w:rsidRPr="00210760">
        <w:rPr>
          <w:szCs w:val="24"/>
        </w:rPr>
        <w:t>2</w:t>
      </w:r>
      <w:r w:rsidR="006B2155" w:rsidRPr="00210760">
        <w:rPr>
          <w:szCs w:val="24"/>
        </w:rPr>
        <w:t>/2</w:t>
      </w:r>
      <w:r w:rsidR="003D6A01" w:rsidRPr="00210760">
        <w:rPr>
          <w:szCs w:val="24"/>
        </w:rPr>
        <w:t>3</w:t>
      </w:r>
      <w:r w:rsidRPr="00210760">
        <w:rPr>
          <w:szCs w:val="24"/>
        </w:rPr>
        <w:t xml:space="preserve"> is shown in the table below, together with the resources that have been used to finance it. Where capital expenditure is to be financed in future years by charges to revenue as assets are used by the Authority, the expenditure results in an increase in the Capital Financing Requirement (CFR), a measure of the capital expenditure incurred historically by the Authority that has yet to be financed. The CFR is analysed in the second part of this note.</w:t>
      </w:r>
    </w:p>
    <w:p w14:paraId="2A5043FD" w14:textId="77777777" w:rsidR="00D90216" w:rsidRPr="00AF3DCD" w:rsidRDefault="00D90216" w:rsidP="00D90216">
      <w:pPr>
        <w:tabs>
          <w:tab w:val="left" w:pos="720"/>
          <w:tab w:val="right" w:pos="7200"/>
        </w:tabs>
        <w:ind w:left="720"/>
        <w:jc w:val="both"/>
        <w:rPr>
          <w:sz w:val="22"/>
        </w:rPr>
      </w:pPr>
    </w:p>
    <w:tbl>
      <w:tblPr>
        <w:tblW w:w="83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2"/>
        <w:gridCol w:w="1512"/>
        <w:gridCol w:w="1465"/>
      </w:tblGrid>
      <w:tr w:rsidR="00174738" w:rsidRPr="007A7FFA" w14:paraId="0E929259" w14:textId="77777777" w:rsidTr="00611673">
        <w:trPr>
          <w:trHeight w:hRule="exact" w:val="578"/>
          <w:tblHeader/>
        </w:trPr>
        <w:tc>
          <w:tcPr>
            <w:tcW w:w="5342" w:type="dxa"/>
            <w:shd w:val="clear" w:color="auto" w:fill="BD2716"/>
          </w:tcPr>
          <w:p w14:paraId="644CFD86" w14:textId="77777777" w:rsidR="00174738" w:rsidRPr="007641BA" w:rsidRDefault="00174738" w:rsidP="00174738">
            <w:pPr>
              <w:rPr>
                <w:color w:val="FFFFFF" w:themeColor="background1"/>
                <w:szCs w:val="24"/>
              </w:rPr>
            </w:pPr>
          </w:p>
        </w:tc>
        <w:tc>
          <w:tcPr>
            <w:tcW w:w="1512" w:type="dxa"/>
            <w:shd w:val="clear" w:color="auto" w:fill="BD2716"/>
            <w:vAlign w:val="center"/>
          </w:tcPr>
          <w:p w14:paraId="006AD34C" w14:textId="77777777" w:rsidR="00174738" w:rsidRPr="007641BA" w:rsidRDefault="00670DBF" w:rsidP="00611673">
            <w:pPr>
              <w:pStyle w:val="BodyTextIndent"/>
              <w:ind w:left="0"/>
              <w:jc w:val="right"/>
              <w:rPr>
                <w:color w:val="FFFFFF" w:themeColor="background1"/>
                <w:szCs w:val="24"/>
                <w:lang w:val="en-GB"/>
              </w:rPr>
            </w:pPr>
            <w:r w:rsidRPr="007641BA">
              <w:rPr>
                <w:color w:val="FFFFFF" w:themeColor="background1"/>
                <w:szCs w:val="24"/>
                <w:lang w:val="en-GB"/>
              </w:rPr>
              <w:t>202</w:t>
            </w:r>
            <w:r w:rsidR="003D6A01" w:rsidRPr="007641BA">
              <w:rPr>
                <w:color w:val="FFFFFF" w:themeColor="background1"/>
                <w:szCs w:val="24"/>
                <w:lang w:val="en-GB"/>
              </w:rPr>
              <w:t>2</w:t>
            </w:r>
            <w:r w:rsidRPr="007641BA">
              <w:rPr>
                <w:color w:val="FFFFFF" w:themeColor="background1"/>
                <w:szCs w:val="24"/>
                <w:lang w:val="en-GB"/>
              </w:rPr>
              <w:t>/2</w:t>
            </w:r>
            <w:r w:rsidR="003D6A01" w:rsidRPr="007641BA">
              <w:rPr>
                <w:color w:val="FFFFFF" w:themeColor="background1"/>
                <w:szCs w:val="24"/>
                <w:lang w:val="en-GB"/>
              </w:rPr>
              <w:t>3</w:t>
            </w:r>
          </w:p>
          <w:p w14:paraId="78A6FBDB" w14:textId="091B57B2" w:rsidR="00DC7A16" w:rsidRPr="007641BA" w:rsidRDefault="00DC7A16" w:rsidP="00611673">
            <w:pPr>
              <w:pStyle w:val="BodyTextIndent"/>
              <w:ind w:left="0"/>
              <w:jc w:val="right"/>
              <w:rPr>
                <w:color w:val="FFFFFF" w:themeColor="background1"/>
                <w:szCs w:val="24"/>
                <w:lang w:val="en-GB"/>
              </w:rPr>
            </w:pPr>
            <w:r w:rsidRPr="007641BA">
              <w:rPr>
                <w:color w:val="FFFFFF" w:themeColor="background1"/>
                <w:szCs w:val="24"/>
                <w:lang w:val="en-GB"/>
              </w:rPr>
              <w:t>£000</w:t>
            </w:r>
          </w:p>
        </w:tc>
        <w:tc>
          <w:tcPr>
            <w:tcW w:w="1465" w:type="dxa"/>
            <w:shd w:val="clear" w:color="auto" w:fill="BD2716"/>
            <w:vAlign w:val="center"/>
          </w:tcPr>
          <w:p w14:paraId="0CE9D17E" w14:textId="77777777" w:rsidR="00174738" w:rsidRPr="007641BA" w:rsidRDefault="00174738" w:rsidP="00611673">
            <w:pPr>
              <w:pStyle w:val="BodyTextIndent"/>
              <w:ind w:left="0"/>
              <w:jc w:val="right"/>
              <w:rPr>
                <w:color w:val="FFFFFF" w:themeColor="background1"/>
                <w:szCs w:val="24"/>
                <w:lang w:val="en-GB"/>
              </w:rPr>
            </w:pPr>
            <w:r w:rsidRPr="007641BA">
              <w:rPr>
                <w:color w:val="FFFFFF" w:themeColor="background1"/>
                <w:szCs w:val="24"/>
                <w:lang w:val="en-GB"/>
              </w:rPr>
              <w:t>202</w:t>
            </w:r>
            <w:r w:rsidR="003D6A01" w:rsidRPr="007641BA">
              <w:rPr>
                <w:color w:val="FFFFFF" w:themeColor="background1"/>
                <w:szCs w:val="24"/>
                <w:lang w:val="en-GB"/>
              </w:rPr>
              <w:t>1</w:t>
            </w:r>
            <w:r w:rsidRPr="007641BA">
              <w:rPr>
                <w:color w:val="FFFFFF" w:themeColor="background1"/>
                <w:szCs w:val="24"/>
                <w:lang w:val="en-GB"/>
              </w:rPr>
              <w:t>/2</w:t>
            </w:r>
            <w:r w:rsidR="003D6A01" w:rsidRPr="007641BA">
              <w:rPr>
                <w:color w:val="FFFFFF" w:themeColor="background1"/>
                <w:szCs w:val="24"/>
                <w:lang w:val="en-GB"/>
              </w:rPr>
              <w:t>2</w:t>
            </w:r>
          </w:p>
          <w:p w14:paraId="3FB3C2CD" w14:textId="4D350977" w:rsidR="00DC7A16" w:rsidRPr="007641BA" w:rsidRDefault="00DC7A16" w:rsidP="00611673">
            <w:pPr>
              <w:pStyle w:val="BodyTextIndent"/>
              <w:ind w:left="0"/>
              <w:jc w:val="right"/>
              <w:rPr>
                <w:color w:val="FFFFFF" w:themeColor="background1"/>
                <w:szCs w:val="24"/>
                <w:lang w:val="en-GB"/>
              </w:rPr>
            </w:pPr>
            <w:r w:rsidRPr="007641BA">
              <w:rPr>
                <w:color w:val="FFFFFF" w:themeColor="background1"/>
                <w:szCs w:val="24"/>
                <w:lang w:val="en-GB"/>
              </w:rPr>
              <w:t>£000</w:t>
            </w:r>
          </w:p>
        </w:tc>
      </w:tr>
      <w:tr w:rsidR="003D6A01" w:rsidRPr="007A7FFA" w14:paraId="5C01EC35" w14:textId="77777777" w:rsidTr="008B00BF">
        <w:trPr>
          <w:trHeight w:hRule="exact" w:val="300"/>
        </w:trPr>
        <w:tc>
          <w:tcPr>
            <w:tcW w:w="5342" w:type="dxa"/>
          </w:tcPr>
          <w:p w14:paraId="5038A3EC" w14:textId="77777777" w:rsidR="003D6A01" w:rsidRPr="00210760" w:rsidRDefault="003D6A01" w:rsidP="00BC6C4F">
            <w:pPr>
              <w:rPr>
                <w:szCs w:val="24"/>
              </w:rPr>
            </w:pPr>
            <w:r w:rsidRPr="00210760">
              <w:rPr>
                <w:szCs w:val="24"/>
              </w:rPr>
              <w:t>Opening Capital Financing Requirement</w:t>
            </w:r>
          </w:p>
        </w:tc>
        <w:tc>
          <w:tcPr>
            <w:tcW w:w="1512" w:type="dxa"/>
            <w:vAlign w:val="center"/>
          </w:tcPr>
          <w:p w14:paraId="27F58282" w14:textId="086F4EB0" w:rsidR="003D6A01" w:rsidRPr="00210760" w:rsidRDefault="007A7FFA" w:rsidP="008B00BF">
            <w:pPr>
              <w:pStyle w:val="Footer"/>
              <w:tabs>
                <w:tab w:val="clear" w:pos="4153"/>
                <w:tab w:val="clear" w:pos="8306"/>
                <w:tab w:val="decimal" w:pos="1026"/>
              </w:tabs>
              <w:jc w:val="right"/>
              <w:rPr>
                <w:szCs w:val="24"/>
              </w:rPr>
            </w:pPr>
            <w:r w:rsidRPr="00210760">
              <w:rPr>
                <w:szCs w:val="24"/>
              </w:rPr>
              <w:t>12,770</w:t>
            </w:r>
          </w:p>
        </w:tc>
        <w:tc>
          <w:tcPr>
            <w:tcW w:w="1465" w:type="dxa"/>
            <w:vAlign w:val="center"/>
          </w:tcPr>
          <w:p w14:paraId="2B564051" w14:textId="3B7FFE5A" w:rsidR="003D6A01" w:rsidRPr="00210760" w:rsidRDefault="003D6A01" w:rsidP="008B00BF">
            <w:pPr>
              <w:pStyle w:val="Footer"/>
              <w:tabs>
                <w:tab w:val="clear" w:pos="4153"/>
                <w:tab w:val="clear" w:pos="8306"/>
                <w:tab w:val="decimal" w:pos="1026"/>
              </w:tabs>
              <w:jc w:val="right"/>
              <w:rPr>
                <w:szCs w:val="24"/>
              </w:rPr>
            </w:pPr>
            <w:r w:rsidRPr="00210760">
              <w:rPr>
                <w:szCs w:val="24"/>
              </w:rPr>
              <w:t>13,225</w:t>
            </w:r>
          </w:p>
        </w:tc>
      </w:tr>
    </w:tbl>
    <w:p w14:paraId="71DBA62D" w14:textId="77777777" w:rsidR="00372872" w:rsidRDefault="00372872"/>
    <w:tbl>
      <w:tblPr>
        <w:tblW w:w="83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2"/>
        <w:gridCol w:w="1512"/>
        <w:gridCol w:w="1465"/>
      </w:tblGrid>
      <w:tr w:rsidR="00210760" w:rsidRPr="007A7FFA" w14:paraId="7690EDAF" w14:textId="77777777" w:rsidTr="007641BA">
        <w:trPr>
          <w:trHeight w:hRule="exact" w:val="300"/>
        </w:trPr>
        <w:tc>
          <w:tcPr>
            <w:tcW w:w="8319" w:type="dxa"/>
            <w:gridSpan w:val="3"/>
            <w:shd w:val="clear" w:color="auto" w:fill="D9D9D9" w:themeFill="background1" w:themeFillShade="D9"/>
          </w:tcPr>
          <w:p w14:paraId="1A1089A4" w14:textId="4CBF5E2E" w:rsidR="00210760" w:rsidRPr="00BD79B2" w:rsidRDefault="00210760" w:rsidP="00BC6C4F">
            <w:pPr>
              <w:pStyle w:val="Footer"/>
              <w:tabs>
                <w:tab w:val="clear" w:pos="4153"/>
                <w:tab w:val="clear" w:pos="8306"/>
                <w:tab w:val="decimal" w:pos="1121"/>
              </w:tabs>
              <w:rPr>
                <w:b/>
                <w:bCs/>
                <w:szCs w:val="24"/>
              </w:rPr>
            </w:pPr>
            <w:r w:rsidRPr="00BD79B2">
              <w:rPr>
                <w:b/>
                <w:bCs/>
                <w:szCs w:val="24"/>
              </w:rPr>
              <w:t>Capital investment:</w:t>
            </w:r>
          </w:p>
        </w:tc>
      </w:tr>
      <w:tr w:rsidR="003D6A01" w:rsidRPr="007A7FFA" w14:paraId="0C727D8C" w14:textId="77777777" w:rsidTr="008B00BF">
        <w:trPr>
          <w:trHeight w:hRule="exact" w:val="300"/>
        </w:trPr>
        <w:tc>
          <w:tcPr>
            <w:tcW w:w="5342" w:type="dxa"/>
          </w:tcPr>
          <w:p w14:paraId="30FB4A03" w14:textId="77777777" w:rsidR="003D6A01" w:rsidRPr="00210760" w:rsidRDefault="003D6A01" w:rsidP="00372872">
            <w:pPr>
              <w:rPr>
                <w:szCs w:val="24"/>
              </w:rPr>
            </w:pPr>
            <w:r w:rsidRPr="00210760">
              <w:rPr>
                <w:szCs w:val="24"/>
              </w:rPr>
              <w:t>Property, Plant &amp; Equipment*</w:t>
            </w:r>
          </w:p>
        </w:tc>
        <w:tc>
          <w:tcPr>
            <w:tcW w:w="1512" w:type="dxa"/>
            <w:vAlign w:val="center"/>
          </w:tcPr>
          <w:p w14:paraId="33531D3F" w14:textId="40194E60" w:rsidR="003D6A01" w:rsidRPr="00210760" w:rsidRDefault="007A7FFA" w:rsidP="008B00BF">
            <w:pPr>
              <w:pStyle w:val="Footer"/>
              <w:tabs>
                <w:tab w:val="clear" w:pos="4153"/>
                <w:tab w:val="clear" w:pos="8306"/>
                <w:tab w:val="decimal" w:pos="1026"/>
              </w:tabs>
              <w:jc w:val="right"/>
              <w:rPr>
                <w:szCs w:val="24"/>
              </w:rPr>
            </w:pPr>
            <w:r w:rsidRPr="00210760">
              <w:rPr>
                <w:szCs w:val="24"/>
              </w:rPr>
              <w:t>1,20</w:t>
            </w:r>
            <w:r w:rsidR="00976704">
              <w:rPr>
                <w:szCs w:val="24"/>
              </w:rPr>
              <w:t>4</w:t>
            </w:r>
          </w:p>
        </w:tc>
        <w:tc>
          <w:tcPr>
            <w:tcW w:w="1465" w:type="dxa"/>
            <w:vAlign w:val="center"/>
          </w:tcPr>
          <w:p w14:paraId="63FC3E7B" w14:textId="112DEB77" w:rsidR="003D6A01" w:rsidRPr="00210760" w:rsidRDefault="003D6A01" w:rsidP="008B00BF">
            <w:pPr>
              <w:pStyle w:val="Footer"/>
              <w:tabs>
                <w:tab w:val="clear" w:pos="4153"/>
                <w:tab w:val="clear" w:pos="8306"/>
                <w:tab w:val="decimal" w:pos="1026"/>
              </w:tabs>
              <w:jc w:val="right"/>
              <w:rPr>
                <w:szCs w:val="24"/>
              </w:rPr>
            </w:pPr>
            <w:r w:rsidRPr="00210760">
              <w:rPr>
                <w:szCs w:val="24"/>
              </w:rPr>
              <w:t>3,352</w:t>
            </w:r>
          </w:p>
        </w:tc>
      </w:tr>
      <w:tr w:rsidR="003D6A01" w:rsidRPr="007A7FFA" w14:paraId="5798D909" w14:textId="77777777" w:rsidTr="008B00BF">
        <w:trPr>
          <w:trHeight w:hRule="exact" w:val="300"/>
        </w:trPr>
        <w:tc>
          <w:tcPr>
            <w:tcW w:w="5342" w:type="dxa"/>
          </w:tcPr>
          <w:p w14:paraId="1F472666" w14:textId="77777777" w:rsidR="003D6A01" w:rsidRPr="00210760" w:rsidRDefault="003D6A01" w:rsidP="00372872">
            <w:pPr>
              <w:rPr>
                <w:szCs w:val="24"/>
              </w:rPr>
            </w:pPr>
            <w:r w:rsidRPr="00210760">
              <w:rPr>
                <w:szCs w:val="24"/>
              </w:rPr>
              <w:t>Intangible assets*</w:t>
            </w:r>
          </w:p>
        </w:tc>
        <w:tc>
          <w:tcPr>
            <w:tcW w:w="1512" w:type="dxa"/>
            <w:vAlign w:val="center"/>
          </w:tcPr>
          <w:p w14:paraId="0798D5EC" w14:textId="6DD139B4" w:rsidR="003D6A01" w:rsidRPr="00210760" w:rsidRDefault="007A7FFA" w:rsidP="008B00BF">
            <w:pPr>
              <w:pStyle w:val="Footer"/>
              <w:tabs>
                <w:tab w:val="clear" w:pos="4153"/>
                <w:tab w:val="clear" w:pos="8306"/>
                <w:tab w:val="decimal" w:pos="1026"/>
              </w:tabs>
              <w:jc w:val="right"/>
              <w:rPr>
                <w:szCs w:val="24"/>
              </w:rPr>
            </w:pPr>
            <w:r w:rsidRPr="00210760">
              <w:rPr>
                <w:szCs w:val="24"/>
              </w:rPr>
              <w:t>4</w:t>
            </w:r>
            <w:r w:rsidR="00185A62">
              <w:rPr>
                <w:szCs w:val="24"/>
              </w:rPr>
              <w:t>77</w:t>
            </w:r>
          </w:p>
        </w:tc>
        <w:tc>
          <w:tcPr>
            <w:tcW w:w="1465" w:type="dxa"/>
            <w:vAlign w:val="center"/>
          </w:tcPr>
          <w:p w14:paraId="17A774DA" w14:textId="394336AA" w:rsidR="003D6A01" w:rsidRPr="00210760" w:rsidRDefault="003D6A01" w:rsidP="008B00BF">
            <w:pPr>
              <w:pStyle w:val="Footer"/>
              <w:tabs>
                <w:tab w:val="clear" w:pos="4153"/>
                <w:tab w:val="clear" w:pos="8306"/>
                <w:tab w:val="decimal" w:pos="1026"/>
              </w:tabs>
              <w:jc w:val="right"/>
              <w:rPr>
                <w:szCs w:val="24"/>
              </w:rPr>
            </w:pPr>
            <w:r w:rsidRPr="00210760">
              <w:rPr>
                <w:szCs w:val="24"/>
              </w:rPr>
              <w:t>31</w:t>
            </w:r>
          </w:p>
        </w:tc>
      </w:tr>
    </w:tbl>
    <w:p w14:paraId="1282F82C" w14:textId="77777777" w:rsidR="00372872" w:rsidRDefault="00372872"/>
    <w:tbl>
      <w:tblPr>
        <w:tblW w:w="83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2"/>
        <w:gridCol w:w="1512"/>
        <w:gridCol w:w="1465"/>
      </w:tblGrid>
      <w:tr w:rsidR="00210760" w:rsidRPr="007A7FFA" w14:paraId="3B476701" w14:textId="77777777" w:rsidTr="007641BA">
        <w:trPr>
          <w:trHeight w:hRule="exact" w:val="300"/>
        </w:trPr>
        <w:tc>
          <w:tcPr>
            <w:tcW w:w="8319" w:type="dxa"/>
            <w:gridSpan w:val="3"/>
            <w:shd w:val="clear" w:color="auto" w:fill="D9D9D9" w:themeFill="background1" w:themeFillShade="D9"/>
          </w:tcPr>
          <w:p w14:paraId="7A0F1FF9" w14:textId="32599159" w:rsidR="00210760" w:rsidRPr="00BD79B2" w:rsidRDefault="00210760" w:rsidP="00BC6C4F">
            <w:pPr>
              <w:pStyle w:val="Footer"/>
              <w:tabs>
                <w:tab w:val="clear" w:pos="4153"/>
                <w:tab w:val="clear" w:pos="8306"/>
                <w:tab w:val="decimal" w:pos="1121"/>
              </w:tabs>
              <w:rPr>
                <w:b/>
                <w:bCs/>
                <w:szCs w:val="24"/>
              </w:rPr>
            </w:pPr>
            <w:r w:rsidRPr="00BD79B2">
              <w:rPr>
                <w:b/>
                <w:bCs/>
                <w:szCs w:val="24"/>
              </w:rPr>
              <w:t>Sources of Finance:</w:t>
            </w:r>
          </w:p>
        </w:tc>
      </w:tr>
      <w:tr w:rsidR="00210760" w:rsidRPr="007A7FFA" w14:paraId="41CA4DB4" w14:textId="77777777" w:rsidTr="008B00BF">
        <w:trPr>
          <w:trHeight w:hRule="exact" w:val="300"/>
        </w:trPr>
        <w:tc>
          <w:tcPr>
            <w:tcW w:w="5342" w:type="dxa"/>
          </w:tcPr>
          <w:p w14:paraId="3D476EE0" w14:textId="32E184E8" w:rsidR="00210760" w:rsidRPr="00210760" w:rsidRDefault="00210760" w:rsidP="00BC6C4F">
            <w:pPr>
              <w:rPr>
                <w:szCs w:val="24"/>
              </w:rPr>
            </w:pPr>
            <w:r w:rsidRPr="00210760">
              <w:rPr>
                <w:szCs w:val="24"/>
              </w:rPr>
              <w:t>Capital Reserves</w:t>
            </w:r>
          </w:p>
        </w:tc>
        <w:tc>
          <w:tcPr>
            <w:tcW w:w="1512" w:type="dxa"/>
            <w:vAlign w:val="center"/>
          </w:tcPr>
          <w:p w14:paraId="78755539" w14:textId="10B4749A" w:rsidR="00210760" w:rsidRPr="00210760" w:rsidRDefault="00210760" w:rsidP="008B00BF">
            <w:pPr>
              <w:pStyle w:val="Footer"/>
              <w:tabs>
                <w:tab w:val="clear" w:pos="4153"/>
                <w:tab w:val="clear" w:pos="8306"/>
                <w:tab w:val="decimal" w:pos="1121"/>
              </w:tabs>
              <w:jc w:val="right"/>
              <w:rPr>
                <w:szCs w:val="24"/>
              </w:rPr>
            </w:pPr>
            <w:r w:rsidRPr="00210760">
              <w:rPr>
                <w:szCs w:val="24"/>
              </w:rPr>
              <w:t>-</w:t>
            </w:r>
          </w:p>
        </w:tc>
        <w:tc>
          <w:tcPr>
            <w:tcW w:w="1465" w:type="dxa"/>
            <w:vAlign w:val="center"/>
          </w:tcPr>
          <w:p w14:paraId="16D5B7B6" w14:textId="75E9F3E3" w:rsidR="00210760" w:rsidRPr="00210760" w:rsidRDefault="00210760" w:rsidP="008B00BF">
            <w:pPr>
              <w:pStyle w:val="Footer"/>
              <w:tabs>
                <w:tab w:val="clear" w:pos="4153"/>
                <w:tab w:val="clear" w:pos="8306"/>
                <w:tab w:val="decimal" w:pos="1121"/>
              </w:tabs>
              <w:jc w:val="right"/>
              <w:rPr>
                <w:szCs w:val="24"/>
              </w:rPr>
            </w:pPr>
            <w:r w:rsidRPr="00210760">
              <w:rPr>
                <w:szCs w:val="24"/>
              </w:rPr>
              <w:t>(977)</w:t>
            </w:r>
          </w:p>
        </w:tc>
      </w:tr>
      <w:tr w:rsidR="00210760" w:rsidRPr="007A7FFA" w14:paraId="742CCF4D" w14:textId="77777777" w:rsidTr="008B00BF">
        <w:trPr>
          <w:trHeight w:hRule="exact" w:val="373"/>
        </w:trPr>
        <w:tc>
          <w:tcPr>
            <w:tcW w:w="5342" w:type="dxa"/>
          </w:tcPr>
          <w:p w14:paraId="6B1C30AB" w14:textId="0BF5DE65" w:rsidR="00210760" w:rsidRPr="00210760" w:rsidRDefault="00210760" w:rsidP="00372872">
            <w:pPr>
              <w:pStyle w:val="Footer"/>
              <w:tabs>
                <w:tab w:val="clear" w:pos="4153"/>
                <w:tab w:val="clear" w:pos="8306"/>
              </w:tabs>
              <w:rPr>
                <w:szCs w:val="24"/>
              </w:rPr>
            </w:pPr>
            <w:r w:rsidRPr="00210760">
              <w:rPr>
                <w:szCs w:val="24"/>
              </w:rPr>
              <w:t>Revenue contributions to capital*</w:t>
            </w:r>
          </w:p>
        </w:tc>
        <w:tc>
          <w:tcPr>
            <w:tcW w:w="1512" w:type="dxa"/>
            <w:vAlign w:val="center"/>
          </w:tcPr>
          <w:p w14:paraId="33840250" w14:textId="0F893AF6" w:rsidR="00210760" w:rsidRPr="00210760" w:rsidRDefault="00210760" w:rsidP="008B00BF">
            <w:pPr>
              <w:pStyle w:val="Footer"/>
              <w:tabs>
                <w:tab w:val="clear" w:pos="4153"/>
                <w:tab w:val="clear" w:pos="8306"/>
                <w:tab w:val="decimal" w:pos="1026"/>
              </w:tabs>
              <w:jc w:val="right"/>
              <w:rPr>
                <w:szCs w:val="24"/>
              </w:rPr>
            </w:pPr>
            <w:r w:rsidRPr="00210760">
              <w:rPr>
                <w:szCs w:val="24"/>
              </w:rPr>
              <w:t>(1,6</w:t>
            </w:r>
            <w:r w:rsidR="00185A62">
              <w:rPr>
                <w:szCs w:val="24"/>
              </w:rPr>
              <w:t>80</w:t>
            </w:r>
            <w:r w:rsidRPr="00210760">
              <w:rPr>
                <w:szCs w:val="24"/>
              </w:rPr>
              <w:t>)</w:t>
            </w:r>
          </w:p>
        </w:tc>
        <w:tc>
          <w:tcPr>
            <w:tcW w:w="1465" w:type="dxa"/>
            <w:vAlign w:val="center"/>
          </w:tcPr>
          <w:p w14:paraId="27A90FD5" w14:textId="78DB4E7C" w:rsidR="00210760" w:rsidRPr="00210760" w:rsidRDefault="00210760" w:rsidP="008B00BF">
            <w:pPr>
              <w:pStyle w:val="Footer"/>
              <w:tabs>
                <w:tab w:val="clear" w:pos="4153"/>
                <w:tab w:val="clear" w:pos="8306"/>
                <w:tab w:val="decimal" w:pos="1026"/>
              </w:tabs>
              <w:jc w:val="right"/>
              <w:rPr>
                <w:szCs w:val="24"/>
              </w:rPr>
            </w:pPr>
            <w:r w:rsidRPr="00210760">
              <w:rPr>
                <w:szCs w:val="24"/>
              </w:rPr>
              <w:t>(2,404)</w:t>
            </w:r>
          </w:p>
        </w:tc>
      </w:tr>
      <w:tr w:rsidR="00210760" w:rsidRPr="007A7FFA" w14:paraId="74DEB076" w14:textId="77777777" w:rsidTr="008B00BF">
        <w:trPr>
          <w:trHeight w:hRule="exact" w:val="300"/>
        </w:trPr>
        <w:tc>
          <w:tcPr>
            <w:tcW w:w="5342" w:type="dxa"/>
          </w:tcPr>
          <w:p w14:paraId="7619B574" w14:textId="20B972EF" w:rsidR="00210760" w:rsidRPr="00210760" w:rsidRDefault="00210760" w:rsidP="00372872">
            <w:pPr>
              <w:pStyle w:val="Footer"/>
              <w:tabs>
                <w:tab w:val="clear" w:pos="4153"/>
                <w:tab w:val="clear" w:pos="8306"/>
              </w:tabs>
              <w:rPr>
                <w:szCs w:val="24"/>
              </w:rPr>
            </w:pPr>
            <w:r w:rsidRPr="00210760">
              <w:rPr>
                <w:szCs w:val="24"/>
              </w:rPr>
              <w:t>MRP</w:t>
            </w:r>
          </w:p>
        </w:tc>
        <w:tc>
          <w:tcPr>
            <w:tcW w:w="1512" w:type="dxa"/>
            <w:vAlign w:val="center"/>
          </w:tcPr>
          <w:p w14:paraId="53532657" w14:textId="5CE03A6C" w:rsidR="00210760" w:rsidRPr="00210760" w:rsidRDefault="00210760" w:rsidP="008B00BF">
            <w:pPr>
              <w:pStyle w:val="Footer"/>
              <w:tabs>
                <w:tab w:val="clear" w:pos="4153"/>
                <w:tab w:val="clear" w:pos="8306"/>
                <w:tab w:val="decimal" w:pos="1026"/>
              </w:tabs>
              <w:jc w:val="right"/>
              <w:rPr>
                <w:szCs w:val="24"/>
              </w:rPr>
            </w:pPr>
            <w:r w:rsidRPr="00210760">
              <w:rPr>
                <w:szCs w:val="24"/>
              </w:rPr>
              <w:t>(487)</w:t>
            </w:r>
          </w:p>
        </w:tc>
        <w:tc>
          <w:tcPr>
            <w:tcW w:w="1465" w:type="dxa"/>
            <w:vAlign w:val="center"/>
          </w:tcPr>
          <w:p w14:paraId="3F72E70C" w14:textId="0180D1B0" w:rsidR="00210760" w:rsidRPr="00210760" w:rsidRDefault="00210760" w:rsidP="008B00BF">
            <w:pPr>
              <w:pStyle w:val="Footer"/>
              <w:tabs>
                <w:tab w:val="clear" w:pos="4153"/>
                <w:tab w:val="clear" w:pos="8306"/>
                <w:tab w:val="decimal" w:pos="1026"/>
              </w:tabs>
              <w:jc w:val="right"/>
              <w:rPr>
                <w:szCs w:val="24"/>
              </w:rPr>
            </w:pPr>
            <w:r w:rsidRPr="00210760">
              <w:rPr>
                <w:szCs w:val="24"/>
              </w:rPr>
              <w:t>(457)</w:t>
            </w:r>
          </w:p>
        </w:tc>
      </w:tr>
      <w:tr w:rsidR="008B00BF" w:rsidRPr="007A7FFA" w14:paraId="1F517AFA" w14:textId="77777777" w:rsidTr="00611673">
        <w:trPr>
          <w:trHeight w:hRule="exact" w:val="578"/>
        </w:trPr>
        <w:tc>
          <w:tcPr>
            <w:tcW w:w="5342" w:type="dxa"/>
            <w:shd w:val="clear" w:color="auto" w:fill="BD2716"/>
          </w:tcPr>
          <w:p w14:paraId="5635A439" w14:textId="77777777" w:rsidR="008B00BF" w:rsidRPr="007641BA" w:rsidRDefault="008B00BF" w:rsidP="008B00BF">
            <w:pPr>
              <w:rPr>
                <w:color w:val="FFFFFF" w:themeColor="background1"/>
                <w:szCs w:val="24"/>
              </w:rPr>
            </w:pPr>
          </w:p>
        </w:tc>
        <w:tc>
          <w:tcPr>
            <w:tcW w:w="1512" w:type="dxa"/>
            <w:shd w:val="clear" w:color="auto" w:fill="BD2716"/>
            <w:vAlign w:val="center"/>
          </w:tcPr>
          <w:p w14:paraId="43168F23" w14:textId="77777777" w:rsidR="007641BA" w:rsidRPr="007641BA" w:rsidRDefault="008B00BF" w:rsidP="00611673">
            <w:pPr>
              <w:pStyle w:val="BodyTextIndent"/>
              <w:ind w:left="0"/>
              <w:jc w:val="right"/>
              <w:rPr>
                <w:color w:val="FFFFFF" w:themeColor="background1"/>
                <w:szCs w:val="24"/>
                <w:lang w:val="en-GB"/>
              </w:rPr>
            </w:pPr>
            <w:r w:rsidRPr="007641BA">
              <w:rPr>
                <w:color w:val="FFFFFF" w:themeColor="background1"/>
                <w:szCs w:val="24"/>
                <w:lang w:val="en-GB"/>
              </w:rPr>
              <w:t>2022/23</w:t>
            </w:r>
          </w:p>
          <w:p w14:paraId="62EA04C2" w14:textId="047978A9" w:rsidR="008B00BF" w:rsidRPr="007641BA" w:rsidRDefault="008B00BF" w:rsidP="00611673">
            <w:pPr>
              <w:pStyle w:val="BodyTextIndent"/>
              <w:ind w:left="0"/>
              <w:jc w:val="right"/>
              <w:rPr>
                <w:color w:val="FFFFFF" w:themeColor="background1"/>
                <w:szCs w:val="24"/>
                <w:lang w:val="en-GB"/>
              </w:rPr>
            </w:pPr>
            <w:r w:rsidRPr="007641BA">
              <w:rPr>
                <w:color w:val="FFFFFF" w:themeColor="background1"/>
                <w:szCs w:val="24"/>
                <w:lang w:val="en-GB"/>
              </w:rPr>
              <w:t>£000</w:t>
            </w:r>
          </w:p>
        </w:tc>
        <w:tc>
          <w:tcPr>
            <w:tcW w:w="1465" w:type="dxa"/>
            <w:shd w:val="clear" w:color="auto" w:fill="BD2716"/>
            <w:vAlign w:val="center"/>
          </w:tcPr>
          <w:p w14:paraId="423C6D21" w14:textId="77777777" w:rsidR="007641BA" w:rsidRPr="007641BA" w:rsidRDefault="008B00BF" w:rsidP="00611673">
            <w:pPr>
              <w:pStyle w:val="BodyTextIndent"/>
              <w:ind w:left="0"/>
              <w:jc w:val="right"/>
              <w:rPr>
                <w:color w:val="FFFFFF" w:themeColor="background1"/>
                <w:szCs w:val="24"/>
                <w:lang w:val="en-GB"/>
              </w:rPr>
            </w:pPr>
            <w:r w:rsidRPr="007641BA">
              <w:rPr>
                <w:color w:val="FFFFFF" w:themeColor="background1"/>
                <w:szCs w:val="24"/>
                <w:lang w:val="en-GB"/>
              </w:rPr>
              <w:t>2021/22</w:t>
            </w:r>
          </w:p>
          <w:p w14:paraId="46C56F73" w14:textId="27E2C8C1" w:rsidR="008B00BF" w:rsidRPr="007641BA" w:rsidRDefault="008B00BF" w:rsidP="00611673">
            <w:pPr>
              <w:pStyle w:val="BodyTextIndent"/>
              <w:ind w:left="0"/>
              <w:jc w:val="right"/>
              <w:rPr>
                <w:color w:val="FFFFFF" w:themeColor="background1"/>
                <w:szCs w:val="24"/>
                <w:lang w:val="en-GB"/>
              </w:rPr>
            </w:pPr>
            <w:r w:rsidRPr="007641BA">
              <w:rPr>
                <w:color w:val="FFFFFF" w:themeColor="background1"/>
                <w:szCs w:val="24"/>
                <w:lang w:val="en-GB"/>
              </w:rPr>
              <w:t>£000</w:t>
            </w:r>
          </w:p>
        </w:tc>
      </w:tr>
      <w:tr w:rsidR="008B00BF" w:rsidRPr="007A7FFA" w14:paraId="4A4BAED0" w14:textId="77777777" w:rsidTr="008B00BF">
        <w:trPr>
          <w:trHeight w:hRule="exact" w:val="300"/>
        </w:trPr>
        <w:tc>
          <w:tcPr>
            <w:tcW w:w="5342" w:type="dxa"/>
          </w:tcPr>
          <w:p w14:paraId="1E249E53" w14:textId="7F12B756" w:rsidR="008B00BF" w:rsidRPr="00210760" w:rsidRDefault="008B00BF" w:rsidP="008B00BF">
            <w:pPr>
              <w:rPr>
                <w:szCs w:val="24"/>
              </w:rPr>
            </w:pPr>
            <w:r w:rsidRPr="00210760">
              <w:rPr>
                <w:szCs w:val="24"/>
              </w:rPr>
              <w:t>Closing Capital Financing Requirement</w:t>
            </w:r>
          </w:p>
        </w:tc>
        <w:tc>
          <w:tcPr>
            <w:tcW w:w="1512" w:type="dxa"/>
            <w:vAlign w:val="center"/>
          </w:tcPr>
          <w:p w14:paraId="7DDA8893" w14:textId="6CECB72C" w:rsidR="008B00BF" w:rsidRPr="00210760" w:rsidRDefault="008B00BF" w:rsidP="008B00BF">
            <w:pPr>
              <w:pStyle w:val="Footer"/>
              <w:tabs>
                <w:tab w:val="clear" w:pos="4153"/>
                <w:tab w:val="clear" w:pos="8306"/>
                <w:tab w:val="decimal" w:pos="1026"/>
              </w:tabs>
              <w:jc w:val="right"/>
              <w:rPr>
                <w:szCs w:val="24"/>
              </w:rPr>
            </w:pPr>
            <w:r w:rsidRPr="00210760">
              <w:rPr>
                <w:szCs w:val="24"/>
              </w:rPr>
              <w:t>12,283</w:t>
            </w:r>
          </w:p>
        </w:tc>
        <w:tc>
          <w:tcPr>
            <w:tcW w:w="1465" w:type="dxa"/>
            <w:vAlign w:val="center"/>
          </w:tcPr>
          <w:p w14:paraId="1CE0EB47" w14:textId="2B31D030" w:rsidR="008B00BF" w:rsidRPr="00210760" w:rsidRDefault="008B00BF" w:rsidP="008B00BF">
            <w:pPr>
              <w:pStyle w:val="Footer"/>
              <w:tabs>
                <w:tab w:val="clear" w:pos="4153"/>
                <w:tab w:val="clear" w:pos="8306"/>
                <w:tab w:val="decimal" w:pos="1026"/>
              </w:tabs>
              <w:jc w:val="right"/>
              <w:rPr>
                <w:szCs w:val="24"/>
              </w:rPr>
            </w:pPr>
            <w:r w:rsidRPr="00210760">
              <w:rPr>
                <w:szCs w:val="24"/>
              </w:rPr>
              <w:t>12,770</w:t>
            </w:r>
          </w:p>
        </w:tc>
      </w:tr>
    </w:tbl>
    <w:p w14:paraId="45777225" w14:textId="77777777" w:rsidR="00372872" w:rsidRDefault="00372872"/>
    <w:tbl>
      <w:tblPr>
        <w:tblW w:w="83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2"/>
        <w:gridCol w:w="1512"/>
        <w:gridCol w:w="1465"/>
      </w:tblGrid>
      <w:tr w:rsidR="00210760" w:rsidRPr="007A7FFA" w14:paraId="15B2B2CA" w14:textId="77777777" w:rsidTr="007641BA">
        <w:trPr>
          <w:trHeight w:hRule="exact" w:val="300"/>
        </w:trPr>
        <w:tc>
          <w:tcPr>
            <w:tcW w:w="8319" w:type="dxa"/>
            <w:gridSpan w:val="3"/>
            <w:shd w:val="clear" w:color="auto" w:fill="D9D9D9" w:themeFill="background1" w:themeFillShade="D9"/>
          </w:tcPr>
          <w:p w14:paraId="78750EDA" w14:textId="617CD4EC" w:rsidR="00210760" w:rsidRPr="00BD79B2" w:rsidRDefault="00210760" w:rsidP="00BC6C4F">
            <w:pPr>
              <w:pStyle w:val="Footer"/>
              <w:tabs>
                <w:tab w:val="clear" w:pos="4153"/>
                <w:tab w:val="clear" w:pos="8306"/>
                <w:tab w:val="decimal" w:pos="1026"/>
              </w:tabs>
              <w:rPr>
                <w:b/>
                <w:bCs/>
                <w:szCs w:val="24"/>
              </w:rPr>
            </w:pPr>
            <w:r w:rsidRPr="00BD79B2">
              <w:rPr>
                <w:b/>
                <w:bCs/>
                <w:szCs w:val="24"/>
              </w:rPr>
              <w:t>Explanation of movements in year</w:t>
            </w:r>
          </w:p>
        </w:tc>
      </w:tr>
      <w:tr w:rsidR="00210760" w:rsidRPr="007A7FFA" w14:paraId="202D62FF" w14:textId="77777777" w:rsidTr="008B00BF">
        <w:trPr>
          <w:trHeight w:hRule="exact" w:val="860"/>
        </w:trPr>
        <w:tc>
          <w:tcPr>
            <w:tcW w:w="5342" w:type="dxa"/>
          </w:tcPr>
          <w:p w14:paraId="65CC8381" w14:textId="78E8D0F4" w:rsidR="00210760" w:rsidRPr="00210760" w:rsidRDefault="00210760" w:rsidP="00BC6C4F">
            <w:pPr>
              <w:pStyle w:val="Footer"/>
              <w:tabs>
                <w:tab w:val="clear" w:pos="4153"/>
                <w:tab w:val="clear" w:pos="8306"/>
              </w:tabs>
              <w:rPr>
                <w:szCs w:val="24"/>
              </w:rPr>
            </w:pPr>
            <w:r w:rsidRPr="00210760">
              <w:rPr>
                <w:szCs w:val="24"/>
              </w:rPr>
              <w:t>(Decrease)/Increase in underlying need to borrow (supported by Government financial assistance)</w:t>
            </w:r>
          </w:p>
        </w:tc>
        <w:tc>
          <w:tcPr>
            <w:tcW w:w="1512" w:type="dxa"/>
            <w:vAlign w:val="center"/>
          </w:tcPr>
          <w:p w14:paraId="71DDD908" w14:textId="16A52531" w:rsidR="00210760" w:rsidRPr="00210760" w:rsidRDefault="00210760" w:rsidP="008B00BF">
            <w:pPr>
              <w:pStyle w:val="Footer"/>
              <w:tabs>
                <w:tab w:val="clear" w:pos="4153"/>
                <w:tab w:val="clear" w:pos="8306"/>
                <w:tab w:val="decimal" w:pos="1121"/>
              </w:tabs>
              <w:jc w:val="right"/>
              <w:rPr>
                <w:szCs w:val="24"/>
              </w:rPr>
            </w:pPr>
            <w:r w:rsidRPr="00210760">
              <w:rPr>
                <w:szCs w:val="24"/>
              </w:rPr>
              <w:t>(487)</w:t>
            </w:r>
          </w:p>
        </w:tc>
        <w:tc>
          <w:tcPr>
            <w:tcW w:w="1465" w:type="dxa"/>
            <w:vAlign w:val="center"/>
          </w:tcPr>
          <w:p w14:paraId="34A860CE" w14:textId="589088B7" w:rsidR="00210760" w:rsidRPr="00210760" w:rsidRDefault="00210760" w:rsidP="008B00BF">
            <w:pPr>
              <w:pStyle w:val="Footer"/>
              <w:tabs>
                <w:tab w:val="clear" w:pos="4153"/>
                <w:tab w:val="clear" w:pos="8306"/>
                <w:tab w:val="decimal" w:pos="1121"/>
              </w:tabs>
              <w:jc w:val="right"/>
              <w:rPr>
                <w:szCs w:val="24"/>
              </w:rPr>
            </w:pPr>
            <w:r w:rsidRPr="00210760">
              <w:rPr>
                <w:szCs w:val="24"/>
              </w:rPr>
              <w:t>(457)</w:t>
            </w:r>
          </w:p>
        </w:tc>
      </w:tr>
      <w:tr w:rsidR="00210760" w:rsidRPr="007A7FFA" w14:paraId="232FF4FF" w14:textId="77777777" w:rsidTr="008B00BF">
        <w:trPr>
          <w:trHeight w:hRule="exact" w:val="287"/>
        </w:trPr>
        <w:tc>
          <w:tcPr>
            <w:tcW w:w="5342" w:type="dxa"/>
          </w:tcPr>
          <w:p w14:paraId="224990EC" w14:textId="28A83579" w:rsidR="00210760" w:rsidRPr="00210760" w:rsidRDefault="00210760" w:rsidP="00372872">
            <w:pPr>
              <w:pStyle w:val="Footer"/>
              <w:tabs>
                <w:tab w:val="clear" w:pos="4153"/>
                <w:tab w:val="clear" w:pos="8306"/>
              </w:tabs>
              <w:rPr>
                <w:szCs w:val="24"/>
              </w:rPr>
            </w:pPr>
            <w:r w:rsidRPr="00210760">
              <w:rPr>
                <w:szCs w:val="24"/>
              </w:rPr>
              <w:t>Assets acquired under finance lease</w:t>
            </w:r>
          </w:p>
        </w:tc>
        <w:tc>
          <w:tcPr>
            <w:tcW w:w="1512" w:type="dxa"/>
            <w:vAlign w:val="center"/>
          </w:tcPr>
          <w:p w14:paraId="7B496E78" w14:textId="30F5FCEB" w:rsidR="00210760" w:rsidRPr="00210760" w:rsidRDefault="00210760" w:rsidP="008B00BF">
            <w:pPr>
              <w:pStyle w:val="Footer"/>
              <w:tabs>
                <w:tab w:val="clear" w:pos="4153"/>
                <w:tab w:val="clear" w:pos="8306"/>
                <w:tab w:val="decimal" w:pos="1026"/>
              </w:tabs>
              <w:jc w:val="right"/>
              <w:rPr>
                <w:szCs w:val="24"/>
              </w:rPr>
            </w:pPr>
            <w:r w:rsidRPr="00210760">
              <w:rPr>
                <w:szCs w:val="24"/>
              </w:rPr>
              <w:t>-</w:t>
            </w:r>
          </w:p>
        </w:tc>
        <w:tc>
          <w:tcPr>
            <w:tcW w:w="1465" w:type="dxa"/>
            <w:vAlign w:val="center"/>
          </w:tcPr>
          <w:p w14:paraId="4B1FEF66" w14:textId="2B4074D2" w:rsidR="00210760" w:rsidRPr="00210760" w:rsidRDefault="00210760" w:rsidP="008B00BF">
            <w:pPr>
              <w:pStyle w:val="Footer"/>
              <w:tabs>
                <w:tab w:val="clear" w:pos="4153"/>
                <w:tab w:val="clear" w:pos="8306"/>
                <w:tab w:val="decimal" w:pos="1026"/>
              </w:tabs>
              <w:jc w:val="right"/>
              <w:rPr>
                <w:szCs w:val="24"/>
              </w:rPr>
            </w:pPr>
            <w:r w:rsidRPr="00210760">
              <w:rPr>
                <w:szCs w:val="24"/>
              </w:rPr>
              <w:t>2</w:t>
            </w:r>
          </w:p>
        </w:tc>
      </w:tr>
      <w:tr w:rsidR="00210760" w:rsidRPr="007A7FFA" w14:paraId="24C0FB82" w14:textId="77777777" w:rsidTr="00BD79B2">
        <w:trPr>
          <w:trHeight w:hRule="exact" w:val="289"/>
        </w:trPr>
        <w:tc>
          <w:tcPr>
            <w:tcW w:w="5342" w:type="dxa"/>
          </w:tcPr>
          <w:p w14:paraId="6016CF86" w14:textId="3981ED08" w:rsidR="00210760" w:rsidRPr="00210760" w:rsidRDefault="00607136" w:rsidP="00BC6C4F">
            <w:pPr>
              <w:pStyle w:val="Footer"/>
              <w:tabs>
                <w:tab w:val="clear" w:pos="4153"/>
                <w:tab w:val="clear" w:pos="8306"/>
              </w:tabs>
              <w:rPr>
                <w:szCs w:val="24"/>
              </w:rPr>
            </w:pPr>
            <w:r>
              <w:rPr>
                <w:szCs w:val="24"/>
              </w:rPr>
              <w:t>Total</w:t>
            </w:r>
          </w:p>
        </w:tc>
        <w:tc>
          <w:tcPr>
            <w:tcW w:w="1512" w:type="dxa"/>
            <w:vAlign w:val="center"/>
          </w:tcPr>
          <w:p w14:paraId="6624257D" w14:textId="5248C243" w:rsidR="00210760" w:rsidRPr="00210760" w:rsidRDefault="00210760" w:rsidP="008B00BF">
            <w:pPr>
              <w:pStyle w:val="Footer"/>
              <w:tabs>
                <w:tab w:val="clear" w:pos="4153"/>
                <w:tab w:val="clear" w:pos="8306"/>
                <w:tab w:val="decimal" w:pos="1026"/>
              </w:tabs>
              <w:jc w:val="right"/>
              <w:rPr>
                <w:szCs w:val="24"/>
              </w:rPr>
            </w:pPr>
            <w:r w:rsidRPr="00210760">
              <w:rPr>
                <w:szCs w:val="24"/>
              </w:rPr>
              <w:t>(487)</w:t>
            </w:r>
          </w:p>
        </w:tc>
        <w:tc>
          <w:tcPr>
            <w:tcW w:w="1465" w:type="dxa"/>
            <w:vAlign w:val="center"/>
          </w:tcPr>
          <w:p w14:paraId="13BF1623" w14:textId="68DBD947" w:rsidR="00210760" w:rsidRPr="00210760" w:rsidRDefault="00210760" w:rsidP="008B00BF">
            <w:pPr>
              <w:pStyle w:val="Footer"/>
              <w:tabs>
                <w:tab w:val="clear" w:pos="4153"/>
                <w:tab w:val="clear" w:pos="8306"/>
                <w:tab w:val="decimal" w:pos="1026"/>
              </w:tabs>
              <w:jc w:val="right"/>
              <w:rPr>
                <w:szCs w:val="24"/>
              </w:rPr>
            </w:pPr>
            <w:r w:rsidRPr="00210760">
              <w:rPr>
                <w:szCs w:val="24"/>
              </w:rPr>
              <w:t>(455)</w:t>
            </w:r>
          </w:p>
        </w:tc>
      </w:tr>
    </w:tbl>
    <w:p w14:paraId="0EB86AE3" w14:textId="1F537BCD" w:rsidR="00CA025A" w:rsidRPr="00210760" w:rsidRDefault="004F149A" w:rsidP="00FA71D8">
      <w:pPr>
        <w:pStyle w:val="ListParagraph"/>
        <w:numPr>
          <w:ilvl w:val="0"/>
          <w:numId w:val="37"/>
        </w:numPr>
        <w:rPr>
          <w:szCs w:val="24"/>
        </w:rPr>
      </w:pPr>
      <w:r w:rsidRPr="00210760">
        <w:rPr>
          <w:szCs w:val="24"/>
        </w:rPr>
        <w:t xml:space="preserve">Includes NWFC </w:t>
      </w:r>
      <w:r w:rsidR="005436A9" w:rsidRPr="00210760">
        <w:rPr>
          <w:szCs w:val="24"/>
        </w:rPr>
        <w:t>balances.</w:t>
      </w:r>
    </w:p>
    <w:p w14:paraId="53E9500B" w14:textId="77777777" w:rsidR="00890040" w:rsidRPr="00210760" w:rsidRDefault="00890040" w:rsidP="00210760">
      <w:pPr>
        <w:rPr>
          <w:szCs w:val="24"/>
        </w:rPr>
      </w:pPr>
    </w:p>
    <w:p w14:paraId="38B09E12" w14:textId="592C39EA" w:rsidR="00D90216" w:rsidRPr="003278CF" w:rsidRDefault="00D90216" w:rsidP="003278CF">
      <w:pPr>
        <w:ind w:firstLine="720"/>
        <w:rPr>
          <w:b/>
          <w:bCs/>
        </w:rPr>
      </w:pPr>
      <w:r w:rsidRPr="003278CF">
        <w:rPr>
          <w:b/>
          <w:bCs/>
        </w:rPr>
        <w:t>Details of Assets Held</w:t>
      </w:r>
    </w:p>
    <w:p w14:paraId="6AACFDD7" w14:textId="77777777" w:rsidR="00D90216" w:rsidRPr="00210760" w:rsidRDefault="00D90216" w:rsidP="00210760">
      <w:pPr>
        <w:ind w:left="720"/>
        <w:rPr>
          <w:szCs w:val="24"/>
        </w:rPr>
      </w:pPr>
    </w:p>
    <w:p w14:paraId="09931120" w14:textId="77777777" w:rsidR="00D90216" w:rsidRPr="00210760" w:rsidRDefault="00D90216" w:rsidP="00210760">
      <w:pPr>
        <w:ind w:left="720"/>
        <w:rPr>
          <w:szCs w:val="24"/>
        </w:rPr>
      </w:pPr>
      <w:r w:rsidRPr="00210760">
        <w:rPr>
          <w:szCs w:val="24"/>
        </w:rPr>
        <w:t>The number of main assets held by the Authority are shown below:</w:t>
      </w:r>
    </w:p>
    <w:p w14:paraId="6A04C14E" w14:textId="77777777" w:rsidR="00D90216" w:rsidRPr="00AF3DCD" w:rsidRDefault="00D90216" w:rsidP="00D90216">
      <w:pPr>
        <w:ind w:left="720"/>
        <w:rPr>
          <w:sz w:val="22"/>
        </w:rPr>
      </w:pPr>
    </w:p>
    <w:tbl>
      <w:tblPr>
        <w:tblW w:w="860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5"/>
        <w:gridCol w:w="1560"/>
        <w:gridCol w:w="1417"/>
      </w:tblGrid>
      <w:tr w:rsidR="00174738" w:rsidRPr="00AF3DCD" w14:paraId="63715B59" w14:textId="77777777" w:rsidTr="00611673">
        <w:trPr>
          <w:trHeight w:hRule="exact" w:val="608"/>
          <w:tblHeader/>
        </w:trPr>
        <w:tc>
          <w:tcPr>
            <w:tcW w:w="5625" w:type="dxa"/>
            <w:shd w:val="clear" w:color="auto" w:fill="BD2716"/>
          </w:tcPr>
          <w:p w14:paraId="5378AE84" w14:textId="77777777" w:rsidR="00174738" w:rsidRPr="007641BA" w:rsidRDefault="00174738" w:rsidP="00174738">
            <w:pPr>
              <w:rPr>
                <w:color w:val="FFFFFF" w:themeColor="background1"/>
                <w:szCs w:val="24"/>
              </w:rPr>
            </w:pPr>
          </w:p>
        </w:tc>
        <w:tc>
          <w:tcPr>
            <w:tcW w:w="1560" w:type="dxa"/>
            <w:shd w:val="clear" w:color="auto" w:fill="BD2716"/>
            <w:vAlign w:val="center"/>
          </w:tcPr>
          <w:p w14:paraId="1E0CA8F9" w14:textId="77777777" w:rsidR="00174738" w:rsidRPr="007641BA" w:rsidRDefault="00670DBF" w:rsidP="00611673">
            <w:pPr>
              <w:pStyle w:val="BodyTextIndent"/>
              <w:ind w:left="0"/>
              <w:jc w:val="right"/>
              <w:rPr>
                <w:color w:val="FFFFFF" w:themeColor="background1"/>
                <w:szCs w:val="24"/>
                <w:lang w:val="en-GB"/>
              </w:rPr>
            </w:pPr>
            <w:r w:rsidRPr="007641BA">
              <w:rPr>
                <w:color w:val="FFFFFF" w:themeColor="background1"/>
                <w:szCs w:val="24"/>
                <w:lang w:val="en-GB"/>
              </w:rPr>
              <w:t>202</w:t>
            </w:r>
            <w:r w:rsidR="003D6A01" w:rsidRPr="007641BA">
              <w:rPr>
                <w:color w:val="FFFFFF" w:themeColor="background1"/>
                <w:szCs w:val="24"/>
                <w:lang w:val="en-GB"/>
              </w:rPr>
              <w:t>2</w:t>
            </w:r>
            <w:r w:rsidRPr="007641BA">
              <w:rPr>
                <w:color w:val="FFFFFF" w:themeColor="background1"/>
                <w:szCs w:val="24"/>
                <w:lang w:val="en-GB"/>
              </w:rPr>
              <w:t>/2</w:t>
            </w:r>
            <w:r w:rsidR="003D6A01" w:rsidRPr="007641BA">
              <w:rPr>
                <w:color w:val="FFFFFF" w:themeColor="background1"/>
                <w:szCs w:val="24"/>
                <w:lang w:val="en-GB"/>
              </w:rPr>
              <w:t>3</w:t>
            </w:r>
          </w:p>
          <w:p w14:paraId="57CBEE58" w14:textId="4FD418A8" w:rsidR="00AA6973" w:rsidRPr="007641BA" w:rsidRDefault="00AA6973" w:rsidP="00611673">
            <w:pPr>
              <w:pStyle w:val="BodyTextIndent"/>
              <w:ind w:left="0"/>
              <w:jc w:val="right"/>
              <w:rPr>
                <w:color w:val="FFFFFF" w:themeColor="background1"/>
                <w:szCs w:val="24"/>
                <w:lang w:val="en-GB"/>
              </w:rPr>
            </w:pPr>
            <w:r w:rsidRPr="007641BA">
              <w:rPr>
                <w:color w:val="FFFFFF" w:themeColor="background1"/>
                <w:szCs w:val="24"/>
                <w:lang w:val="en-GB"/>
              </w:rPr>
              <w:t>No.</w:t>
            </w:r>
          </w:p>
        </w:tc>
        <w:tc>
          <w:tcPr>
            <w:tcW w:w="1417" w:type="dxa"/>
            <w:shd w:val="clear" w:color="auto" w:fill="BD2716"/>
            <w:vAlign w:val="center"/>
          </w:tcPr>
          <w:p w14:paraId="4BDE779E" w14:textId="77777777" w:rsidR="00174738" w:rsidRPr="007641BA" w:rsidRDefault="00174738" w:rsidP="00611673">
            <w:pPr>
              <w:pStyle w:val="BodyTextIndent"/>
              <w:ind w:left="0"/>
              <w:jc w:val="right"/>
              <w:rPr>
                <w:color w:val="FFFFFF" w:themeColor="background1"/>
                <w:szCs w:val="24"/>
                <w:lang w:val="en-GB"/>
              </w:rPr>
            </w:pPr>
            <w:r w:rsidRPr="007641BA">
              <w:rPr>
                <w:color w:val="FFFFFF" w:themeColor="background1"/>
                <w:szCs w:val="24"/>
                <w:lang w:val="en-GB"/>
              </w:rPr>
              <w:t>202</w:t>
            </w:r>
            <w:r w:rsidR="003D6A01" w:rsidRPr="007641BA">
              <w:rPr>
                <w:color w:val="FFFFFF" w:themeColor="background1"/>
                <w:szCs w:val="24"/>
                <w:lang w:val="en-GB"/>
              </w:rPr>
              <w:t>1</w:t>
            </w:r>
            <w:r w:rsidRPr="007641BA">
              <w:rPr>
                <w:color w:val="FFFFFF" w:themeColor="background1"/>
                <w:szCs w:val="24"/>
                <w:lang w:val="en-GB"/>
              </w:rPr>
              <w:t>/2</w:t>
            </w:r>
            <w:r w:rsidR="003D6A01" w:rsidRPr="007641BA">
              <w:rPr>
                <w:color w:val="FFFFFF" w:themeColor="background1"/>
                <w:szCs w:val="24"/>
                <w:lang w:val="en-GB"/>
              </w:rPr>
              <w:t>2</w:t>
            </w:r>
          </w:p>
          <w:p w14:paraId="5C8D1D8E" w14:textId="62B601A1" w:rsidR="00AA6973" w:rsidRPr="007641BA" w:rsidRDefault="00AA6973" w:rsidP="00611673">
            <w:pPr>
              <w:pStyle w:val="BodyTextIndent"/>
              <w:ind w:left="0"/>
              <w:jc w:val="right"/>
              <w:rPr>
                <w:color w:val="FFFFFF" w:themeColor="background1"/>
                <w:szCs w:val="24"/>
                <w:lang w:val="en-GB"/>
              </w:rPr>
            </w:pPr>
            <w:r w:rsidRPr="007641BA">
              <w:rPr>
                <w:color w:val="FFFFFF" w:themeColor="background1"/>
                <w:szCs w:val="24"/>
                <w:lang w:val="en-GB"/>
              </w:rPr>
              <w:t>No.</w:t>
            </w:r>
          </w:p>
        </w:tc>
      </w:tr>
      <w:tr w:rsidR="00174738" w:rsidRPr="00AF3DCD" w14:paraId="75ECF98F" w14:textId="77777777" w:rsidTr="00372872">
        <w:trPr>
          <w:trHeight w:hRule="exact" w:val="300"/>
        </w:trPr>
        <w:tc>
          <w:tcPr>
            <w:tcW w:w="5625" w:type="dxa"/>
          </w:tcPr>
          <w:p w14:paraId="0ECA579A" w14:textId="77777777" w:rsidR="00174738" w:rsidRPr="00210760" w:rsidRDefault="00174738" w:rsidP="00174738">
            <w:pPr>
              <w:rPr>
                <w:szCs w:val="24"/>
              </w:rPr>
            </w:pPr>
            <w:r w:rsidRPr="00210760">
              <w:rPr>
                <w:szCs w:val="24"/>
              </w:rPr>
              <w:t>Headquarters</w:t>
            </w:r>
          </w:p>
        </w:tc>
        <w:tc>
          <w:tcPr>
            <w:tcW w:w="1560" w:type="dxa"/>
            <w:vAlign w:val="center"/>
          </w:tcPr>
          <w:p w14:paraId="038F6280" w14:textId="77777777" w:rsidR="00174738" w:rsidRPr="00210760" w:rsidRDefault="00174738" w:rsidP="00BC6C4F">
            <w:pPr>
              <w:pStyle w:val="Footer"/>
              <w:tabs>
                <w:tab w:val="clear" w:pos="4153"/>
                <w:tab w:val="clear" w:pos="8306"/>
                <w:tab w:val="decimal" w:pos="979"/>
              </w:tabs>
              <w:jc w:val="right"/>
              <w:rPr>
                <w:szCs w:val="24"/>
              </w:rPr>
            </w:pPr>
            <w:r w:rsidRPr="00210760">
              <w:rPr>
                <w:szCs w:val="24"/>
              </w:rPr>
              <w:t>1</w:t>
            </w:r>
          </w:p>
        </w:tc>
        <w:tc>
          <w:tcPr>
            <w:tcW w:w="1417" w:type="dxa"/>
            <w:vAlign w:val="center"/>
          </w:tcPr>
          <w:p w14:paraId="0455E0FF" w14:textId="00F9929E" w:rsidR="00174738" w:rsidRPr="00210760" w:rsidRDefault="00174738" w:rsidP="00BC6C4F">
            <w:pPr>
              <w:pStyle w:val="Footer"/>
              <w:tabs>
                <w:tab w:val="clear" w:pos="4153"/>
                <w:tab w:val="clear" w:pos="8306"/>
                <w:tab w:val="decimal" w:pos="979"/>
              </w:tabs>
              <w:jc w:val="right"/>
              <w:rPr>
                <w:szCs w:val="24"/>
              </w:rPr>
            </w:pPr>
            <w:r w:rsidRPr="00210760">
              <w:rPr>
                <w:szCs w:val="24"/>
              </w:rPr>
              <w:t>1</w:t>
            </w:r>
          </w:p>
        </w:tc>
      </w:tr>
      <w:tr w:rsidR="00174738" w:rsidRPr="00AF3DCD" w14:paraId="20428ED7" w14:textId="77777777" w:rsidTr="00372872">
        <w:trPr>
          <w:trHeight w:hRule="exact" w:val="300"/>
        </w:trPr>
        <w:tc>
          <w:tcPr>
            <w:tcW w:w="5625" w:type="dxa"/>
          </w:tcPr>
          <w:p w14:paraId="1F2ED7EA" w14:textId="77777777" w:rsidR="00174738" w:rsidRPr="00210760" w:rsidRDefault="00174738" w:rsidP="00174738">
            <w:pPr>
              <w:pStyle w:val="Footer"/>
              <w:tabs>
                <w:tab w:val="clear" w:pos="4153"/>
                <w:tab w:val="clear" w:pos="8306"/>
              </w:tabs>
              <w:rPr>
                <w:szCs w:val="24"/>
              </w:rPr>
            </w:pPr>
            <w:r w:rsidRPr="00210760">
              <w:rPr>
                <w:szCs w:val="24"/>
              </w:rPr>
              <w:t>Fire Stations (including Area Headquarters)</w:t>
            </w:r>
          </w:p>
        </w:tc>
        <w:tc>
          <w:tcPr>
            <w:tcW w:w="1560" w:type="dxa"/>
            <w:vAlign w:val="center"/>
          </w:tcPr>
          <w:p w14:paraId="631DF450" w14:textId="77777777" w:rsidR="00174738" w:rsidRPr="00210760" w:rsidRDefault="00174738" w:rsidP="00BC6C4F">
            <w:pPr>
              <w:pStyle w:val="Footer"/>
              <w:tabs>
                <w:tab w:val="clear" w:pos="4153"/>
                <w:tab w:val="clear" w:pos="8306"/>
                <w:tab w:val="decimal" w:pos="979"/>
              </w:tabs>
              <w:jc w:val="right"/>
              <w:rPr>
                <w:szCs w:val="24"/>
              </w:rPr>
            </w:pPr>
            <w:r w:rsidRPr="00210760">
              <w:rPr>
                <w:szCs w:val="24"/>
              </w:rPr>
              <w:t>39</w:t>
            </w:r>
          </w:p>
        </w:tc>
        <w:tc>
          <w:tcPr>
            <w:tcW w:w="1417" w:type="dxa"/>
            <w:vAlign w:val="center"/>
          </w:tcPr>
          <w:p w14:paraId="79BFC4B4" w14:textId="017A5FCA" w:rsidR="00174738" w:rsidRPr="00210760" w:rsidRDefault="00174738" w:rsidP="00BC6C4F">
            <w:pPr>
              <w:pStyle w:val="Footer"/>
              <w:tabs>
                <w:tab w:val="clear" w:pos="4153"/>
                <w:tab w:val="clear" w:pos="8306"/>
                <w:tab w:val="decimal" w:pos="979"/>
              </w:tabs>
              <w:jc w:val="right"/>
              <w:rPr>
                <w:szCs w:val="24"/>
              </w:rPr>
            </w:pPr>
            <w:r w:rsidRPr="00210760">
              <w:rPr>
                <w:szCs w:val="24"/>
              </w:rPr>
              <w:t>39</w:t>
            </w:r>
          </w:p>
        </w:tc>
      </w:tr>
      <w:tr w:rsidR="00174738" w:rsidRPr="00AF3DCD" w14:paraId="3347464C" w14:textId="77777777" w:rsidTr="00372872">
        <w:trPr>
          <w:trHeight w:hRule="exact" w:val="300"/>
        </w:trPr>
        <w:tc>
          <w:tcPr>
            <w:tcW w:w="5625" w:type="dxa"/>
          </w:tcPr>
          <w:p w14:paraId="346E9164" w14:textId="77777777" w:rsidR="00174738" w:rsidRPr="00210760" w:rsidRDefault="00174738" w:rsidP="00174738">
            <w:pPr>
              <w:rPr>
                <w:szCs w:val="24"/>
              </w:rPr>
            </w:pPr>
            <w:r w:rsidRPr="00210760">
              <w:rPr>
                <w:szCs w:val="24"/>
              </w:rPr>
              <w:t>Training School</w:t>
            </w:r>
          </w:p>
        </w:tc>
        <w:tc>
          <w:tcPr>
            <w:tcW w:w="1560" w:type="dxa"/>
          </w:tcPr>
          <w:p w14:paraId="10CC8784" w14:textId="77777777" w:rsidR="00174738" w:rsidRPr="00210760" w:rsidRDefault="00174738" w:rsidP="00BC6C4F">
            <w:pPr>
              <w:pStyle w:val="Footer"/>
              <w:tabs>
                <w:tab w:val="clear" w:pos="4153"/>
                <w:tab w:val="clear" w:pos="8306"/>
                <w:tab w:val="decimal" w:pos="979"/>
              </w:tabs>
              <w:jc w:val="right"/>
              <w:rPr>
                <w:szCs w:val="24"/>
              </w:rPr>
            </w:pPr>
            <w:r w:rsidRPr="00210760">
              <w:rPr>
                <w:szCs w:val="24"/>
              </w:rPr>
              <w:t>1</w:t>
            </w:r>
          </w:p>
        </w:tc>
        <w:tc>
          <w:tcPr>
            <w:tcW w:w="1417" w:type="dxa"/>
          </w:tcPr>
          <w:p w14:paraId="4D7F8200" w14:textId="4EB97830" w:rsidR="00174738" w:rsidRPr="00210760" w:rsidRDefault="00174738" w:rsidP="00BC6C4F">
            <w:pPr>
              <w:pStyle w:val="Footer"/>
              <w:tabs>
                <w:tab w:val="clear" w:pos="4153"/>
                <w:tab w:val="clear" w:pos="8306"/>
                <w:tab w:val="decimal" w:pos="979"/>
              </w:tabs>
              <w:jc w:val="right"/>
              <w:rPr>
                <w:szCs w:val="24"/>
              </w:rPr>
            </w:pPr>
            <w:r w:rsidRPr="00210760">
              <w:rPr>
                <w:szCs w:val="24"/>
              </w:rPr>
              <w:t>1</w:t>
            </w:r>
          </w:p>
        </w:tc>
      </w:tr>
      <w:tr w:rsidR="00174738" w:rsidRPr="00AF3DCD" w14:paraId="46695067" w14:textId="77777777" w:rsidTr="00372872">
        <w:trPr>
          <w:trHeight w:hRule="exact" w:val="300"/>
        </w:trPr>
        <w:tc>
          <w:tcPr>
            <w:tcW w:w="5625" w:type="dxa"/>
          </w:tcPr>
          <w:p w14:paraId="50608F33" w14:textId="77777777" w:rsidR="00174738" w:rsidRPr="00210760" w:rsidRDefault="00174738" w:rsidP="00174738">
            <w:pPr>
              <w:rPr>
                <w:szCs w:val="24"/>
              </w:rPr>
            </w:pPr>
            <w:r w:rsidRPr="00210760">
              <w:rPr>
                <w:szCs w:val="24"/>
              </w:rPr>
              <w:t>Fire houses</w:t>
            </w:r>
          </w:p>
        </w:tc>
        <w:tc>
          <w:tcPr>
            <w:tcW w:w="1560" w:type="dxa"/>
          </w:tcPr>
          <w:p w14:paraId="23627D35" w14:textId="77777777" w:rsidR="00174738" w:rsidRPr="00210760" w:rsidRDefault="00174738" w:rsidP="00BC6C4F">
            <w:pPr>
              <w:pStyle w:val="Footer"/>
              <w:tabs>
                <w:tab w:val="clear" w:pos="4153"/>
                <w:tab w:val="clear" w:pos="8306"/>
                <w:tab w:val="decimal" w:pos="979"/>
              </w:tabs>
              <w:jc w:val="right"/>
              <w:rPr>
                <w:szCs w:val="24"/>
              </w:rPr>
            </w:pPr>
            <w:r w:rsidRPr="00210760">
              <w:rPr>
                <w:szCs w:val="24"/>
              </w:rPr>
              <w:t>1</w:t>
            </w:r>
          </w:p>
        </w:tc>
        <w:tc>
          <w:tcPr>
            <w:tcW w:w="1417" w:type="dxa"/>
          </w:tcPr>
          <w:p w14:paraId="53F67051" w14:textId="3C44AA6E" w:rsidR="00174738" w:rsidRPr="00210760" w:rsidRDefault="00174738" w:rsidP="00BC6C4F">
            <w:pPr>
              <w:pStyle w:val="Footer"/>
              <w:tabs>
                <w:tab w:val="clear" w:pos="4153"/>
                <w:tab w:val="clear" w:pos="8306"/>
                <w:tab w:val="decimal" w:pos="979"/>
              </w:tabs>
              <w:jc w:val="right"/>
              <w:rPr>
                <w:szCs w:val="24"/>
              </w:rPr>
            </w:pPr>
            <w:r w:rsidRPr="00210760">
              <w:rPr>
                <w:szCs w:val="24"/>
              </w:rPr>
              <w:t>1</w:t>
            </w:r>
          </w:p>
        </w:tc>
      </w:tr>
    </w:tbl>
    <w:p w14:paraId="48165667" w14:textId="77777777" w:rsidR="00DF2B00" w:rsidRPr="00F74E7D" w:rsidRDefault="00DF2B00" w:rsidP="00D90216">
      <w:pPr>
        <w:rPr>
          <w:b/>
          <w:szCs w:val="24"/>
        </w:rPr>
      </w:pPr>
      <w:bookmarkStart w:id="34" w:name="_Hlk140236889"/>
    </w:p>
    <w:p w14:paraId="61549ABD" w14:textId="51E2FB60" w:rsidR="00D90216" w:rsidRPr="003278CF" w:rsidRDefault="00D90216" w:rsidP="003278CF">
      <w:pPr>
        <w:ind w:firstLine="720"/>
        <w:rPr>
          <w:b/>
          <w:bCs/>
        </w:rPr>
      </w:pPr>
      <w:r w:rsidRPr="003278CF">
        <w:rPr>
          <w:b/>
          <w:bCs/>
        </w:rPr>
        <w:t xml:space="preserve">Capital Commitments </w:t>
      </w:r>
    </w:p>
    <w:p w14:paraId="05C13C40" w14:textId="77777777" w:rsidR="00D90216" w:rsidRPr="00210760" w:rsidRDefault="00D90216" w:rsidP="00210760">
      <w:pPr>
        <w:ind w:left="720"/>
        <w:rPr>
          <w:szCs w:val="24"/>
        </w:rPr>
      </w:pPr>
    </w:p>
    <w:p w14:paraId="613112D4" w14:textId="132D625A" w:rsidR="00D90216" w:rsidRPr="00210760" w:rsidRDefault="00D90216" w:rsidP="00210760">
      <w:pPr>
        <w:pStyle w:val="BodyTextIndent"/>
        <w:rPr>
          <w:szCs w:val="24"/>
          <w:lang w:val="en-GB"/>
        </w:rPr>
      </w:pPr>
      <w:r w:rsidRPr="00210760">
        <w:rPr>
          <w:szCs w:val="24"/>
        </w:rPr>
        <w:t xml:space="preserve">Capital projects often take several years to complete, which means that the Authority is committed to capital expenditure in following years arising from contracts </w:t>
      </w:r>
      <w:proofErr w:type="gramStart"/>
      <w:r w:rsidRPr="00210760">
        <w:rPr>
          <w:szCs w:val="24"/>
        </w:rPr>
        <w:t>entered into</w:t>
      </w:r>
      <w:proofErr w:type="gramEnd"/>
      <w:r w:rsidRPr="00210760">
        <w:rPr>
          <w:szCs w:val="24"/>
        </w:rPr>
        <w:t xml:space="preserve"> at the Balance Sheet date, but on which all or part of the capital work has yet to be undertaken.</w:t>
      </w:r>
      <w:r w:rsidR="0059581D" w:rsidRPr="00210760">
        <w:rPr>
          <w:szCs w:val="24"/>
        </w:rPr>
        <w:t xml:space="preserve"> </w:t>
      </w:r>
      <w:r w:rsidRPr="00210760">
        <w:rPr>
          <w:szCs w:val="24"/>
          <w:lang w:val="en-GB"/>
        </w:rPr>
        <w:t>The estimated capital expen</w:t>
      </w:r>
      <w:r w:rsidR="002A57D5" w:rsidRPr="00210760">
        <w:rPr>
          <w:szCs w:val="24"/>
          <w:lang w:val="en-GB"/>
        </w:rPr>
        <w:t xml:space="preserve">diture committed </w:t>
      </w:r>
      <w:proofErr w:type="gramStart"/>
      <w:r w:rsidR="002A57D5" w:rsidRPr="00210760">
        <w:rPr>
          <w:szCs w:val="24"/>
          <w:lang w:val="en-GB"/>
        </w:rPr>
        <w:t>at</w:t>
      </w:r>
      <w:proofErr w:type="gramEnd"/>
      <w:r w:rsidR="002A57D5" w:rsidRPr="00210760">
        <w:rPr>
          <w:szCs w:val="24"/>
          <w:lang w:val="en-GB"/>
        </w:rPr>
        <w:t xml:space="preserve"> 31 March 202</w:t>
      </w:r>
      <w:r w:rsidR="003D6A01" w:rsidRPr="00210760">
        <w:rPr>
          <w:szCs w:val="24"/>
          <w:lang w:val="en-GB"/>
        </w:rPr>
        <w:t>3</w:t>
      </w:r>
      <w:r w:rsidRPr="00210760">
        <w:rPr>
          <w:szCs w:val="24"/>
          <w:lang w:val="en-GB"/>
        </w:rPr>
        <w:t xml:space="preserve"> is £</w:t>
      </w:r>
      <w:r w:rsidR="00E25141" w:rsidRPr="00210760">
        <w:rPr>
          <w:szCs w:val="24"/>
          <w:lang w:val="en-GB"/>
        </w:rPr>
        <w:t>4.</w:t>
      </w:r>
      <w:r w:rsidR="002023E9" w:rsidRPr="00210760">
        <w:rPr>
          <w:szCs w:val="24"/>
          <w:lang w:val="en-GB"/>
        </w:rPr>
        <w:t>704</w:t>
      </w:r>
      <w:r w:rsidRPr="00210760">
        <w:rPr>
          <w:szCs w:val="24"/>
          <w:lang w:val="en-GB"/>
        </w:rPr>
        <w:t>m (20</w:t>
      </w:r>
      <w:r w:rsidR="006B2155" w:rsidRPr="00210760">
        <w:rPr>
          <w:szCs w:val="24"/>
          <w:lang w:val="en-GB"/>
        </w:rPr>
        <w:t>2</w:t>
      </w:r>
      <w:r w:rsidR="003D6A01" w:rsidRPr="00210760">
        <w:rPr>
          <w:szCs w:val="24"/>
          <w:lang w:val="en-GB"/>
        </w:rPr>
        <w:t>1</w:t>
      </w:r>
      <w:r w:rsidR="006B2155" w:rsidRPr="00210760">
        <w:rPr>
          <w:szCs w:val="24"/>
          <w:lang w:val="en-GB"/>
        </w:rPr>
        <w:t>/2</w:t>
      </w:r>
      <w:r w:rsidR="003D6A01" w:rsidRPr="00210760">
        <w:rPr>
          <w:szCs w:val="24"/>
          <w:lang w:val="en-GB"/>
        </w:rPr>
        <w:t>2</w:t>
      </w:r>
      <w:r w:rsidRPr="00210760">
        <w:rPr>
          <w:szCs w:val="24"/>
          <w:lang w:val="en-GB"/>
        </w:rPr>
        <w:t>: £</w:t>
      </w:r>
      <w:r w:rsidR="003D6A01" w:rsidRPr="00210760">
        <w:rPr>
          <w:szCs w:val="24"/>
          <w:lang w:val="en-GB"/>
        </w:rPr>
        <w:t>3.747m</w:t>
      </w:r>
      <w:r w:rsidRPr="00210760">
        <w:rPr>
          <w:szCs w:val="24"/>
          <w:lang w:val="en-GB"/>
        </w:rPr>
        <w:t>).</w:t>
      </w:r>
    </w:p>
    <w:bookmarkEnd w:id="34"/>
    <w:p w14:paraId="5D98DB8F" w14:textId="77777777" w:rsidR="00DF2B00" w:rsidRDefault="00DF2B00" w:rsidP="00355430">
      <w:pPr>
        <w:pStyle w:val="Footer"/>
        <w:tabs>
          <w:tab w:val="clear" w:pos="4153"/>
          <w:tab w:val="clear" w:pos="8306"/>
        </w:tabs>
        <w:rPr>
          <w:b/>
          <w:sz w:val="22"/>
        </w:rPr>
      </w:pPr>
    </w:p>
    <w:p w14:paraId="32AC35F8" w14:textId="5DAADC46" w:rsidR="00D90216" w:rsidRPr="00210760" w:rsidRDefault="007C6DCB" w:rsidP="00210760">
      <w:pPr>
        <w:pStyle w:val="Heading2"/>
        <w:jc w:val="left"/>
        <w:rPr>
          <w:sz w:val="24"/>
          <w:szCs w:val="24"/>
        </w:rPr>
      </w:pPr>
      <w:bookmarkStart w:id="35" w:name="_Toc166761540"/>
      <w:r w:rsidRPr="00210760">
        <w:rPr>
          <w:sz w:val="24"/>
          <w:szCs w:val="24"/>
        </w:rPr>
        <w:t>7</w:t>
      </w:r>
      <w:r w:rsidR="00355430" w:rsidRPr="00210760">
        <w:rPr>
          <w:sz w:val="24"/>
          <w:szCs w:val="24"/>
        </w:rPr>
        <w:tab/>
      </w:r>
      <w:bookmarkStart w:id="36" w:name="N7"/>
      <w:bookmarkEnd w:id="36"/>
      <w:r w:rsidR="00D90216" w:rsidRPr="00210760">
        <w:rPr>
          <w:sz w:val="24"/>
          <w:szCs w:val="24"/>
        </w:rPr>
        <w:t>Intangible Assets</w:t>
      </w:r>
      <w:bookmarkEnd w:id="35"/>
    </w:p>
    <w:p w14:paraId="139F349A" w14:textId="77777777" w:rsidR="00D90216" w:rsidRPr="00210760" w:rsidRDefault="00D90216" w:rsidP="00210760">
      <w:pPr>
        <w:pStyle w:val="BodyTextIndent"/>
        <w:rPr>
          <w:szCs w:val="24"/>
        </w:rPr>
      </w:pPr>
    </w:p>
    <w:p w14:paraId="5DB1B2B0" w14:textId="370F4249" w:rsidR="00D90216" w:rsidRPr="00210760" w:rsidRDefault="00D90216" w:rsidP="00210760">
      <w:pPr>
        <w:pStyle w:val="BodyTextIndent"/>
        <w:rPr>
          <w:szCs w:val="24"/>
        </w:rPr>
      </w:pPr>
      <w:r w:rsidRPr="00210760">
        <w:rPr>
          <w:szCs w:val="24"/>
        </w:rPr>
        <w:t>The Authority accounts for its software as intangible assets. All software is given a finite useful life, based on assessments of the period that the software is expected to be of use to the Authority.</w:t>
      </w:r>
    </w:p>
    <w:p w14:paraId="0520F35E" w14:textId="77777777" w:rsidR="00D90216" w:rsidRPr="00AF3DCD" w:rsidRDefault="00D90216" w:rsidP="00D90216">
      <w:pPr>
        <w:pStyle w:val="BodyTextIndent"/>
        <w:jc w:val="both"/>
        <w:rPr>
          <w:sz w:val="22"/>
        </w:rPr>
      </w:pPr>
    </w:p>
    <w:tbl>
      <w:tblPr>
        <w:tblW w:w="69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418"/>
        <w:gridCol w:w="1418"/>
      </w:tblGrid>
      <w:tr w:rsidR="00BA53E7" w:rsidRPr="00AF3DCD" w14:paraId="72E251E9" w14:textId="77777777" w:rsidTr="00611673">
        <w:trPr>
          <w:trHeight w:val="255"/>
          <w:tblHeader/>
        </w:trPr>
        <w:tc>
          <w:tcPr>
            <w:tcW w:w="4111" w:type="dxa"/>
            <w:shd w:val="clear" w:color="auto" w:fill="BD2716"/>
            <w:noWrap/>
            <w:vAlign w:val="bottom"/>
          </w:tcPr>
          <w:p w14:paraId="5C250010" w14:textId="6969BDA3" w:rsidR="00BA53E7" w:rsidRPr="007641BA" w:rsidRDefault="00BA53E7" w:rsidP="00BA53E7">
            <w:pPr>
              <w:ind w:firstLine="34"/>
              <w:rPr>
                <w:rFonts w:cs="Arial"/>
                <w:b/>
                <w:bCs/>
                <w:color w:val="FFFFFF" w:themeColor="background1"/>
                <w:szCs w:val="24"/>
                <w:lang w:eastAsia="en-GB"/>
              </w:rPr>
            </w:pPr>
          </w:p>
        </w:tc>
        <w:tc>
          <w:tcPr>
            <w:tcW w:w="1418" w:type="dxa"/>
            <w:shd w:val="clear" w:color="auto" w:fill="BD2716"/>
            <w:noWrap/>
            <w:vAlign w:val="center"/>
          </w:tcPr>
          <w:p w14:paraId="59FC8060" w14:textId="77777777" w:rsidR="00BA53E7" w:rsidRPr="007641BA" w:rsidRDefault="00670DBF" w:rsidP="00611673">
            <w:pPr>
              <w:pStyle w:val="BodyTextIndent"/>
              <w:ind w:left="0"/>
              <w:jc w:val="right"/>
              <w:rPr>
                <w:color w:val="FFFFFF" w:themeColor="background1"/>
                <w:szCs w:val="24"/>
                <w:lang w:val="en-GB"/>
              </w:rPr>
            </w:pPr>
            <w:r w:rsidRPr="007641BA">
              <w:rPr>
                <w:color w:val="FFFFFF" w:themeColor="background1"/>
                <w:szCs w:val="24"/>
                <w:lang w:val="en-GB"/>
              </w:rPr>
              <w:t>202</w:t>
            </w:r>
            <w:r w:rsidR="0047306A" w:rsidRPr="007641BA">
              <w:rPr>
                <w:color w:val="FFFFFF" w:themeColor="background1"/>
                <w:szCs w:val="24"/>
                <w:lang w:val="en-GB"/>
              </w:rPr>
              <w:t>2</w:t>
            </w:r>
            <w:r w:rsidRPr="007641BA">
              <w:rPr>
                <w:color w:val="FFFFFF" w:themeColor="background1"/>
                <w:szCs w:val="24"/>
                <w:lang w:val="en-GB"/>
              </w:rPr>
              <w:t>/2</w:t>
            </w:r>
            <w:r w:rsidR="0047306A" w:rsidRPr="007641BA">
              <w:rPr>
                <w:color w:val="FFFFFF" w:themeColor="background1"/>
                <w:szCs w:val="24"/>
                <w:lang w:val="en-GB"/>
              </w:rPr>
              <w:t>3</w:t>
            </w:r>
          </w:p>
          <w:p w14:paraId="12805862" w14:textId="4FF1CAE1" w:rsidR="00DC7A16" w:rsidRPr="007641BA" w:rsidRDefault="00DC7A16" w:rsidP="00611673">
            <w:pPr>
              <w:pStyle w:val="BodyTextIndent"/>
              <w:ind w:left="0"/>
              <w:jc w:val="right"/>
              <w:rPr>
                <w:color w:val="FFFFFF" w:themeColor="background1"/>
                <w:szCs w:val="24"/>
                <w:lang w:val="en-GB"/>
              </w:rPr>
            </w:pPr>
            <w:r w:rsidRPr="007641BA">
              <w:rPr>
                <w:color w:val="FFFFFF" w:themeColor="background1"/>
                <w:szCs w:val="24"/>
                <w:lang w:val="en-GB"/>
              </w:rPr>
              <w:t>£000</w:t>
            </w:r>
          </w:p>
        </w:tc>
        <w:tc>
          <w:tcPr>
            <w:tcW w:w="1418" w:type="dxa"/>
            <w:shd w:val="clear" w:color="auto" w:fill="BD2716"/>
            <w:vAlign w:val="center"/>
          </w:tcPr>
          <w:p w14:paraId="6267BC9B" w14:textId="77777777" w:rsidR="00BA53E7" w:rsidRPr="007641BA" w:rsidRDefault="00BA53E7" w:rsidP="00611673">
            <w:pPr>
              <w:pStyle w:val="BodyTextIndent"/>
              <w:ind w:left="0"/>
              <w:jc w:val="right"/>
              <w:rPr>
                <w:color w:val="FFFFFF" w:themeColor="background1"/>
                <w:szCs w:val="24"/>
                <w:lang w:val="en-GB"/>
              </w:rPr>
            </w:pPr>
            <w:r w:rsidRPr="007641BA">
              <w:rPr>
                <w:color w:val="FFFFFF" w:themeColor="background1"/>
                <w:szCs w:val="24"/>
                <w:lang w:val="en-GB"/>
              </w:rPr>
              <w:t>202</w:t>
            </w:r>
            <w:r w:rsidR="0047306A" w:rsidRPr="007641BA">
              <w:rPr>
                <w:color w:val="FFFFFF" w:themeColor="background1"/>
                <w:szCs w:val="24"/>
                <w:lang w:val="en-GB"/>
              </w:rPr>
              <w:t>1</w:t>
            </w:r>
            <w:r w:rsidRPr="007641BA">
              <w:rPr>
                <w:color w:val="FFFFFF" w:themeColor="background1"/>
                <w:szCs w:val="24"/>
                <w:lang w:val="en-GB"/>
              </w:rPr>
              <w:t>/2</w:t>
            </w:r>
            <w:r w:rsidR="0047306A" w:rsidRPr="007641BA">
              <w:rPr>
                <w:color w:val="FFFFFF" w:themeColor="background1"/>
                <w:szCs w:val="24"/>
                <w:lang w:val="en-GB"/>
              </w:rPr>
              <w:t>2</w:t>
            </w:r>
          </w:p>
          <w:p w14:paraId="236902F6" w14:textId="741201FB" w:rsidR="00DC7A16" w:rsidRPr="007641BA" w:rsidRDefault="00DC7A16" w:rsidP="00611673">
            <w:pPr>
              <w:pStyle w:val="BodyTextIndent"/>
              <w:ind w:left="0"/>
              <w:jc w:val="right"/>
              <w:rPr>
                <w:color w:val="FFFFFF" w:themeColor="background1"/>
                <w:szCs w:val="24"/>
                <w:lang w:val="en-GB"/>
              </w:rPr>
            </w:pPr>
            <w:r w:rsidRPr="007641BA">
              <w:rPr>
                <w:color w:val="FFFFFF" w:themeColor="background1"/>
                <w:szCs w:val="24"/>
                <w:lang w:val="en-GB"/>
              </w:rPr>
              <w:t>£000</w:t>
            </w:r>
          </w:p>
        </w:tc>
      </w:tr>
      <w:tr w:rsidR="00210760" w:rsidRPr="00AF3DCD" w14:paraId="22916A94" w14:textId="77777777" w:rsidTr="007641BA">
        <w:trPr>
          <w:trHeight w:val="255"/>
        </w:trPr>
        <w:tc>
          <w:tcPr>
            <w:tcW w:w="6947" w:type="dxa"/>
            <w:gridSpan w:val="3"/>
            <w:shd w:val="clear" w:color="auto" w:fill="D9D9D9" w:themeFill="background1" w:themeFillShade="D9"/>
            <w:noWrap/>
            <w:vAlign w:val="bottom"/>
          </w:tcPr>
          <w:p w14:paraId="11909244" w14:textId="00D66C29" w:rsidR="00210760" w:rsidRPr="00210760" w:rsidRDefault="00210760" w:rsidP="00BA53E7">
            <w:pPr>
              <w:rPr>
                <w:rFonts w:cs="Arial"/>
                <w:szCs w:val="24"/>
                <w:lang w:eastAsia="en-GB"/>
              </w:rPr>
            </w:pPr>
            <w:r w:rsidRPr="00210760">
              <w:rPr>
                <w:rFonts w:cs="Arial"/>
                <w:b/>
                <w:bCs/>
                <w:szCs w:val="24"/>
                <w:lang w:eastAsia="en-GB"/>
              </w:rPr>
              <w:t>Cost or valuation</w:t>
            </w:r>
          </w:p>
        </w:tc>
      </w:tr>
      <w:tr w:rsidR="0047306A" w:rsidRPr="0047306A" w14:paraId="7FF84931" w14:textId="77777777" w:rsidTr="008B00BF">
        <w:trPr>
          <w:trHeight w:val="255"/>
        </w:trPr>
        <w:tc>
          <w:tcPr>
            <w:tcW w:w="4111" w:type="dxa"/>
            <w:shd w:val="clear" w:color="auto" w:fill="auto"/>
            <w:noWrap/>
            <w:vAlign w:val="bottom"/>
          </w:tcPr>
          <w:p w14:paraId="3FB26830" w14:textId="77777777" w:rsidR="0047306A" w:rsidRPr="00210760" w:rsidRDefault="0047306A" w:rsidP="0047306A">
            <w:pPr>
              <w:rPr>
                <w:rFonts w:cs="Arial"/>
                <w:szCs w:val="24"/>
                <w:lang w:eastAsia="en-GB"/>
              </w:rPr>
            </w:pPr>
            <w:proofErr w:type="gramStart"/>
            <w:r w:rsidRPr="00210760">
              <w:rPr>
                <w:rFonts w:cs="Arial"/>
                <w:szCs w:val="24"/>
                <w:lang w:eastAsia="en-GB"/>
              </w:rPr>
              <w:t>At</w:t>
            </w:r>
            <w:proofErr w:type="gramEnd"/>
            <w:r w:rsidRPr="00210760">
              <w:rPr>
                <w:rFonts w:cs="Arial"/>
                <w:szCs w:val="24"/>
                <w:lang w:eastAsia="en-GB"/>
              </w:rPr>
              <w:t xml:space="preserve"> 1 April </w:t>
            </w:r>
          </w:p>
        </w:tc>
        <w:tc>
          <w:tcPr>
            <w:tcW w:w="1418" w:type="dxa"/>
            <w:shd w:val="clear" w:color="auto" w:fill="auto"/>
            <w:noWrap/>
            <w:vAlign w:val="center"/>
          </w:tcPr>
          <w:p w14:paraId="3A53CAA9" w14:textId="00D23E6F" w:rsidR="0047306A" w:rsidRPr="00210760" w:rsidRDefault="003615AF" w:rsidP="008B00BF">
            <w:pPr>
              <w:jc w:val="right"/>
              <w:rPr>
                <w:rFonts w:cs="Arial"/>
                <w:szCs w:val="24"/>
                <w:lang w:eastAsia="en-GB"/>
              </w:rPr>
            </w:pPr>
            <w:r w:rsidRPr="00210760">
              <w:rPr>
                <w:rFonts w:cs="Arial"/>
                <w:szCs w:val="24"/>
                <w:lang w:eastAsia="en-GB"/>
              </w:rPr>
              <w:t>2,422</w:t>
            </w:r>
          </w:p>
        </w:tc>
        <w:tc>
          <w:tcPr>
            <w:tcW w:w="1418" w:type="dxa"/>
            <w:shd w:val="clear" w:color="auto" w:fill="auto"/>
            <w:vAlign w:val="center"/>
          </w:tcPr>
          <w:p w14:paraId="4C38B001" w14:textId="3B5640D8" w:rsidR="0047306A" w:rsidRPr="00210760" w:rsidRDefault="0047306A" w:rsidP="008B00BF">
            <w:pPr>
              <w:jc w:val="right"/>
              <w:rPr>
                <w:rFonts w:cs="Arial"/>
                <w:szCs w:val="24"/>
                <w:lang w:eastAsia="en-GB"/>
              </w:rPr>
            </w:pPr>
            <w:r w:rsidRPr="00210760">
              <w:rPr>
                <w:rFonts w:cs="Arial"/>
                <w:szCs w:val="24"/>
                <w:lang w:eastAsia="en-GB"/>
              </w:rPr>
              <w:t>2,380</w:t>
            </w:r>
          </w:p>
        </w:tc>
      </w:tr>
      <w:tr w:rsidR="0047306A" w:rsidRPr="0047306A" w14:paraId="7586522D" w14:textId="77777777" w:rsidTr="008B00BF">
        <w:trPr>
          <w:trHeight w:val="255"/>
        </w:trPr>
        <w:tc>
          <w:tcPr>
            <w:tcW w:w="4111" w:type="dxa"/>
            <w:shd w:val="clear" w:color="auto" w:fill="auto"/>
            <w:noWrap/>
            <w:vAlign w:val="bottom"/>
          </w:tcPr>
          <w:p w14:paraId="731CCCAA" w14:textId="77777777" w:rsidR="0047306A" w:rsidRPr="00210760" w:rsidRDefault="0047306A" w:rsidP="0047306A">
            <w:pPr>
              <w:pStyle w:val="CommentText"/>
              <w:rPr>
                <w:rFonts w:cs="Arial"/>
                <w:sz w:val="24"/>
                <w:szCs w:val="24"/>
                <w:lang w:eastAsia="en-GB"/>
              </w:rPr>
            </w:pPr>
            <w:r w:rsidRPr="00210760">
              <w:rPr>
                <w:rFonts w:cs="Arial"/>
                <w:sz w:val="24"/>
                <w:szCs w:val="24"/>
                <w:lang w:eastAsia="en-GB"/>
              </w:rPr>
              <w:t>Additions</w:t>
            </w:r>
          </w:p>
        </w:tc>
        <w:tc>
          <w:tcPr>
            <w:tcW w:w="1418" w:type="dxa"/>
            <w:shd w:val="clear" w:color="auto" w:fill="auto"/>
            <w:noWrap/>
            <w:vAlign w:val="center"/>
          </w:tcPr>
          <w:p w14:paraId="32E49D4E" w14:textId="76CF1022" w:rsidR="0047306A" w:rsidRPr="00210760" w:rsidRDefault="003615AF" w:rsidP="008B00BF">
            <w:pPr>
              <w:jc w:val="right"/>
              <w:rPr>
                <w:rFonts w:cs="Arial"/>
                <w:szCs w:val="24"/>
                <w:lang w:eastAsia="en-GB"/>
              </w:rPr>
            </w:pPr>
            <w:r w:rsidRPr="00210760">
              <w:rPr>
                <w:rFonts w:cs="Arial"/>
                <w:szCs w:val="24"/>
                <w:lang w:eastAsia="en-GB"/>
              </w:rPr>
              <w:t>477</w:t>
            </w:r>
          </w:p>
        </w:tc>
        <w:tc>
          <w:tcPr>
            <w:tcW w:w="1418" w:type="dxa"/>
            <w:shd w:val="clear" w:color="auto" w:fill="auto"/>
            <w:vAlign w:val="center"/>
          </w:tcPr>
          <w:p w14:paraId="5F3FCC90" w14:textId="32B1D8AF" w:rsidR="0047306A" w:rsidRPr="00210760" w:rsidRDefault="0047306A" w:rsidP="008B00BF">
            <w:pPr>
              <w:jc w:val="right"/>
              <w:rPr>
                <w:rFonts w:cs="Arial"/>
                <w:szCs w:val="24"/>
                <w:lang w:eastAsia="en-GB"/>
              </w:rPr>
            </w:pPr>
            <w:r w:rsidRPr="00210760">
              <w:rPr>
                <w:rFonts w:cs="Arial"/>
                <w:szCs w:val="24"/>
                <w:lang w:eastAsia="en-GB"/>
              </w:rPr>
              <w:t>42</w:t>
            </w:r>
          </w:p>
        </w:tc>
      </w:tr>
      <w:tr w:rsidR="0047306A" w:rsidRPr="0047306A" w14:paraId="4BF3ECE8" w14:textId="77777777" w:rsidTr="008B00BF">
        <w:trPr>
          <w:trHeight w:val="255"/>
        </w:trPr>
        <w:tc>
          <w:tcPr>
            <w:tcW w:w="4111" w:type="dxa"/>
            <w:shd w:val="clear" w:color="auto" w:fill="auto"/>
            <w:noWrap/>
            <w:vAlign w:val="bottom"/>
          </w:tcPr>
          <w:p w14:paraId="2C5E673A" w14:textId="77777777" w:rsidR="0047306A" w:rsidRPr="00210760" w:rsidRDefault="0047306A" w:rsidP="0047306A">
            <w:pPr>
              <w:rPr>
                <w:rFonts w:cs="Arial"/>
                <w:szCs w:val="24"/>
                <w:lang w:eastAsia="en-GB"/>
              </w:rPr>
            </w:pPr>
            <w:r w:rsidRPr="00210760">
              <w:rPr>
                <w:rFonts w:cs="Arial"/>
                <w:szCs w:val="24"/>
                <w:lang w:eastAsia="en-GB"/>
              </w:rPr>
              <w:t xml:space="preserve">As </w:t>
            </w:r>
            <w:proofErr w:type="gramStart"/>
            <w:r w:rsidRPr="00210760">
              <w:rPr>
                <w:rFonts w:cs="Arial"/>
                <w:szCs w:val="24"/>
                <w:lang w:eastAsia="en-GB"/>
              </w:rPr>
              <w:t>at</w:t>
            </w:r>
            <w:proofErr w:type="gramEnd"/>
            <w:r w:rsidRPr="00210760">
              <w:rPr>
                <w:rFonts w:cs="Arial"/>
                <w:szCs w:val="24"/>
                <w:lang w:eastAsia="en-GB"/>
              </w:rPr>
              <w:t xml:space="preserve"> 31 March</w:t>
            </w:r>
          </w:p>
        </w:tc>
        <w:tc>
          <w:tcPr>
            <w:tcW w:w="1418" w:type="dxa"/>
            <w:shd w:val="clear" w:color="auto" w:fill="auto"/>
            <w:noWrap/>
            <w:vAlign w:val="center"/>
          </w:tcPr>
          <w:p w14:paraId="3CAAD444" w14:textId="67E63846" w:rsidR="0047306A" w:rsidRPr="00210760" w:rsidRDefault="0047306A" w:rsidP="008B00BF">
            <w:pPr>
              <w:jc w:val="right"/>
              <w:rPr>
                <w:rFonts w:cs="Arial"/>
                <w:szCs w:val="24"/>
                <w:lang w:eastAsia="en-GB"/>
              </w:rPr>
            </w:pPr>
            <w:r w:rsidRPr="00210760">
              <w:rPr>
                <w:rFonts w:cs="Arial"/>
                <w:szCs w:val="24"/>
                <w:lang w:eastAsia="en-GB"/>
              </w:rPr>
              <w:t>2,</w:t>
            </w:r>
            <w:r w:rsidR="0076315B" w:rsidRPr="00210760">
              <w:rPr>
                <w:rFonts w:cs="Arial"/>
                <w:szCs w:val="24"/>
                <w:lang w:eastAsia="en-GB"/>
              </w:rPr>
              <w:t>899</w:t>
            </w:r>
          </w:p>
        </w:tc>
        <w:tc>
          <w:tcPr>
            <w:tcW w:w="1418" w:type="dxa"/>
            <w:shd w:val="clear" w:color="auto" w:fill="auto"/>
            <w:vAlign w:val="center"/>
          </w:tcPr>
          <w:p w14:paraId="3C6C8525" w14:textId="0B3697E2" w:rsidR="0047306A" w:rsidRPr="00210760" w:rsidRDefault="0047306A" w:rsidP="008B00BF">
            <w:pPr>
              <w:jc w:val="right"/>
              <w:rPr>
                <w:rFonts w:cs="Arial"/>
                <w:szCs w:val="24"/>
                <w:lang w:eastAsia="en-GB"/>
              </w:rPr>
            </w:pPr>
            <w:r w:rsidRPr="00210760">
              <w:rPr>
                <w:rFonts w:cs="Arial"/>
                <w:szCs w:val="24"/>
                <w:lang w:eastAsia="en-GB"/>
              </w:rPr>
              <w:t>2,422</w:t>
            </w:r>
          </w:p>
        </w:tc>
      </w:tr>
    </w:tbl>
    <w:p w14:paraId="53A86BD4" w14:textId="77777777" w:rsidR="00372872" w:rsidRDefault="00372872"/>
    <w:tbl>
      <w:tblPr>
        <w:tblW w:w="69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418"/>
        <w:gridCol w:w="1418"/>
      </w:tblGrid>
      <w:tr w:rsidR="00372872" w:rsidRPr="0047306A" w14:paraId="65DE0E46" w14:textId="77777777" w:rsidTr="007641BA">
        <w:trPr>
          <w:trHeight w:val="255"/>
        </w:trPr>
        <w:tc>
          <w:tcPr>
            <w:tcW w:w="6947" w:type="dxa"/>
            <w:gridSpan w:val="3"/>
            <w:shd w:val="clear" w:color="auto" w:fill="D9D9D9" w:themeFill="background1" w:themeFillShade="D9"/>
            <w:noWrap/>
            <w:vAlign w:val="bottom"/>
          </w:tcPr>
          <w:p w14:paraId="6B227E24" w14:textId="6967F17E" w:rsidR="00372872" w:rsidRPr="00210760" w:rsidRDefault="00372872" w:rsidP="00372872">
            <w:pPr>
              <w:rPr>
                <w:rFonts w:cs="Arial"/>
                <w:szCs w:val="24"/>
                <w:lang w:eastAsia="en-GB"/>
              </w:rPr>
            </w:pPr>
            <w:r w:rsidRPr="00210760">
              <w:rPr>
                <w:rFonts w:cs="Arial"/>
                <w:b/>
                <w:bCs/>
                <w:szCs w:val="24"/>
                <w:lang w:eastAsia="en-GB"/>
              </w:rPr>
              <w:t>Amortisation &amp; impairment</w:t>
            </w:r>
          </w:p>
        </w:tc>
      </w:tr>
      <w:tr w:rsidR="0047306A" w:rsidRPr="0047306A" w14:paraId="79F33B88" w14:textId="77777777" w:rsidTr="008B00BF">
        <w:trPr>
          <w:trHeight w:val="255"/>
        </w:trPr>
        <w:tc>
          <w:tcPr>
            <w:tcW w:w="4111" w:type="dxa"/>
            <w:shd w:val="clear" w:color="auto" w:fill="auto"/>
            <w:noWrap/>
            <w:vAlign w:val="bottom"/>
          </w:tcPr>
          <w:p w14:paraId="12D692D0" w14:textId="3D0023CE" w:rsidR="0047306A" w:rsidRPr="00210760" w:rsidRDefault="0047306A" w:rsidP="0047306A">
            <w:pPr>
              <w:rPr>
                <w:rFonts w:cs="Arial"/>
                <w:szCs w:val="24"/>
                <w:lang w:eastAsia="en-GB"/>
              </w:rPr>
            </w:pPr>
            <w:proofErr w:type="gramStart"/>
            <w:r w:rsidRPr="00210760">
              <w:rPr>
                <w:rFonts w:cs="Arial"/>
                <w:szCs w:val="24"/>
                <w:lang w:eastAsia="en-GB"/>
              </w:rPr>
              <w:t>At</w:t>
            </w:r>
            <w:proofErr w:type="gramEnd"/>
            <w:r w:rsidRPr="00210760">
              <w:rPr>
                <w:rFonts w:cs="Arial"/>
                <w:szCs w:val="24"/>
                <w:lang w:eastAsia="en-GB"/>
              </w:rPr>
              <w:t xml:space="preserve"> 1 April </w:t>
            </w:r>
          </w:p>
        </w:tc>
        <w:tc>
          <w:tcPr>
            <w:tcW w:w="1418" w:type="dxa"/>
            <w:shd w:val="clear" w:color="auto" w:fill="auto"/>
            <w:noWrap/>
            <w:vAlign w:val="center"/>
          </w:tcPr>
          <w:p w14:paraId="4CCAE0F2" w14:textId="4F965E58" w:rsidR="0047306A" w:rsidRPr="00210760" w:rsidRDefault="0047306A" w:rsidP="008B00BF">
            <w:pPr>
              <w:jc w:val="right"/>
              <w:rPr>
                <w:rFonts w:cs="Arial"/>
                <w:szCs w:val="24"/>
                <w:lang w:eastAsia="en-GB"/>
              </w:rPr>
            </w:pPr>
            <w:r w:rsidRPr="00210760">
              <w:rPr>
                <w:rFonts w:cs="Arial"/>
                <w:szCs w:val="24"/>
                <w:lang w:eastAsia="en-GB"/>
              </w:rPr>
              <w:t>(1,</w:t>
            </w:r>
            <w:r w:rsidR="00BB3F6A" w:rsidRPr="00210760">
              <w:rPr>
                <w:rFonts w:cs="Arial"/>
                <w:szCs w:val="24"/>
                <w:lang w:eastAsia="en-GB"/>
              </w:rPr>
              <w:t>899</w:t>
            </w:r>
            <w:r w:rsidRPr="00210760">
              <w:rPr>
                <w:rFonts w:cs="Arial"/>
                <w:szCs w:val="24"/>
                <w:lang w:eastAsia="en-GB"/>
              </w:rPr>
              <w:t>)</w:t>
            </w:r>
          </w:p>
        </w:tc>
        <w:tc>
          <w:tcPr>
            <w:tcW w:w="1418" w:type="dxa"/>
            <w:shd w:val="clear" w:color="auto" w:fill="auto"/>
            <w:vAlign w:val="center"/>
          </w:tcPr>
          <w:p w14:paraId="3E3090E8" w14:textId="26A69590" w:rsidR="0047306A" w:rsidRPr="00210760" w:rsidRDefault="0047306A" w:rsidP="008B00BF">
            <w:pPr>
              <w:jc w:val="right"/>
              <w:rPr>
                <w:rFonts w:cs="Arial"/>
                <w:szCs w:val="24"/>
                <w:lang w:eastAsia="en-GB"/>
              </w:rPr>
            </w:pPr>
            <w:r w:rsidRPr="00210760">
              <w:rPr>
                <w:rFonts w:cs="Arial"/>
                <w:szCs w:val="24"/>
                <w:lang w:eastAsia="en-GB"/>
              </w:rPr>
              <w:t>(1,741)</w:t>
            </w:r>
          </w:p>
        </w:tc>
      </w:tr>
      <w:tr w:rsidR="0047306A" w:rsidRPr="0047306A" w14:paraId="266CF08C" w14:textId="77777777" w:rsidTr="008B00BF">
        <w:trPr>
          <w:trHeight w:val="255"/>
        </w:trPr>
        <w:tc>
          <w:tcPr>
            <w:tcW w:w="4111" w:type="dxa"/>
            <w:shd w:val="clear" w:color="auto" w:fill="auto"/>
            <w:noWrap/>
            <w:vAlign w:val="bottom"/>
          </w:tcPr>
          <w:p w14:paraId="033FC2E7" w14:textId="77777777" w:rsidR="0047306A" w:rsidRPr="00210760" w:rsidRDefault="0047306A" w:rsidP="0047306A">
            <w:pPr>
              <w:rPr>
                <w:rFonts w:cs="Arial"/>
                <w:szCs w:val="24"/>
                <w:lang w:eastAsia="en-GB"/>
              </w:rPr>
            </w:pPr>
            <w:r w:rsidRPr="00210760">
              <w:rPr>
                <w:rFonts w:cs="Arial"/>
                <w:szCs w:val="24"/>
                <w:lang w:eastAsia="en-GB"/>
              </w:rPr>
              <w:t>Amortisation charge for the year</w:t>
            </w:r>
          </w:p>
        </w:tc>
        <w:tc>
          <w:tcPr>
            <w:tcW w:w="1418" w:type="dxa"/>
            <w:shd w:val="clear" w:color="auto" w:fill="auto"/>
            <w:noWrap/>
            <w:vAlign w:val="center"/>
          </w:tcPr>
          <w:p w14:paraId="4024BA03" w14:textId="676144E3" w:rsidR="0047306A" w:rsidRPr="00210760" w:rsidRDefault="0047306A" w:rsidP="008B00BF">
            <w:pPr>
              <w:jc w:val="right"/>
              <w:rPr>
                <w:rFonts w:cs="Arial"/>
                <w:szCs w:val="24"/>
                <w:lang w:eastAsia="en-GB"/>
              </w:rPr>
            </w:pPr>
            <w:r w:rsidRPr="00210760">
              <w:rPr>
                <w:rFonts w:cs="Arial"/>
                <w:szCs w:val="24"/>
                <w:lang w:eastAsia="en-GB"/>
              </w:rPr>
              <w:t>(</w:t>
            </w:r>
            <w:r w:rsidR="003615AF" w:rsidRPr="00210760">
              <w:rPr>
                <w:rFonts w:cs="Arial"/>
                <w:szCs w:val="24"/>
                <w:lang w:eastAsia="en-GB"/>
              </w:rPr>
              <w:t>94</w:t>
            </w:r>
            <w:r w:rsidRPr="00210760">
              <w:rPr>
                <w:rFonts w:cs="Arial"/>
                <w:szCs w:val="24"/>
                <w:lang w:eastAsia="en-GB"/>
              </w:rPr>
              <w:t>)</w:t>
            </w:r>
          </w:p>
        </w:tc>
        <w:tc>
          <w:tcPr>
            <w:tcW w:w="1418" w:type="dxa"/>
            <w:shd w:val="clear" w:color="auto" w:fill="auto"/>
            <w:vAlign w:val="center"/>
          </w:tcPr>
          <w:p w14:paraId="2C1A833C" w14:textId="10E8B189" w:rsidR="0047306A" w:rsidRPr="00210760" w:rsidRDefault="0047306A" w:rsidP="008B00BF">
            <w:pPr>
              <w:jc w:val="right"/>
              <w:rPr>
                <w:rFonts w:cs="Arial"/>
                <w:szCs w:val="24"/>
                <w:lang w:eastAsia="en-GB"/>
              </w:rPr>
            </w:pPr>
            <w:r w:rsidRPr="00210760">
              <w:rPr>
                <w:rFonts w:cs="Arial"/>
                <w:szCs w:val="24"/>
                <w:lang w:eastAsia="en-GB"/>
              </w:rPr>
              <w:t>(158)</w:t>
            </w:r>
          </w:p>
        </w:tc>
      </w:tr>
      <w:tr w:rsidR="0047306A" w:rsidRPr="0047306A" w14:paraId="7571EBC6" w14:textId="77777777" w:rsidTr="008B00BF">
        <w:trPr>
          <w:trHeight w:val="255"/>
        </w:trPr>
        <w:tc>
          <w:tcPr>
            <w:tcW w:w="4111" w:type="dxa"/>
            <w:shd w:val="clear" w:color="auto" w:fill="auto"/>
            <w:noWrap/>
            <w:vAlign w:val="bottom"/>
          </w:tcPr>
          <w:p w14:paraId="23A68DD0" w14:textId="77777777" w:rsidR="0047306A" w:rsidRPr="00210760" w:rsidRDefault="0047306A" w:rsidP="0047306A">
            <w:pPr>
              <w:rPr>
                <w:rFonts w:cs="Arial"/>
                <w:szCs w:val="24"/>
                <w:lang w:eastAsia="en-GB"/>
              </w:rPr>
            </w:pPr>
            <w:r w:rsidRPr="00210760">
              <w:rPr>
                <w:rFonts w:cs="Arial"/>
                <w:szCs w:val="24"/>
                <w:lang w:eastAsia="en-GB"/>
              </w:rPr>
              <w:t xml:space="preserve">As </w:t>
            </w:r>
            <w:proofErr w:type="gramStart"/>
            <w:r w:rsidRPr="00210760">
              <w:rPr>
                <w:rFonts w:cs="Arial"/>
                <w:szCs w:val="24"/>
                <w:lang w:eastAsia="en-GB"/>
              </w:rPr>
              <w:t>at</w:t>
            </w:r>
            <w:proofErr w:type="gramEnd"/>
            <w:r w:rsidRPr="00210760">
              <w:rPr>
                <w:rFonts w:cs="Arial"/>
                <w:szCs w:val="24"/>
                <w:lang w:eastAsia="en-GB"/>
              </w:rPr>
              <w:t xml:space="preserve"> 31 March </w:t>
            </w:r>
          </w:p>
        </w:tc>
        <w:tc>
          <w:tcPr>
            <w:tcW w:w="1418" w:type="dxa"/>
            <w:shd w:val="clear" w:color="auto" w:fill="auto"/>
            <w:noWrap/>
            <w:vAlign w:val="center"/>
          </w:tcPr>
          <w:p w14:paraId="479B23A7" w14:textId="56C90212" w:rsidR="0047306A" w:rsidRPr="00210760" w:rsidRDefault="0047306A" w:rsidP="008B00BF">
            <w:pPr>
              <w:jc w:val="right"/>
              <w:rPr>
                <w:rFonts w:cs="Arial"/>
                <w:szCs w:val="24"/>
                <w:lang w:eastAsia="en-GB"/>
              </w:rPr>
            </w:pPr>
            <w:r w:rsidRPr="00210760">
              <w:rPr>
                <w:rFonts w:cs="Arial"/>
                <w:szCs w:val="24"/>
                <w:lang w:eastAsia="en-GB"/>
              </w:rPr>
              <w:t>(1,</w:t>
            </w:r>
            <w:r w:rsidR="00BB3F6A" w:rsidRPr="00210760">
              <w:rPr>
                <w:rFonts w:cs="Arial"/>
                <w:szCs w:val="24"/>
                <w:lang w:eastAsia="en-GB"/>
              </w:rPr>
              <w:t>993</w:t>
            </w:r>
            <w:r w:rsidRPr="00210760">
              <w:rPr>
                <w:rFonts w:cs="Arial"/>
                <w:szCs w:val="24"/>
                <w:lang w:eastAsia="en-GB"/>
              </w:rPr>
              <w:t>)</w:t>
            </w:r>
          </w:p>
        </w:tc>
        <w:tc>
          <w:tcPr>
            <w:tcW w:w="1418" w:type="dxa"/>
            <w:shd w:val="clear" w:color="auto" w:fill="auto"/>
            <w:vAlign w:val="center"/>
          </w:tcPr>
          <w:p w14:paraId="6655C5AF" w14:textId="530D4F14" w:rsidR="0047306A" w:rsidRPr="00210760" w:rsidRDefault="0047306A" w:rsidP="008B00BF">
            <w:pPr>
              <w:jc w:val="right"/>
              <w:rPr>
                <w:rFonts w:cs="Arial"/>
                <w:szCs w:val="24"/>
                <w:lang w:eastAsia="en-GB"/>
              </w:rPr>
            </w:pPr>
            <w:r w:rsidRPr="00210760">
              <w:rPr>
                <w:rFonts w:cs="Arial"/>
                <w:szCs w:val="24"/>
                <w:lang w:eastAsia="en-GB"/>
              </w:rPr>
              <w:t>(1,899)</w:t>
            </w:r>
          </w:p>
        </w:tc>
      </w:tr>
      <w:tr w:rsidR="0047306A" w:rsidRPr="0047306A" w14:paraId="236EF7C9" w14:textId="77777777" w:rsidTr="008B00BF">
        <w:trPr>
          <w:trHeight w:val="80"/>
        </w:trPr>
        <w:tc>
          <w:tcPr>
            <w:tcW w:w="4111" w:type="dxa"/>
            <w:shd w:val="clear" w:color="auto" w:fill="auto"/>
            <w:noWrap/>
            <w:vAlign w:val="bottom"/>
          </w:tcPr>
          <w:p w14:paraId="2AE3FF41" w14:textId="01C791D4" w:rsidR="0047306A" w:rsidRPr="00210760" w:rsidRDefault="0047306A" w:rsidP="0047306A">
            <w:pPr>
              <w:rPr>
                <w:rFonts w:cs="Arial"/>
                <w:szCs w:val="24"/>
                <w:lang w:eastAsia="en-GB"/>
              </w:rPr>
            </w:pPr>
            <w:r w:rsidRPr="00210760">
              <w:rPr>
                <w:rFonts w:cs="Arial"/>
                <w:szCs w:val="24"/>
                <w:lang w:eastAsia="en-GB"/>
              </w:rPr>
              <w:t xml:space="preserve">Balance sheet </w:t>
            </w:r>
            <w:proofErr w:type="gramStart"/>
            <w:r w:rsidRPr="00210760">
              <w:rPr>
                <w:rFonts w:cs="Arial"/>
                <w:szCs w:val="24"/>
                <w:lang w:eastAsia="en-GB"/>
              </w:rPr>
              <w:t>at</w:t>
            </w:r>
            <w:proofErr w:type="gramEnd"/>
            <w:r w:rsidRPr="00210760">
              <w:rPr>
                <w:rFonts w:cs="Arial"/>
                <w:szCs w:val="24"/>
                <w:lang w:eastAsia="en-GB"/>
              </w:rPr>
              <w:t xml:space="preserve"> 31 March 2023</w:t>
            </w:r>
          </w:p>
        </w:tc>
        <w:tc>
          <w:tcPr>
            <w:tcW w:w="1418" w:type="dxa"/>
            <w:shd w:val="clear" w:color="auto" w:fill="auto"/>
            <w:noWrap/>
            <w:vAlign w:val="center"/>
          </w:tcPr>
          <w:p w14:paraId="07C42088" w14:textId="0B6157AA" w:rsidR="0047306A" w:rsidRPr="00210760" w:rsidRDefault="00BB3F6A" w:rsidP="008B00BF">
            <w:pPr>
              <w:jc w:val="right"/>
              <w:rPr>
                <w:rFonts w:cs="Arial"/>
                <w:szCs w:val="24"/>
                <w:lang w:eastAsia="en-GB"/>
              </w:rPr>
            </w:pPr>
            <w:r w:rsidRPr="00210760">
              <w:rPr>
                <w:rFonts w:cs="Arial"/>
                <w:szCs w:val="24"/>
                <w:lang w:eastAsia="en-GB"/>
              </w:rPr>
              <w:t>906</w:t>
            </w:r>
          </w:p>
        </w:tc>
        <w:tc>
          <w:tcPr>
            <w:tcW w:w="1418" w:type="dxa"/>
            <w:shd w:val="clear" w:color="auto" w:fill="auto"/>
            <w:vAlign w:val="center"/>
          </w:tcPr>
          <w:p w14:paraId="1FD5E99F" w14:textId="44F1144D" w:rsidR="0047306A" w:rsidRPr="00210760" w:rsidRDefault="0047306A" w:rsidP="008B00BF">
            <w:pPr>
              <w:jc w:val="right"/>
              <w:rPr>
                <w:rFonts w:cs="Arial"/>
                <w:szCs w:val="24"/>
                <w:lang w:eastAsia="en-GB"/>
              </w:rPr>
            </w:pPr>
            <w:r w:rsidRPr="00210760">
              <w:rPr>
                <w:rFonts w:cs="Arial"/>
                <w:szCs w:val="24"/>
                <w:lang w:eastAsia="en-GB"/>
              </w:rPr>
              <w:t>523</w:t>
            </w:r>
          </w:p>
        </w:tc>
      </w:tr>
      <w:tr w:rsidR="0047306A" w:rsidRPr="0047306A" w14:paraId="3D7B5732" w14:textId="77777777" w:rsidTr="008B00BF">
        <w:trPr>
          <w:trHeight w:val="255"/>
        </w:trPr>
        <w:tc>
          <w:tcPr>
            <w:tcW w:w="4111" w:type="dxa"/>
            <w:shd w:val="clear" w:color="auto" w:fill="auto"/>
            <w:noWrap/>
            <w:vAlign w:val="bottom"/>
          </w:tcPr>
          <w:p w14:paraId="5429776B" w14:textId="7C70DFFE" w:rsidR="0047306A" w:rsidRPr="00210760" w:rsidRDefault="0047306A" w:rsidP="0047306A">
            <w:pPr>
              <w:rPr>
                <w:rFonts w:cs="Arial"/>
                <w:szCs w:val="24"/>
                <w:lang w:eastAsia="en-GB"/>
              </w:rPr>
            </w:pPr>
            <w:r w:rsidRPr="00210760">
              <w:rPr>
                <w:rFonts w:cs="Arial"/>
                <w:szCs w:val="24"/>
                <w:lang w:eastAsia="en-GB"/>
              </w:rPr>
              <w:t xml:space="preserve">Balance sheet </w:t>
            </w:r>
            <w:proofErr w:type="gramStart"/>
            <w:r w:rsidRPr="00210760">
              <w:rPr>
                <w:rFonts w:cs="Arial"/>
                <w:szCs w:val="24"/>
                <w:lang w:eastAsia="en-GB"/>
              </w:rPr>
              <w:t>at</w:t>
            </w:r>
            <w:proofErr w:type="gramEnd"/>
            <w:r w:rsidRPr="00210760">
              <w:rPr>
                <w:rFonts w:cs="Arial"/>
                <w:szCs w:val="24"/>
                <w:lang w:eastAsia="en-GB"/>
              </w:rPr>
              <w:t xml:space="preserve"> 31 March 2022</w:t>
            </w:r>
          </w:p>
        </w:tc>
        <w:tc>
          <w:tcPr>
            <w:tcW w:w="1418" w:type="dxa"/>
            <w:shd w:val="clear" w:color="auto" w:fill="auto"/>
            <w:noWrap/>
            <w:vAlign w:val="center"/>
          </w:tcPr>
          <w:p w14:paraId="55D72188" w14:textId="16E58147" w:rsidR="0047306A" w:rsidRPr="00210760" w:rsidRDefault="0047306A" w:rsidP="008B00BF">
            <w:pPr>
              <w:jc w:val="right"/>
              <w:rPr>
                <w:rFonts w:cs="Arial"/>
                <w:szCs w:val="24"/>
                <w:lang w:eastAsia="en-GB"/>
              </w:rPr>
            </w:pPr>
            <w:r w:rsidRPr="00210760">
              <w:rPr>
                <w:rFonts w:cs="Arial"/>
                <w:szCs w:val="24"/>
                <w:lang w:eastAsia="en-GB"/>
              </w:rPr>
              <w:t>523</w:t>
            </w:r>
          </w:p>
        </w:tc>
        <w:tc>
          <w:tcPr>
            <w:tcW w:w="1418" w:type="dxa"/>
            <w:shd w:val="clear" w:color="auto" w:fill="auto"/>
            <w:vAlign w:val="center"/>
          </w:tcPr>
          <w:p w14:paraId="0F629A7E" w14:textId="183465DA" w:rsidR="0047306A" w:rsidRPr="00210760" w:rsidRDefault="0047306A" w:rsidP="008B00BF">
            <w:pPr>
              <w:jc w:val="right"/>
              <w:rPr>
                <w:rFonts w:cs="Arial"/>
                <w:szCs w:val="24"/>
                <w:lang w:eastAsia="en-GB"/>
              </w:rPr>
            </w:pPr>
            <w:r w:rsidRPr="00210760">
              <w:rPr>
                <w:rFonts w:cs="Arial"/>
                <w:szCs w:val="24"/>
                <w:lang w:eastAsia="en-GB"/>
              </w:rPr>
              <w:t>639</w:t>
            </w:r>
          </w:p>
        </w:tc>
      </w:tr>
    </w:tbl>
    <w:p w14:paraId="35B2B21A" w14:textId="77777777" w:rsidR="00CA025A" w:rsidRPr="00AF3DCD" w:rsidRDefault="00CA025A" w:rsidP="00CA025A">
      <w:pPr>
        <w:pStyle w:val="BodyTextIndent"/>
        <w:jc w:val="both"/>
        <w:rPr>
          <w:sz w:val="22"/>
        </w:rPr>
      </w:pPr>
    </w:p>
    <w:p w14:paraId="236772BA" w14:textId="512F3FED" w:rsidR="00D90216" w:rsidRPr="00210760" w:rsidRDefault="007C6DCB" w:rsidP="00BC6C4F">
      <w:pPr>
        <w:pStyle w:val="Heading2"/>
        <w:jc w:val="left"/>
        <w:rPr>
          <w:sz w:val="24"/>
          <w:szCs w:val="24"/>
        </w:rPr>
      </w:pPr>
      <w:bookmarkStart w:id="37" w:name="_Toc166761541"/>
      <w:r w:rsidRPr="00210760">
        <w:rPr>
          <w:sz w:val="24"/>
          <w:szCs w:val="24"/>
        </w:rPr>
        <w:lastRenderedPageBreak/>
        <w:t>8</w:t>
      </w:r>
      <w:r w:rsidR="00D90216" w:rsidRPr="00210760">
        <w:rPr>
          <w:sz w:val="24"/>
          <w:szCs w:val="24"/>
        </w:rPr>
        <w:tab/>
      </w:r>
      <w:bookmarkStart w:id="38" w:name="N8"/>
      <w:bookmarkEnd w:id="38"/>
      <w:r w:rsidR="00D90216" w:rsidRPr="00210760">
        <w:rPr>
          <w:sz w:val="24"/>
          <w:szCs w:val="24"/>
        </w:rPr>
        <w:t>Financial Instruments</w:t>
      </w:r>
      <w:bookmarkEnd w:id="37"/>
    </w:p>
    <w:p w14:paraId="52A916E5" w14:textId="77777777" w:rsidR="00D90216" w:rsidRPr="00210760" w:rsidRDefault="00D90216" w:rsidP="00BC6C4F">
      <w:pPr>
        <w:ind w:left="720"/>
        <w:rPr>
          <w:szCs w:val="24"/>
        </w:rPr>
      </w:pPr>
    </w:p>
    <w:p w14:paraId="3BE03A6A" w14:textId="689DDDDD" w:rsidR="000D5322" w:rsidRPr="00210760" w:rsidRDefault="00D90216" w:rsidP="00BC6C4F">
      <w:pPr>
        <w:ind w:left="709" w:hanging="709"/>
        <w:rPr>
          <w:szCs w:val="24"/>
        </w:rPr>
      </w:pPr>
      <w:r w:rsidRPr="00210760">
        <w:rPr>
          <w:szCs w:val="24"/>
        </w:rPr>
        <w:tab/>
      </w:r>
      <w:r w:rsidR="000D5322" w:rsidRPr="00210760">
        <w:rPr>
          <w:szCs w:val="24"/>
        </w:rPr>
        <w:t xml:space="preserve">A financial instrument is a contract which gives rise to a financial asset of one entity and a financial liability or equity instrument of another entity. No-exchange transactions such as those relating to taxes and government grants do not give rise to financial instruments. </w:t>
      </w:r>
    </w:p>
    <w:p w14:paraId="242DCB94" w14:textId="77777777" w:rsidR="000D5322" w:rsidRPr="00210760" w:rsidRDefault="000D5322" w:rsidP="00BC6C4F">
      <w:pPr>
        <w:ind w:left="709" w:hanging="709"/>
        <w:rPr>
          <w:szCs w:val="24"/>
        </w:rPr>
      </w:pPr>
    </w:p>
    <w:p w14:paraId="0BE7A2CB" w14:textId="02C96F10" w:rsidR="000D5322" w:rsidRPr="003278CF" w:rsidRDefault="000D5322" w:rsidP="003278CF">
      <w:pPr>
        <w:ind w:firstLine="702"/>
        <w:rPr>
          <w:b/>
          <w:bCs/>
        </w:rPr>
      </w:pPr>
      <w:r w:rsidRPr="003278CF">
        <w:rPr>
          <w:b/>
          <w:bCs/>
        </w:rPr>
        <w:t>Financial assets – balances</w:t>
      </w:r>
    </w:p>
    <w:p w14:paraId="505CF7CC" w14:textId="77777777" w:rsidR="000D5322" w:rsidRPr="00210760" w:rsidRDefault="000D5322" w:rsidP="00BC6C4F">
      <w:pPr>
        <w:ind w:left="1411" w:hanging="709"/>
        <w:rPr>
          <w:b/>
          <w:szCs w:val="24"/>
        </w:rPr>
      </w:pPr>
    </w:p>
    <w:p w14:paraId="199B33D7" w14:textId="0B55445A" w:rsidR="000D5322" w:rsidRPr="00210760" w:rsidRDefault="000D5322" w:rsidP="00BC6C4F">
      <w:pPr>
        <w:ind w:left="709" w:hanging="7"/>
        <w:rPr>
          <w:szCs w:val="24"/>
        </w:rPr>
      </w:pPr>
      <w:r w:rsidRPr="00210760">
        <w:rPr>
          <w:szCs w:val="24"/>
        </w:rPr>
        <w:t xml:space="preserve">A financial asset is a right to future economic benefits </w:t>
      </w:r>
      <w:r w:rsidR="00B817F8" w:rsidRPr="00210760">
        <w:rPr>
          <w:szCs w:val="24"/>
        </w:rPr>
        <w:t xml:space="preserve">controlled by the Authority that is represented by cash, equity instruments or a contractual right to receive cash or other financial assets or a right to exchange financial assets and liabilities with another entity that is potentially favourable to the Authority. The financial assets held by the Authority during the year are </w:t>
      </w:r>
      <w:r w:rsidR="00704891" w:rsidRPr="00210760">
        <w:rPr>
          <w:szCs w:val="24"/>
        </w:rPr>
        <w:t xml:space="preserve">all </w:t>
      </w:r>
      <w:r w:rsidR="00B817F8" w:rsidRPr="00210760">
        <w:rPr>
          <w:szCs w:val="24"/>
        </w:rPr>
        <w:t>accounted for under the amortised cost, comprising:</w:t>
      </w:r>
    </w:p>
    <w:p w14:paraId="722073B4" w14:textId="338B72DD" w:rsidR="00B817F8" w:rsidRPr="00210760" w:rsidRDefault="00B817F8" w:rsidP="00BC6C4F">
      <w:pPr>
        <w:pStyle w:val="ListParagraph"/>
        <w:numPr>
          <w:ilvl w:val="1"/>
          <w:numId w:val="32"/>
        </w:numPr>
        <w:rPr>
          <w:szCs w:val="24"/>
        </w:rPr>
      </w:pPr>
      <w:r w:rsidRPr="00210760">
        <w:rPr>
          <w:szCs w:val="24"/>
        </w:rPr>
        <w:t>Investments, which are loans to other local authorities</w:t>
      </w:r>
      <w:r w:rsidR="000A40E3" w:rsidRPr="00210760">
        <w:rPr>
          <w:szCs w:val="24"/>
        </w:rPr>
        <w:t>.</w:t>
      </w:r>
    </w:p>
    <w:p w14:paraId="6203ADDC" w14:textId="07C25F21" w:rsidR="00B817F8" w:rsidRPr="00210760" w:rsidRDefault="00B817F8" w:rsidP="00BC6C4F">
      <w:pPr>
        <w:pStyle w:val="ListParagraph"/>
        <w:numPr>
          <w:ilvl w:val="1"/>
          <w:numId w:val="32"/>
        </w:numPr>
        <w:rPr>
          <w:szCs w:val="24"/>
        </w:rPr>
      </w:pPr>
      <w:r w:rsidRPr="00210760">
        <w:rPr>
          <w:szCs w:val="24"/>
        </w:rPr>
        <w:t>Cash in hand and bank current and deposit accounts</w:t>
      </w:r>
      <w:r w:rsidR="000A40E3" w:rsidRPr="00210760">
        <w:rPr>
          <w:szCs w:val="24"/>
        </w:rPr>
        <w:t>.</w:t>
      </w:r>
    </w:p>
    <w:p w14:paraId="37A98BA3" w14:textId="1C7F4AC8" w:rsidR="00F74E7D" w:rsidRPr="00210760" w:rsidRDefault="00B817F8" w:rsidP="00BC6C4F">
      <w:pPr>
        <w:pStyle w:val="ListParagraph"/>
        <w:numPr>
          <w:ilvl w:val="1"/>
          <w:numId w:val="32"/>
        </w:numPr>
        <w:rPr>
          <w:szCs w:val="24"/>
        </w:rPr>
      </w:pPr>
      <w:r w:rsidRPr="00210760">
        <w:rPr>
          <w:szCs w:val="24"/>
        </w:rPr>
        <w:t>Trade receivables for goods and services provided</w:t>
      </w:r>
      <w:r w:rsidR="000A40E3" w:rsidRPr="00210760">
        <w:rPr>
          <w:szCs w:val="24"/>
        </w:rPr>
        <w:t>.</w:t>
      </w:r>
    </w:p>
    <w:p w14:paraId="75FAE1C1" w14:textId="2BD2E75D" w:rsidR="00372872" w:rsidRDefault="00372872">
      <w:pPr>
        <w:rPr>
          <w:szCs w:val="24"/>
        </w:rPr>
      </w:pPr>
    </w:p>
    <w:p w14:paraId="41BED5C5" w14:textId="7F3D83EC" w:rsidR="00B817F8" w:rsidRPr="00210760" w:rsidRDefault="00B817F8" w:rsidP="00BC6C4F">
      <w:pPr>
        <w:ind w:left="702"/>
        <w:rPr>
          <w:szCs w:val="24"/>
        </w:rPr>
      </w:pPr>
      <w:r w:rsidRPr="00210760">
        <w:rPr>
          <w:szCs w:val="24"/>
        </w:rPr>
        <w:t>The financial assets disclosed in the Balance Sheet are analysed across the following categories:</w:t>
      </w:r>
    </w:p>
    <w:p w14:paraId="511BB0BF" w14:textId="77777777" w:rsidR="00D90216" w:rsidRPr="00AF3DCD" w:rsidRDefault="00D90216" w:rsidP="00326762">
      <w:pPr>
        <w:rPr>
          <w:sz w:val="22"/>
          <w:szCs w:val="22"/>
        </w:rPr>
      </w:pPr>
    </w:p>
    <w:tbl>
      <w:tblPr>
        <w:tblW w:w="87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1189"/>
        <w:gridCol w:w="1189"/>
        <w:gridCol w:w="1189"/>
        <w:gridCol w:w="1189"/>
      </w:tblGrid>
      <w:tr w:rsidR="002C07CF" w:rsidRPr="00AF3DCD" w14:paraId="1A16677D" w14:textId="77777777" w:rsidTr="007641BA">
        <w:trPr>
          <w:cantSplit/>
          <w:trHeight w:val="283"/>
          <w:tblHeader/>
        </w:trPr>
        <w:tc>
          <w:tcPr>
            <w:tcW w:w="4032" w:type="dxa"/>
            <w:shd w:val="clear" w:color="auto" w:fill="BD2716"/>
          </w:tcPr>
          <w:p w14:paraId="2E58627C" w14:textId="77777777" w:rsidR="002C07CF" w:rsidRPr="007641BA" w:rsidRDefault="002C07CF" w:rsidP="00CD62E6">
            <w:pPr>
              <w:rPr>
                <w:color w:val="FFFFFF" w:themeColor="background1"/>
                <w:szCs w:val="24"/>
              </w:rPr>
            </w:pPr>
          </w:p>
        </w:tc>
        <w:tc>
          <w:tcPr>
            <w:tcW w:w="2378" w:type="dxa"/>
            <w:gridSpan w:val="2"/>
            <w:shd w:val="clear" w:color="auto" w:fill="BD2716"/>
            <w:vAlign w:val="center"/>
          </w:tcPr>
          <w:p w14:paraId="0FC6F362" w14:textId="2DFCB224" w:rsidR="002C07CF" w:rsidRPr="007641BA" w:rsidRDefault="002C07CF" w:rsidP="00CD62E6">
            <w:pPr>
              <w:jc w:val="center"/>
              <w:rPr>
                <w:color w:val="FFFFFF" w:themeColor="background1"/>
                <w:szCs w:val="24"/>
              </w:rPr>
            </w:pPr>
            <w:r w:rsidRPr="007641BA">
              <w:rPr>
                <w:color w:val="FFFFFF" w:themeColor="background1"/>
                <w:szCs w:val="24"/>
              </w:rPr>
              <w:t>Long-Term</w:t>
            </w:r>
          </w:p>
        </w:tc>
        <w:tc>
          <w:tcPr>
            <w:tcW w:w="2378" w:type="dxa"/>
            <w:gridSpan w:val="2"/>
            <w:shd w:val="clear" w:color="auto" w:fill="BD2716"/>
            <w:vAlign w:val="center"/>
          </w:tcPr>
          <w:p w14:paraId="5E73C340" w14:textId="610606B2" w:rsidR="002C07CF" w:rsidRPr="007641BA" w:rsidRDefault="002C07CF" w:rsidP="00E42E0C">
            <w:pPr>
              <w:jc w:val="center"/>
              <w:rPr>
                <w:color w:val="FFFFFF" w:themeColor="background1"/>
                <w:szCs w:val="24"/>
              </w:rPr>
            </w:pPr>
            <w:r w:rsidRPr="007641BA">
              <w:rPr>
                <w:color w:val="FFFFFF" w:themeColor="background1"/>
                <w:szCs w:val="24"/>
              </w:rPr>
              <w:t>Current</w:t>
            </w:r>
          </w:p>
        </w:tc>
      </w:tr>
      <w:tr w:rsidR="000960DE" w:rsidRPr="00AF3DCD" w14:paraId="7BC2AD3F" w14:textId="77777777" w:rsidTr="00611673">
        <w:trPr>
          <w:cantSplit/>
          <w:trHeight w:val="536"/>
          <w:tblHeader/>
        </w:trPr>
        <w:tc>
          <w:tcPr>
            <w:tcW w:w="4032" w:type="dxa"/>
            <w:shd w:val="clear" w:color="auto" w:fill="BD2716"/>
          </w:tcPr>
          <w:p w14:paraId="688CD5D6" w14:textId="77777777" w:rsidR="000960DE" w:rsidRPr="007641BA" w:rsidRDefault="000960DE" w:rsidP="000960DE">
            <w:pPr>
              <w:rPr>
                <w:color w:val="FFFFFF" w:themeColor="background1"/>
                <w:szCs w:val="24"/>
              </w:rPr>
            </w:pPr>
          </w:p>
        </w:tc>
        <w:tc>
          <w:tcPr>
            <w:tcW w:w="1189" w:type="dxa"/>
            <w:shd w:val="clear" w:color="auto" w:fill="BD2716"/>
            <w:vAlign w:val="center"/>
          </w:tcPr>
          <w:p w14:paraId="4D8EFC4A" w14:textId="77777777" w:rsidR="000960DE" w:rsidRPr="007641BA" w:rsidRDefault="000960DE" w:rsidP="00611673">
            <w:pPr>
              <w:jc w:val="right"/>
              <w:rPr>
                <w:color w:val="FFFFFF" w:themeColor="background1"/>
                <w:szCs w:val="24"/>
              </w:rPr>
            </w:pPr>
            <w:r w:rsidRPr="007641BA">
              <w:rPr>
                <w:color w:val="FFFFFF" w:themeColor="background1"/>
                <w:szCs w:val="24"/>
              </w:rPr>
              <w:t>31 March 202</w:t>
            </w:r>
            <w:r w:rsidR="00255C4C" w:rsidRPr="007641BA">
              <w:rPr>
                <w:color w:val="FFFFFF" w:themeColor="background1"/>
                <w:szCs w:val="24"/>
              </w:rPr>
              <w:t>3</w:t>
            </w:r>
          </w:p>
          <w:p w14:paraId="7DF4721E" w14:textId="2B70C135" w:rsidR="00DC7A16" w:rsidRPr="007641BA" w:rsidRDefault="00DC7A16" w:rsidP="00611673">
            <w:pPr>
              <w:jc w:val="right"/>
              <w:rPr>
                <w:color w:val="FFFFFF" w:themeColor="background1"/>
                <w:szCs w:val="24"/>
              </w:rPr>
            </w:pPr>
            <w:r w:rsidRPr="007641BA">
              <w:rPr>
                <w:color w:val="FFFFFF" w:themeColor="background1"/>
                <w:szCs w:val="24"/>
              </w:rPr>
              <w:t>£000</w:t>
            </w:r>
          </w:p>
        </w:tc>
        <w:tc>
          <w:tcPr>
            <w:tcW w:w="1189" w:type="dxa"/>
            <w:shd w:val="clear" w:color="auto" w:fill="BD2716"/>
            <w:vAlign w:val="center"/>
          </w:tcPr>
          <w:p w14:paraId="5C77C3EC" w14:textId="77777777" w:rsidR="000960DE" w:rsidRPr="007641BA" w:rsidRDefault="000960DE" w:rsidP="00611673">
            <w:pPr>
              <w:jc w:val="right"/>
              <w:rPr>
                <w:color w:val="FFFFFF" w:themeColor="background1"/>
                <w:szCs w:val="24"/>
              </w:rPr>
            </w:pPr>
            <w:r w:rsidRPr="007641BA">
              <w:rPr>
                <w:color w:val="FFFFFF" w:themeColor="background1"/>
                <w:szCs w:val="24"/>
              </w:rPr>
              <w:t>31 March 202</w:t>
            </w:r>
            <w:r w:rsidR="00255C4C" w:rsidRPr="007641BA">
              <w:rPr>
                <w:color w:val="FFFFFF" w:themeColor="background1"/>
                <w:szCs w:val="24"/>
              </w:rPr>
              <w:t>2</w:t>
            </w:r>
          </w:p>
          <w:p w14:paraId="25CAE103" w14:textId="25E939EE" w:rsidR="00DC7A16" w:rsidRPr="007641BA" w:rsidRDefault="00DC7A16" w:rsidP="00611673">
            <w:pPr>
              <w:jc w:val="right"/>
              <w:rPr>
                <w:color w:val="FFFFFF" w:themeColor="background1"/>
                <w:szCs w:val="24"/>
              </w:rPr>
            </w:pPr>
            <w:r w:rsidRPr="007641BA">
              <w:rPr>
                <w:color w:val="FFFFFF" w:themeColor="background1"/>
                <w:szCs w:val="24"/>
              </w:rPr>
              <w:t>£000</w:t>
            </w:r>
          </w:p>
        </w:tc>
        <w:tc>
          <w:tcPr>
            <w:tcW w:w="1189" w:type="dxa"/>
            <w:shd w:val="clear" w:color="auto" w:fill="BD2716"/>
            <w:vAlign w:val="center"/>
          </w:tcPr>
          <w:p w14:paraId="25EB3A08" w14:textId="77777777" w:rsidR="000960DE" w:rsidRPr="007641BA" w:rsidRDefault="000960DE" w:rsidP="00611673">
            <w:pPr>
              <w:jc w:val="right"/>
              <w:rPr>
                <w:color w:val="FFFFFF" w:themeColor="background1"/>
                <w:szCs w:val="24"/>
              </w:rPr>
            </w:pPr>
            <w:r w:rsidRPr="007641BA">
              <w:rPr>
                <w:color w:val="FFFFFF" w:themeColor="background1"/>
                <w:szCs w:val="24"/>
              </w:rPr>
              <w:t>31 March 202</w:t>
            </w:r>
            <w:r w:rsidR="00255C4C" w:rsidRPr="007641BA">
              <w:rPr>
                <w:color w:val="FFFFFF" w:themeColor="background1"/>
                <w:szCs w:val="24"/>
              </w:rPr>
              <w:t>3</w:t>
            </w:r>
          </w:p>
          <w:p w14:paraId="7326EA28" w14:textId="79A08BA2" w:rsidR="00DC7A16" w:rsidRPr="007641BA" w:rsidRDefault="00DC7A16" w:rsidP="00611673">
            <w:pPr>
              <w:jc w:val="right"/>
              <w:rPr>
                <w:color w:val="FFFFFF" w:themeColor="background1"/>
                <w:szCs w:val="24"/>
              </w:rPr>
            </w:pPr>
            <w:r w:rsidRPr="007641BA">
              <w:rPr>
                <w:color w:val="FFFFFF" w:themeColor="background1"/>
                <w:szCs w:val="24"/>
              </w:rPr>
              <w:t>£000</w:t>
            </w:r>
          </w:p>
        </w:tc>
        <w:tc>
          <w:tcPr>
            <w:tcW w:w="1189" w:type="dxa"/>
            <w:shd w:val="clear" w:color="auto" w:fill="BD2716"/>
            <w:vAlign w:val="center"/>
          </w:tcPr>
          <w:p w14:paraId="37380238" w14:textId="77777777" w:rsidR="000960DE" w:rsidRPr="007641BA" w:rsidRDefault="000960DE" w:rsidP="00611673">
            <w:pPr>
              <w:jc w:val="right"/>
              <w:rPr>
                <w:color w:val="FFFFFF" w:themeColor="background1"/>
                <w:szCs w:val="24"/>
              </w:rPr>
            </w:pPr>
            <w:r w:rsidRPr="007641BA">
              <w:rPr>
                <w:color w:val="FFFFFF" w:themeColor="background1"/>
                <w:szCs w:val="24"/>
              </w:rPr>
              <w:t>31 March 202</w:t>
            </w:r>
            <w:r w:rsidR="00255C4C" w:rsidRPr="007641BA">
              <w:rPr>
                <w:color w:val="FFFFFF" w:themeColor="background1"/>
                <w:szCs w:val="24"/>
              </w:rPr>
              <w:t>2</w:t>
            </w:r>
          </w:p>
          <w:p w14:paraId="36F1F7F8" w14:textId="47FEAD25" w:rsidR="00DC7A16" w:rsidRPr="007641BA" w:rsidRDefault="00DC7A16" w:rsidP="00611673">
            <w:pPr>
              <w:jc w:val="right"/>
              <w:rPr>
                <w:color w:val="FFFFFF" w:themeColor="background1"/>
                <w:szCs w:val="24"/>
              </w:rPr>
            </w:pPr>
            <w:r w:rsidRPr="007641BA">
              <w:rPr>
                <w:color w:val="FFFFFF" w:themeColor="background1"/>
                <w:szCs w:val="24"/>
              </w:rPr>
              <w:t>£000</w:t>
            </w:r>
          </w:p>
        </w:tc>
      </w:tr>
      <w:tr w:rsidR="00255C4C" w:rsidRPr="00AF3DCD" w14:paraId="694A310C" w14:textId="77777777" w:rsidTr="00DD63D7">
        <w:trPr>
          <w:cantSplit/>
          <w:trHeight w:val="382"/>
        </w:trPr>
        <w:tc>
          <w:tcPr>
            <w:tcW w:w="4032" w:type="dxa"/>
            <w:vAlign w:val="center"/>
          </w:tcPr>
          <w:p w14:paraId="39AC845D" w14:textId="77777777" w:rsidR="00255C4C" w:rsidRPr="00210760" w:rsidRDefault="00255C4C" w:rsidP="00255C4C">
            <w:pPr>
              <w:rPr>
                <w:szCs w:val="24"/>
              </w:rPr>
            </w:pPr>
            <w:r w:rsidRPr="00210760">
              <w:rPr>
                <w:szCs w:val="24"/>
              </w:rPr>
              <w:t>Investments</w:t>
            </w:r>
          </w:p>
        </w:tc>
        <w:tc>
          <w:tcPr>
            <w:tcW w:w="1189" w:type="dxa"/>
            <w:vAlign w:val="center"/>
          </w:tcPr>
          <w:p w14:paraId="2A5EBC5A" w14:textId="7036E9B8" w:rsidR="00255C4C" w:rsidRPr="00210760" w:rsidRDefault="00CC49B7" w:rsidP="00DD63D7">
            <w:pPr>
              <w:pStyle w:val="Footer"/>
              <w:tabs>
                <w:tab w:val="clear" w:pos="4153"/>
                <w:tab w:val="clear" w:pos="8306"/>
                <w:tab w:val="decimal" w:pos="468"/>
              </w:tabs>
              <w:jc w:val="right"/>
              <w:rPr>
                <w:szCs w:val="24"/>
              </w:rPr>
            </w:pPr>
            <w:r w:rsidRPr="00210760">
              <w:rPr>
                <w:szCs w:val="24"/>
              </w:rPr>
              <w:t>-</w:t>
            </w:r>
          </w:p>
        </w:tc>
        <w:tc>
          <w:tcPr>
            <w:tcW w:w="1189" w:type="dxa"/>
            <w:shd w:val="clear" w:color="00FFFF" w:fill="auto"/>
            <w:vAlign w:val="center"/>
          </w:tcPr>
          <w:p w14:paraId="0F6C9700" w14:textId="70AA6BD8" w:rsidR="00255C4C" w:rsidRPr="00210760" w:rsidRDefault="00255C4C" w:rsidP="00DD63D7">
            <w:pPr>
              <w:pStyle w:val="Footer"/>
              <w:tabs>
                <w:tab w:val="clear" w:pos="4153"/>
                <w:tab w:val="clear" w:pos="8306"/>
                <w:tab w:val="decimal" w:pos="468"/>
              </w:tabs>
              <w:jc w:val="right"/>
              <w:rPr>
                <w:szCs w:val="24"/>
              </w:rPr>
            </w:pPr>
            <w:r w:rsidRPr="00210760">
              <w:rPr>
                <w:szCs w:val="24"/>
              </w:rPr>
              <w:t>5,000</w:t>
            </w:r>
          </w:p>
        </w:tc>
        <w:tc>
          <w:tcPr>
            <w:tcW w:w="1189" w:type="dxa"/>
            <w:shd w:val="clear" w:color="00FFFF" w:fill="auto"/>
            <w:vAlign w:val="center"/>
          </w:tcPr>
          <w:p w14:paraId="53E9875B" w14:textId="76678814" w:rsidR="00255C4C" w:rsidRPr="00210760" w:rsidRDefault="00255C4C" w:rsidP="00DD63D7">
            <w:pPr>
              <w:pStyle w:val="Footer"/>
              <w:tabs>
                <w:tab w:val="clear" w:pos="4153"/>
                <w:tab w:val="clear" w:pos="8306"/>
                <w:tab w:val="decimal" w:pos="576"/>
                <w:tab w:val="decimal" w:pos="1012"/>
              </w:tabs>
              <w:jc w:val="right"/>
              <w:rPr>
                <w:szCs w:val="24"/>
              </w:rPr>
            </w:pPr>
            <w:r w:rsidRPr="00210760">
              <w:rPr>
                <w:szCs w:val="24"/>
              </w:rPr>
              <w:t>1</w:t>
            </w:r>
            <w:r w:rsidR="00CC49B7" w:rsidRPr="00210760">
              <w:rPr>
                <w:szCs w:val="24"/>
              </w:rPr>
              <w:t>5</w:t>
            </w:r>
            <w:r w:rsidRPr="00210760">
              <w:rPr>
                <w:szCs w:val="24"/>
              </w:rPr>
              <w:t>,000</w:t>
            </w:r>
          </w:p>
        </w:tc>
        <w:tc>
          <w:tcPr>
            <w:tcW w:w="1189" w:type="dxa"/>
            <w:shd w:val="clear" w:color="00FFFF" w:fill="auto"/>
            <w:vAlign w:val="center"/>
          </w:tcPr>
          <w:p w14:paraId="40FA9C47" w14:textId="0236F14B" w:rsidR="00255C4C" w:rsidRPr="00210760" w:rsidRDefault="00255C4C" w:rsidP="00DD63D7">
            <w:pPr>
              <w:pStyle w:val="Footer"/>
              <w:tabs>
                <w:tab w:val="clear" w:pos="4153"/>
                <w:tab w:val="clear" w:pos="8306"/>
                <w:tab w:val="decimal" w:pos="576"/>
                <w:tab w:val="decimal" w:pos="1012"/>
              </w:tabs>
              <w:jc w:val="right"/>
              <w:rPr>
                <w:szCs w:val="24"/>
              </w:rPr>
            </w:pPr>
            <w:r w:rsidRPr="00210760">
              <w:rPr>
                <w:szCs w:val="24"/>
              </w:rPr>
              <w:t>10,000</w:t>
            </w:r>
          </w:p>
        </w:tc>
      </w:tr>
      <w:tr w:rsidR="00255C4C" w:rsidRPr="00AF3DCD" w14:paraId="0815085C" w14:textId="77777777" w:rsidTr="00DD63D7">
        <w:trPr>
          <w:cantSplit/>
          <w:trHeight w:val="382"/>
        </w:trPr>
        <w:tc>
          <w:tcPr>
            <w:tcW w:w="4032" w:type="dxa"/>
            <w:vAlign w:val="center"/>
          </w:tcPr>
          <w:p w14:paraId="5E4890B8" w14:textId="77777777" w:rsidR="00255C4C" w:rsidRPr="00210760" w:rsidDel="00075251" w:rsidRDefault="00255C4C" w:rsidP="00255C4C">
            <w:pPr>
              <w:rPr>
                <w:szCs w:val="24"/>
              </w:rPr>
            </w:pPr>
            <w:r w:rsidRPr="00210760">
              <w:rPr>
                <w:szCs w:val="24"/>
              </w:rPr>
              <w:t>Cash &amp; cash equivalents</w:t>
            </w:r>
          </w:p>
        </w:tc>
        <w:tc>
          <w:tcPr>
            <w:tcW w:w="1189" w:type="dxa"/>
            <w:vAlign w:val="center"/>
          </w:tcPr>
          <w:p w14:paraId="20E4CA3F" w14:textId="77777777" w:rsidR="00255C4C" w:rsidRPr="00210760" w:rsidRDefault="00255C4C" w:rsidP="00DD63D7">
            <w:pPr>
              <w:pStyle w:val="Footer"/>
              <w:tabs>
                <w:tab w:val="clear" w:pos="4153"/>
                <w:tab w:val="clear" w:pos="8306"/>
                <w:tab w:val="decimal" w:pos="468"/>
              </w:tabs>
              <w:jc w:val="right"/>
              <w:rPr>
                <w:szCs w:val="24"/>
              </w:rPr>
            </w:pPr>
            <w:r w:rsidRPr="00210760">
              <w:rPr>
                <w:szCs w:val="24"/>
              </w:rPr>
              <w:t>-</w:t>
            </w:r>
          </w:p>
        </w:tc>
        <w:tc>
          <w:tcPr>
            <w:tcW w:w="1189" w:type="dxa"/>
            <w:shd w:val="clear" w:color="00FFFF" w:fill="auto"/>
            <w:vAlign w:val="center"/>
          </w:tcPr>
          <w:p w14:paraId="042F9FD8" w14:textId="52FBDFAF" w:rsidR="00255C4C" w:rsidRPr="00210760" w:rsidRDefault="00255C4C" w:rsidP="00DD63D7">
            <w:pPr>
              <w:pStyle w:val="Footer"/>
              <w:tabs>
                <w:tab w:val="clear" w:pos="4153"/>
                <w:tab w:val="clear" w:pos="8306"/>
                <w:tab w:val="decimal" w:pos="468"/>
              </w:tabs>
              <w:jc w:val="right"/>
              <w:rPr>
                <w:szCs w:val="24"/>
              </w:rPr>
            </w:pPr>
            <w:r w:rsidRPr="00210760">
              <w:rPr>
                <w:szCs w:val="24"/>
              </w:rPr>
              <w:t>-</w:t>
            </w:r>
          </w:p>
        </w:tc>
        <w:tc>
          <w:tcPr>
            <w:tcW w:w="1189" w:type="dxa"/>
            <w:shd w:val="clear" w:color="00FFFF" w:fill="auto"/>
            <w:vAlign w:val="center"/>
          </w:tcPr>
          <w:p w14:paraId="3213C37D" w14:textId="4DDD024B" w:rsidR="00255C4C" w:rsidRPr="00210760" w:rsidRDefault="006B4BAB" w:rsidP="00DD63D7">
            <w:pPr>
              <w:pStyle w:val="Footer"/>
              <w:tabs>
                <w:tab w:val="clear" w:pos="4153"/>
                <w:tab w:val="clear" w:pos="8306"/>
                <w:tab w:val="decimal" w:pos="576"/>
                <w:tab w:val="decimal" w:pos="1012"/>
              </w:tabs>
              <w:jc w:val="right"/>
              <w:rPr>
                <w:szCs w:val="24"/>
              </w:rPr>
            </w:pPr>
            <w:r w:rsidRPr="00210760">
              <w:rPr>
                <w:szCs w:val="24"/>
              </w:rPr>
              <w:t>16,317</w:t>
            </w:r>
          </w:p>
        </w:tc>
        <w:tc>
          <w:tcPr>
            <w:tcW w:w="1189" w:type="dxa"/>
            <w:shd w:val="clear" w:color="00FFFF" w:fill="auto"/>
            <w:vAlign w:val="center"/>
          </w:tcPr>
          <w:p w14:paraId="3B3F57B8" w14:textId="1B20C42E" w:rsidR="00255C4C" w:rsidRPr="00210760" w:rsidRDefault="00255C4C" w:rsidP="00DD63D7">
            <w:pPr>
              <w:pStyle w:val="Footer"/>
              <w:tabs>
                <w:tab w:val="clear" w:pos="4153"/>
                <w:tab w:val="clear" w:pos="8306"/>
                <w:tab w:val="decimal" w:pos="576"/>
                <w:tab w:val="decimal" w:pos="1012"/>
              </w:tabs>
              <w:jc w:val="right"/>
              <w:rPr>
                <w:szCs w:val="24"/>
              </w:rPr>
            </w:pPr>
            <w:r w:rsidRPr="00210760">
              <w:rPr>
                <w:szCs w:val="24"/>
              </w:rPr>
              <w:t>17,896</w:t>
            </w:r>
          </w:p>
        </w:tc>
      </w:tr>
      <w:tr w:rsidR="00255C4C" w:rsidRPr="00AF3DCD" w14:paraId="0315E439" w14:textId="77777777" w:rsidTr="00DD63D7">
        <w:trPr>
          <w:cantSplit/>
          <w:trHeight w:val="425"/>
        </w:trPr>
        <w:tc>
          <w:tcPr>
            <w:tcW w:w="4032" w:type="dxa"/>
            <w:vAlign w:val="bottom"/>
          </w:tcPr>
          <w:p w14:paraId="3C0E814B" w14:textId="77777777" w:rsidR="00255C4C" w:rsidRPr="00210760" w:rsidRDefault="00255C4C" w:rsidP="00255C4C">
            <w:pPr>
              <w:rPr>
                <w:szCs w:val="24"/>
              </w:rPr>
            </w:pPr>
            <w:r w:rsidRPr="00210760">
              <w:rPr>
                <w:szCs w:val="24"/>
              </w:rPr>
              <w:t>Other trade receivables</w:t>
            </w:r>
          </w:p>
        </w:tc>
        <w:tc>
          <w:tcPr>
            <w:tcW w:w="1189" w:type="dxa"/>
            <w:vAlign w:val="center"/>
          </w:tcPr>
          <w:p w14:paraId="1382EBD9" w14:textId="77777777" w:rsidR="00255C4C" w:rsidRPr="00210760" w:rsidRDefault="00255C4C" w:rsidP="00DD63D7">
            <w:pPr>
              <w:pStyle w:val="Footer"/>
              <w:tabs>
                <w:tab w:val="clear" w:pos="4153"/>
                <w:tab w:val="clear" w:pos="8306"/>
                <w:tab w:val="decimal" w:pos="468"/>
              </w:tabs>
              <w:jc w:val="right"/>
              <w:rPr>
                <w:szCs w:val="24"/>
              </w:rPr>
            </w:pPr>
            <w:r w:rsidRPr="00210760">
              <w:rPr>
                <w:szCs w:val="24"/>
              </w:rPr>
              <w:t>-</w:t>
            </w:r>
          </w:p>
        </w:tc>
        <w:tc>
          <w:tcPr>
            <w:tcW w:w="1189" w:type="dxa"/>
            <w:shd w:val="clear" w:color="00FFFF" w:fill="auto"/>
            <w:vAlign w:val="center"/>
          </w:tcPr>
          <w:p w14:paraId="209E8FE4" w14:textId="23C10E06" w:rsidR="00255C4C" w:rsidRPr="00210760" w:rsidRDefault="00255C4C" w:rsidP="00DD63D7">
            <w:pPr>
              <w:pStyle w:val="Footer"/>
              <w:tabs>
                <w:tab w:val="clear" w:pos="4153"/>
                <w:tab w:val="clear" w:pos="8306"/>
                <w:tab w:val="decimal" w:pos="468"/>
              </w:tabs>
              <w:jc w:val="right"/>
              <w:rPr>
                <w:szCs w:val="24"/>
              </w:rPr>
            </w:pPr>
            <w:r w:rsidRPr="00210760">
              <w:rPr>
                <w:szCs w:val="24"/>
              </w:rPr>
              <w:t>-</w:t>
            </w:r>
          </w:p>
        </w:tc>
        <w:tc>
          <w:tcPr>
            <w:tcW w:w="1189" w:type="dxa"/>
            <w:shd w:val="clear" w:color="00FFFF" w:fill="auto"/>
            <w:vAlign w:val="center"/>
          </w:tcPr>
          <w:p w14:paraId="7E02F02C" w14:textId="649CC8C1" w:rsidR="00255C4C" w:rsidRPr="00210760" w:rsidRDefault="00255C4C" w:rsidP="00DD63D7">
            <w:pPr>
              <w:pStyle w:val="Footer"/>
              <w:tabs>
                <w:tab w:val="clear" w:pos="4153"/>
                <w:tab w:val="clear" w:pos="8306"/>
                <w:tab w:val="decimal" w:pos="576"/>
                <w:tab w:val="decimal" w:pos="1012"/>
              </w:tabs>
              <w:jc w:val="right"/>
              <w:rPr>
                <w:szCs w:val="24"/>
              </w:rPr>
            </w:pPr>
            <w:r w:rsidRPr="00210760">
              <w:rPr>
                <w:szCs w:val="24"/>
              </w:rPr>
              <w:t>1,5</w:t>
            </w:r>
            <w:r w:rsidR="00786044" w:rsidRPr="00210760">
              <w:rPr>
                <w:szCs w:val="24"/>
              </w:rPr>
              <w:t>55</w:t>
            </w:r>
          </w:p>
        </w:tc>
        <w:tc>
          <w:tcPr>
            <w:tcW w:w="1189" w:type="dxa"/>
            <w:shd w:val="clear" w:color="00FFFF" w:fill="auto"/>
            <w:vAlign w:val="center"/>
          </w:tcPr>
          <w:p w14:paraId="51C4B9BA" w14:textId="13E536F7" w:rsidR="00255C4C" w:rsidRPr="00210760" w:rsidRDefault="00255C4C" w:rsidP="00DD63D7">
            <w:pPr>
              <w:pStyle w:val="Footer"/>
              <w:tabs>
                <w:tab w:val="clear" w:pos="4153"/>
                <w:tab w:val="clear" w:pos="8306"/>
                <w:tab w:val="decimal" w:pos="435"/>
              </w:tabs>
              <w:jc w:val="right"/>
              <w:rPr>
                <w:szCs w:val="24"/>
              </w:rPr>
            </w:pPr>
            <w:r w:rsidRPr="00210760">
              <w:rPr>
                <w:szCs w:val="24"/>
              </w:rPr>
              <w:t>1,570</w:t>
            </w:r>
          </w:p>
        </w:tc>
      </w:tr>
    </w:tbl>
    <w:p w14:paraId="6EC974AE" w14:textId="34B38E0B" w:rsidR="003278CF" w:rsidRDefault="003278CF">
      <w:pPr>
        <w:rPr>
          <w:b/>
          <w:bCs/>
        </w:rPr>
      </w:pPr>
    </w:p>
    <w:p w14:paraId="4FC83F89" w14:textId="624E3EBB" w:rsidR="00075251" w:rsidRPr="003278CF" w:rsidRDefault="00075251" w:rsidP="003278CF">
      <w:pPr>
        <w:rPr>
          <w:b/>
          <w:bCs/>
        </w:rPr>
      </w:pPr>
      <w:r w:rsidRPr="003278CF">
        <w:rPr>
          <w:b/>
          <w:bCs/>
        </w:rPr>
        <w:t>Financial liabilities – balances</w:t>
      </w:r>
    </w:p>
    <w:p w14:paraId="503A395E" w14:textId="77777777" w:rsidR="00075251" w:rsidRPr="00210760" w:rsidRDefault="00075251" w:rsidP="00210760">
      <w:pPr>
        <w:ind w:left="720"/>
        <w:rPr>
          <w:szCs w:val="24"/>
        </w:rPr>
      </w:pPr>
    </w:p>
    <w:p w14:paraId="64B7B9BE" w14:textId="77777777" w:rsidR="00704891" w:rsidRPr="00210760" w:rsidRDefault="00075251" w:rsidP="00210760">
      <w:pPr>
        <w:ind w:left="720"/>
        <w:rPr>
          <w:szCs w:val="24"/>
        </w:rPr>
      </w:pPr>
      <w:r w:rsidRPr="00210760">
        <w:rPr>
          <w:szCs w:val="24"/>
        </w:rPr>
        <w:t xml:space="preserve">A financial liability is an obligation to transfer economic benefits controlled by the Authority and can be represented by a contractual obligation to deliver cash or financial assets or an obligation to exchange financial assets and liabilities </w:t>
      </w:r>
      <w:r w:rsidR="00704891" w:rsidRPr="00210760">
        <w:rPr>
          <w:szCs w:val="24"/>
        </w:rPr>
        <w:t>with another entity that is potentially unfavourable to the Authority.</w:t>
      </w:r>
    </w:p>
    <w:p w14:paraId="775D8BC1" w14:textId="77777777" w:rsidR="00704891" w:rsidRPr="00210760" w:rsidRDefault="00704891" w:rsidP="00210760">
      <w:pPr>
        <w:ind w:left="720"/>
        <w:rPr>
          <w:szCs w:val="24"/>
        </w:rPr>
      </w:pPr>
    </w:p>
    <w:p w14:paraId="5AC7743B" w14:textId="1E0B933D" w:rsidR="00DE45AC" w:rsidRPr="00210760" w:rsidRDefault="006B123C" w:rsidP="00210760">
      <w:pPr>
        <w:ind w:left="720"/>
        <w:rPr>
          <w:szCs w:val="24"/>
        </w:rPr>
      </w:pPr>
      <w:r w:rsidRPr="00210760">
        <w:rPr>
          <w:szCs w:val="24"/>
        </w:rPr>
        <w:t>All</w:t>
      </w:r>
      <w:r w:rsidR="00704891" w:rsidRPr="00210760">
        <w:rPr>
          <w:szCs w:val="24"/>
        </w:rPr>
        <w:t xml:space="preserve"> the </w:t>
      </w:r>
      <w:r w:rsidR="00DE45AC" w:rsidRPr="00210760">
        <w:rPr>
          <w:szCs w:val="24"/>
        </w:rPr>
        <w:t>Authority’s financial liabilities held during the year are measured at amortised cost, and comprise:</w:t>
      </w:r>
    </w:p>
    <w:p w14:paraId="30C2E4DC" w14:textId="2B46A689" w:rsidR="00075251" w:rsidRPr="00210760" w:rsidRDefault="00DE45AC" w:rsidP="00FA71D8">
      <w:pPr>
        <w:pStyle w:val="ListParagraph"/>
        <w:numPr>
          <w:ilvl w:val="1"/>
          <w:numId w:val="32"/>
        </w:numPr>
        <w:rPr>
          <w:szCs w:val="24"/>
        </w:rPr>
      </w:pPr>
      <w:r w:rsidRPr="00210760">
        <w:rPr>
          <w:szCs w:val="24"/>
        </w:rPr>
        <w:t>Long</w:t>
      </w:r>
      <w:r w:rsidR="00A16368" w:rsidRPr="00210760">
        <w:rPr>
          <w:szCs w:val="24"/>
        </w:rPr>
        <w:t>-</w:t>
      </w:r>
      <w:r w:rsidRPr="00210760">
        <w:rPr>
          <w:szCs w:val="24"/>
        </w:rPr>
        <w:t>term loans from the Public Work Loans Board</w:t>
      </w:r>
      <w:r w:rsidR="000A40E3" w:rsidRPr="00210760">
        <w:rPr>
          <w:szCs w:val="24"/>
        </w:rPr>
        <w:t>.</w:t>
      </w:r>
    </w:p>
    <w:p w14:paraId="3FD29534" w14:textId="67A3467A" w:rsidR="00DE45AC" w:rsidRPr="00210760" w:rsidRDefault="00DE45AC" w:rsidP="00FA71D8">
      <w:pPr>
        <w:pStyle w:val="ListParagraph"/>
        <w:numPr>
          <w:ilvl w:val="1"/>
          <w:numId w:val="32"/>
        </w:numPr>
        <w:rPr>
          <w:szCs w:val="24"/>
        </w:rPr>
      </w:pPr>
      <w:r w:rsidRPr="00210760">
        <w:rPr>
          <w:szCs w:val="24"/>
        </w:rPr>
        <w:t xml:space="preserve">Private Finance Initiative (PFI) contracts, detailed in </w:t>
      </w:r>
      <w:hyperlink w:anchor="N14" w:history="1">
        <w:r w:rsidR="007C0372" w:rsidRPr="00210760">
          <w:rPr>
            <w:rStyle w:val="Hyperlink"/>
            <w:szCs w:val="24"/>
          </w:rPr>
          <w:t>N</w:t>
        </w:r>
        <w:r w:rsidRPr="00210760">
          <w:rPr>
            <w:rStyle w:val="Hyperlink"/>
            <w:szCs w:val="24"/>
          </w:rPr>
          <w:t>ote 14</w:t>
        </w:r>
      </w:hyperlink>
      <w:r w:rsidR="000A40E3" w:rsidRPr="00210760">
        <w:rPr>
          <w:szCs w:val="24"/>
        </w:rPr>
        <w:t>.</w:t>
      </w:r>
    </w:p>
    <w:p w14:paraId="0CB2B819" w14:textId="62E27CB2" w:rsidR="00DE45AC" w:rsidRPr="00210760" w:rsidRDefault="00DE45AC" w:rsidP="00FA71D8">
      <w:pPr>
        <w:pStyle w:val="ListParagraph"/>
        <w:numPr>
          <w:ilvl w:val="1"/>
          <w:numId w:val="32"/>
        </w:numPr>
        <w:rPr>
          <w:szCs w:val="24"/>
        </w:rPr>
      </w:pPr>
      <w:r w:rsidRPr="00210760">
        <w:rPr>
          <w:szCs w:val="24"/>
        </w:rPr>
        <w:t>Lease payables</w:t>
      </w:r>
      <w:r w:rsidR="000A40E3" w:rsidRPr="00210760">
        <w:rPr>
          <w:szCs w:val="24"/>
        </w:rPr>
        <w:t>.</w:t>
      </w:r>
    </w:p>
    <w:p w14:paraId="3F4D4025" w14:textId="25D69128" w:rsidR="00DE45AC" w:rsidRPr="00210760" w:rsidRDefault="00DE45AC" w:rsidP="00FA71D8">
      <w:pPr>
        <w:pStyle w:val="ListParagraph"/>
        <w:numPr>
          <w:ilvl w:val="1"/>
          <w:numId w:val="32"/>
        </w:numPr>
        <w:rPr>
          <w:szCs w:val="24"/>
        </w:rPr>
      </w:pPr>
      <w:r w:rsidRPr="00210760">
        <w:rPr>
          <w:szCs w:val="24"/>
        </w:rPr>
        <w:t>Trade payables for goods and services received</w:t>
      </w:r>
      <w:r w:rsidR="000A40E3" w:rsidRPr="00210760">
        <w:rPr>
          <w:szCs w:val="24"/>
        </w:rPr>
        <w:t>.</w:t>
      </w:r>
    </w:p>
    <w:p w14:paraId="11A2939A" w14:textId="77777777" w:rsidR="00075251" w:rsidRPr="00AF3DCD" w:rsidRDefault="00075251" w:rsidP="00326762">
      <w:pPr>
        <w:ind w:left="720"/>
        <w:jc w:val="both"/>
        <w:rPr>
          <w:sz w:val="22"/>
          <w:szCs w:val="22"/>
        </w:rPr>
      </w:pPr>
    </w:p>
    <w:tbl>
      <w:tblPr>
        <w:tblW w:w="86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0"/>
        <w:gridCol w:w="1134"/>
        <w:gridCol w:w="1134"/>
        <w:gridCol w:w="1134"/>
        <w:gridCol w:w="1134"/>
      </w:tblGrid>
      <w:tr w:rsidR="00300384" w:rsidRPr="00AF3DCD" w14:paraId="6756AB65" w14:textId="77777777" w:rsidTr="007641BA">
        <w:trPr>
          <w:cantSplit/>
          <w:trHeight w:val="382"/>
          <w:tblHeader/>
        </w:trPr>
        <w:tc>
          <w:tcPr>
            <w:tcW w:w="4110" w:type="dxa"/>
            <w:shd w:val="clear" w:color="auto" w:fill="BD2716"/>
            <w:vAlign w:val="center"/>
          </w:tcPr>
          <w:p w14:paraId="25052B5A" w14:textId="77777777" w:rsidR="00300384" w:rsidRPr="007641BA" w:rsidRDefault="00300384" w:rsidP="00300384">
            <w:pPr>
              <w:tabs>
                <w:tab w:val="left" w:pos="0"/>
              </w:tabs>
              <w:rPr>
                <w:color w:val="FFFFFF" w:themeColor="background1"/>
                <w:szCs w:val="24"/>
              </w:rPr>
            </w:pPr>
          </w:p>
        </w:tc>
        <w:tc>
          <w:tcPr>
            <w:tcW w:w="2268" w:type="dxa"/>
            <w:gridSpan w:val="2"/>
            <w:shd w:val="clear" w:color="auto" w:fill="BD2716"/>
            <w:vAlign w:val="center"/>
          </w:tcPr>
          <w:p w14:paraId="559779A8" w14:textId="6CD7161B" w:rsidR="00300384" w:rsidRPr="007641BA" w:rsidRDefault="00300384" w:rsidP="00300384">
            <w:pPr>
              <w:pStyle w:val="Footer"/>
              <w:tabs>
                <w:tab w:val="clear" w:pos="4153"/>
                <w:tab w:val="clear" w:pos="8306"/>
                <w:tab w:val="decimal" w:pos="468"/>
              </w:tabs>
              <w:jc w:val="center"/>
              <w:rPr>
                <w:color w:val="FFFFFF" w:themeColor="background1"/>
                <w:szCs w:val="24"/>
              </w:rPr>
            </w:pPr>
            <w:r w:rsidRPr="007641BA">
              <w:rPr>
                <w:color w:val="FFFFFF" w:themeColor="background1"/>
                <w:szCs w:val="24"/>
              </w:rPr>
              <w:t>Long-Term</w:t>
            </w:r>
          </w:p>
        </w:tc>
        <w:tc>
          <w:tcPr>
            <w:tcW w:w="2268" w:type="dxa"/>
            <w:gridSpan w:val="2"/>
            <w:shd w:val="clear" w:color="auto" w:fill="BD2716"/>
            <w:vAlign w:val="center"/>
          </w:tcPr>
          <w:p w14:paraId="4F78C627" w14:textId="7F47C8C9" w:rsidR="00300384" w:rsidRPr="007641BA" w:rsidRDefault="00300384" w:rsidP="00300384">
            <w:pPr>
              <w:pStyle w:val="Footer"/>
              <w:tabs>
                <w:tab w:val="clear" w:pos="4153"/>
                <w:tab w:val="clear" w:pos="8306"/>
                <w:tab w:val="decimal" w:pos="468"/>
              </w:tabs>
              <w:jc w:val="center"/>
              <w:rPr>
                <w:color w:val="FFFFFF" w:themeColor="background1"/>
                <w:szCs w:val="24"/>
              </w:rPr>
            </w:pPr>
            <w:r w:rsidRPr="007641BA">
              <w:rPr>
                <w:color w:val="FFFFFF" w:themeColor="background1"/>
                <w:szCs w:val="24"/>
              </w:rPr>
              <w:t>Current</w:t>
            </w:r>
          </w:p>
        </w:tc>
      </w:tr>
      <w:tr w:rsidR="00300384" w:rsidRPr="00AF3DCD" w14:paraId="311D1C2B" w14:textId="77777777" w:rsidTr="00611673">
        <w:trPr>
          <w:cantSplit/>
          <w:trHeight w:val="382"/>
          <w:tblHeader/>
        </w:trPr>
        <w:tc>
          <w:tcPr>
            <w:tcW w:w="4110" w:type="dxa"/>
            <w:shd w:val="clear" w:color="auto" w:fill="BD2716"/>
            <w:vAlign w:val="center"/>
          </w:tcPr>
          <w:p w14:paraId="02FA2ABF" w14:textId="77777777" w:rsidR="00300384" w:rsidRPr="007641BA" w:rsidRDefault="00300384" w:rsidP="00300384">
            <w:pPr>
              <w:tabs>
                <w:tab w:val="left" w:pos="0"/>
              </w:tabs>
              <w:rPr>
                <w:color w:val="FFFFFF" w:themeColor="background1"/>
                <w:szCs w:val="24"/>
              </w:rPr>
            </w:pPr>
          </w:p>
        </w:tc>
        <w:tc>
          <w:tcPr>
            <w:tcW w:w="1134" w:type="dxa"/>
            <w:shd w:val="clear" w:color="auto" w:fill="BD2716"/>
            <w:vAlign w:val="center"/>
          </w:tcPr>
          <w:p w14:paraId="7A9A3CDE" w14:textId="77777777" w:rsidR="00300384" w:rsidRPr="007641BA" w:rsidRDefault="00300384" w:rsidP="00611673">
            <w:pPr>
              <w:jc w:val="right"/>
              <w:rPr>
                <w:color w:val="FFFFFF" w:themeColor="background1"/>
                <w:szCs w:val="24"/>
              </w:rPr>
            </w:pPr>
            <w:r w:rsidRPr="007641BA">
              <w:rPr>
                <w:color w:val="FFFFFF" w:themeColor="background1"/>
                <w:szCs w:val="24"/>
              </w:rPr>
              <w:t>31 March 2023</w:t>
            </w:r>
          </w:p>
          <w:p w14:paraId="524687D3" w14:textId="0E72368D" w:rsidR="00300384" w:rsidRPr="007641BA" w:rsidRDefault="00300384" w:rsidP="00611673">
            <w:pPr>
              <w:jc w:val="right"/>
              <w:rPr>
                <w:color w:val="FFFFFF" w:themeColor="background1"/>
                <w:szCs w:val="24"/>
              </w:rPr>
            </w:pPr>
            <w:r w:rsidRPr="007641BA">
              <w:rPr>
                <w:color w:val="FFFFFF" w:themeColor="background1"/>
                <w:szCs w:val="24"/>
              </w:rPr>
              <w:t>£000</w:t>
            </w:r>
          </w:p>
        </w:tc>
        <w:tc>
          <w:tcPr>
            <w:tcW w:w="1134" w:type="dxa"/>
            <w:shd w:val="clear" w:color="auto" w:fill="BD2716"/>
            <w:vAlign w:val="center"/>
          </w:tcPr>
          <w:p w14:paraId="72EC46BC" w14:textId="77777777" w:rsidR="00300384" w:rsidRPr="007641BA" w:rsidRDefault="00300384" w:rsidP="00611673">
            <w:pPr>
              <w:jc w:val="right"/>
              <w:rPr>
                <w:color w:val="FFFFFF" w:themeColor="background1"/>
                <w:szCs w:val="24"/>
              </w:rPr>
            </w:pPr>
            <w:r w:rsidRPr="007641BA">
              <w:rPr>
                <w:color w:val="FFFFFF" w:themeColor="background1"/>
                <w:szCs w:val="24"/>
              </w:rPr>
              <w:t>31 March 2022</w:t>
            </w:r>
          </w:p>
          <w:p w14:paraId="76D58A76" w14:textId="5B910E89" w:rsidR="00300384" w:rsidRPr="007641BA" w:rsidRDefault="00300384" w:rsidP="00611673">
            <w:pPr>
              <w:jc w:val="right"/>
              <w:rPr>
                <w:color w:val="FFFFFF" w:themeColor="background1"/>
                <w:szCs w:val="24"/>
              </w:rPr>
            </w:pPr>
            <w:r w:rsidRPr="007641BA">
              <w:rPr>
                <w:color w:val="FFFFFF" w:themeColor="background1"/>
                <w:szCs w:val="24"/>
              </w:rPr>
              <w:t>£000</w:t>
            </w:r>
          </w:p>
        </w:tc>
        <w:tc>
          <w:tcPr>
            <w:tcW w:w="1134" w:type="dxa"/>
            <w:shd w:val="clear" w:color="auto" w:fill="BD2716"/>
            <w:vAlign w:val="center"/>
          </w:tcPr>
          <w:p w14:paraId="5AFDF529" w14:textId="77777777" w:rsidR="00300384" w:rsidRPr="007641BA" w:rsidRDefault="00300384" w:rsidP="00611673">
            <w:pPr>
              <w:jc w:val="right"/>
              <w:rPr>
                <w:color w:val="FFFFFF" w:themeColor="background1"/>
                <w:szCs w:val="24"/>
              </w:rPr>
            </w:pPr>
            <w:r w:rsidRPr="007641BA">
              <w:rPr>
                <w:color w:val="FFFFFF" w:themeColor="background1"/>
                <w:szCs w:val="24"/>
              </w:rPr>
              <w:t>31 March 2023</w:t>
            </w:r>
          </w:p>
          <w:p w14:paraId="792DB56B" w14:textId="68372014" w:rsidR="00300384" w:rsidRPr="007641BA" w:rsidRDefault="00300384" w:rsidP="00611673">
            <w:pPr>
              <w:jc w:val="right"/>
              <w:rPr>
                <w:color w:val="FFFFFF" w:themeColor="background1"/>
                <w:szCs w:val="24"/>
              </w:rPr>
            </w:pPr>
            <w:r w:rsidRPr="007641BA">
              <w:rPr>
                <w:color w:val="FFFFFF" w:themeColor="background1"/>
                <w:szCs w:val="24"/>
              </w:rPr>
              <w:t>£000</w:t>
            </w:r>
          </w:p>
        </w:tc>
        <w:tc>
          <w:tcPr>
            <w:tcW w:w="1134" w:type="dxa"/>
            <w:shd w:val="clear" w:color="auto" w:fill="BD2716"/>
            <w:vAlign w:val="center"/>
          </w:tcPr>
          <w:p w14:paraId="33D9257A" w14:textId="77777777" w:rsidR="00300384" w:rsidRPr="007641BA" w:rsidRDefault="00300384" w:rsidP="00611673">
            <w:pPr>
              <w:jc w:val="right"/>
              <w:rPr>
                <w:color w:val="FFFFFF" w:themeColor="background1"/>
                <w:szCs w:val="24"/>
              </w:rPr>
            </w:pPr>
            <w:r w:rsidRPr="007641BA">
              <w:rPr>
                <w:color w:val="FFFFFF" w:themeColor="background1"/>
                <w:szCs w:val="24"/>
              </w:rPr>
              <w:t>31 March 2022</w:t>
            </w:r>
          </w:p>
          <w:p w14:paraId="6995C114" w14:textId="7C36DA70" w:rsidR="00300384" w:rsidRPr="007641BA" w:rsidRDefault="00300384" w:rsidP="00611673">
            <w:pPr>
              <w:jc w:val="right"/>
              <w:rPr>
                <w:color w:val="FFFFFF" w:themeColor="background1"/>
                <w:szCs w:val="24"/>
              </w:rPr>
            </w:pPr>
            <w:r w:rsidRPr="007641BA">
              <w:rPr>
                <w:color w:val="FFFFFF" w:themeColor="background1"/>
                <w:szCs w:val="24"/>
              </w:rPr>
              <w:t>£000</w:t>
            </w:r>
          </w:p>
        </w:tc>
      </w:tr>
      <w:tr w:rsidR="00300384" w:rsidRPr="00AF3DCD" w14:paraId="24F64002" w14:textId="77777777" w:rsidTr="00DD63D7">
        <w:trPr>
          <w:cantSplit/>
          <w:trHeight w:val="80"/>
        </w:trPr>
        <w:tc>
          <w:tcPr>
            <w:tcW w:w="4110" w:type="dxa"/>
            <w:vAlign w:val="center"/>
          </w:tcPr>
          <w:p w14:paraId="6DA354B3" w14:textId="77777777" w:rsidR="00300384" w:rsidRPr="00617696" w:rsidRDefault="00300384" w:rsidP="00300384">
            <w:pPr>
              <w:tabs>
                <w:tab w:val="left" w:pos="0"/>
              </w:tabs>
              <w:rPr>
                <w:szCs w:val="24"/>
              </w:rPr>
            </w:pPr>
            <w:r w:rsidRPr="00617696">
              <w:rPr>
                <w:szCs w:val="24"/>
              </w:rPr>
              <w:t>Borrowings</w:t>
            </w:r>
          </w:p>
        </w:tc>
        <w:tc>
          <w:tcPr>
            <w:tcW w:w="1134" w:type="dxa"/>
            <w:vAlign w:val="center"/>
          </w:tcPr>
          <w:p w14:paraId="2DF5495F" w14:textId="74D969D0" w:rsidR="00300384" w:rsidRPr="00617696" w:rsidRDefault="00300384" w:rsidP="00DD63D7">
            <w:pPr>
              <w:pStyle w:val="Footer"/>
              <w:tabs>
                <w:tab w:val="clear" w:pos="4153"/>
                <w:tab w:val="clear" w:pos="8306"/>
                <w:tab w:val="decimal" w:pos="468"/>
              </w:tabs>
              <w:jc w:val="right"/>
              <w:rPr>
                <w:szCs w:val="24"/>
              </w:rPr>
            </w:pPr>
            <w:r w:rsidRPr="00617696">
              <w:rPr>
                <w:szCs w:val="24"/>
              </w:rPr>
              <w:t>2,0</w:t>
            </w:r>
            <w:r>
              <w:rPr>
                <w:szCs w:val="24"/>
              </w:rPr>
              <w:t>00</w:t>
            </w:r>
          </w:p>
        </w:tc>
        <w:tc>
          <w:tcPr>
            <w:tcW w:w="1134" w:type="dxa"/>
            <w:vAlign w:val="center"/>
          </w:tcPr>
          <w:p w14:paraId="360C7C2E" w14:textId="1B0A64E5" w:rsidR="00300384" w:rsidRPr="00617696" w:rsidRDefault="00300384" w:rsidP="00DD63D7">
            <w:pPr>
              <w:pStyle w:val="Footer"/>
              <w:tabs>
                <w:tab w:val="clear" w:pos="4153"/>
                <w:tab w:val="clear" w:pos="8306"/>
                <w:tab w:val="decimal" w:pos="468"/>
              </w:tabs>
              <w:jc w:val="right"/>
              <w:rPr>
                <w:szCs w:val="24"/>
              </w:rPr>
            </w:pPr>
            <w:r w:rsidRPr="00617696">
              <w:rPr>
                <w:szCs w:val="24"/>
              </w:rPr>
              <w:t>2,0</w:t>
            </w:r>
            <w:r>
              <w:rPr>
                <w:szCs w:val="24"/>
              </w:rPr>
              <w:t>00</w:t>
            </w:r>
          </w:p>
        </w:tc>
        <w:tc>
          <w:tcPr>
            <w:tcW w:w="1134" w:type="dxa"/>
            <w:shd w:val="clear" w:color="00FFFF" w:fill="auto"/>
            <w:vAlign w:val="center"/>
          </w:tcPr>
          <w:p w14:paraId="1804D32B" w14:textId="50B50E9D" w:rsidR="00300384" w:rsidRPr="00617696" w:rsidRDefault="00300384" w:rsidP="00DD63D7">
            <w:pPr>
              <w:pStyle w:val="Footer"/>
              <w:tabs>
                <w:tab w:val="clear" w:pos="4153"/>
                <w:tab w:val="clear" w:pos="8306"/>
                <w:tab w:val="decimal" w:pos="468"/>
              </w:tabs>
              <w:jc w:val="right"/>
              <w:rPr>
                <w:szCs w:val="24"/>
              </w:rPr>
            </w:pPr>
            <w:r>
              <w:rPr>
                <w:szCs w:val="24"/>
              </w:rPr>
              <w:t>22</w:t>
            </w:r>
          </w:p>
        </w:tc>
        <w:tc>
          <w:tcPr>
            <w:tcW w:w="1134" w:type="dxa"/>
            <w:shd w:val="clear" w:color="00FFFF" w:fill="auto"/>
            <w:vAlign w:val="center"/>
          </w:tcPr>
          <w:p w14:paraId="0C25E607" w14:textId="5FE35433" w:rsidR="00300384" w:rsidRPr="00617696" w:rsidRDefault="00300384" w:rsidP="00DD63D7">
            <w:pPr>
              <w:pStyle w:val="Footer"/>
              <w:tabs>
                <w:tab w:val="clear" w:pos="4153"/>
                <w:tab w:val="clear" w:pos="8306"/>
                <w:tab w:val="decimal" w:pos="468"/>
              </w:tabs>
              <w:jc w:val="right"/>
              <w:rPr>
                <w:szCs w:val="24"/>
              </w:rPr>
            </w:pPr>
            <w:r>
              <w:rPr>
                <w:szCs w:val="24"/>
              </w:rPr>
              <w:t>22</w:t>
            </w:r>
          </w:p>
        </w:tc>
      </w:tr>
      <w:tr w:rsidR="00300384" w:rsidRPr="00AF3DCD" w14:paraId="62911E66" w14:textId="77777777" w:rsidTr="00DD63D7">
        <w:trPr>
          <w:cantSplit/>
          <w:trHeight w:val="405"/>
        </w:trPr>
        <w:tc>
          <w:tcPr>
            <w:tcW w:w="4110" w:type="dxa"/>
            <w:vAlign w:val="center"/>
          </w:tcPr>
          <w:p w14:paraId="741D263E" w14:textId="77777777" w:rsidR="00300384" w:rsidRPr="00617696" w:rsidRDefault="00300384" w:rsidP="00300384">
            <w:pPr>
              <w:rPr>
                <w:szCs w:val="24"/>
              </w:rPr>
            </w:pPr>
            <w:r w:rsidRPr="00617696">
              <w:rPr>
                <w:szCs w:val="24"/>
              </w:rPr>
              <w:lastRenderedPageBreak/>
              <w:t>PFI and finance lease arrangements</w:t>
            </w:r>
          </w:p>
        </w:tc>
        <w:tc>
          <w:tcPr>
            <w:tcW w:w="1134" w:type="dxa"/>
            <w:vAlign w:val="center"/>
          </w:tcPr>
          <w:p w14:paraId="1D5113C8" w14:textId="764704F0" w:rsidR="00300384" w:rsidRPr="00617696" w:rsidRDefault="00300384" w:rsidP="00DD63D7">
            <w:pPr>
              <w:pStyle w:val="Footer"/>
              <w:tabs>
                <w:tab w:val="clear" w:pos="4153"/>
                <w:tab w:val="clear" w:pos="8306"/>
                <w:tab w:val="decimal" w:pos="435"/>
              </w:tabs>
              <w:jc w:val="right"/>
              <w:rPr>
                <w:szCs w:val="24"/>
              </w:rPr>
            </w:pPr>
            <w:r w:rsidRPr="00617696">
              <w:rPr>
                <w:szCs w:val="24"/>
              </w:rPr>
              <w:t>11,913</w:t>
            </w:r>
          </w:p>
        </w:tc>
        <w:tc>
          <w:tcPr>
            <w:tcW w:w="1134" w:type="dxa"/>
            <w:vAlign w:val="center"/>
          </w:tcPr>
          <w:p w14:paraId="4A70B1DA" w14:textId="29672252" w:rsidR="00300384" w:rsidRPr="00617696" w:rsidRDefault="00300384" w:rsidP="00DD63D7">
            <w:pPr>
              <w:pStyle w:val="Footer"/>
              <w:tabs>
                <w:tab w:val="clear" w:pos="4153"/>
                <w:tab w:val="clear" w:pos="8306"/>
                <w:tab w:val="decimal" w:pos="326"/>
              </w:tabs>
              <w:jc w:val="right"/>
              <w:rPr>
                <w:szCs w:val="24"/>
              </w:rPr>
            </w:pPr>
            <w:r w:rsidRPr="00617696">
              <w:rPr>
                <w:szCs w:val="24"/>
              </w:rPr>
              <w:t>12,434</w:t>
            </w:r>
          </w:p>
        </w:tc>
        <w:tc>
          <w:tcPr>
            <w:tcW w:w="1134" w:type="dxa"/>
            <w:shd w:val="clear" w:color="00FFFF" w:fill="auto"/>
            <w:vAlign w:val="center"/>
          </w:tcPr>
          <w:p w14:paraId="6063DC00" w14:textId="760C3C4F" w:rsidR="00300384" w:rsidRPr="00617696" w:rsidRDefault="00300384" w:rsidP="00DD63D7">
            <w:pPr>
              <w:pStyle w:val="Footer"/>
              <w:tabs>
                <w:tab w:val="clear" w:pos="4153"/>
                <w:tab w:val="clear" w:pos="8306"/>
                <w:tab w:val="decimal" w:pos="435"/>
              </w:tabs>
              <w:jc w:val="right"/>
              <w:rPr>
                <w:szCs w:val="24"/>
              </w:rPr>
            </w:pPr>
            <w:r w:rsidRPr="00617696">
              <w:rPr>
                <w:szCs w:val="24"/>
              </w:rPr>
              <w:t>522</w:t>
            </w:r>
          </w:p>
        </w:tc>
        <w:tc>
          <w:tcPr>
            <w:tcW w:w="1134" w:type="dxa"/>
            <w:shd w:val="clear" w:color="00FFFF" w:fill="auto"/>
            <w:vAlign w:val="center"/>
          </w:tcPr>
          <w:p w14:paraId="71FBC3BD" w14:textId="1B332F99" w:rsidR="00300384" w:rsidRPr="00617696" w:rsidRDefault="00300384" w:rsidP="00DD63D7">
            <w:pPr>
              <w:pStyle w:val="Footer"/>
              <w:tabs>
                <w:tab w:val="clear" w:pos="4153"/>
                <w:tab w:val="clear" w:pos="8306"/>
                <w:tab w:val="decimal" w:pos="435"/>
              </w:tabs>
              <w:jc w:val="right"/>
              <w:rPr>
                <w:szCs w:val="24"/>
              </w:rPr>
            </w:pPr>
            <w:r w:rsidRPr="00617696">
              <w:rPr>
                <w:szCs w:val="24"/>
              </w:rPr>
              <w:t>492</w:t>
            </w:r>
          </w:p>
        </w:tc>
      </w:tr>
      <w:tr w:rsidR="00300384" w:rsidRPr="00AF3DCD" w14:paraId="12E05914" w14:textId="77777777" w:rsidTr="00DD63D7">
        <w:trPr>
          <w:cantSplit/>
          <w:trHeight w:val="80"/>
        </w:trPr>
        <w:tc>
          <w:tcPr>
            <w:tcW w:w="4110" w:type="dxa"/>
            <w:vAlign w:val="center"/>
          </w:tcPr>
          <w:p w14:paraId="0A8A0ADE" w14:textId="77777777" w:rsidR="00300384" w:rsidRPr="00617696" w:rsidRDefault="00300384" w:rsidP="00300384">
            <w:pPr>
              <w:rPr>
                <w:szCs w:val="24"/>
              </w:rPr>
            </w:pPr>
            <w:r w:rsidRPr="00617696">
              <w:rPr>
                <w:szCs w:val="24"/>
              </w:rPr>
              <w:t>Trade payables</w:t>
            </w:r>
          </w:p>
        </w:tc>
        <w:tc>
          <w:tcPr>
            <w:tcW w:w="1134" w:type="dxa"/>
            <w:vAlign w:val="center"/>
          </w:tcPr>
          <w:p w14:paraId="6CCF99D2" w14:textId="77777777" w:rsidR="00300384" w:rsidRPr="00617696" w:rsidRDefault="00300384" w:rsidP="00DD63D7">
            <w:pPr>
              <w:pStyle w:val="Footer"/>
              <w:tabs>
                <w:tab w:val="clear" w:pos="4153"/>
                <w:tab w:val="clear" w:pos="8306"/>
                <w:tab w:val="decimal" w:pos="435"/>
              </w:tabs>
              <w:jc w:val="right"/>
              <w:rPr>
                <w:szCs w:val="24"/>
              </w:rPr>
            </w:pPr>
            <w:r w:rsidRPr="00617696">
              <w:rPr>
                <w:szCs w:val="24"/>
              </w:rPr>
              <w:t>-</w:t>
            </w:r>
          </w:p>
        </w:tc>
        <w:tc>
          <w:tcPr>
            <w:tcW w:w="1134" w:type="dxa"/>
            <w:vAlign w:val="center"/>
          </w:tcPr>
          <w:p w14:paraId="734D0FD0" w14:textId="2E1FCE1E" w:rsidR="00300384" w:rsidRPr="00617696" w:rsidRDefault="00300384" w:rsidP="00DD63D7">
            <w:pPr>
              <w:pStyle w:val="Footer"/>
              <w:tabs>
                <w:tab w:val="clear" w:pos="4153"/>
                <w:tab w:val="clear" w:pos="8306"/>
                <w:tab w:val="decimal" w:pos="326"/>
              </w:tabs>
              <w:jc w:val="right"/>
              <w:rPr>
                <w:szCs w:val="24"/>
              </w:rPr>
            </w:pPr>
            <w:r w:rsidRPr="00617696">
              <w:rPr>
                <w:szCs w:val="24"/>
              </w:rPr>
              <w:t>-</w:t>
            </w:r>
          </w:p>
        </w:tc>
        <w:tc>
          <w:tcPr>
            <w:tcW w:w="1134" w:type="dxa"/>
            <w:shd w:val="clear" w:color="00FFFF" w:fill="auto"/>
            <w:vAlign w:val="center"/>
          </w:tcPr>
          <w:p w14:paraId="6E648895" w14:textId="5590F46A" w:rsidR="00300384" w:rsidRPr="00617696" w:rsidRDefault="00300384" w:rsidP="00DD63D7">
            <w:pPr>
              <w:pStyle w:val="Footer"/>
              <w:tabs>
                <w:tab w:val="clear" w:pos="4153"/>
                <w:tab w:val="clear" w:pos="8306"/>
                <w:tab w:val="decimal" w:pos="435"/>
              </w:tabs>
              <w:jc w:val="right"/>
              <w:rPr>
                <w:szCs w:val="24"/>
              </w:rPr>
            </w:pPr>
            <w:r w:rsidRPr="00617696">
              <w:rPr>
                <w:szCs w:val="24"/>
              </w:rPr>
              <w:t>3,891</w:t>
            </w:r>
          </w:p>
        </w:tc>
        <w:tc>
          <w:tcPr>
            <w:tcW w:w="1134" w:type="dxa"/>
            <w:shd w:val="clear" w:color="00FFFF" w:fill="auto"/>
            <w:vAlign w:val="center"/>
          </w:tcPr>
          <w:p w14:paraId="21D8BD3C" w14:textId="75E65F56" w:rsidR="00300384" w:rsidRPr="00617696" w:rsidRDefault="00300384" w:rsidP="00DD63D7">
            <w:pPr>
              <w:pStyle w:val="Footer"/>
              <w:tabs>
                <w:tab w:val="clear" w:pos="4153"/>
                <w:tab w:val="clear" w:pos="8306"/>
                <w:tab w:val="decimal" w:pos="435"/>
              </w:tabs>
              <w:jc w:val="right"/>
              <w:rPr>
                <w:szCs w:val="24"/>
              </w:rPr>
            </w:pPr>
            <w:r w:rsidRPr="00617696">
              <w:rPr>
                <w:szCs w:val="24"/>
              </w:rPr>
              <w:t>3,568</w:t>
            </w:r>
          </w:p>
        </w:tc>
      </w:tr>
    </w:tbl>
    <w:p w14:paraId="5F6959AA" w14:textId="0162FC10" w:rsidR="00300384" w:rsidRDefault="00300384">
      <w:pPr>
        <w:rPr>
          <w:b/>
          <w:bCs/>
        </w:rPr>
      </w:pPr>
    </w:p>
    <w:p w14:paraId="1E747D96" w14:textId="473BE267" w:rsidR="00D90216" w:rsidRPr="003278CF" w:rsidRDefault="00DE45AC" w:rsidP="003278CF">
      <w:pPr>
        <w:ind w:firstLine="709"/>
        <w:rPr>
          <w:b/>
          <w:bCs/>
        </w:rPr>
      </w:pPr>
      <w:r w:rsidRPr="003278CF">
        <w:rPr>
          <w:b/>
          <w:bCs/>
        </w:rPr>
        <w:t>Financial Instruments -</w:t>
      </w:r>
      <w:r w:rsidR="00D90216" w:rsidRPr="003278CF">
        <w:rPr>
          <w:b/>
          <w:bCs/>
        </w:rPr>
        <w:t xml:space="preserve"> Gains and Losses</w:t>
      </w:r>
    </w:p>
    <w:p w14:paraId="7602ABB8" w14:textId="77777777" w:rsidR="00D90216" w:rsidRPr="00617696" w:rsidRDefault="00D90216" w:rsidP="00617696">
      <w:pPr>
        <w:rPr>
          <w:szCs w:val="24"/>
        </w:rPr>
      </w:pPr>
    </w:p>
    <w:p w14:paraId="5F82B5F1" w14:textId="77777777" w:rsidR="00DE45AC" w:rsidRPr="00617696" w:rsidRDefault="00DE45AC" w:rsidP="00617696">
      <w:pPr>
        <w:ind w:left="709"/>
        <w:rPr>
          <w:szCs w:val="24"/>
        </w:rPr>
      </w:pPr>
      <w:r w:rsidRPr="00617696">
        <w:rPr>
          <w:szCs w:val="24"/>
        </w:rPr>
        <w:t>The gains and losses recognised in the Comprehensive Income and Expenditure Statement in relation to financial instruments consist of the following:</w:t>
      </w:r>
    </w:p>
    <w:p w14:paraId="348AC162" w14:textId="77777777" w:rsidR="00DE45AC" w:rsidRPr="00AF3DCD" w:rsidRDefault="00DE45AC" w:rsidP="00D90216">
      <w:pPr>
        <w:ind w:left="709"/>
        <w:jc w:val="both"/>
        <w:rPr>
          <w:sz w:val="22"/>
          <w:szCs w:val="22"/>
        </w:rPr>
      </w:pPr>
    </w:p>
    <w:tbl>
      <w:tblPr>
        <w:tblW w:w="88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1"/>
        <w:gridCol w:w="1276"/>
        <w:gridCol w:w="1275"/>
      </w:tblGrid>
      <w:tr w:rsidR="00DE6E27" w:rsidRPr="00AF3DCD" w14:paraId="30E13C6B" w14:textId="77777777" w:rsidTr="00611673">
        <w:trPr>
          <w:cantSplit/>
          <w:trHeight w:val="237"/>
          <w:tblHeader/>
        </w:trPr>
        <w:tc>
          <w:tcPr>
            <w:tcW w:w="6271" w:type="dxa"/>
            <w:shd w:val="clear" w:color="auto" w:fill="BD2716"/>
          </w:tcPr>
          <w:p w14:paraId="4A29967B" w14:textId="77777777" w:rsidR="00DE6E27" w:rsidRPr="007641BA" w:rsidRDefault="00DE6E27" w:rsidP="00BA53E7">
            <w:pPr>
              <w:rPr>
                <w:color w:val="FFFFFF" w:themeColor="background1"/>
                <w:szCs w:val="24"/>
              </w:rPr>
            </w:pPr>
          </w:p>
        </w:tc>
        <w:tc>
          <w:tcPr>
            <w:tcW w:w="1276" w:type="dxa"/>
            <w:shd w:val="clear" w:color="auto" w:fill="BD2716"/>
            <w:vAlign w:val="center"/>
          </w:tcPr>
          <w:p w14:paraId="459D6114" w14:textId="77777777" w:rsidR="00DE6E27" w:rsidRPr="007641BA" w:rsidRDefault="00DE6E27" w:rsidP="00611673">
            <w:pPr>
              <w:pStyle w:val="BodyTextIndent"/>
              <w:ind w:left="0"/>
              <w:jc w:val="right"/>
              <w:rPr>
                <w:color w:val="FFFFFF" w:themeColor="background1"/>
                <w:szCs w:val="24"/>
                <w:lang w:val="en-GB"/>
              </w:rPr>
            </w:pPr>
            <w:r w:rsidRPr="007641BA">
              <w:rPr>
                <w:color w:val="FFFFFF" w:themeColor="background1"/>
                <w:szCs w:val="24"/>
                <w:lang w:val="en-GB"/>
              </w:rPr>
              <w:t>2022/23</w:t>
            </w:r>
          </w:p>
          <w:p w14:paraId="387ECA45" w14:textId="4DC6FB9F" w:rsidR="00DC7A16" w:rsidRPr="007641BA" w:rsidRDefault="00DC7A16" w:rsidP="00611673">
            <w:pPr>
              <w:pStyle w:val="BodyTextIndent"/>
              <w:ind w:left="0"/>
              <w:jc w:val="right"/>
              <w:rPr>
                <w:color w:val="FFFFFF" w:themeColor="background1"/>
                <w:szCs w:val="24"/>
                <w:lang w:val="en-GB"/>
              </w:rPr>
            </w:pPr>
            <w:r w:rsidRPr="007641BA">
              <w:rPr>
                <w:color w:val="FFFFFF" w:themeColor="background1"/>
                <w:szCs w:val="24"/>
                <w:lang w:val="en-GB"/>
              </w:rPr>
              <w:t>£000</w:t>
            </w:r>
          </w:p>
        </w:tc>
        <w:tc>
          <w:tcPr>
            <w:tcW w:w="1275" w:type="dxa"/>
            <w:shd w:val="clear" w:color="auto" w:fill="BD2716"/>
            <w:vAlign w:val="center"/>
          </w:tcPr>
          <w:p w14:paraId="2761099A" w14:textId="77777777" w:rsidR="00DE6E27" w:rsidRPr="007641BA" w:rsidRDefault="00DE6E27" w:rsidP="00611673">
            <w:pPr>
              <w:pStyle w:val="BodyTextIndent"/>
              <w:ind w:left="0"/>
              <w:jc w:val="right"/>
              <w:rPr>
                <w:color w:val="FFFFFF" w:themeColor="background1"/>
                <w:szCs w:val="24"/>
                <w:lang w:val="en-GB"/>
              </w:rPr>
            </w:pPr>
            <w:r w:rsidRPr="007641BA">
              <w:rPr>
                <w:color w:val="FFFFFF" w:themeColor="background1"/>
                <w:szCs w:val="24"/>
                <w:lang w:val="en-GB"/>
              </w:rPr>
              <w:t>2021/22</w:t>
            </w:r>
          </w:p>
          <w:p w14:paraId="1898647B" w14:textId="3A9C7BC6" w:rsidR="00DC7A16" w:rsidRPr="007641BA" w:rsidRDefault="00DC7A16" w:rsidP="00611673">
            <w:pPr>
              <w:pStyle w:val="BodyTextIndent"/>
              <w:ind w:left="0"/>
              <w:jc w:val="right"/>
              <w:rPr>
                <w:color w:val="FFFFFF" w:themeColor="background1"/>
                <w:szCs w:val="24"/>
                <w:lang w:val="en-GB"/>
              </w:rPr>
            </w:pPr>
            <w:r w:rsidRPr="007641BA">
              <w:rPr>
                <w:color w:val="FFFFFF" w:themeColor="background1"/>
                <w:szCs w:val="24"/>
                <w:lang w:val="en-GB"/>
              </w:rPr>
              <w:t>£000</w:t>
            </w:r>
          </w:p>
        </w:tc>
      </w:tr>
      <w:tr w:rsidR="00DC7A16" w:rsidRPr="00AF3DCD" w14:paraId="7BBAF906" w14:textId="77777777" w:rsidTr="007641BA">
        <w:trPr>
          <w:cantSplit/>
          <w:trHeight w:val="275"/>
        </w:trPr>
        <w:tc>
          <w:tcPr>
            <w:tcW w:w="8822" w:type="dxa"/>
            <w:gridSpan w:val="3"/>
            <w:shd w:val="clear" w:color="auto" w:fill="D9D9D9" w:themeFill="background1" w:themeFillShade="D9"/>
          </w:tcPr>
          <w:p w14:paraId="060AA4FA" w14:textId="23F08CE7" w:rsidR="00DC7A16" w:rsidRPr="00617696" w:rsidRDefault="00DC7A16" w:rsidP="00DC7A16">
            <w:pPr>
              <w:rPr>
                <w:szCs w:val="24"/>
              </w:rPr>
            </w:pPr>
            <w:r w:rsidRPr="00617696">
              <w:rPr>
                <w:b/>
                <w:szCs w:val="24"/>
              </w:rPr>
              <w:t>Financial Liabilities at amortised cost</w:t>
            </w:r>
          </w:p>
        </w:tc>
      </w:tr>
      <w:tr w:rsidR="00DE6E27" w:rsidRPr="00AF3DCD" w14:paraId="26C0A624" w14:textId="77777777" w:rsidTr="00DD63D7">
        <w:trPr>
          <w:cantSplit/>
          <w:trHeight w:val="382"/>
        </w:trPr>
        <w:tc>
          <w:tcPr>
            <w:tcW w:w="6271" w:type="dxa"/>
            <w:vAlign w:val="center"/>
          </w:tcPr>
          <w:p w14:paraId="4EF05E61" w14:textId="77777777" w:rsidR="00DE6E27" w:rsidRPr="00617696" w:rsidRDefault="00DE6E27" w:rsidP="00255C4C">
            <w:pPr>
              <w:tabs>
                <w:tab w:val="left" w:pos="0"/>
              </w:tabs>
              <w:rPr>
                <w:szCs w:val="24"/>
              </w:rPr>
            </w:pPr>
            <w:r w:rsidRPr="00617696">
              <w:rPr>
                <w:szCs w:val="24"/>
              </w:rPr>
              <w:t>Interest payable relating to PFI</w:t>
            </w:r>
          </w:p>
        </w:tc>
        <w:tc>
          <w:tcPr>
            <w:tcW w:w="1276" w:type="dxa"/>
            <w:vAlign w:val="center"/>
          </w:tcPr>
          <w:p w14:paraId="76618B2C" w14:textId="0370DA25" w:rsidR="00DE6E27" w:rsidRPr="00617696" w:rsidRDefault="00DE6E27" w:rsidP="00DD63D7">
            <w:pPr>
              <w:pStyle w:val="Footer"/>
              <w:tabs>
                <w:tab w:val="clear" w:pos="4153"/>
                <w:tab w:val="clear" w:pos="8306"/>
                <w:tab w:val="decimal" w:pos="601"/>
              </w:tabs>
              <w:jc w:val="right"/>
              <w:rPr>
                <w:szCs w:val="24"/>
              </w:rPr>
            </w:pPr>
            <w:r w:rsidRPr="00617696">
              <w:rPr>
                <w:szCs w:val="24"/>
              </w:rPr>
              <w:t>1,2</w:t>
            </w:r>
            <w:r w:rsidR="00AD2D7D" w:rsidRPr="00617696">
              <w:rPr>
                <w:szCs w:val="24"/>
              </w:rPr>
              <w:t>9</w:t>
            </w:r>
            <w:r w:rsidR="0059581D" w:rsidRPr="00617696">
              <w:rPr>
                <w:szCs w:val="24"/>
              </w:rPr>
              <w:t>4</w:t>
            </w:r>
          </w:p>
        </w:tc>
        <w:tc>
          <w:tcPr>
            <w:tcW w:w="1275" w:type="dxa"/>
            <w:vAlign w:val="center"/>
          </w:tcPr>
          <w:p w14:paraId="669CDD04" w14:textId="498C1AB6" w:rsidR="00DE6E27" w:rsidRPr="00617696" w:rsidRDefault="00DE6E27" w:rsidP="00DD63D7">
            <w:pPr>
              <w:pStyle w:val="Footer"/>
              <w:tabs>
                <w:tab w:val="clear" w:pos="4153"/>
                <w:tab w:val="clear" w:pos="8306"/>
                <w:tab w:val="decimal" w:pos="601"/>
              </w:tabs>
              <w:jc w:val="right"/>
              <w:rPr>
                <w:szCs w:val="24"/>
              </w:rPr>
            </w:pPr>
            <w:r w:rsidRPr="00617696">
              <w:rPr>
                <w:szCs w:val="24"/>
              </w:rPr>
              <w:t>1,312</w:t>
            </w:r>
          </w:p>
        </w:tc>
      </w:tr>
      <w:tr w:rsidR="00DE6E27" w:rsidRPr="00AF3DCD" w14:paraId="29FA07CF" w14:textId="77777777" w:rsidTr="00DD63D7">
        <w:trPr>
          <w:cantSplit/>
          <w:trHeight w:val="382"/>
        </w:trPr>
        <w:tc>
          <w:tcPr>
            <w:tcW w:w="6271" w:type="dxa"/>
            <w:vAlign w:val="center"/>
          </w:tcPr>
          <w:p w14:paraId="47B27E4E" w14:textId="77777777" w:rsidR="00DE6E27" w:rsidRPr="00617696" w:rsidRDefault="00DE6E27" w:rsidP="00255C4C">
            <w:pPr>
              <w:tabs>
                <w:tab w:val="left" w:pos="0"/>
              </w:tabs>
              <w:rPr>
                <w:szCs w:val="24"/>
              </w:rPr>
            </w:pPr>
            <w:r w:rsidRPr="00617696">
              <w:rPr>
                <w:szCs w:val="24"/>
              </w:rPr>
              <w:t>Interest payable relating to Borrowing</w:t>
            </w:r>
          </w:p>
        </w:tc>
        <w:tc>
          <w:tcPr>
            <w:tcW w:w="1276" w:type="dxa"/>
            <w:vAlign w:val="center"/>
          </w:tcPr>
          <w:p w14:paraId="25A45E43" w14:textId="79A23F5B" w:rsidR="00DE6E27" w:rsidRPr="00617696" w:rsidRDefault="00DE6E27" w:rsidP="00DD63D7">
            <w:pPr>
              <w:pStyle w:val="Footer"/>
              <w:tabs>
                <w:tab w:val="clear" w:pos="4153"/>
                <w:tab w:val="clear" w:pos="8306"/>
                <w:tab w:val="decimal" w:pos="601"/>
              </w:tabs>
              <w:jc w:val="right"/>
              <w:rPr>
                <w:szCs w:val="24"/>
              </w:rPr>
            </w:pPr>
            <w:r w:rsidRPr="00617696">
              <w:rPr>
                <w:szCs w:val="24"/>
              </w:rPr>
              <w:t>90</w:t>
            </w:r>
          </w:p>
        </w:tc>
        <w:tc>
          <w:tcPr>
            <w:tcW w:w="1275" w:type="dxa"/>
            <w:vAlign w:val="center"/>
          </w:tcPr>
          <w:p w14:paraId="3644A288" w14:textId="7FE20912" w:rsidR="00DE6E27" w:rsidRPr="00617696" w:rsidRDefault="00DE6E27" w:rsidP="00DD63D7">
            <w:pPr>
              <w:pStyle w:val="Footer"/>
              <w:tabs>
                <w:tab w:val="clear" w:pos="4153"/>
                <w:tab w:val="clear" w:pos="8306"/>
                <w:tab w:val="decimal" w:pos="601"/>
              </w:tabs>
              <w:jc w:val="right"/>
              <w:rPr>
                <w:szCs w:val="24"/>
              </w:rPr>
            </w:pPr>
            <w:r w:rsidRPr="00617696">
              <w:rPr>
                <w:szCs w:val="24"/>
              </w:rPr>
              <w:t>90</w:t>
            </w:r>
          </w:p>
        </w:tc>
      </w:tr>
      <w:tr w:rsidR="00DE6E27" w:rsidRPr="00AF3DCD" w14:paraId="57DC91BA" w14:textId="77777777" w:rsidTr="00DD63D7">
        <w:trPr>
          <w:cantSplit/>
          <w:trHeight w:val="382"/>
        </w:trPr>
        <w:tc>
          <w:tcPr>
            <w:tcW w:w="6271" w:type="dxa"/>
            <w:vAlign w:val="center"/>
          </w:tcPr>
          <w:p w14:paraId="780A5D13" w14:textId="77777777" w:rsidR="00DE6E27" w:rsidRPr="00617696" w:rsidRDefault="00DE6E27" w:rsidP="00255C4C">
            <w:pPr>
              <w:tabs>
                <w:tab w:val="left" w:pos="0"/>
              </w:tabs>
              <w:rPr>
                <w:szCs w:val="24"/>
              </w:rPr>
            </w:pPr>
            <w:r w:rsidRPr="00617696">
              <w:rPr>
                <w:szCs w:val="24"/>
              </w:rPr>
              <w:t>Interest payable relating to finance leases</w:t>
            </w:r>
          </w:p>
        </w:tc>
        <w:tc>
          <w:tcPr>
            <w:tcW w:w="1276" w:type="dxa"/>
            <w:vAlign w:val="center"/>
          </w:tcPr>
          <w:p w14:paraId="40A189AE" w14:textId="366CDB57" w:rsidR="00DE6E27" w:rsidRPr="00617696" w:rsidRDefault="001F20A1" w:rsidP="00DD63D7">
            <w:pPr>
              <w:pStyle w:val="Footer"/>
              <w:tabs>
                <w:tab w:val="clear" w:pos="4153"/>
                <w:tab w:val="clear" w:pos="8306"/>
                <w:tab w:val="decimal" w:pos="601"/>
              </w:tabs>
              <w:jc w:val="right"/>
              <w:rPr>
                <w:szCs w:val="24"/>
              </w:rPr>
            </w:pPr>
            <w:r w:rsidRPr="00617696">
              <w:rPr>
                <w:szCs w:val="24"/>
              </w:rPr>
              <w:t>4</w:t>
            </w:r>
          </w:p>
        </w:tc>
        <w:tc>
          <w:tcPr>
            <w:tcW w:w="1275" w:type="dxa"/>
            <w:vAlign w:val="center"/>
          </w:tcPr>
          <w:p w14:paraId="0B48197A" w14:textId="44FC7F0C" w:rsidR="00DE6E27" w:rsidRPr="00617696" w:rsidRDefault="00DE6E27" w:rsidP="00DD63D7">
            <w:pPr>
              <w:pStyle w:val="Footer"/>
              <w:tabs>
                <w:tab w:val="clear" w:pos="4153"/>
                <w:tab w:val="clear" w:pos="8306"/>
                <w:tab w:val="decimal" w:pos="601"/>
              </w:tabs>
              <w:jc w:val="right"/>
              <w:rPr>
                <w:szCs w:val="24"/>
              </w:rPr>
            </w:pPr>
            <w:r w:rsidRPr="00617696">
              <w:rPr>
                <w:szCs w:val="24"/>
              </w:rPr>
              <w:t>6</w:t>
            </w:r>
          </w:p>
        </w:tc>
      </w:tr>
      <w:tr w:rsidR="00DE6E27" w:rsidRPr="00AF3DCD" w14:paraId="052C9278" w14:textId="77777777" w:rsidTr="00DD63D7">
        <w:trPr>
          <w:cantSplit/>
          <w:trHeight w:val="405"/>
        </w:trPr>
        <w:tc>
          <w:tcPr>
            <w:tcW w:w="6271" w:type="dxa"/>
            <w:vAlign w:val="center"/>
          </w:tcPr>
          <w:p w14:paraId="43CF5FD1" w14:textId="77777777" w:rsidR="00DE6E27" w:rsidRPr="00617696" w:rsidRDefault="00DE6E27" w:rsidP="00255C4C">
            <w:pPr>
              <w:rPr>
                <w:szCs w:val="24"/>
              </w:rPr>
            </w:pPr>
            <w:r w:rsidRPr="00617696">
              <w:rPr>
                <w:szCs w:val="24"/>
              </w:rPr>
              <w:t>Total expense in Deficit on the Provision of Services</w:t>
            </w:r>
          </w:p>
        </w:tc>
        <w:tc>
          <w:tcPr>
            <w:tcW w:w="1276" w:type="dxa"/>
            <w:vAlign w:val="center"/>
          </w:tcPr>
          <w:p w14:paraId="3F5E6EEA" w14:textId="77777777" w:rsidR="00DE6E27" w:rsidRPr="00617696" w:rsidRDefault="00DE6E27" w:rsidP="00DD63D7">
            <w:pPr>
              <w:pStyle w:val="Footer"/>
              <w:tabs>
                <w:tab w:val="clear" w:pos="4153"/>
                <w:tab w:val="clear" w:pos="8306"/>
                <w:tab w:val="decimal" w:pos="601"/>
              </w:tabs>
              <w:jc w:val="right"/>
              <w:rPr>
                <w:szCs w:val="24"/>
              </w:rPr>
            </w:pPr>
          </w:p>
          <w:p w14:paraId="059BA733" w14:textId="6A2BF5B4" w:rsidR="00DE6E27" w:rsidRPr="00617696" w:rsidRDefault="00DE6E27" w:rsidP="00DD63D7">
            <w:pPr>
              <w:pStyle w:val="Footer"/>
              <w:tabs>
                <w:tab w:val="clear" w:pos="4153"/>
                <w:tab w:val="clear" w:pos="8306"/>
                <w:tab w:val="decimal" w:pos="601"/>
              </w:tabs>
              <w:jc w:val="right"/>
              <w:rPr>
                <w:szCs w:val="24"/>
              </w:rPr>
            </w:pPr>
            <w:r w:rsidRPr="00617696">
              <w:rPr>
                <w:szCs w:val="24"/>
              </w:rPr>
              <w:t>1,</w:t>
            </w:r>
            <w:r w:rsidR="001F20A1" w:rsidRPr="00617696">
              <w:rPr>
                <w:szCs w:val="24"/>
              </w:rPr>
              <w:t>388</w:t>
            </w:r>
          </w:p>
        </w:tc>
        <w:tc>
          <w:tcPr>
            <w:tcW w:w="1275" w:type="dxa"/>
            <w:vAlign w:val="center"/>
          </w:tcPr>
          <w:p w14:paraId="6EA936BE" w14:textId="77777777" w:rsidR="00DE6E27" w:rsidRPr="00617696" w:rsidRDefault="00DE6E27" w:rsidP="00DD63D7">
            <w:pPr>
              <w:pStyle w:val="Footer"/>
              <w:tabs>
                <w:tab w:val="clear" w:pos="4153"/>
                <w:tab w:val="clear" w:pos="8306"/>
                <w:tab w:val="decimal" w:pos="601"/>
              </w:tabs>
              <w:jc w:val="right"/>
              <w:rPr>
                <w:szCs w:val="24"/>
              </w:rPr>
            </w:pPr>
          </w:p>
          <w:p w14:paraId="498064A4" w14:textId="6CA61234" w:rsidR="00DE6E27" w:rsidRPr="00617696" w:rsidRDefault="00DE6E27" w:rsidP="00DD63D7">
            <w:pPr>
              <w:pStyle w:val="Footer"/>
              <w:tabs>
                <w:tab w:val="clear" w:pos="4153"/>
                <w:tab w:val="clear" w:pos="8306"/>
                <w:tab w:val="decimal" w:pos="601"/>
              </w:tabs>
              <w:jc w:val="right"/>
              <w:rPr>
                <w:szCs w:val="24"/>
              </w:rPr>
            </w:pPr>
            <w:r w:rsidRPr="00617696">
              <w:rPr>
                <w:szCs w:val="24"/>
              </w:rPr>
              <w:t>1,408</w:t>
            </w:r>
          </w:p>
        </w:tc>
      </w:tr>
    </w:tbl>
    <w:p w14:paraId="5E6039A9" w14:textId="77777777" w:rsidR="00300384" w:rsidRDefault="00300384"/>
    <w:tbl>
      <w:tblPr>
        <w:tblW w:w="88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1"/>
        <w:gridCol w:w="1276"/>
        <w:gridCol w:w="1275"/>
      </w:tblGrid>
      <w:tr w:rsidR="00300384" w:rsidRPr="00AF3DCD" w14:paraId="053ABD45" w14:textId="77777777" w:rsidTr="007641BA">
        <w:trPr>
          <w:cantSplit/>
          <w:trHeight w:val="361"/>
        </w:trPr>
        <w:tc>
          <w:tcPr>
            <w:tcW w:w="8822" w:type="dxa"/>
            <w:gridSpan w:val="3"/>
            <w:shd w:val="clear" w:color="auto" w:fill="D9D9D9" w:themeFill="background1" w:themeFillShade="D9"/>
            <w:vAlign w:val="bottom"/>
          </w:tcPr>
          <w:p w14:paraId="20976247" w14:textId="3CAD45EC" w:rsidR="00300384" w:rsidRPr="00617696" w:rsidRDefault="00300384" w:rsidP="00300384">
            <w:pPr>
              <w:ind w:left="720" w:hanging="720"/>
              <w:rPr>
                <w:szCs w:val="24"/>
              </w:rPr>
            </w:pPr>
            <w:r w:rsidRPr="00617696">
              <w:rPr>
                <w:b/>
                <w:szCs w:val="24"/>
              </w:rPr>
              <w:t>Financial Assets at amortised cost</w:t>
            </w:r>
          </w:p>
        </w:tc>
      </w:tr>
      <w:tr w:rsidR="00DE6E27" w:rsidRPr="00AF3DCD" w14:paraId="0853C146" w14:textId="77777777" w:rsidTr="00DD63D7">
        <w:trPr>
          <w:cantSplit/>
          <w:trHeight w:val="405"/>
        </w:trPr>
        <w:tc>
          <w:tcPr>
            <w:tcW w:w="6271" w:type="dxa"/>
            <w:vAlign w:val="center"/>
          </w:tcPr>
          <w:p w14:paraId="397BA30F" w14:textId="77777777" w:rsidR="00DE6E27" w:rsidRPr="00617696" w:rsidRDefault="00DE6E27" w:rsidP="00DE6E27">
            <w:pPr>
              <w:tabs>
                <w:tab w:val="left" w:pos="0"/>
              </w:tabs>
              <w:rPr>
                <w:szCs w:val="24"/>
              </w:rPr>
            </w:pPr>
            <w:r w:rsidRPr="00617696">
              <w:rPr>
                <w:szCs w:val="24"/>
              </w:rPr>
              <w:t>Interest income</w:t>
            </w:r>
          </w:p>
        </w:tc>
        <w:tc>
          <w:tcPr>
            <w:tcW w:w="1276" w:type="dxa"/>
            <w:vAlign w:val="center"/>
          </w:tcPr>
          <w:p w14:paraId="572B499E" w14:textId="1953DFAA" w:rsidR="00DE6E27" w:rsidRPr="00617696" w:rsidRDefault="00DE6E27" w:rsidP="00DD63D7">
            <w:pPr>
              <w:pStyle w:val="Footer"/>
              <w:tabs>
                <w:tab w:val="clear" w:pos="4153"/>
                <w:tab w:val="clear" w:pos="8306"/>
                <w:tab w:val="decimal" w:pos="326"/>
              </w:tabs>
              <w:jc w:val="right"/>
              <w:rPr>
                <w:szCs w:val="24"/>
              </w:rPr>
            </w:pPr>
            <w:r w:rsidRPr="00617696">
              <w:rPr>
                <w:szCs w:val="24"/>
              </w:rPr>
              <w:t>(</w:t>
            </w:r>
            <w:r w:rsidR="001F20A1" w:rsidRPr="00617696">
              <w:rPr>
                <w:szCs w:val="24"/>
              </w:rPr>
              <w:t>837</w:t>
            </w:r>
            <w:r w:rsidRPr="00617696">
              <w:rPr>
                <w:szCs w:val="24"/>
              </w:rPr>
              <w:t>)</w:t>
            </w:r>
          </w:p>
        </w:tc>
        <w:tc>
          <w:tcPr>
            <w:tcW w:w="1275" w:type="dxa"/>
            <w:vAlign w:val="center"/>
          </w:tcPr>
          <w:p w14:paraId="66E499DC" w14:textId="47408941" w:rsidR="00DE6E27" w:rsidRPr="00617696" w:rsidRDefault="00DE6E27" w:rsidP="00DD63D7">
            <w:pPr>
              <w:pStyle w:val="Footer"/>
              <w:tabs>
                <w:tab w:val="clear" w:pos="4153"/>
                <w:tab w:val="clear" w:pos="8306"/>
                <w:tab w:val="decimal" w:pos="326"/>
              </w:tabs>
              <w:jc w:val="right"/>
              <w:rPr>
                <w:szCs w:val="24"/>
              </w:rPr>
            </w:pPr>
            <w:r w:rsidRPr="00617696">
              <w:rPr>
                <w:szCs w:val="24"/>
              </w:rPr>
              <w:t>(206)</w:t>
            </w:r>
          </w:p>
        </w:tc>
      </w:tr>
      <w:tr w:rsidR="00DE6E27" w:rsidRPr="00AF3DCD" w14:paraId="7A0C61A3" w14:textId="77777777" w:rsidTr="00DD63D7">
        <w:trPr>
          <w:cantSplit/>
          <w:trHeight w:val="405"/>
        </w:trPr>
        <w:tc>
          <w:tcPr>
            <w:tcW w:w="6271" w:type="dxa"/>
            <w:vAlign w:val="center"/>
          </w:tcPr>
          <w:p w14:paraId="102A5ED8" w14:textId="77777777" w:rsidR="00DE6E27" w:rsidRPr="00617696" w:rsidRDefault="00DE6E27" w:rsidP="00DE6E27">
            <w:pPr>
              <w:ind w:left="-37"/>
              <w:rPr>
                <w:szCs w:val="24"/>
              </w:rPr>
            </w:pPr>
            <w:r w:rsidRPr="00617696">
              <w:rPr>
                <w:szCs w:val="24"/>
              </w:rPr>
              <w:t>Total income in Deficit on the Provision of Services</w:t>
            </w:r>
          </w:p>
        </w:tc>
        <w:tc>
          <w:tcPr>
            <w:tcW w:w="1276" w:type="dxa"/>
            <w:vAlign w:val="center"/>
          </w:tcPr>
          <w:p w14:paraId="18E432F5" w14:textId="77777777" w:rsidR="00DE6E27" w:rsidRPr="00617696" w:rsidRDefault="00DE6E27" w:rsidP="00DD63D7">
            <w:pPr>
              <w:pStyle w:val="Footer"/>
              <w:tabs>
                <w:tab w:val="clear" w:pos="4153"/>
                <w:tab w:val="clear" w:pos="8306"/>
                <w:tab w:val="decimal" w:pos="468"/>
              </w:tabs>
              <w:jc w:val="right"/>
              <w:rPr>
                <w:szCs w:val="24"/>
              </w:rPr>
            </w:pPr>
          </w:p>
          <w:p w14:paraId="44D17B52" w14:textId="78E425CD" w:rsidR="00DE6E27" w:rsidRPr="00617696" w:rsidRDefault="00DE6E27" w:rsidP="00DD63D7">
            <w:pPr>
              <w:pStyle w:val="Footer"/>
              <w:tabs>
                <w:tab w:val="clear" w:pos="4153"/>
                <w:tab w:val="clear" w:pos="8306"/>
                <w:tab w:val="decimal" w:pos="326"/>
              </w:tabs>
              <w:jc w:val="right"/>
              <w:rPr>
                <w:szCs w:val="24"/>
              </w:rPr>
            </w:pPr>
            <w:r w:rsidRPr="00617696">
              <w:rPr>
                <w:szCs w:val="24"/>
              </w:rPr>
              <w:t>(</w:t>
            </w:r>
            <w:r w:rsidR="001F20A1" w:rsidRPr="00617696">
              <w:rPr>
                <w:szCs w:val="24"/>
              </w:rPr>
              <w:t>837</w:t>
            </w:r>
            <w:r w:rsidRPr="00617696">
              <w:rPr>
                <w:szCs w:val="24"/>
              </w:rPr>
              <w:t>)</w:t>
            </w:r>
          </w:p>
        </w:tc>
        <w:tc>
          <w:tcPr>
            <w:tcW w:w="1275" w:type="dxa"/>
            <w:vAlign w:val="center"/>
          </w:tcPr>
          <w:p w14:paraId="0193F2CB" w14:textId="77777777" w:rsidR="00DE6E27" w:rsidRPr="00617696" w:rsidRDefault="00DE6E27" w:rsidP="00DD63D7">
            <w:pPr>
              <w:pStyle w:val="Footer"/>
              <w:tabs>
                <w:tab w:val="clear" w:pos="4153"/>
                <w:tab w:val="clear" w:pos="8306"/>
                <w:tab w:val="decimal" w:pos="468"/>
              </w:tabs>
              <w:jc w:val="right"/>
              <w:rPr>
                <w:szCs w:val="24"/>
              </w:rPr>
            </w:pPr>
          </w:p>
          <w:p w14:paraId="7EB8E7D3" w14:textId="23D60E3E" w:rsidR="00DE6E27" w:rsidRPr="00617696" w:rsidRDefault="00DE6E27" w:rsidP="00DD63D7">
            <w:pPr>
              <w:pStyle w:val="Footer"/>
              <w:tabs>
                <w:tab w:val="clear" w:pos="4153"/>
                <w:tab w:val="clear" w:pos="8306"/>
                <w:tab w:val="decimal" w:pos="326"/>
              </w:tabs>
              <w:jc w:val="right"/>
              <w:rPr>
                <w:szCs w:val="24"/>
              </w:rPr>
            </w:pPr>
            <w:r w:rsidRPr="00617696">
              <w:rPr>
                <w:szCs w:val="24"/>
              </w:rPr>
              <w:t>(206)</w:t>
            </w:r>
          </w:p>
        </w:tc>
      </w:tr>
      <w:tr w:rsidR="00DE6E27" w:rsidRPr="00AF3DCD" w14:paraId="4A4340DE" w14:textId="77777777" w:rsidTr="00DD63D7">
        <w:trPr>
          <w:cantSplit/>
          <w:trHeight w:val="405"/>
        </w:trPr>
        <w:tc>
          <w:tcPr>
            <w:tcW w:w="6271" w:type="dxa"/>
            <w:vAlign w:val="center"/>
          </w:tcPr>
          <w:p w14:paraId="480AA266" w14:textId="77777777" w:rsidR="00DE6E27" w:rsidRPr="00617696" w:rsidRDefault="00DE6E27" w:rsidP="00DE6E27">
            <w:pPr>
              <w:ind w:left="33"/>
              <w:rPr>
                <w:szCs w:val="24"/>
              </w:rPr>
            </w:pPr>
            <w:r w:rsidRPr="00617696">
              <w:rPr>
                <w:szCs w:val="24"/>
              </w:rPr>
              <w:t>Net gain/(loss) for the year</w:t>
            </w:r>
          </w:p>
        </w:tc>
        <w:tc>
          <w:tcPr>
            <w:tcW w:w="1276" w:type="dxa"/>
            <w:vAlign w:val="center"/>
          </w:tcPr>
          <w:p w14:paraId="5B050A61" w14:textId="77777777" w:rsidR="00DE6E27" w:rsidRPr="00617696" w:rsidRDefault="00DE6E27" w:rsidP="00DD63D7">
            <w:pPr>
              <w:pStyle w:val="Footer"/>
              <w:tabs>
                <w:tab w:val="clear" w:pos="4153"/>
                <w:tab w:val="clear" w:pos="8306"/>
                <w:tab w:val="decimal" w:pos="601"/>
              </w:tabs>
              <w:jc w:val="right"/>
              <w:rPr>
                <w:szCs w:val="24"/>
              </w:rPr>
            </w:pPr>
          </w:p>
          <w:p w14:paraId="6B6C1795" w14:textId="55322DFD" w:rsidR="00DE6E27" w:rsidRPr="00617696" w:rsidRDefault="001F20A1" w:rsidP="00DD63D7">
            <w:pPr>
              <w:pStyle w:val="Footer"/>
              <w:tabs>
                <w:tab w:val="clear" w:pos="4153"/>
                <w:tab w:val="clear" w:pos="8306"/>
                <w:tab w:val="decimal" w:pos="601"/>
              </w:tabs>
              <w:jc w:val="right"/>
              <w:rPr>
                <w:szCs w:val="24"/>
              </w:rPr>
            </w:pPr>
            <w:r w:rsidRPr="00617696">
              <w:rPr>
                <w:szCs w:val="24"/>
              </w:rPr>
              <w:t>55</w:t>
            </w:r>
            <w:r w:rsidR="00BB29EA" w:rsidRPr="00617696">
              <w:rPr>
                <w:szCs w:val="24"/>
              </w:rPr>
              <w:t>1</w:t>
            </w:r>
          </w:p>
        </w:tc>
        <w:tc>
          <w:tcPr>
            <w:tcW w:w="1275" w:type="dxa"/>
            <w:vAlign w:val="center"/>
          </w:tcPr>
          <w:p w14:paraId="0F06FC3A" w14:textId="77777777" w:rsidR="00DE6E27" w:rsidRPr="00617696" w:rsidRDefault="00DE6E27" w:rsidP="00DD63D7">
            <w:pPr>
              <w:pStyle w:val="Footer"/>
              <w:tabs>
                <w:tab w:val="clear" w:pos="4153"/>
                <w:tab w:val="clear" w:pos="8306"/>
                <w:tab w:val="decimal" w:pos="601"/>
              </w:tabs>
              <w:jc w:val="right"/>
              <w:rPr>
                <w:szCs w:val="24"/>
              </w:rPr>
            </w:pPr>
          </w:p>
          <w:p w14:paraId="7552DF82" w14:textId="61B6259F" w:rsidR="00DE6E27" w:rsidRPr="00617696" w:rsidRDefault="00DE6E27" w:rsidP="00DD63D7">
            <w:pPr>
              <w:pStyle w:val="Footer"/>
              <w:tabs>
                <w:tab w:val="clear" w:pos="4153"/>
                <w:tab w:val="clear" w:pos="8306"/>
                <w:tab w:val="decimal" w:pos="601"/>
              </w:tabs>
              <w:jc w:val="right"/>
              <w:rPr>
                <w:szCs w:val="24"/>
              </w:rPr>
            </w:pPr>
            <w:r w:rsidRPr="00617696">
              <w:rPr>
                <w:szCs w:val="24"/>
              </w:rPr>
              <w:t>1,202</w:t>
            </w:r>
          </w:p>
        </w:tc>
      </w:tr>
    </w:tbl>
    <w:p w14:paraId="111C5D2E" w14:textId="77777777" w:rsidR="00BF24AC" w:rsidRPr="00AF3DCD" w:rsidRDefault="00BF24AC" w:rsidP="00D90216">
      <w:pPr>
        <w:rPr>
          <w:b/>
          <w:sz w:val="22"/>
          <w:szCs w:val="22"/>
        </w:rPr>
      </w:pPr>
    </w:p>
    <w:p w14:paraId="082F6550" w14:textId="0CAEA635" w:rsidR="00D90216" w:rsidRPr="003278CF" w:rsidRDefault="00F004B0" w:rsidP="003278CF">
      <w:pPr>
        <w:ind w:firstLine="709"/>
        <w:rPr>
          <w:b/>
          <w:bCs/>
        </w:rPr>
      </w:pPr>
      <w:r w:rsidRPr="003278CF">
        <w:rPr>
          <w:b/>
          <w:bCs/>
        </w:rPr>
        <w:t xml:space="preserve">Fair Values of </w:t>
      </w:r>
      <w:r w:rsidR="00450D6E" w:rsidRPr="003278CF">
        <w:rPr>
          <w:b/>
          <w:bCs/>
        </w:rPr>
        <w:t>Financial Instruments</w:t>
      </w:r>
    </w:p>
    <w:p w14:paraId="1D4E5900" w14:textId="77777777" w:rsidR="00D90216" w:rsidRPr="00AF3DCD" w:rsidRDefault="00D90216" w:rsidP="00617696">
      <w:pPr>
        <w:ind w:firstLine="709"/>
        <w:rPr>
          <w:b/>
          <w:sz w:val="22"/>
          <w:szCs w:val="22"/>
        </w:rPr>
      </w:pPr>
    </w:p>
    <w:p w14:paraId="61B90B8C" w14:textId="612BD4BC" w:rsidR="00D90216" w:rsidRPr="00BE3374" w:rsidRDefault="008841C4" w:rsidP="00617696">
      <w:pPr>
        <w:ind w:left="709"/>
        <w:rPr>
          <w:szCs w:val="24"/>
        </w:rPr>
      </w:pPr>
      <w:r w:rsidRPr="00BE3374">
        <w:rPr>
          <w:szCs w:val="24"/>
        </w:rPr>
        <w:t>In accordance with IFRS 9, f</w:t>
      </w:r>
      <w:r w:rsidR="00D90216" w:rsidRPr="00BE3374">
        <w:rPr>
          <w:szCs w:val="24"/>
        </w:rPr>
        <w:t xml:space="preserve">inancial liabilities, financial assets represented by </w:t>
      </w:r>
      <w:r w:rsidR="00DF770E" w:rsidRPr="00BE3374">
        <w:rPr>
          <w:szCs w:val="24"/>
        </w:rPr>
        <w:t>investments</w:t>
      </w:r>
      <w:r w:rsidR="00D90216" w:rsidRPr="00BE3374">
        <w:rPr>
          <w:szCs w:val="24"/>
        </w:rPr>
        <w:t xml:space="preserve"> and </w:t>
      </w:r>
      <w:r w:rsidR="005436A9" w:rsidRPr="00BE3374">
        <w:rPr>
          <w:szCs w:val="24"/>
        </w:rPr>
        <w:t>long-term</w:t>
      </w:r>
      <w:r w:rsidR="00D90216" w:rsidRPr="00BE3374">
        <w:rPr>
          <w:szCs w:val="24"/>
        </w:rPr>
        <w:t xml:space="preserve"> creditors, are carried in the Balance Sheet at amortised cost. Their fair value can be assessed by calculating the present value of the cash flows that will take place over the remaining term of the instruments, using the following assumptions:</w:t>
      </w:r>
    </w:p>
    <w:p w14:paraId="12FCDCB1" w14:textId="0AC3DC45" w:rsidR="00D90216" w:rsidRPr="00BE3374" w:rsidRDefault="00D90216" w:rsidP="00617696">
      <w:pPr>
        <w:numPr>
          <w:ilvl w:val="0"/>
          <w:numId w:val="15"/>
        </w:numPr>
        <w:rPr>
          <w:szCs w:val="24"/>
        </w:rPr>
      </w:pPr>
      <w:r w:rsidRPr="00BE3374">
        <w:rPr>
          <w:szCs w:val="24"/>
        </w:rPr>
        <w:t xml:space="preserve">Estimated ranges of interest rates </w:t>
      </w:r>
      <w:proofErr w:type="gramStart"/>
      <w:r w:rsidRPr="00BE3374">
        <w:rPr>
          <w:szCs w:val="24"/>
        </w:rPr>
        <w:t>at</w:t>
      </w:r>
      <w:proofErr w:type="gramEnd"/>
      <w:r w:rsidRPr="00BE3374">
        <w:rPr>
          <w:szCs w:val="24"/>
        </w:rPr>
        <w:t xml:space="preserve"> 31 March 20</w:t>
      </w:r>
      <w:r w:rsidR="00CC6AF3" w:rsidRPr="00BE3374">
        <w:rPr>
          <w:szCs w:val="24"/>
        </w:rPr>
        <w:t>2</w:t>
      </w:r>
      <w:r w:rsidR="00255C4C" w:rsidRPr="00BE3374">
        <w:rPr>
          <w:szCs w:val="24"/>
        </w:rPr>
        <w:t>3</w:t>
      </w:r>
      <w:r w:rsidRPr="00BE3374">
        <w:rPr>
          <w:szCs w:val="24"/>
        </w:rPr>
        <w:t xml:space="preserve"> of </w:t>
      </w:r>
      <w:r w:rsidR="00104FD1" w:rsidRPr="00BE3374">
        <w:rPr>
          <w:szCs w:val="24"/>
        </w:rPr>
        <w:t>4.</w:t>
      </w:r>
      <w:r w:rsidR="00C95614" w:rsidRPr="00BE3374">
        <w:rPr>
          <w:szCs w:val="24"/>
        </w:rPr>
        <w:t>48</w:t>
      </w:r>
      <w:r w:rsidRPr="00BE3374">
        <w:rPr>
          <w:szCs w:val="24"/>
        </w:rPr>
        <w:t xml:space="preserve">% to </w:t>
      </w:r>
      <w:r w:rsidR="00E034A4" w:rsidRPr="00BE3374">
        <w:rPr>
          <w:szCs w:val="24"/>
        </w:rPr>
        <w:t>4.</w:t>
      </w:r>
      <w:r w:rsidR="00C95614" w:rsidRPr="00BE3374">
        <w:rPr>
          <w:szCs w:val="24"/>
        </w:rPr>
        <w:t>49</w:t>
      </w:r>
      <w:r w:rsidRPr="00BE3374">
        <w:rPr>
          <w:szCs w:val="24"/>
        </w:rPr>
        <w:t>% for loans from the PWLB</w:t>
      </w:r>
      <w:r w:rsidR="005436A9" w:rsidRPr="00BE3374">
        <w:rPr>
          <w:szCs w:val="24"/>
        </w:rPr>
        <w:t>.</w:t>
      </w:r>
    </w:p>
    <w:p w14:paraId="09AB3C2F" w14:textId="70DA88ED" w:rsidR="00D90216" w:rsidRPr="00BE3374" w:rsidRDefault="00C40917" w:rsidP="00617696">
      <w:pPr>
        <w:numPr>
          <w:ilvl w:val="0"/>
          <w:numId w:val="15"/>
        </w:numPr>
        <w:rPr>
          <w:szCs w:val="24"/>
        </w:rPr>
      </w:pPr>
      <w:r w:rsidRPr="00BE3374">
        <w:rPr>
          <w:szCs w:val="24"/>
        </w:rPr>
        <w:t xml:space="preserve">The fair values of PWLB loans have been discounted at the market rates for similar instruments with similar remaining terms to </w:t>
      </w:r>
      <w:r w:rsidR="005436A9" w:rsidRPr="00BE3374">
        <w:rPr>
          <w:szCs w:val="24"/>
        </w:rPr>
        <w:t>maturity.</w:t>
      </w:r>
    </w:p>
    <w:p w14:paraId="09308E4D" w14:textId="16E5F366" w:rsidR="00D90216" w:rsidRPr="00BE3374" w:rsidRDefault="00D90216" w:rsidP="00617696">
      <w:pPr>
        <w:numPr>
          <w:ilvl w:val="0"/>
          <w:numId w:val="15"/>
        </w:numPr>
        <w:rPr>
          <w:szCs w:val="24"/>
        </w:rPr>
      </w:pPr>
      <w:r w:rsidRPr="00BE3374">
        <w:rPr>
          <w:szCs w:val="24"/>
        </w:rPr>
        <w:t>Where an instrument will mature in the next 12 months, carrying amount is assumed to approximate to fair value</w:t>
      </w:r>
      <w:r w:rsidR="005436A9" w:rsidRPr="00BE3374">
        <w:rPr>
          <w:szCs w:val="24"/>
        </w:rPr>
        <w:t>.</w:t>
      </w:r>
    </w:p>
    <w:p w14:paraId="26CFCE6E" w14:textId="77777777" w:rsidR="00D90216" w:rsidRPr="00BE3374" w:rsidRDefault="00D90216" w:rsidP="00617696">
      <w:pPr>
        <w:numPr>
          <w:ilvl w:val="0"/>
          <w:numId w:val="15"/>
        </w:numPr>
        <w:rPr>
          <w:szCs w:val="24"/>
        </w:rPr>
      </w:pPr>
      <w:r w:rsidRPr="00BE3374">
        <w:rPr>
          <w:szCs w:val="24"/>
        </w:rPr>
        <w:t>The fair value of trade and other receivables is taken to be the invoiced amount.</w:t>
      </w:r>
    </w:p>
    <w:p w14:paraId="10449FAB" w14:textId="77777777" w:rsidR="00DD63D7" w:rsidRDefault="00F004B0" w:rsidP="00DD63D7">
      <w:pPr>
        <w:numPr>
          <w:ilvl w:val="0"/>
          <w:numId w:val="15"/>
        </w:numPr>
        <w:rPr>
          <w:szCs w:val="24"/>
        </w:rPr>
      </w:pPr>
      <w:r w:rsidRPr="00BE3374">
        <w:rPr>
          <w:szCs w:val="24"/>
        </w:rPr>
        <w:t xml:space="preserve">The fair value of the PFI liabilities has been calculated by discounting the contractual </w:t>
      </w:r>
      <w:r w:rsidR="003004D7" w:rsidRPr="00BE3374">
        <w:rPr>
          <w:szCs w:val="24"/>
        </w:rPr>
        <w:t>cash flows</w:t>
      </w:r>
      <w:r w:rsidRPr="00BE3374">
        <w:rPr>
          <w:szCs w:val="24"/>
        </w:rPr>
        <w:t xml:space="preserve"> (excluding service charge elements) at the appropriate AA-rated bond yield rates</w:t>
      </w:r>
      <w:r w:rsidR="003004D7" w:rsidRPr="00BE3374">
        <w:rPr>
          <w:szCs w:val="24"/>
        </w:rPr>
        <w:t>.</w:t>
      </w:r>
    </w:p>
    <w:p w14:paraId="38A89D20" w14:textId="77777777" w:rsidR="00DD63D7" w:rsidRDefault="00DD63D7">
      <w:pPr>
        <w:rPr>
          <w:szCs w:val="24"/>
        </w:rPr>
      </w:pPr>
      <w:r>
        <w:rPr>
          <w:szCs w:val="24"/>
        </w:rPr>
        <w:br w:type="page"/>
      </w:r>
    </w:p>
    <w:p w14:paraId="443E3743" w14:textId="37A0A9E5" w:rsidR="00D90216" w:rsidRDefault="00D90216" w:rsidP="00DD63D7">
      <w:pPr>
        <w:ind w:firstLine="720"/>
        <w:rPr>
          <w:szCs w:val="24"/>
        </w:rPr>
      </w:pPr>
      <w:r w:rsidRPr="00DD63D7">
        <w:rPr>
          <w:szCs w:val="24"/>
        </w:rPr>
        <w:lastRenderedPageBreak/>
        <w:t>The fair values calculated are as follows:</w:t>
      </w:r>
    </w:p>
    <w:p w14:paraId="5ACD27FA" w14:textId="77777777" w:rsidR="00DD63D7" w:rsidRPr="00DD63D7" w:rsidRDefault="00DD63D7" w:rsidP="00DD63D7">
      <w:pPr>
        <w:ind w:firstLine="720"/>
        <w:rPr>
          <w:szCs w:val="24"/>
        </w:rPr>
      </w:pPr>
    </w:p>
    <w:tbl>
      <w:tblPr>
        <w:tblW w:w="9068" w:type="dxa"/>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1297"/>
        <w:gridCol w:w="1118"/>
        <w:gridCol w:w="1297"/>
        <w:gridCol w:w="1118"/>
      </w:tblGrid>
      <w:tr w:rsidR="00300384" w:rsidRPr="00AF3DCD" w14:paraId="2AA2C0FE" w14:textId="77777777" w:rsidTr="007641BA">
        <w:trPr>
          <w:tblHeader/>
        </w:trPr>
        <w:tc>
          <w:tcPr>
            <w:tcW w:w="4238" w:type="dxa"/>
            <w:shd w:val="clear" w:color="auto" w:fill="BD2716"/>
          </w:tcPr>
          <w:p w14:paraId="21DAD6DD" w14:textId="77777777" w:rsidR="00300384" w:rsidRPr="007641BA" w:rsidRDefault="00300384" w:rsidP="00DC7A16">
            <w:pPr>
              <w:jc w:val="both"/>
              <w:rPr>
                <w:color w:val="FFFFFF" w:themeColor="background1"/>
                <w:szCs w:val="24"/>
              </w:rPr>
            </w:pPr>
          </w:p>
        </w:tc>
        <w:tc>
          <w:tcPr>
            <w:tcW w:w="2415" w:type="dxa"/>
            <w:gridSpan w:val="2"/>
            <w:shd w:val="clear" w:color="auto" w:fill="BD2716"/>
            <w:vAlign w:val="center"/>
          </w:tcPr>
          <w:p w14:paraId="77873866" w14:textId="5A6F5223" w:rsidR="00300384" w:rsidRPr="007641BA" w:rsidRDefault="00300384" w:rsidP="00DC7A16">
            <w:pPr>
              <w:jc w:val="center"/>
              <w:rPr>
                <w:color w:val="FFFFFF" w:themeColor="background1"/>
                <w:szCs w:val="24"/>
              </w:rPr>
            </w:pPr>
            <w:r w:rsidRPr="007641BA">
              <w:rPr>
                <w:color w:val="FFFFFF" w:themeColor="background1"/>
                <w:szCs w:val="24"/>
              </w:rPr>
              <w:t>31 March 2023</w:t>
            </w:r>
          </w:p>
        </w:tc>
        <w:tc>
          <w:tcPr>
            <w:tcW w:w="2415" w:type="dxa"/>
            <w:gridSpan w:val="2"/>
            <w:shd w:val="clear" w:color="auto" w:fill="BD2716"/>
            <w:vAlign w:val="center"/>
          </w:tcPr>
          <w:p w14:paraId="1A3CD421" w14:textId="77BF3F4C" w:rsidR="00300384" w:rsidRPr="007641BA" w:rsidRDefault="00300384" w:rsidP="00DC7A16">
            <w:pPr>
              <w:jc w:val="center"/>
              <w:rPr>
                <w:color w:val="FFFFFF" w:themeColor="background1"/>
                <w:szCs w:val="24"/>
              </w:rPr>
            </w:pPr>
            <w:r w:rsidRPr="007641BA">
              <w:rPr>
                <w:color w:val="FFFFFF" w:themeColor="background1"/>
                <w:szCs w:val="24"/>
              </w:rPr>
              <w:t>31 March 2022</w:t>
            </w:r>
          </w:p>
        </w:tc>
      </w:tr>
      <w:tr w:rsidR="000960DE" w:rsidRPr="00AF3DCD" w14:paraId="3239C926" w14:textId="77777777" w:rsidTr="00611673">
        <w:trPr>
          <w:tblHeader/>
        </w:trPr>
        <w:tc>
          <w:tcPr>
            <w:tcW w:w="4238" w:type="dxa"/>
            <w:shd w:val="clear" w:color="auto" w:fill="BD2716"/>
          </w:tcPr>
          <w:p w14:paraId="40D2A34B" w14:textId="77777777" w:rsidR="000960DE" w:rsidRPr="007641BA" w:rsidRDefault="000960DE" w:rsidP="000960DE">
            <w:pPr>
              <w:jc w:val="both"/>
              <w:rPr>
                <w:color w:val="FFFFFF" w:themeColor="background1"/>
                <w:szCs w:val="24"/>
              </w:rPr>
            </w:pPr>
          </w:p>
        </w:tc>
        <w:tc>
          <w:tcPr>
            <w:tcW w:w="1297" w:type="dxa"/>
            <w:shd w:val="clear" w:color="auto" w:fill="BD2716"/>
            <w:vAlign w:val="center"/>
          </w:tcPr>
          <w:p w14:paraId="05CE7B7F" w14:textId="77777777" w:rsidR="000960DE" w:rsidRPr="007641BA" w:rsidRDefault="000960DE" w:rsidP="00611673">
            <w:pPr>
              <w:jc w:val="right"/>
              <w:rPr>
                <w:color w:val="FFFFFF" w:themeColor="background1"/>
                <w:szCs w:val="24"/>
              </w:rPr>
            </w:pPr>
            <w:r w:rsidRPr="007641BA">
              <w:rPr>
                <w:color w:val="FFFFFF" w:themeColor="background1"/>
                <w:szCs w:val="24"/>
              </w:rPr>
              <w:t>Amortised Cost</w:t>
            </w:r>
          </w:p>
          <w:p w14:paraId="6BCF57F9" w14:textId="5915688E" w:rsidR="00DC7A16" w:rsidRPr="007641BA" w:rsidRDefault="00DC7A16" w:rsidP="00611673">
            <w:pPr>
              <w:jc w:val="right"/>
              <w:rPr>
                <w:color w:val="FFFFFF" w:themeColor="background1"/>
                <w:szCs w:val="24"/>
              </w:rPr>
            </w:pPr>
            <w:r w:rsidRPr="007641BA">
              <w:rPr>
                <w:color w:val="FFFFFF" w:themeColor="background1"/>
                <w:szCs w:val="24"/>
              </w:rPr>
              <w:t>£000</w:t>
            </w:r>
          </w:p>
        </w:tc>
        <w:tc>
          <w:tcPr>
            <w:tcW w:w="1118" w:type="dxa"/>
            <w:shd w:val="clear" w:color="auto" w:fill="BD2716"/>
            <w:vAlign w:val="center"/>
          </w:tcPr>
          <w:p w14:paraId="62C2D7F2" w14:textId="77777777" w:rsidR="000960DE" w:rsidRPr="007641BA" w:rsidRDefault="000960DE" w:rsidP="00611673">
            <w:pPr>
              <w:jc w:val="right"/>
              <w:rPr>
                <w:color w:val="FFFFFF" w:themeColor="background1"/>
                <w:szCs w:val="24"/>
              </w:rPr>
            </w:pPr>
            <w:r w:rsidRPr="007641BA">
              <w:rPr>
                <w:color w:val="FFFFFF" w:themeColor="background1"/>
                <w:szCs w:val="24"/>
              </w:rPr>
              <w:t>Fair Value</w:t>
            </w:r>
          </w:p>
          <w:p w14:paraId="0C6EE299" w14:textId="41E1EEDB" w:rsidR="00DC7A16" w:rsidRPr="007641BA" w:rsidRDefault="00DC7A16" w:rsidP="00611673">
            <w:pPr>
              <w:jc w:val="right"/>
              <w:rPr>
                <w:color w:val="FFFFFF" w:themeColor="background1"/>
                <w:szCs w:val="24"/>
              </w:rPr>
            </w:pPr>
            <w:r w:rsidRPr="007641BA">
              <w:rPr>
                <w:color w:val="FFFFFF" w:themeColor="background1"/>
                <w:szCs w:val="24"/>
              </w:rPr>
              <w:t>£000</w:t>
            </w:r>
          </w:p>
        </w:tc>
        <w:tc>
          <w:tcPr>
            <w:tcW w:w="1297" w:type="dxa"/>
            <w:shd w:val="clear" w:color="auto" w:fill="BD2716"/>
            <w:vAlign w:val="center"/>
          </w:tcPr>
          <w:p w14:paraId="5929AF01" w14:textId="77777777" w:rsidR="000960DE" w:rsidRPr="007641BA" w:rsidRDefault="000960DE" w:rsidP="00611673">
            <w:pPr>
              <w:jc w:val="right"/>
              <w:rPr>
                <w:color w:val="FFFFFF" w:themeColor="background1"/>
                <w:szCs w:val="24"/>
              </w:rPr>
            </w:pPr>
            <w:r w:rsidRPr="007641BA">
              <w:rPr>
                <w:color w:val="FFFFFF" w:themeColor="background1"/>
                <w:szCs w:val="24"/>
              </w:rPr>
              <w:t>Amortised Cost</w:t>
            </w:r>
          </w:p>
          <w:p w14:paraId="14F7B3DE" w14:textId="345FBD47" w:rsidR="00DC7A16" w:rsidRPr="007641BA" w:rsidRDefault="00DC7A16" w:rsidP="00611673">
            <w:pPr>
              <w:jc w:val="right"/>
              <w:rPr>
                <w:color w:val="FFFFFF" w:themeColor="background1"/>
                <w:szCs w:val="24"/>
              </w:rPr>
            </w:pPr>
            <w:r w:rsidRPr="007641BA">
              <w:rPr>
                <w:color w:val="FFFFFF" w:themeColor="background1"/>
                <w:szCs w:val="24"/>
              </w:rPr>
              <w:t>£000</w:t>
            </w:r>
          </w:p>
        </w:tc>
        <w:tc>
          <w:tcPr>
            <w:tcW w:w="1118" w:type="dxa"/>
            <w:shd w:val="clear" w:color="auto" w:fill="BD2716"/>
            <w:vAlign w:val="center"/>
          </w:tcPr>
          <w:p w14:paraId="3C74CE9D" w14:textId="77777777" w:rsidR="000960DE" w:rsidRPr="007641BA" w:rsidRDefault="000960DE" w:rsidP="00611673">
            <w:pPr>
              <w:jc w:val="right"/>
              <w:rPr>
                <w:color w:val="FFFFFF" w:themeColor="background1"/>
                <w:szCs w:val="24"/>
              </w:rPr>
            </w:pPr>
            <w:r w:rsidRPr="007641BA">
              <w:rPr>
                <w:color w:val="FFFFFF" w:themeColor="background1"/>
                <w:szCs w:val="24"/>
              </w:rPr>
              <w:t>Fair Value</w:t>
            </w:r>
          </w:p>
          <w:p w14:paraId="7DBC0C88" w14:textId="248EABFD" w:rsidR="00DC7A16" w:rsidRPr="007641BA" w:rsidRDefault="00DC7A16" w:rsidP="00611673">
            <w:pPr>
              <w:jc w:val="right"/>
              <w:rPr>
                <w:color w:val="FFFFFF" w:themeColor="background1"/>
                <w:szCs w:val="24"/>
              </w:rPr>
            </w:pPr>
            <w:r w:rsidRPr="007641BA">
              <w:rPr>
                <w:color w:val="FFFFFF" w:themeColor="background1"/>
                <w:szCs w:val="24"/>
              </w:rPr>
              <w:t>£000</w:t>
            </w:r>
          </w:p>
        </w:tc>
      </w:tr>
      <w:tr w:rsidR="00255C4C" w:rsidRPr="00AF3DCD" w14:paraId="6F6D94B0" w14:textId="77777777" w:rsidTr="007641BA">
        <w:tc>
          <w:tcPr>
            <w:tcW w:w="4238" w:type="dxa"/>
            <w:shd w:val="clear" w:color="auto" w:fill="auto"/>
            <w:vAlign w:val="center"/>
          </w:tcPr>
          <w:p w14:paraId="017F534A" w14:textId="77777777" w:rsidR="00255C4C" w:rsidRPr="00617696" w:rsidRDefault="00255C4C" w:rsidP="00255C4C">
            <w:pPr>
              <w:ind w:left="60"/>
              <w:rPr>
                <w:szCs w:val="24"/>
              </w:rPr>
            </w:pPr>
            <w:r w:rsidRPr="00617696">
              <w:rPr>
                <w:szCs w:val="24"/>
              </w:rPr>
              <w:t>Loans from the Public Works Loan Board</w:t>
            </w:r>
          </w:p>
        </w:tc>
        <w:tc>
          <w:tcPr>
            <w:tcW w:w="1297" w:type="dxa"/>
            <w:shd w:val="clear" w:color="auto" w:fill="auto"/>
            <w:vAlign w:val="center"/>
          </w:tcPr>
          <w:p w14:paraId="0CAB018C" w14:textId="02F263D4" w:rsidR="00255C4C" w:rsidRPr="00617696" w:rsidRDefault="00255C4C" w:rsidP="00DD63D7">
            <w:pPr>
              <w:pStyle w:val="Footer"/>
              <w:tabs>
                <w:tab w:val="clear" w:pos="4153"/>
                <w:tab w:val="clear" w:pos="8306"/>
                <w:tab w:val="decimal" w:pos="326"/>
              </w:tabs>
              <w:jc w:val="right"/>
              <w:rPr>
                <w:szCs w:val="24"/>
              </w:rPr>
            </w:pPr>
            <w:r w:rsidRPr="00617696">
              <w:rPr>
                <w:szCs w:val="24"/>
              </w:rPr>
              <w:t>2,000</w:t>
            </w:r>
          </w:p>
        </w:tc>
        <w:tc>
          <w:tcPr>
            <w:tcW w:w="1118" w:type="dxa"/>
            <w:shd w:val="clear" w:color="auto" w:fill="auto"/>
            <w:vAlign w:val="center"/>
          </w:tcPr>
          <w:p w14:paraId="17670C2A" w14:textId="1F6B4C1F" w:rsidR="00255C4C" w:rsidRPr="00617696" w:rsidRDefault="00C66582" w:rsidP="00DD63D7">
            <w:pPr>
              <w:pStyle w:val="Footer"/>
              <w:tabs>
                <w:tab w:val="clear" w:pos="4153"/>
                <w:tab w:val="clear" w:pos="8306"/>
                <w:tab w:val="decimal" w:pos="326"/>
              </w:tabs>
              <w:jc w:val="right"/>
              <w:rPr>
                <w:szCs w:val="24"/>
              </w:rPr>
            </w:pPr>
            <w:r>
              <w:rPr>
                <w:szCs w:val="24"/>
              </w:rPr>
              <w:t>1,915</w:t>
            </w:r>
          </w:p>
        </w:tc>
        <w:tc>
          <w:tcPr>
            <w:tcW w:w="1297" w:type="dxa"/>
            <w:shd w:val="clear" w:color="auto" w:fill="auto"/>
            <w:vAlign w:val="center"/>
          </w:tcPr>
          <w:p w14:paraId="674A5DFE" w14:textId="2A6497D4" w:rsidR="00255C4C" w:rsidRPr="00617696" w:rsidRDefault="00255C4C" w:rsidP="00DD63D7">
            <w:pPr>
              <w:pStyle w:val="Footer"/>
              <w:tabs>
                <w:tab w:val="clear" w:pos="4153"/>
                <w:tab w:val="clear" w:pos="8306"/>
                <w:tab w:val="decimal" w:pos="326"/>
              </w:tabs>
              <w:jc w:val="right"/>
              <w:rPr>
                <w:szCs w:val="24"/>
              </w:rPr>
            </w:pPr>
            <w:r w:rsidRPr="00617696">
              <w:rPr>
                <w:szCs w:val="24"/>
              </w:rPr>
              <w:t>2,000</w:t>
            </w:r>
          </w:p>
        </w:tc>
        <w:tc>
          <w:tcPr>
            <w:tcW w:w="1118" w:type="dxa"/>
            <w:shd w:val="clear" w:color="auto" w:fill="auto"/>
            <w:vAlign w:val="center"/>
          </w:tcPr>
          <w:p w14:paraId="2B04BA58" w14:textId="4DEB0823" w:rsidR="00255C4C" w:rsidRPr="00617696" w:rsidRDefault="00255C4C" w:rsidP="00DD63D7">
            <w:pPr>
              <w:pStyle w:val="Footer"/>
              <w:tabs>
                <w:tab w:val="clear" w:pos="4153"/>
                <w:tab w:val="clear" w:pos="8306"/>
                <w:tab w:val="decimal" w:pos="326"/>
              </w:tabs>
              <w:jc w:val="right"/>
              <w:rPr>
                <w:szCs w:val="24"/>
              </w:rPr>
            </w:pPr>
            <w:r w:rsidRPr="00617696">
              <w:rPr>
                <w:szCs w:val="24"/>
              </w:rPr>
              <w:t>2,403</w:t>
            </w:r>
          </w:p>
        </w:tc>
      </w:tr>
      <w:tr w:rsidR="00255C4C" w:rsidRPr="00AF3DCD" w14:paraId="73D10E4A" w14:textId="77777777" w:rsidTr="007641BA">
        <w:tc>
          <w:tcPr>
            <w:tcW w:w="4238" w:type="dxa"/>
            <w:shd w:val="clear" w:color="auto" w:fill="auto"/>
            <w:vAlign w:val="center"/>
          </w:tcPr>
          <w:p w14:paraId="09ACAB1F" w14:textId="77777777" w:rsidR="00255C4C" w:rsidRPr="00617696" w:rsidRDefault="00255C4C" w:rsidP="00255C4C">
            <w:pPr>
              <w:ind w:left="60"/>
              <w:rPr>
                <w:szCs w:val="24"/>
              </w:rPr>
            </w:pPr>
            <w:r w:rsidRPr="00617696">
              <w:rPr>
                <w:szCs w:val="24"/>
              </w:rPr>
              <w:t>PFI Liabilities</w:t>
            </w:r>
          </w:p>
        </w:tc>
        <w:tc>
          <w:tcPr>
            <w:tcW w:w="1297" w:type="dxa"/>
            <w:shd w:val="clear" w:color="auto" w:fill="auto"/>
            <w:vAlign w:val="center"/>
          </w:tcPr>
          <w:p w14:paraId="402D6DD9" w14:textId="305AFC17" w:rsidR="00255C4C" w:rsidRPr="00617696" w:rsidRDefault="00255C4C" w:rsidP="00DD63D7">
            <w:pPr>
              <w:pStyle w:val="Footer"/>
              <w:tabs>
                <w:tab w:val="clear" w:pos="4153"/>
                <w:tab w:val="clear" w:pos="8306"/>
                <w:tab w:val="decimal" w:pos="326"/>
              </w:tabs>
              <w:jc w:val="right"/>
              <w:rPr>
                <w:szCs w:val="24"/>
              </w:rPr>
            </w:pPr>
            <w:r w:rsidRPr="00617696">
              <w:rPr>
                <w:szCs w:val="24"/>
              </w:rPr>
              <w:t>12</w:t>
            </w:r>
            <w:r w:rsidR="00E81143" w:rsidRPr="00617696">
              <w:rPr>
                <w:szCs w:val="24"/>
              </w:rPr>
              <w:t>,351</w:t>
            </w:r>
          </w:p>
        </w:tc>
        <w:tc>
          <w:tcPr>
            <w:tcW w:w="1118" w:type="dxa"/>
            <w:shd w:val="clear" w:color="auto" w:fill="auto"/>
            <w:vAlign w:val="center"/>
          </w:tcPr>
          <w:p w14:paraId="29DBF068" w14:textId="3F19ACA9" w:rsidR="00255C4C" w:rsidRPr="00617696" w:rsidRDefault="00255C4C" w:rsidP="00DD63D7">
            <w:pPr>
              <w:pStyle w:val="Footer"/>
              <w:tabs>
                <w:tab w:val="clear" w:pos="4153"/>
                <w:tab w:val="clear" w:pos="8306"/>
                <w:tab w:val="decimal" w:pos="326"/>
              </w:tabs>
              <w:jc w:val="right"/>
              <w:rPr>
                <w:szCs w:val="24"/>
              </w:rPr>
            </w:pPr>
            <w:r w:rsidRPr="00617696">
              <w:rPr>
                <w:szCs w:val="24"/>
              </w:rPr>
              <w:t>1</w:t>
            </w:r>
            <w:r w:rsidR="0007606E" w:rsidRPr="00617696">
              <w:rPr>
                <w:szCs w:val="24"/>
              </w:rPr>
              <w:t>3,509</w:t>
            </w:r>
          </w:p>
        </w:tc>
        <w:tc>
          <w:tcPr>
            <w:tcW w:w="1297" w:type="dxa"/>
            <w:shd w:val="clear" w:color="auto" w:fill="auto"/>
            <w:vAlign w:val="center"/>
          </w:tcPr>
          <w:p w14:paraId="75A27FB3" w14:textId="4BE10BCF" w:rsidR="00255C4C" w:rsidRPr="00617696" w:rsidRDefault="00255C4C" w:rsidP="00DD63D7">
            <w:pPr>
              <w:pStyle w:val="Footer"/>
              <w:tabs>
                <w:tab w:val="clear" w:pos="4153"/>
                <w:tab w:val="clear" w:pos="8306"/>
                <w:tab w:val="decimal" w:pos="326"/>
              </w:tabs>
              <w:jc w:val="right"/>
              <w:rPr>
                <w:szCs w:val="24"/>
              </w:rPr>
            </w:pPr>
            <w:r w:rsidRPr="00617696">
              <w:rPr>
                <w:szCs w:val="24"/>
              </w:rPr>
              <w:t>12,795</w:t>
            </w:r>
          </w:p>
        </w:tc>
        <w:tc>
          <w:tcPr>
            <w:tcW w:w="1118" w:type="dxa"/>
            <w:shd w:val="clear" w:color="auto" w:fill="auto"/>
            <w:vAlign w:val="center"/>
          </w:tcPr>
          <w:p w14:paraId="7609DF86" w14:textId="69DAC376" w:rsidR="00255C4C" w:rsidRPr="00617696" w:rsidRDefault="00255C4C" w:rsidP="00DD63D7">
            <w:pPr>
              <w:pStyle w:val="Footer"/>
              <w:tabs>
                <w:tab w:val="clear" w:pos="4153"/>
                <w:tab w:val="clear" w:pos="8306"/>
                <w:tab w:val="decimal" w:pos="326"/>
              </w:tabs>
              <w:jc w:val="right"/>
              <w:rPr>
                <w:szCs w:val="24"/>
              </w:rPr>
            </w:pPr>
            <w:r w:rsidRPr="00617696">
              <w:rPr>
                <w:szCs w:val="24"/>
              </w:rPr>
              <w:t>15,941</w:t>
            </w:r>
          </w:p>
        </w:tc>
      </w:tr>
    </w:tbl>
    <w:p w14:paraId="0C471472" w14:textId="23C0881D" w:rsidR="00BE3374" w:rsidRDefault="00BE3374" w:rsidP="00BC6C4F">
      <w:pPr>
        <w:jc w:val="both"/>
        <w:rPr>
          <w:szCs w:val="24"/>
        </w:rPr>
      </w:pPr>
    </w:p>
    <w:p w14:paraId="3C0E1543" w14:textId="35189CE0" w:rsidR="00D90216" w:rsidRDefault="00D90216" w:rsidP="00617696">
      <w:pPr>
        <w:ind w:left="720"/>
        <w:rPr>
          <w:szCs w:val="24"/>
        </w:rPr>
      </w:pPr>
      <w:r w:rsidRPr="00BE3374">
        <w:rPr>
          <w:szCs w:val="24"/>
        </w:rPr>
        <w:t xml:space="preserve">Without the addition of accrued interest, the actual Public Works Loan Board </w:t>
      </w:r>
      <w:r w:rsidR="00CC6AF3" w:rsidRPr="00BE3374">
        <w:rPr>
          <w:szCs w:val="24"/>
        </w:rPr>
        <w:t xml:space="preserve">debt outstanding </w:t>
      </w:r>
      <w:proofErr w:type="gramStart"/>
      <w:r w:rsidR="00CC6AF3" w:rsidRPr="00BE3374">
        <w:rPr>
          <w:szCs w:val="24"/>
        </w:rPr>
        <w:t>at</w:t>
      </w:r>
      <w:proofErr w:type="gramEnd"/>
      <w:r w:rsidR="00CC6AF3" w:rsidRPr="00BE3374">
        <w:rPr>
          <w:szCs w:val="24"/>
        </w:rPr>
        <w:t xml:space="preserve"> 31 March 202</w:t>
      </w:r>
      <w:r w:rsidR="00255C4C" w:rsidRPr="00BE3374">
        <w:rPr>
          <w:szCs w:val="24"/>
        </w:rPr>
        <w:t>3</w:t>
      </w:r>
      <w:r w:rsidRPr="00BE3374">
        <w:rPr>
          <w:szCs w:val="24"/>
        </w:rPr>
        <w:t xml:space="preserve"> is </w:t>
      </w:r>
      <w:r w:rsidR="00B92CFE" w:rsidRPr="00BE3374">
        <w:rPr>
          <w:szCs w:val="24"/>
        </w:rPr>
        <w:t>£</w:t>
      </w:r>
      <w:r w:rsidR="00C95614" w:rsidRPr="00BE3374">
        <w:rPr>
          <w:szCs w:val="24"/>
        </w:rPr>
        <w:t>2.000</w:t>
      </w:r>
      <w:r w:rsidRPr="00BE3374">
        <w:rPr>
          <w:szCs w:val="24"/>
        </w:rPr>
        <w:t xml:space="preserve"> million (20</w:t>
      </w:r>
      <w:r w:rsidR="00F26A44" w:rsidRPr="00BE3374">
        <w:rPr>
          <w:szCs w:val="24"/>
        </w:rPr>
        <w:t>2</w:t>
      </w:r>
      <w:r w:rsidR="00255C4C" w:rsidRPr="00BE3374">
        <w:rPr>
          <w:szCs w:val="24"/>
        </w:rPr>
        <w:t>1</w:t>
      </w:r>
      <w:r w:rsidR="00F26A44" w:rsidRPr="00BE3374">
        <w:rPr>
          <w:szCs w:val="24"/>
        </w:rPr>
        <w:t>/2</w:t>
      </w:r>
      <w:r w:rsidR="00255C4C" w:rsidRPr="00BE3374">
        <w:rPr>
          <w:szCs w:val="24"/>
        </w:rPr>
        <w:t>2</w:t>
      </w:r>
      <w:r w:rsidRPr="00BE3374">
        <w:rPr>
          <w:szCs w:val="24"/>
        </w:rPr>
        <w:t>: £</w:t>
      </w:r>
      <w:r w:rsidR="0003405C" w:rsidRPr="00BE3374">
        <w:rPr>
          <w:szCs w:val="24"/>
        </w:rPr>
        <w:t>2</w:t>
      </w:r>
      <w:r w:rsidR="006D29C3" w:rsidRPr="00BE3374">
        <w:rPr>
          <w:szCs w:val="24"/>
        </w:rPr>
        <w:t>.</w:t>
      </w:r>
      <w:r w:rsidR="0003405C" w:rsidRPr="00BE3374">
        <w:rPr>
          <w:szCs w:val="24"/>
        </w:rPr>
        <w:t>000</w:t>
      </w:r>
      <w:r w:rsidRPr="00BE3374">
        <w:rPr>
          <w:szCs w:val="24"/>
        </w:rPr>
        <w:t>m) and it is due for repayment as shown in the following table:</w:t>
      </w:r>
    </w:p>
    <w:p w14:paraId="49908972" w14:textId="77777777" w:rsidR="00300384" w:rsidRPr="00BE3374" w:rsidRDefault="00300384" w:rsidP="00617696">
      <w:pPr>
        <w:ind w:left="720"/>
        <w:rPr>
          <w:szCs w:val="24"/>
        </w:rPr>
      </w:pPr>
    </w:p>
    <w:tbl>
      <w:tblPr>
        <w:tblW w:w="7371"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654"/>
        <w:gridCol w:w="1606"/>
      </w:tblGrid>
      <w:tr w:rsidR="00BA53E7" w:rsidRPr="00617696" w14:paraId="23B71AD1" w14:textId="77777777" w:rsidTr="00611673">
        <w:trPr>
          <w:trHeight w:hRule="exact" w:val="555"/>
          <w:tblHeader/>
        </w:trPr>
        <w:tc>
          <w:tcPr>
            <w:tcW w:w="4111" w:type="dxa"/>
            <w:shd w:val="clear" w:color="auto" w:fill="BD2716"/>
          </w:tcPr>
          <w:p w14:paraId="035272D3" w14:textId="77777777" w:rsidR="00BA53E7" w:rsidRPr="007641BA" w:rsidRDefault="00BA53E7" w:rsidP="00BA53E7">
            <w:pPr>
              <w:pStyle w:val="Footer"/>
              <w:tabs>
                <w:tab w:val="clear" w:pos="4153"/>
                <w:tab w:val="clear" w:pos="8306"/>
              </w:tabs>
              <w:rPr>
                <w:color w:val="FFFFFF" w:themeColor="background1"/>
                <w:szCs w:val="24"/>
              </w:rPr>
            </w:pPr>
          </w:p>
        </w:tc>
        <w:tc>
          <w:tcPr>
            <w:tcW w:w="1654" w:type="dxa"/>
            <w:shd w:val="clear" w:color="auto" w:fill="BD2716"/>
            <w:vAlign w:val="center"/>
          </w:tcPr>
          <w:p w14:paraId="630031B4" w14:textId="77777777" w:rsidR="00BA53E7" w:rsidRPr="007641BA" w:rsidRDefault="00670DBF" w:rsidP="00611673">
            <w:pPr>
              <w:pStyle w:val="BodyTextIndent"/>
              <w:ind w:left="0"/>
              <w:jc w:val="right"/>
              <w:rPr>
                <w:color w:val="FFFFFF" w:themeColor="background1"/>
                <w:szCs w:val="24"/>
                <w:lang w:val="en-GB"/>
              </w:rPr>
            </w:pPr>
            <w:r w:rsidRPr="007641BA">
              <w:rPr>
                <w:color w:val="FFFFFF" w:themeColor="background1"/>
                <w:szCs w:val="24"/>
                <w:lang w:val="en-GB"/>
              </w:rPr>
              <w:t>202</w:t>
            </w:r>
            <w:r w:rsidR="00255C4C" w:rsidRPr="007641BA">
              <w:rPr>
                <w:color w:val="FFFFFF" w:themeColor="background1"/>
                <w:szCs w:val="24"/>
                <w:lang w:val="en-GB"/>
              </w:rPr>
              <w:t>2</w:t>
            </w:r>
            <w:r w:rsidRPr="007641BA">
              <w:rPr>
                <w:color w:val="FFFFFF" w:themeColor="background1"/>
                <w:szCs w:val="24"/>
                <w:lang w:val="en-GB"/>
              </w:rPr>
              <w:t>/2</w:t>
            </w:r>
            <w:r w:rsidR="00255C4C" w:rsidRPr="007641BA">
              <w:rPr>
                <w:color w:val="FFFFFF" w:themeColor="background1"/>
                <w:szCs w:val="24"/>
                <w:lang w:val="en-GB"/>
              </w:rPr>
              <w:t>3</w:t>
            </w:r>
          </w:p>
          <w:p w14:paraId="0D0BC712" w14:textId="4B855ADF" w:rsidR="008A2C7E" w:rsidRPr="007641BA" w:rsidRDefault="008A2C7E" w:rsidP="00611673">
            <w:pPr>
              <w:pStyle w:val="BodyTextIndent"/>
              <w:ind w:left="0"/>
              <w:jc w:val="right"/>
              <w:rPr>
                <w:color w:val="FFFFFF" w:themeColor="background1"/>
                <w:szCs w:val="24"/>
                <w:lang w:val="en-GB"/>
              </w:rPr>
            </w:pPr>
            <w:r w:rsidRPr="007641BA">
              <w:rPr>
                <w:color w:val="FFFFFF" w:themeColor="background1"/>
                <w:szCs w:val="24"/>
                <w:lang w:val="en-GB"/>
              </w:rPr>
              <w:t>£000</w:t>
            </w:r>
          </w:p>
        </w:tc>
        <w:tc>
          <w:tcPr>
            <w:tcW w:w="1606" w:type="dxa"/>
            <w:shd w:val="clear" w:color="auto" w:fill="BD2716"/>
            <w:vAlign w:val="center"/>
          </w:tcPr>
          <w:p w14:paraId="4061C209" w14:textId="77777777" w:rsidR="00BA53E7" w:rsidRPr="007641BA" w:rsidRDefault="00BA53E7" w:rsidP="00611673">
            <w:pPr>
              <w:pStyle w:val="BodyTextIndent"/>
              <w:ind w:left="0"/>
              <w:jc w:val="right"/>
              <w:rPr>
                <w:color w:val="FFFFFF" w:themeColor="background1"/>
                <w:szCs w:val="24"/>
                <w:lang w:val="en-GB"/>
              </w:rPr>
            </w:pPr>
            <w:r w:rsidRPr="007641BA">
              <w:rPr>
                <w:color w:val="FFFFFF" w:themeColor="background1"/>
                <w:szCs w:val="24"/>
                <w:lang w:val="en-GB"/>
              </w:rPr>
              <w:t>202</w:t>
            </w:r>
            <w:r w:rsidR="00255C4C" w:rsidRPr="007641BA">
              <w:rPr>
                <w:color w:val="FFFFFF" w:themeColor="background1"/>
                <w:szCs w:val="24"/>
                <w:lang w:val="en-GB"/>
              </w:rPr>
              <w:t>1</w:t>
            </w:r>
            <w:r w:rsidRPr="007641BA">
              <w:rPr>
                <w:color w:val="FFFFFF" w:themeColor="background1"/>
                <w:szCs w:val="24"/>
                <w:lang w:val="en-GB"/>
              </w:rPr>
              <w:t>/2</w:t>
            </w:r>
            <w:r w:rsidR="00255C4C" w:rsidRPr="007641BA">
              <w:rPr>
                <w:color w:val="FFFFFF" w:themeColor="background1"/>
                <w:szCs w:val="24"/>
                <w:lang w:val="en-GB"/>
              </w:rPr>
              <w:t>2</w:t>
            </w:r>
          </w:p>
          <w:p w14:paraId="5FDD7BA2" w14:textId="6FC5CE5B" w:rsidR="008A2C7E" w:rsidRPr="007641BA" w:rsidRDefault="008A2C7E" w:rsidP="00611673">
            <w:pPr>
              <w:pStyle w:val="BodyTextIndent"/>
              <w:ind w:left="0"/>
              <w:jc w:val="right"/>
              <w:rPr>
                <w:color w:val="FFFFFF" w:themeColor="background1"/>
                <w:szCs w:val="24"/>
                <w:lang w:val="en-GB"/>
              </w:rPr>
            </w:pPr>
            <w:r w:rsidRPr="007641BA">
              <w:rPr>
                <w:color w:val="FFFFFF" w:themeColor="background1"/>
                <w:szCs w:val="24"/>
                <w:lang w:val="en-GB"/>
              </w:rPr>
              <w:t>£000</w:t>
            </w:r>
          </w:p>
        </w:tc>
      </w:tr>
      <w:tr w:rsidR="00BA53E7" w:rsidRPr="00617696" w14:paraId="31DB786B" w14:textId="77777777" w:rsidTr="007641BA">
        <w:trPr>
          <w:trHeight w:hRule="exact" w:val="300"/>
        </w:trPr>
        <w:tc>
          <w:tcPr>
            <w:tcW w:w="4111" w:type="dxa"/>
            <w:vAlign w:val="bottom"/>
          </w:tcPr>
          <w:p w14:paraId="74F22DAA" w14:textId="77777777" w:rsidR="00BA53E7" w:rsidRPr="00617696" w:rsidRDefault="00BA53E7" w:rsidP="00BA53E7">
            <w:pPr>
              <w:rPr>
                <w:szCs w:val="24"/>
              </w:rPr>
            </w:pPr>
            <w:r w:rsidRPr="00617696">
              <w:rPr>
                <w:szCs w:val="24"/>
              </w:rPr>
              <w:t>Over 10 years</w:t>
            </w:r>
          </w:p>
        </w:tc>
        <w:tc>
          <w:tcPr>
            <w:tcW w:w="1654" w:type="dxa"/>
            <w:vAlign w:val="center"/>
          </w:tcPr>
          <w:p w14:paraId="09CEC387" w14:textId="77777777" w:rsidR="00BA53E7" w:rsidRPr="00617696" w:rsidRDefault="00BA53E7" w:rsidP="00DD63D7">
            <w:pPr>
              <w:tabs>
                <w:tab w:val="decimal" w:pos="979"/>
              </w:tabs>
              <w:jc w:val="right"/>
              <w:rPr>
                <w:szCs w:val="24"/>
              </w:rPr>
            </w:pPr>
            <w:r w:rsidRPr="00617696">
              <w:rPr>
                <w:szCs w:val="24"/>
              </w:rPr>
              <w:t>2,000</w:t>
            </w:r>
          </w:p>
        </w:tc>
        <w:tc>
          <w:tcPr>
            <w:tcW w:w="1606" w:type="dxa"/>
            <w:vAlign w:val="center"/>
          </w:tcPr>
          <w:p w14:paraId="0F650BAF" w14:textId="6CCF1E88" w:rsidR="00BA53E7" w:rsidRPr="00617696" w:rsidRDefault="00BA53E7" w:rsidP="00DD63D7">
            <w:pPr>
              <w:tabs>
                <w:tab w:val="decimal" w:pos="979"/>
              </w:tabs>
              <w:jc w:val="right"/>
              <w:rPr>
                <w:szCs w:val="24"/>
              </w:rPr>
            </w:pPr>
            <w:r w:rsidRPr="00617696">
              <w:rPr>
                <w:szCs w:val="24"/>
              </w:rPr>
              <w:t>2,000</w:t>
            </w:r>
          </w:p>
        </w:tc>
      </w:tr>
      <w:tr w:rsidR="00BA53E7" w:rsidRPr="00617696" w14:paraId="0BEF2570" w14:textId="77777777" w:rsidTr="007641BA">
        <w:trPr>
          <w:trHeight w:hRule="exact" w:val="300"/>
        </w:trPr>
        <w:tc>
          <w:tcPr>
            <w:tcW w:w="4111" w:type="dxa"/>
          </w:tcPr>
          <w:p w14:paraId="4BA76A86" w14:textId="5A084161" w:rsidR="00BA53E7" w:rsidRPr="00617696" w:rsidRDefault="00617696" w:rsidP="00BA53E7">
            <w:pPr>
              <w:rPr>
                <w:szCs w:val="24"/>
              </w:rPr>
            </w:pPr>
            <w:r>
              <w:rPr>
                <w:szCs w:val="24"/>
              </w:rPr>
              <w:t>Total</w:t>
            </w:r>
          </w:p>
        </w:tc>
        <w:tc>
          <w:tcPr>
            <w:tcW w:w="1654" w:type="dxa"/>
            <w:vAlign w:val="center"/>
          </w:tcPr>
          <w:p w14:paraId="70AE85B9" w14:textId="77777777" w:rsidR="00BA53E7" w:rsidRPr="00617696" w:rsidRDefault="00BA53E7" w:rsidP="00DD63D7">
            <w:pPr>
              <w:tabs>
                <w:tab w:val="decimal" w:pos="979"/>
              </w:tabs>
              <w:jc w:val="right"/>
              <w:rPr>
                <w:szCs w:val="24"/>
              </w:rPr>
            </w:pPr>
            <w:r w:rsidRPr="00617696">
              <w:rPr>
                <w:szCs w:val="24"/>
              </w:rPr>
              <w:t>2,000</w:t>
            </w:r>
          </w:p>
        </w:tc>
        <w:tc>
          <w:tcPr>
            <w:tcW w:w="1606" w:type="dxa"/>
            <w:vAlign w:val="center"/>
          </w:tcPr>
          <w:p w14:paraId="242BBC84" w14:textId="60D34549" w:rsidR="00BA53E7" w:rsidRPr="00617696" w:rsidRDefault="00BA53E7" w:rsidP="00DD63D7">
            <w:pPr>
              <w:tabs>
                <w:tab w:val="decimal" w:pos="979"/>
              </w:tabs>
              <w:jc w:val="right"/>
              <w:rPr>
                <w:szCs w:val="24"/>
              </w:rPr>
            </w:pPr>
            <w:r w:rsidRPr="00617696">
              <w:rPr>
                <w:szCs w:val="24"/>
              </w:rPr>
              <w:t>2,000</w:t>
            </w:r>
          </w:p>
        </w:tc>
      </w:tr>
    </w:tbl>
    <w:p w14:paraId="707BDF86" w14:textId="77777777" w:rsidR="00D90216" w:rsidRPr="00617696" w:rsidRDefault="00D90216" w:rsidP="00760673">
      <w:pPr>
        <w:jc w:val="both"/>
        <w:rPr>
          <w:szCs w:val="24"/>
        </w:rPr>
      </w:pPr>
    </w:p>
    <w:p w14:paraId="5B3B0D77" w14:textId="77777777" w:rsidR="00D90216" w:rsidRPr="00617696" w:rsidRDefault="007C6DCB" w:rsidP="00BE3374">
      <w:pPr>
        <w:pStyle w:val="Heading2"/>
        <w:jc w:val="left"/>
        <w:rPr>
          <w:sz w:val="24"/>
          <w:szCs w:val="24"/>
        </w:rPr>
      </w:pPr>
      <w:bookmarkStart w:id="39" w:name="_Toc166761542"/>
      <w:r w:rsidRPr="00617696">
        <w:rPr>
          <w:sz w:val="24"/>
          <w:szCs w:val="24"/>
        </w:rPr>
        <w:t>9</w:t>
      </w:r>
      <w:r w:rsidR="00D90216" w:rsidRPr="00617696">
        <w:rPr>
          <w:sz w:val="24"/>
          <w:szCs w:val="24"/>
        </w:rPr>
        <w:tab/>
      </w:r>
      <w:bookmarkStart w:id="40" w:name="N9"/>
      <w:bookmarkEnd w:id="40"/>
      <w:r w:rsidR="00D90216" w:rsidRPr="00617696">
        <w:rPr>
          <w:sz w:val="24"/>
          <w:szCs w:val="24"/>
        </w:rPr>
        <w:t>Debtors</w:t>
      </w:r>
      <w:bookmarkEnd w:id="39"/>
    </w:p>
    <w:p w14:paraId="03807CC1" w14:textId="77777777" w:rsidR="00D90216" w:rsidRPr="00617696" w:rsidRDefault="00D90216" w:rsidP="00D90216">
      <w:pPr>
        <w:rPr>
          <w:szCs w:val="24"/>
          <w:u w:val="single"/>
        </w:rPr>
      </w:pPr>
    </w:p>
    <w:tbl>
      <w:tblPr>
        <w:tblW w:w="736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638"/>
        <w:gridCol w:w="1620"/>
      </w:tblGrid>
      <w:tr w:rsidR="00BA53E7" w:rsidRPr="00617696" w14:paraId="06B3951C" w14:textId="77777777" w:rsidTr="00611673">
        <w:trPr>
          <w:trHeight w:hRule="exact" w:val="578"/>
          <w:tblHeader/>
        </w:trPr>
        <w:tc>
          <w:tcPr>
            <w:tcW w:w="4111" w:type="dxa"/>
            <w:shd w:val="clear" w:color="auto" w:fill="BD2716"/>
          </w:tcPr>
          <w:p w14:paraId="733EA884" w14:textId="77777777" w:rsidR="00BA53E7" w:rsidRPr="007641BA" w:rsidRDefault="00BA53E7" w:rsidP="00BA53E7">
            <w:pPr>
              <w:pStyle w:val="Footer"/>
              <w:tabs>
                <w:tab w:val="clear" w:pos="4153"/>
                <w:tab w:val="clear" w:pos="8306"/>
              </w:tabs>
              <w:rPr>
                <w:color w:val="FFFFFF" w:themeColor="background1"/>
                <w:szCs w:val="24"/>
              </w:rPr>
            </w:pPr>
          </w:p>
        </w:tc>
        <w:tc>
          <w:tcPr>
            <w:tcW w:w="1638" w:type="dxa"/>
            <w:shd w:val="clear" w:color="auto" w:fill="BD2716"/>
            <w:vAlign w:val="center"/>
          </w:tcPr>
          <w:p w14:paraId="08E794BC" w14:textId="77777777" w:rsidR="00BA53E7" w:rsidRPr="007641BA" w:rsidRDefault="00670DBF" w:rsidP="00611673">
            <w:pPr>
              <w:pStyle w:val="BodyTextIndent"/>
              <w:ind w:left="0"/>
              <w:jc w:val="right"/>
              <w:rPr>
                <w:color w:val="FFFFFF" w:themeColor="background1"/>
                <w:szCs w:val="24"/>
                <w:lang w:val="en-GB"/>
              </w:rPr>
            </w:pPr>
            <w:r w:rsidRPr="007641BA">
              <w:rPr>
                <w:color w:val="FFFFFF" w:themeColor="background1"/>
                <w:szCs w:val="24"/>
                <w:lang w:val="en-GB"/>
              </w:rPr>
              <w:t>202</w:t>
            </w:r>
            <w:r w:rsidR="00255C4C" w:rsidRPr="007641BA">
              <w:rPr>
                <w:color w:val="FFFFFF" w:themeColor="background1"/>
                <w:szCs w:val="24"/>
                <w:lang w:val="en-GB"/>
              </w:rPr>
              <w:t>2</w:t>
            </w:r>
            <w:r w:rsidRPr="007641BA">
              <w:rPr>
                <w:color w:val="FFFFFF" w:themeColor="background1"/>
                <w:szCs w:val="24"/>
                <w:lang w:val="en-GB"/>
              </w:rPr>
              <w:t>/2</w:t>
            </w:r>
            <w:r w:rsidR="00255C4C" w:rsidRPr="007641BA">
              <w:rPr>
                <w:color w:val="FFFFFF" w:themeColor="background1"/>
                <w:szCs w:val="24"/>
                <w:lang w:val="en-GB"/>
              </w:rPr>
              <w:t>3</w:t>
            </w:r>
          </w:p>
          <w:p w14:paraId="45D3B6D4" w14:textId="07B7E778" w:rsidR="008A2C7E" w:rsidRPr="007641BA" w:rsidRDefault="008A2C7E" w:rsidP="00611673">
            <w:pPr>
              <w:pStyle w:val="BodyTextIndent"/>
              <w:ind w:left="0"/>
              <w:jc w:val="right"/>
              <w:rPr>
                <w:color w:val="FFFFFF" w:themeColor="background1"/>
                <w:szCs w:val="24"/>
                <w:lang w:val="en-GB"/>
              </w:rPr>
            </w:pPr>
            <w:r w:rsidRPr="007641BA">
              <w:rPr>
                <w:color w:val="FFFFFF" w:themeColor="background1"/>
                <w:szCs w:val="24"/>
                <w:lang w:val="en-GB"/>
              </w:rPr>
              <w:t>£000</w:t>
            </w:r>
          </w:p>
        </w:tc>
        <w:tc>
          <w:tcPr>
            <w:tcW w:w="1620" w:type="dxa"/>
            <w:shd w:val="clear" w:color="auto" w:fill="BD2716"/>
            <w:vAlign w:val="center"/>
          </w:tcPr>
          <w:p w14:paraId="2FD3E516" w14:textId="77777777" w:rsidR="00BA53E7" w:rsidRPr="007641BA" w:rsidRDefault="00BA53E7" w:rsidP="00611673">
            <w:pPr>
              <w:pStyle w:val="BodyTextIndent"/>
              <w:ind w:left="-12"/>
              <w:jc w:val="right"/>
              <w:rPr>
                <w:color w:val="FFFFFF" w:themeColor="background1"/>
                <w:szCs w:val="24"/>
                <w:lang w:val="en-GB"/>
              </w:rPr>
            </w:pPr>
            <w:r w:rsidRPr="007641BA">
              <w:rPr>
                <w:color w:val="FFFFFF" w:themeColor="background1"/>
                <w:szCs w:val="24"/>
                <w:lang w:val="en-GB"/>
              </w:rPr>
              <w:t>202</w:t>
            </w:r>
            <w:r w:rsidR="00255C4C" w:rsidRPr="007641BA">
              <w:rPr>
                <w:color w:val="FFFFFF" w:themeColor="background1"/>
                <w:szCs w:val="24"/>
                <w:lang w:val="en-GB"/>
              </w:rPr>
              <w:t>1</w:t>
            </w:r>
            <w:r w:rsidRPr="007641BA">
              <w:rPr>
                <w:color w:val="FFFFFF" w:themeColor="background1"/>
                <w:szCs w:val="24"/>
                <w:lang w:val="en-GB"/>
              </w:rPr>
              <w:t>/2</w:t>
            </w:r>
            <w:r w:rsidR="00255C4C" w:rsidRPr="007641BA">
              <w:rPr>
                <w:color w:val="FFFFFF" w:themeColor="background1"/>
                <w:szCs w:val="24"/>
                <w:lang w:val="en-GB"/>
              </w:rPr>
              <w:t>2</w:t>
            </w:r>
          </w:p>
          <w:p w14:paraId="16E382CD" w14:textId="3B49A14D" w:rsidR="008A2C7E" w:rsidRPr="007641BA" w:rsidRDefault="008A2C7E" w:rsidP="00611673">
            <w:pPr>
              <w:pStyle w:val="BodyTextIndent"/>
              <w:ind w:left="-12"/>
              <w:jc w:val="right"/>
              <w:rPr>
                <w:color w:val="FFFFFF" w:themeColor="background1"/>
                <w:szCs w:val="24"/>
                <w:lang w:val="en-GB"/>
              </w:rPr>
            </w:pPr>
            <w:r w:rsidRPr="007641BA">
              <w:rPr>
                <w:color w:val="FFFFFF" w:themeColor="background1"/>
                <w:szCs w:val="24"/>
                <w:lang w:val="en-GB"/>
              </w:rPr>
              <w:t>£000</w:t>
            </w:r>
          </w:p>
        </w:tc>
      </w:tr>
      <w:tr w:rsidR="00255C4C" w:rsidRPr="00617696" w14:paraId="190CA419" w14:textId="77777777" w:rsidTr="007641BA">
        <w:trPr>
          <w:trHeight w:hRule="exact" w:val="300"/>
        </w:trPr>
        <w:tc>
          <w:tcPr>
            <w:tcW w:w="4111" w:type="dxa"/>
          </w:tcPr>
          <w:p w14:paraId="11681FD0" w14:textId="77777777" w:rsidR="00255C4C" w:rsidRPr="00617696" w:rsidRDefault="00255C4C" w:rsidP="00255C4C">
            <w:pPr>
              <w:pStyle w:val="Footer"/>
              <w:tabs>
                <w:tab w:val="clear" w:pos="4153"/>
                <w:tab w:val="clear" w:pos="8306"/>
                <w:tab w:val="left" w:pos="270"/>
              </w:tabs>
              <w:rPr>
                <w:szCs w:val="24"/>
              </w:rPr>
            </w:pPr>
            <w:r w:rsidRPr="00617696">
              <w:rPr>
                <w:szCs w:val="24"/>
              </w:rPr>
              <w:t>Trade debtors</w:t>
            </w:r>
          </w:p>
        </w:tc>
        <w:tc>
          <w:tcPr>
            <w:tcW w:w="1638" w:type="dxa"/>
            <w:vAlign w:val="center"/>
          </w:tcPr>
          <w:p w14:paraId="62991A3E" w14:textId="727D4653" w:rsidR="00255C4C" w:rsidRPr="00617696" w:rsidRDefault="00255C4C" w:rsidP="00DD63D7">
            <w:pPr>
              <w:tabs>
                <w:tab w:val="decimal" w:pos="900"/>
              </w:tabs>
              <w:jc w:val="right"/>
              <w:rPr>
                <w:szCs w:val="24"/>
              </w:rPr>
            </w:pPr>
            <w:r w:rsidRPr="00617696">
              <w:rPr>
                <w:szCs w:val="24"/>
              </w:rPr>
              <w:t>2,</w:t>
            </w:r>
            <w:r w:rsidR="005E7562" w:rsidRPr="00617696">
              <w:rPr>
                <w:szCs w:val="24"/>
              </w:rPr>
              <w:t>005</w:t>
            </w:r>
          </w:p>
        </w:tc>
        <w:tc>
          <w:tcPr>
            <w:tcW w:w="1620" w:type="dxa"/>
            <w:vAlign w:val="center"/>
          </w:tcPr>
          <w:p w14:paraId="0F6EB3AA" w14:textId="6CFF85C8" w:rsidR="00255C4C" w:rsidRPr="00617696" w:rsidRDefault="00255C4C" w:rsidP="00DD63D7">
            <w:pPr>
              <w:tabs>
                <w:tab w:val="decimal" w:pos="900"/>
              </w:tabs>
              <w:ind w:left="-12"/>
              <w:jc w:val="right"/>
              <w:rPr>
                <w:szCs w:val="24"/>
              </w:rPr>
            </w:pPr>
            <w:r w:rsidRPr="00617696">
              <w:rPr>
                <w:szCs w:val="24"/>
              </w:rPr>
              <w:t>2,680</w:t>
            </w:r>
          </w:p>
        </w:tc>
      </w:tr>
      <w:tr w:rsidR="00255C4C" w:rsidRPr="00617696" w14:paraId="5F336B28" w14:textId="77777777" w:rsidTr="007641BA">
        <w:trPr>
          <w:trHeight w:hRule="exact" w:val="300"/>
        </w:trPr>
        <w:tc>
          <w:tcPr>
            <w:tcW w:w="4111" w:type="dxa"/>
          </w:tcPr>
          <w:p w14:paraId="150020B6" w14:textId="77777777" w:rsidR="00255C4C" w:rsidRPr="00617696" w:rsidRDefault="00255C4C" w:rsidP="00255C4C">
            <w:pPr>
              <w:tabs>
                <w:tab w:val="left" w:pos="270"/>
              </w:tabs>
              <w:rPr>
                <w:szCs w:val="24"/>
              </w:rPr>
            </w:pPr>
            <w:r w:rsidRPr="00617696">
              <w:rPr>
                <w:szCs w:val="24"/>
              </w:rPr>
              <w:t>VAT</w:t>
            </w:r>
          </w:p>
        </w:tc>
        <w:tc>
          <w:tcPr>
            <w:tcW w:w="1638" w:type="dxa"/>
            <w:vAlign w:val="center"/>
          </w:tcPr>
          <w:p w14:paraId="40F3A07D" w14:textId="50B5BF61" w:rsidR="00255C4C" w:rsidRPr="00617696" w:rsidRDefault="005E7562" w:rsidP="00DD63D7">
            <w:pPr>
              <w:tabs>
                <w:tab w:val="decimal" w:pos="900"/>
              </w:tabs>
              <w:jc w:val="right"/>
              <w:rPr>
                <w:szCs w:val="24"/>
              </w:rPr>
            </w:pPr>
            <w:r w:rsidRPr="00617696">
              <w:rPr>
                <w:szCs w:val="24"/>
              </w:rPr>
              <w:t>7</w:t>
            </w:r>
            <w:r w:rsidR="00EE43B1" w:rsidRPr="00617696">
              <w:rPr>
                <w:szCs w:val="24"/>
              </w:rPr>
              <w:t>91</w:t>
            </w:r>
          </w:p>
        </w:tc>
        <w:tc>
          <w:tcPr>
            <w:tcW w:w="1620" w:type="dxa"/>
            <w:vAlign w:val="center"/>
          </w:tcPr>
          <w:p w14:paraId="06F03C44" w14:textId="4B8A9B5C" w:rsidR="00255C4C" w:rsidRPr="00617696" w:rsidRDefault="00255C4C" w:rsidP="00DD63D7">
            <w:pPr>
              <w:tabs>
                <w:tab w:val="decimal" w:pos="900"/>
              </w:tabs>
              <w:ind w:left="-12"/>
              <w:jc w:val="right"/>
              <w:rPr>
                <w:szCs w:val="24"/>
              </w:rPr>
            </w:pPr>
            <w:r w:rsidRPr="00617696">
              <w:rPr>
                <w:szCs w:val="24"/>
              </w:rPr>
              <w:t>246</w:t>
            </w:r>
          </w:p>
        </w:tc>
      </w:tr>
      <w:tr w:rsidR="00255C4C" w:rsidRPr="00617696" w14:paraId="17D5964D" w14:textId="77777777" w:rsidTr="007641BA">
        <w:trPr>
          <w:trHeight w:hRule="exact" w:val="327"/>
        </w:trPr>
        <w:tc>
          <w:tcPr>
            <w:tcW w:w="4111" w:type="dxa"/>
          </w:tcPr>
          <w:p w14:paraId="52A2CE39" w14:textId="77777777" w:rsidR="00255C4C" w:rsidRPr="00617696" w:rsidRDefault="00255C4C" w:rsidP="00255C4C">
            <w:pPr>
              <w:tabs>
                <w:tab w:val="left" w:pos="270"/>
              </w:tabs>
              <w:rPr>
                <w:szCs w:val="24"/>
              </w:rPr>
            </w:pPr>
            <w:r w:rsidRPr="00617696">
              <w:rPr>
                <w:szCs w:val="24"/>
              </w:rPr>
              <w:t>Local taxation debtors</w:t>
            </w:r>
          </w:p>
        </w:tc>
        <w:tc>
          <w:tcPr>
            <w:tcW w:w="1638" w:type="dxa"/>
            <w:vAlign w:val="center"/>
          </w:tcPr>
          <w:p w14:paraId="4ACE41BD" w14:textId="73B35B0A" w:rsidR="00255C4C" w:rsidRPr="00617696" w:rsidRDefault="005E7562" w:rsidP="00DD63D7">
            <w:pPr>
              <w:tabs>
                <w:tab w:val="decimal" w:pos="900"/>
              </w:tabs>
              <w:jc w:val="right"/>
              <w:rPr>
                <w:szCs w:val="24"/>
              </w:rPr>
            </w:pPr>
            <w:r w:rsidRPr="00617696">
              <w:rPr>
                <w:szCs w:val="24"/>
              </w:rPr>
              <w:t>4,325</w:t>
            </w:r>
          </w:p>
        </w:tc>
        <w:tc>
          <w:tcPr>
            <w:tcW w:w="1620" w:type="dxa"/>
            <w:vAlign w:val="center"/>
          </w:tcPr>
          <w:p w14:paraId="6CD6D2FB" w14:textId="33974ABA" w:rsidR="00255C4C" w:rsidRPr="00617696" w:rsidRDefault="00255C4C" w:rsidP="00DD63D7">
            <w:pPr>
              <w:tabs>
                <w:tab w:val="decimal" w:pos="900"/>
              </w:tabs>
              <w:ind w:left="-12"/>
              <w:jc w:val="right"/>
              <w:rPr>
                <w:szCs w:val="24"/>
              </w:rPr>
            </w:pPr>
            <w:r w:rsidRPr="00617696">
              <w:rPr>
                <w:szCs w:val="24"/>
              </w:rPr>
              <w:t>3,951</w:t>
            </w:r>
          </w:p>
        </w:tc>
      </w:tr>
      <w:tr w:rsidR="00255C4C" w:rsidRPr="00617696" w14:paraId="2C0F6E9E" w14:textId="77777777" w:rsidTr="007641BA">
        <w:trPr>
          <w:trHeight w:hRule="exact" w:val="300"/>
        </w:trPr>
        <w:tc>
          <w:tcPr>
            <w:tcW w:w="4111" w:type="dxa"/>
          </w:tcPr>
          <w:p w14:paraId="77F3D3CC" w14:textId="77777777" w:rsidR="00255C4C" w:rsidRPr="00617696" w:rsidRDefault="00255C4C" w:rsidP="00255C4C">
            <w:pPr>
              <w:tabs>
                <w:tab w:val="left" w:pos="270"/>
              </w:tabs>
              <w:rPr>
                <w:szCs w:val="24"/>
              </w:rPr>
            </w:pPr>
            <w:r w:rsidRPr="00617696">
              <w:rPr>
                <w:szCs w:val="24"/>
              </w:rPr>
              <w:t>Other debtors</w:t>
            </w:r>
          </w:p>
        </w:tc>
        <w:tc>
          <w:tcPr>
            <w:tcW w:w="1638" w:type="dxa"/>
            <w:vAlign w:val="center"/>
          </w:tcPr>
          <w:p w14:paraId="6011326B" w14:textId="6C417DB1" w:rsidR="00255C4C" w:rsidRPr="00617696" w:rsidRDefault="005E7562" w:rsidP="00DD63D7">
            <w:pPr>
              <w:tabs>
                <w:tab w:val="decimal" w:pos="900"/>
              </w:tabs>
              <w:jc w:val="right"/>
              <w:rPr>
                <w:szCs w:val="24"/>
              </w:rPr>
            </w:pPr>
            <w:r w:rsidRPr="00617696">
              <w:rPr>
                <w:szCs w:val="24"/>
              </w:rPr>
              <w:t>9,</w:t>
            </w:r>
            <w:r w:rsidR="001360C4">
              <w:rPr>
                <w:szCs w:val="24"/>
              </w:rPr>
              <w:t>642</w:t>
            </w:r>
          </w:p>
        </w:tc>
        <w:tc>
          <w:tcPr>
            <w:tcW w:w="1620" w:type="dxa"/>
            <w:vAlign w:val="center"/>
          </w:tcPr>
          <w:p w14:paraId="3AC99AFD" w14:textId="69E369B1" w:rsidR="00255C4C" w:rsidRPr="00617696" w:rsidRDefault="00255C4C" w:rsidP="00DD63D7">
            <w:pPr>
              <w:tabs>
                <w:tab w:val="decimal" w:pos="900"/>
              </w:tabs>
              <w:ind w:left="-12"/>
              <w:jc w:val="right"/>
              <w:rPr>
                <w:szCs w:val="24"/>
              </w:rPr>
            </w:pPr>
            <w:r w:rsidRPr="00617696">
              <w:rPr>
                <w:szCs w:val="24"/>
              </w:rPr>
              <w:t>6,011</w:t>
            </w:r>
          </w:p>
        </w:tc>
      </w:tr>
      <w:tr w:rsidR="00255C4C" w:rsidRPr="00617696" w14:paraId="1F93D5D5" w14:textId="77777777" w:rsidTr="007641BA">
        <w:trPr>
          <w:trHeight w:hRule="exact" w:val="300"/>
        </w:trPr>
        <w:tc>
          <w:tcPr>
            <w:tcW w:w="4111" w:type="dxa"/>
          </w:tcPr>
          <w:p w14:paraId="67137166" w14:textId="1BB078B9" w:rsidR="00255C4C" w:rsidRPr="00617696" w:rsidRDefault="00617696" w:rsidP="00255C4C">
            <w:pPr>
              <w:tabs>
                <w:tab w:val="left" w:pos="270"/>
              </w:tabs>
              <w:rPr>
                <w:szCs w:val="24"/>
              </w:rPr>
            </w:pPr>
            <w:r>
              <w:rPr>
                <w:szCs w:val="24"/>
              </w:rPr>
              <w:t>Total</w:t>
            </w:r>
          </w:p>
        </w:tc>
        <w:tc>
          <w:tcPr>
            <w:tcW w:w="1638" w:type="dxa"/>
            <w:vAlign w:val="center"/>
          </w:tcPr>
          <w:p w14:paraId="6FF23343" w14:textId="43C444F0" w:rsidR="00255C4C" w:rsidRPr="00617696" w:rsidRDefault="005E7562" w:rsidP="00DD63D7">
            <w:pPr>
              <w:tabs>
                <w:tab w:val="decimal" w:pos="900"/>
              </w:tabs>
              <w:jc w:val="right"/>
              <w:rPr>
                <w:szCs w:val="24"/>
              </w:rPr>
            </w:pPr>
            <w:r w:rsidRPr="00617696">
              <w:rPr>
                <w:szCs w:val="24"/>
              </w:rPr>
              <w:t>16,</w:t>
            </w:r>
            <w:r w:rsidR="001360C4">
              <w:rPr>
                <w:szCs w:val="24"/>
              </w:rPr>
              <w:t>763</w:t>
            </w:r>
          </w:p>
        </w:tc>
        <w:tc>
          <w:tcPr>
            <w:tcW w:w="1620" w:type="dxa"/>
            <w:vAlign w:val="center"/>
          </w:tcPr>
          <w:p w14:paraId="6ACA7572" w14:textId="3136964B" w:rsidR="00255C4C" w:rsidRPr="00617696" w:rsidRDefault="00255C4C" w:rsidP="00DD63D7">
            <w:pPr>
              <w:tabs>
                <w:tab w:val="decimal" w:pos="900"/>
              </w:tabs>
              <w:ind w:left="-12"/>
              <w:jc w:val="right"/>
              <w:rPr>
                <w:szCs w:val="24"/>
              </w:rPr>
            </w:pPr>
            <w:r w:rsidRPr="00617696">
              <w:rPr>
                <w:szCs w:val="24"/>
              </w:rPr>
              <w:t>12,888</w:t>
            </w:r>
          </w:p>
        </w:tc>
      </w:tr>
    </w:tbl>
    <w:p w14:paraId="057F0C12" w14:textId="77777777" w:rsidR="00B71D39" w:rsidRPr="005436A9" w:rsidRDefault="00B71D39" w:rsidP="00D90216">
      <w:pPr>
        <w:rPr>
          <w:sz w:val="22"/>
        </w:rPr>
      </w:pPr>
    </w:p>
    <w:p w14:paraId="75FED126" w14:textId="6E66BDDB" w:rsidR="00D90216" w:rsidRPr="00617696" w:rsidRDefault="001C592E" w:rsidP="00BC6C4F">
      <w:pPr>
        <w:pStyle w:val="Heading2"/>
        <w:jc w:val="left"/>
        <w:rPr>
          <w:sz w:val="24"/>
          <w:szCs w:val="24"/>
        </w:rPr>
      </w:pPr>
      <w:bookmarkStart w:id="41" w:name="_Toc166761543"/>
      <w:r w:rsidRPr="00617696">
        <w:rPr>
          <w:sz w:val="24"/>
          <w:szCs w:val="24"/>
        </w:rPr>
        <w:t>1</w:t>
      </w:r>
      <w:r w:rsidR="007C6DCB" w:rsidRPr="00617696">
        <w:rPr>
          <w:sz w:val="24"/>
          <w:szCs w:val="24"/>
        </w:rPr>
        <w:t>0</w:t>
      </w:r>
      <w:r w:rsidR="00B71D39" w:rsidRPr="00617696">
        <w:rPr>
          <w:sz w:val="24"/>
          <w:szCs w:val="24"/>
        </w:rPr>
        <w:tab/>
      </w:r>
      <w:bookmarkStart w:id="42" w:name="N10"/>
      <w:bookmarkEnd w:id="42"/>
      <w:r w:rsidR="00D90216" w:rsidRPr="00617696">
        <w:rPr>
          <w:sz w:val="24"/>
          <w:szCs w:val="24"/>
        </w:rPr>
        <w:t>Cash &amp; Cash Equivalents</w:t>
      </w:r>
      <w:bookmarkEnd w:id="41"/>
    </w:p>
    <w:p w14:paraId="4BAA8B00" w14:textId="77777777" w:rsidR="00D90216" w:rsidRPr="00617696" w:rsidRDefault="00D90216" w:rsidP="00BC6C4F">
      <w:pPr>
        <w:ind w:left="720"/>
        <w:rPr>
          <w:szCs w:val="24"/>
        </w:rPr>
      </w:pPr>
    </w:p>
    <w:p w14:paraId="68A363ED" w14:textId="77777777" w:rsidR="00D90216" w:rsidRPr="00617696" w:rsidRDefault="00D90216" w:rsidP="00BC6C4F">
      <w:pPr>
        <w:ind w:left="720"/>
        <w:rPr>
          <w:szCs w:val="24"/>
        </w:rPr>
      </w:pPr>
      <w:r w:rsidRPr="00617696">
        <w:rPr>
          <w:szCs w:val="24"/>
        </w:rPr>
        <w:t>The balance of cash &amp; cash equivalents is made up of the following elements:</w:t>
      </w:r>
    </w:p>
    <w:p w14:paraId="5F3D6EA3" w14:textId="77777777" w:rsidR="00D90216" w:rsidRPr="005436A9" w:rsidRDefault="00D90216" w:rsidP="00D90216">
      <w:pPr>
        <w:ind w:left="720"/>
        <w:jc w:val="both"/>
        <w:rPr>
          <w:sz w:val="22"/>
        </w:rPr>
      </w:pPr>
    </w:p>
    <w:tbl>
      <w:tblPr>
        <w:tblW w:w="916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gridCol w:w="1638"/>
        <w:gridCol w:w="1620"/>
      </w:tblGrid>
      <w:tr w:rsidR="00BA53E7" w:rsidRPr="005436A9" w14:paraId="0613C634" w14:textId="77777777" w:rsidTr="00611673">
        <w:trPr>
          <w:trHeight w:hRule="exact" w:val="578"/>
          <w:tblHeader/>
        </w:trPr>
        <w:tc>
          <w:tcPr>
            <w:tcW w:w="5909" w:type="dxa"/>
            <w:shd w:val="clear" w:color="auto" w:fill="BD2716"/>
          </w:tcPr>
          <w:p w14:paraId="52CA4080" w14:textId="77777777" w:rsidR="00BA53E7" w:rsidRPr="007641BA" w:rsidRDefault="00BA53E7" w:rsidP="00BA53E7">
            <w:pPr>
              <w:pStyle w:val="Footer"/>
              <w:tabs>
                <w:tab w:val="clear" w:pos="4153"/>
                <w:tab w:val="clear" w:pos="8306"/>
              </w:tabs>
              <w:rPr>
                <w:color w:val="FFFFFF" w:themeColor="background1"/>
                <w:szCs w:val="24"/>
              </w:rPr>
            </w:pPr>
          </w:p>
        </w:tc>
        <w:tc>
          <w:tcPr>
            <w:tcW w:w="1638" w:type="dxa"/>
            <w:shd w:val="clear" w:color="auto" w:fill="BD2716"/>
            <w:vAlign w:val="center"/>
          </w:tcPr>
          <w:p w14:paraId="360FC81F" w14:textId="77777777" w:rsidR="00BA53E7" w:rsidRPr="007641BA" w:rsidRDefault="00670DBF" w:rsidP="00611673">
            <w:pPr>
              <w:pStyle w:val="BodyTextIndent"/>
              <w:ind w:left="0"/>
              <w:jc w:val="right"/>
              <w:rPr>
                <w:color w:val="FFFFFF" w:themeColor="background1"/>
                <w:szCs w:val="24"/>
                <w:lang w:val="en-GB"/>
              </w:rPr>
            </w:pPr>
            <w:r w:rsidRPr="007641BA">
              <w:rPr>
                <w:color w:val="FFFFFF" w:themeColor="background1"/>
                <w:szCs w:val="24"/>
                <w:lang w:val="en-GB"/>
              </w:rPr>
              <w:t>202</w:t>
            </w:r>
            <w:r w:rsidR="00255C4C" w:rsidRPr="007641BA">
              <w:rPr>
                <w:color w:val="FFFFFF" w:themeColor="background1"/>
                <w:szCs w:val="24"/>
                <w:lang w:val="en-GB"/>
              </w:rPr>
              <w:t>2</w:t>
            </w:r>
            <w:r w:rsidRPr="007641BA">
              <w:rPr>
                <w:color w:val="FFFFFF" w:themeColor="background1"/>
                <w:szCs w:val="24"/>
                <w:lang w:val="en-GB"/>
              </w:rPr>
              <w:t>/2</w:t>
            </w:r>
            <w:r w:rsidR="00255C4C" w:rsidRPr="007641BA">
              <w:rPr>
                <w:color w:val="FFFFFF" w:themeColor="background1"/>
                <w:szCs w:val="24"/>
                <w:lang w:val="en-GB"/>
              </w:rPr>
              <w:t>3</w:t>
            </w:r>
          </w:p>
          <w:p w14:paraId="34194DCF" w14:textId="0A74E8F4" w:rsidR="008A2C7E" w:rsidRPr="007641BA" w:rsidRDefault="008A2C7E" w:rsidP="00611673">
            <w:pPr>
              <w:pStyle w:val="BodyTextIndent"/>
              <w:ind w:left="0"/>
              <w:jc w:val="right"/>
              <w:rPr>
                <w:color w:val="FFFFFF" w:themeColor="background1"/>
                <w:szCs w:val="24"/>
                <w:lang w:val="en-GB"/>
              </w:rPr>
            </w:pPr>
            <w:r w:rsidRPr="007641BA">
              <w:rPr>
                <w:color w:val="FFFFFF" w:themeColor="background1"/>
                <w:szCs w:val="24"/>
                <w:lang w:val="en-GB"/>
              </w:rPr>
              <w:t>£000</w:t>
            </w:r>
          </w:p>
        </w:tc>
        <w:tc>
          <w:tcPr>
            <w:tcW w:w="1620" w:type="dxa"/>
            <w:shd w:val="clear" w:color="auto" w:fill="BD2716"/>
            <w:vAlign w:val="center"/>
          </w:tcPr>
          <w:p w14:paraId="6B65D272" w14:textId="77777777" w:rsidR="00BA53E7" w:rsidRPr="007641BA" w:rsidRDefault="00BA53E7" w:rsidP="00611673">
            <w:pPr>
              <w:pStyle w:val="BodyTextIndent"/>
              <w:ind w:left="0"/>
              <w:jc w:val="right"/>
              <w:rPr>
                <w:color w:val="FFFFFF" w:themeColor="background1"/>
                <w:szCs w:val="24"/>
                <w:lang w:val="en-GB"/>
              </w:rPr>
            </w:pPr>
            <w:r w:rsidRPr="007641BA">
              <w:rPr>
                <w:color w:val="FFFFFF" w:themeColor="background1"/>
                <w:szCs w:val="24"/>
                <w:lang w:val="en-GB"/>
              </w:rPr>
              <w:t>202</w:t>
            </w:r>
            <w:r w:rsidR="00255C4C" w:rsidRPr="007641BA">
              <w:rPr>
                <w:color w:val="FFFFFF" w:themeColor="background1"/>
                <w:szCs w:val="24"/>
                <w:lang w:val="en-GB"/>
              </w:rPr>
              <w:t>1</w:t>
            </w:r>
            <w:r w:rsidRPr="007641BA">
              <w:rPr>
                <w:color w:val="FFFFFF" w:themeColor="background1"/>
                <w:szCs w:val="24"/>
                <w:lang w:val="en-GB"/>
              </w:rPr>
              <w:t>/2</w:t>
            </w:r>
            <w:r w:rsidR="00255C4C" w:rsidRPr="007641BA">
              <w:rPr>
                <w:color w:val="FFFFFF" w:themeColor="background1"/>
                <w:szCs w:val="24"/>
                <w:lang w:val="en-GB"/>
              </w:rPr>
              <w:t>2</w:t>
            </w:r>
          </w:p>
          <w:p w14:paraId="4FF6DA7A" w14:textId="3B43E9C5" w:rsidR="008A2C7E" w:rsidRPr="007641BA" w:rsidRDefault="008A2C7E" w:rsidP="00611673">
            <w:pPr>
              <w:pStyle w:val="BodyTextIndent"/>
              <w:ind w:left="0"/>
              <w:jc w:val="right"/>
              <w:rPr>
                <w:color w:val="FFFFFF" w:themeColor="background1"/>
                <w:szCs w:val="24"/>
                <w:lang w:val="en-GB"/>
              </w:rPr>
            </w:pPr>
            <w:r w:rsidRPr="007641BA">
              <w:rPr>
                <w:color w:val="FFFFFF" w:themeColor="background1"/>
                <w:szCs w:val="24"/>
                <w:lang w:val="en-GB"/>
              </w:rPr>
              <w:t>£000</w:t>
            </w:r>
          </w:p>
        </w:tc>
      </w:tr>
      <w:tr w:rsidR="005529ED" w:rsidRPr="005436A9" w14:paraId="240FCBA4" w14:textId="77777777" w:rsidTr="00DD63D7">
        <w:trPr>
          <w:trHeight w:hRule="exact" w:val="300"/>
        </w:trPr>
        <w:tc>
          <w:tcPr>
            <w:tcW w:w="5909" w:type="dxa"/>
          </w:tcPr>
          <w:p w14:paraId="44A7BD16" w14:textId="77777777" w:rsidR="005529ED" w:rsidRPr="00617696" w:rsidRDefault="005529ED" w:rsidP="005529ED">
            <w:pPr>
              <w:pStyle w:val="Footer"/>
              <w:tabs>
                <w:tab w:val="clear" w:pos="4153"/>
                <w:tab w:val="clear" w:pos="8306"/>
                <w:tab w:val="left" w:pos="270"/>
              </w:tabs>
              <w:rPr>
                <w:szCs w:val="24"/>
              </w:rPr>
            </w:pPr>
            <w:r w:rsidRPr="00617696">
              <w:rPr>
                <w:szCs w:val="24"/>
              </w:rPr>
              <w:t>Cash held by the Authority</w:t>
            </w:r>
          </w:p>
        </w:tc>
        <w:tc>
          <w:tcPr>
            <w:tcW w:w="1638" w:type="dxa"/>
            <w:vAlign w:val="center"/>
          </w:tcPr>
          <w:p w14:paraId="720DCA68" w14:textId="36D8DEE3" w:rsidR="005529ED" w:rsidRPr="00617696" w:rsidRDefault="005529ED" w:rsidP="00DD63D7">
            <w:pPr>
              <w:tabs>
                <w:tab w:val="decimal" w:pos="900"/>
              </w:tabs>
              <w:jc w:val="right"/>
              <w:rPr>
                <w:szCs w:val="24"/>
              </w:rPr>
            </w:pPr>
            <w:r w:rsidRPr="00617696">
              <w:rPr>
                <w:szCs w:val="24"/>
              </w:rPr>
              <w:t>67</w:t>
            </w:r>
          </w:p>
        </w:tc>
        <w:tc>
          <w:tcPr>
            <w:tcW w:w="1620" w:type="dxa"/>
            <w:vAlign w:val="center"/>
          </w:tcPr>
          <w:p w14:paraId="28CE2024" w14:textId="60686513" w:rsidR="005529ED" w:rsidRPr="00617696" w:rsidRDefault="005529ED" w:rsidP="00DD63D7">
            <w:pPr>
              <w:tabs>
                <w:tab w:val="decimal" w:pos="900"/>
              </w:tabs>
              <w:jc w:val="right"/>
              <w:rPr>
                <w:szCs w:val="24"/>
              </w:rPr>
            </w:pPr>
            <w:r w:rsidRPr="00617696">
              <w:rPr>
                <w:szCs w:val="24"/>
              </w:rPr>
              <w:t>54</w:t>
            </w:r>
          </w:p>
        </w:tc>
      </w:tr>
      <w:tr w:rsidR="005529ED" w:rsidRPr="005436A9" w14:paraId="60BAD94D" w14:textId="77777777" w:rsidTr="00DD63D7">
        <w:trPr>
          <w:trHeight w:hRule="exact" w:val="300"/>
        </w:trPr>
        <w:tc>
          <w:tcPr>
            <w:tcW w:w="5909" w:type="dxa"/>
          </w:tcPr>
          <w:p w14:paraId="0D0411AC" w14:textId="77777777" w:rsidR="005529ED" w:rsidRPr="00617696" w:rsidRDefault="005529ED" w:rsidP="005529ED">
            <w:pPr>
              <w:tabs>
                <w:tab w:val="left" w:pos="270"/>
              </w:tabs>
              <w:rPr>
                <w:szCs w:val="24"/>
              </w:rPr>
            </w:pPr>
            <w:r w:rsidRPr="00617696">
              <w:rPr>
                <w:szCs w:val="24"/>
              </w:rPr>
              <w:t xml:space="preserve">Cash held by </w:t>
            </w:r>
            <w:proofErr w:type="gramStart"/>
            <w:r w:rsidRPr="00617696">
              <w:rPr>
                <w:szCs w:val="24"/>
              </w:rPr>
              <w:t>North West</w:t>
            </w:r>
            <w:proofErr w:type="gramEnd"/>
            <w:r w:rsidRPr="00617696">
              <w:rPr>
                <w:szCs w:val="24"/>
              </w:rPr>
              <w:t xml:space="preserve"> </w:t>
            </w:r>
            <w:proofErr w:type="spellStart"/>
            <w:r w:rsidRPr="00617696">
              <w:rPr>
                <w:szCs w:val="24"/>
              </w:rPr>
              <w:t>FireControl</w:t>
            </w:r>
            <w:proofErr w:type="spellEnd"/>
            <w:r w:rsidRPr="00617696">
              <w:rPr>
                <w:szCs w:val="24"/>
              </w:rPr>
              <w:t xml:space="preserve"> (25% share)</w:t>
            </w:r>
          </w:p>
        </w:tc>
        <w:tc>
          <w:tcPr>
            <w:tcW w:w="1638" w:type="dxa"/>
            <w:vAlign w:val="center"/>
          </w:tcPr>
          <w:p w14:paraId="7026A4B6" w14:textId="3E05F898" w:rsidR="005529ED" w:rsidRPr="00617696" w:rsidRDefault="005529ED" w:rsidP="00DD63D7">
            <w:pPr>
              <w:tabs>
                <w:tab w:val="decimal" w:pos="900"/>
              </w:tabs>
              <w:jc w:val="right"/>
              <w:rPr>
                <w:szCs w:val="24"/>
              </w:rPr>
            </w:pPr>
            <w:r w:rsidRPr="00617696">
              <w:rPr>
                <w:szCs w:val="24"/>
              </w:rPr>
              <w:t>89</w:t>
            </w:r>
          </w:p>
        </w:tc>
        <w:tc>
          <w:tcPr>
            <w:tcW w:w="1620" w:type="dxa"/>
            <w:vAlign w:val="center"/>
          </w:tcPr>
          <w:p w14:paraId="3893878F" w14:textId="66BF7FF0" w:rsidR="005529ED" w:rsidRPr="00617696" w:rsidRDefault="005529ED" w:rsidP="00DD63D7">
            <w:pPr>
              <w:tabs>
                <w:tab w:val="decimal" w:pos="900"/>
              </w:tabs>
              <w:jc w:val="right"/>
              <w:rPr>
                <w:szCs w:val="24"/>
              </w:rPr>
            </w:pPr>
            <w:r w:rsidRPr="00617696">
              <w:rPr>
                <w:szCs w:val="24"/>
              </w:rPr>
              <w:t>117</w:t>
            </w:r>
          </w:p>
        </w:tc>
      </w:tr>
      <w:tr w:rsidR="005529ED" w:rsidRPr="005436A9" w14:paraId="60A39181" w14:textId="77777777" w:rsidTr="00DD63D7">
        <w:trPr>
          <w:trHeight w:hRule="exact" w:val="300"/>
        </w:trPr>
        <w:tc>
          <w:tcPr>
            <w:tcW w:w="5909" w:type="dxa"/>
          </w:tcPr>
          <w:p w14:paraId="7B2F4852" w14:textId="77777777" w:rsidR="005529ED" w:rsidRPr="00617696" w:rsidRDefault="005529ED" w:rsidP="005529ED">
            <w:pPr>
              <w:tabs>
                <w:tab w:val="left" w:pos="270"/>
              </w:tabs>
              <w:rPr>
                <w:szCs w:val="24"/>
              </w:rPr>
            </w:pPr>
            <w:r w:rsidRPr="00617696">
              <w:rPr>
                <w:szCs w:val="24"/>
              </w:rPr>
              <w:t>Call account balance</w:t>
            </w:r>
          </w:p>
        </w:tc>
        <w:tc>
          <w:tcPr>
            <w:tcW w:w="1638" w:type="dxa"/>
            <w:vAlign w:val="center"/>
          </w:tcPr>
          <w:p w14:paraId="5FF65A76" w14:textId="695EDB1E" w:rsidR="005529ED" w:rsidRPr="00617696" w:rsidRDefault="005529ED" w:rsidP="00DD63D7">
            <w:pPr>
              <w:tabs>
                <w:tab w:val="decimal" w:pos="900"/>
              </w:tabs>
              <w:jc w:val="right"/>
              <w:rPr>
                <w:szCs w:val="24"/>
              </w:rPr>
            </w:pPr>
            <w:r w:rsidRPr="00617696">
              <w:rPr>
                <w:szCs w:val="24"/>
              </w:rPr>
              <w:t>16</w:t>
            </w:r>
            <w:r w:rsidR="006B4BAB" w:rsidRPr="00617696">
              <w:rPr>
                <w:szCs w:val="24"/>
              </w:rPr>
              <w:t>,</w:t>
            </w:r>
            <w:r w:rsidRPr="00617696">
              <w:rPr>
                <w:szCs w:val="24"/>
              </w:rPr>
              <w:t>16</w:t>
            </w:r>
            <w:r w:rsidR="007C4A12" w:rsidRPr="00617696">
              <w:rPr>
                <w:szCs w:val="24"/>
              </w:rPr>
              <w:t>1</w:t>
            </w:r>
          </w:p>
        </w:tc>
        <w:tc>
          <w:tcPr>
            <w:tcW w:w="1620" w:type="dxa"/>
            <w:vAlign w:val="center"/>
          </w:tcPr>
          <w:p w14:paraId="1C444595" w14:textId="0E65633D" w:rsidR="005529ED" w:rsidRPr="00617696" w:rsidRDefault="005529ED" w:rsidP="00DD63D7">
            <w:pPr>
              <w:tabs>
                <w:tab w:val="decimal" w:pos="900"/>
              </w:tabs>
              <w:jc w:val="right"/>
              <w:rPr>
                <w:szCs w:val="24"/>
              </w:rPr>
            </w:pPr>
            <w:r w:rsidRPr="00617696">
              <w:rPr>
                <w:szCs w:val="24"/>
              </w:rPr>
              <w:t>17,725</w:t>
            </w:r>
          </w:p>
        </w:tc>
      </w:tr>
      <w:tr w:rsidR="005529ED" w:rsidRPr="00AF3DCD" w14:paraId="3970DC33" w14:textId="77777777" w:rsidTr="00DD63D7">
        <w:trPr>
          <w:trHeight w:hRule="exact" w:val="300"/>
        </w:trPr>
        <w:tc>
          <w:tcPr>
            <w:tcW w:w="5909" w:type="dxa"/>
          </w:tcPr>
          <w:p w14:paraId="7E11EFC8" w14:textId="56F5F4FF" w:rsidR="005529ED" w:rsidRPr="00617696" w:rsidRDefault="00617696" w:rsidP="005529ED">
            <w:pPr>
              <w:tabs>
                <w:tab w:val="left" w:pos="270"/>
              </w:tabs>
              <w:rPr>
                <w:szCs w:val="24"/>
              </w:rPr>
            </w:pPr>
            <w:r>
              <w:rPr>
                <w:szCs w:val="24"/>
              </w:rPr>
              <w:t>Total</w:t>
            </w:r>
          </w:p>
        </w:tc>
        <w:tc>
          <w:tcPr>
            <w:tcW w:w="1638" w:type="dxa"/>
            <w:vAlign w:val="center"/>
          </w:tcPr>
          <w:p w14:paraId="1128B768" w14:textId="7746A01D" w:rsidR="005529ED" w:rsidRPr="00617696" w:rsidRDefault="005529ED" w:rsidP="00DD63D7">
            <w:pPr>
              <w:tabs>
                <w:tab w:val="decimal" w:pos="900"/>
              </w:tabs>
              <w:jc w:val="right"/>
              <w:rPr>
                <w:szCs w:val="24"/>
              </w:rPr>
            </w:pPr>
            <w:r w:rsidRPr="00617696">
              <w:rPr>
                <w:szCs w:val="24"/>
              </w:rPr>
              <w:t>16</w:t>
            </w:r>
            <w:r w:rsidR="006B4BAB" w:rsidRPr="00617696">
              <w:rPr>
                <w:szCs w:val="24"/>
              </w:rPr>
              <w:t>,</w:t>
            </w:r>
            <w:r w:rsidRPr="00617696">
              <w:rPr>
                <w:szCs w:val="24"/>
              </w:rPr>
              <w:t>317</w:t>
            </w:r>
          </w:p>
        </w:tc>
        <w:tc>
          <w:tcPr>
            <w:tcW w:w="1620" w:type="dxa"/>
            <w:vAlign w:val="center"/>
          </w:tcPr>
          <w:p w14:paraId="41BFB273" w14:textId="32D00A7C" w:rsidR="005529ED" w:rsidRPr="00617696" w:rsidRDefault="005529ED" w:rsidP="00DD63D7">
            <w:pPr>
              <w:tabs>
                <w:tab w:val="decimal" w:pos="900"/>
              </w:tabs>
              <w:jc w:val="right"/>
              <w:rPr>
                <w:szCs w:val="24"/>
              </w:rPr>
            </w:pPr>
            <w:r w:rsidRPr="00617696">
              <w:rPr>
                <w:szCs w:val="24"/>
              </w:rPr>
              <w:t>17,896</w:t>
            </w:r>
          </w:p>
        </w:tc>
      </w:tr>
    </w:tbl>
    <w:p w14:paraId="39BC6353" w14:textId="77777777" w:rsidR="00D90216" w:rsidRPr="00AF3DCD" w:rsidRDefault="00D90216" w:rsidP="00D90216">
      <w:pPr>
        <w:ind w:left="720"/>
        <w:jc w:val="both"/>
        <w:rPr>
          <w:sz w:val="22"/>
        </w:rPr>
      </w:pPr>
    </w:p>
    <w:p w14:paraId="799294F4" w14:textId="39487F3F" w:rsidR="00760673" w:rsidRPr="00300384" w:rsidRDefault="006D1B7A" w:rsidP="00300384">
      <w:pPr>
        <w:ind w:left="720"/>
        <w:rPr>
          <w:szCs w:val="24"/>
        </w:rPr>
      </w:pPr>
      <w:r w:rsidRPr="00617696">
        <w:rPr>
          <w:szCs w:val="24"/>
        </w:rPr>
        <w:t>The call account</w:t>
      </w:r>
      <w:r w:rsidR="00760673" w:rsidRPr="00617696">
        <w:rPr>
          <w:szCs w:val="24"/>
        </w:rPr>
        <w:t xml:space="preserve"> balance</w:t>
      </w:r>
      <w:r w:rsidRPr="00617696">
        <w:rPr>
          <w:szCs w:val="24"/>
        </w:rPr>
        <w:t xml:space="preserve"> i</w:t>
      </w:r>
      <w:r w:rsidR="00760673" w:rsidRPr="00617696">
        <w:rPr>
          <w:szCs w:val="24"/>
        </w:rPr>
        <w:t xml:space="preserve">s placed with Lancashire Country Council. Interest on these balances is paid to the Authority. The investments have an amortised cost </w:t>
      </w:r>
      <w:proofErr w:type="gramStart"/>
      <w:r w:rsidR="00760673" w:rsidRPr="00617696">
        <w:rPr>
          <w:szCs w:val="24"/>
        </w:rPr>
        <w:t>at</w:t>
      </w:r>
      <w:proofErr w:type="gramEnd"/>
      <w:r w:rsidR="00760673" w:rsidRPr="00617696">
        <w:rPr>
          <w:szCs w:val="24"/>
        </w:rPr>
        <w:t xml:space="preserve"> 31 March 20</w:t>
      </w:r>
      <w:r w:rsidR="008661D6" w:rsidRPr="00617696">
        <w:rPr>
          <w:szCs w:val="24"/>
        </w:rPr>
        <w:t>2</w:t>
      </w:r>
      <w:r w:rsidR="003C4F48" w:rsidRPr="00617696">
        <w:rPr>
          <w:szCs w:val="24"/>
        </w:rPr>
        <w:t>3</w:t>
      </w:r>
      <w:r w:rsidR="00760673" w:rsidRPr="00617696">
        <w:rPr>
          <w:szCs w:val="24"/>
        </w:rPr>
        <w:t xml:space="preserve"> equal to their nominal value.</w:t>
      </w:r>
    </w:p>
    <w:p w14:paraId="24AEE698" w14:textId="77777777" w:rsidR="00ED21C2" w:rsidRPr="00AF3DCD" w:rsidRDefault="00ED21C2" w:rsidP="00D90216">
      <w:pPr>
        <w:ind w:left="720"/>
        <w:jc w:val="both"/>
        <w:rPr>
          <w:sz w:val="22"/>
        </w:rPr>
      </w:pPr>
    </w:p>
    <w:p w14:paraId="07694C61" w14:textId="77777777" w:rsidR="00D90216" w:rsidRPr="00617696" w:rsidRDefault="001C592E" w:rsidP="00BE3374">
      <w:pPr>
        <w:pStyle w:val="Heading2"/>
        <w:jc w:val="left"/>
        <w:rPr>
          <w:sz w:val="24"/>
          <w:szCs w:val="24"/>
        </w:rPr>
      </w:pPr>
      <w:bookmarkStart w:id="43" w:name="_Toc166761544"/>
      <w:r w:rsidRPr="00617696">
        <w:rPr>
          <w:sz w:val="24"/>
          <w:szCs w:val="24"/>
        </w:rPr>
        <w:t>1</w:t>
      </w:r>
      <w:r w:rsidR="007C6DCB" w:rsidRPr="00617696">
        <w:rPr>
          <w:sz w:val="24"/>
          <w:szCs w:val="24"/>
        </w:rPr>
        <w:t>1</w:t>
      </w:r>
      <w:r w:rsidR="00D90216" w:rsidRPr="00617696">
        <w:rPr>
          <w:sz w:val="24"/>
          <w:szCs w:val="24"/>
        </w:rPr>
        <w:tab/>
      </w:r>
      <w:bookmarkStart w:id="44" w:name="N11"/>
      <w:bookmarkEnd w:id="44"/>
      <w:r w:rsidR="00D90216" w:rsidRPr="00617696">
        <w:rPr>
          <w:sz w:val="24"/>
          <w:szCs w:val="24"/>
        </w:rPr>
        <w:t>Creditors</w:t>
      </w:r>
      <w:bookmarkEnd w:id="43"/>
    </w:p>
    <w:p w14:paraId="6DA3E2E7" w14:textId="77777777" w:rsidR="00D90216" w:rsidRPr="00617696" w:rsidRDefault="00D90216" w:rsidP="00D90216">
      <w:pPr>
        <w:ind w:left="720"/>
        <w:rPr>
          <w:szCs w:val="24"/>
        </w:rPr>
      </w:pPr>
    </w:p>
    <w:tbl>
      <w:tblPr>
        <w:tblW w:w="74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8"/>
        <w:gridCol w:w="1654"/>
        <w:gridCol w:w="1606"/>
      </w:tblGrid>
      <w:tr w:rsidR="00BA53E7" w:rsidRPr="00617696" w14:paraId="0BA91B12" w14:textId="77777777" w:rsidTr="00611673">
        <w:trPr>
          <w:trHeight w:hRule="exact" w:val="578"/>
          <w:tblHeader/>
        </w:trPr>
        <w:tc>
          <w:tcPr>
            <w:tcW w:w="4208" w:type="dxa"/>
            <w:shd w:val="clear" w:color="auto" w:fill="BD2716"/>
          </w:tcPr>
          <w:p w14:paraId="4344A490" w14:textId="77777777" w:rsidR="00BA53E7" w:rsidRPr="007641BA" w:rsidRDefault="00BA53E7" w:rsidP="00BA53E7">
            <w:pPr>
              <w:pStyle w:val="Footer"/>
              <w:tabs>
                <w:tab w:val="clear" w:pos="4153"/>
                <w:tab w:val="clear" w:pos="8306"/>
              </w:tabs>
              <w:rPr>
                <w:color w:val="FFFFFF" w:themeColor="background1"/>
                <w:szCs w:val="24"/>
              </w:rPr>
            </w:pPr>
          </w:p>
        </w:tc>
        <w:tc>
          <w:tcPr>
            <w:tcW w:w="1654" w:type="dxa"/>
            <w:shd w:val="clear" w:color="auto" w:fill="BD2716"/>
            <w:vAlign w:val="center"/>
          </w:tcPr>
          <w:p w14:paraId="6095AA0D" w14:textId="77777777" w:rsidR="00BA53E7" w:rsidRPr="007641BA" w:rsidRDefault="00670DBF" w:rsidP="00611673">
            <w:pPr>
              <w:pStyle w:val="BodyTextIndent"/>
              <w:ind w:left="0"/>
              <w:jc w:val="right"/>
              <w:rPr>
                <w:color w:val="FFFFFF" w:themeColor="background1"/>
                <w:szCs w:val="24"/>
                <w:lang w:val="en-GB"/>
              </w:rPr>
            </w:pPr>
            <w:r w:rsidRPr="007641BA">
              <w:rPr>
                <w:color w:val="FFFFFF" w:themeColor="background1"/>
                <w:szCs w:val="24"/>
                <w:lang w:val="en-GB"/>
              </w:rPr>
              <w:t>202</w:t>
            </w:r>
            <w:r w:rsidR="003C4F48" w:rsidRPr="007641BA">
              <w:rPr>
                <w:color w:val="FFFFFF" w:themeColor="background1"/>
                <w:szCs w:val="24"/>
                <w:lang w:val="en-GB"/>
              </w:rPr>
              <w:t>2</w:t>
            </w:r>
            <w:r w:rsidRPr="007641BA">
              <w:rPr>
                <w:color w:val="FFFFFF" w:themeColor="background1"/>
                <w:szCs w:val="24"/>
                <w:lang w:val="en-GB"/>
              </w:rPr>
              <w:t>/2</w:t>
            </w:r>
            <w:r w:rsidR="003C4F48" w:rsidRPr="007641BA">
              <w:rPr>
                <w:color w:val="FFFFFF" w:themeColor="background1"/>
                <w:szCs w:val="24"/>
                <w:lang w:val="en-GB"/>
              </w:rPr>
              <w:t>3</w:t>
            </w:r>
          </w:p>
          <w:p w14:paraId="3B6A10D7" w14:textId="26938C90" w:rsidR="008A2C7E" w:rsidRPr="007641BA" w:rsidRDefault="008A2C7E" w:rsidP="00611673">
            <w:pPr>
              <w:pStyle w:val="BodyTextIndent"/>
              <w:ind w:left="0"/>
              <w:jc w:val="right"/>
              <w:rPr>
                <w:color w:val="FFFFFF" w:themeColor="background1"/>
                <w:szCs w:val="24"/>
                <w:lang w:val="en-GB"/>
              </w:rPr>
            </w:pPr>
            <w:r w:rsidRPr="007641BA">
              <w:rPr>
                <w:color w:val="FFFFFF" w:themeColor="background1"/>
                <w:szCs w:val="24"/>
                <w:lang w:val="en-GB"/>
              </w:rPr>
              <w:t>£000</w:t>
            </w:r>
          </w:p>
        </w:tc>
        <w:tc>
          <w:tcPr>
            <w:tcW w:w="1606" w:type="dxa"/>
            <w:shd w:val="clear" w:color="auto" w:fill="BD2716"/>
            <w:vAlign w:val="center"/>
          </w:tcPr>
          <w:p w14:paraId="3BFE6FCB" w14:textId="77777777" w:rsidR="00BA53E7" w:rsidRPr="007641BA" w:rsidRDefault="00BA53E7" w:rsidP="00611673">
            <w:pPr>
              <w:pStyle w:val="BodyTextIndent"/>
              <w:ind w:left="0"/>
              <w:jc w:val="right"/>
              <w:rPr>
                <w:color w:val="FFFFFF" w:themeColor="background1"/>
                <w:szCs w:val="24"/>
                <w:lang w:val="en-GB"/>
              </w:rPr>
            </w:pPr>
            <w:r w:rsidRPr="007641BA">
              <w:rPr>
                <w:color w:val="FFFFFF" w:themeColor="background1"/>
                <w:szCs w:val="24"/>
                <w:lang w:val="en-GB"/>
              </w:rPr>
              <w:t>202</w:t>
            </w:r>
            <w:r w:rsidR="003C4F48" w:rsidRPr="007641BA">
              <w:rPr>
                <w:color w:val="FFFFFF" w:themeColor="background1"/>
                <w:szCs w:val="24"/>
                <w:lang w:val="en-GB"/>
              </w:rPr>
              <w:t>1</w:t>
            </w:r>
            <w:r w:rsidRPr="007641BA">
              <w:rPr>
                <w:color w:val="FFFFFF" w:themeColor="background1"/>
                <w:szCs w:val="24"/>
                <w:lang w:val="en-GB"/>
              </w:rPr>
              <w:t>/2</w:t>
            </w:r>
            <w:r w:rsidR="003C4F48" w:rsidRPr="007641BA">
              <w:rPr>
                <w:color w:val="FFFFFF" w:themeColor="background1"/>
                <w:szCs w:val="24"/>
                <w:lang w:val="en-GB"/>
              </w:rPr>
              <w:t>2</w:t>
            </w:r>
          </w:p>
          <w:p w14:paraId="302ECE78" w14:textId="4DBE971E" w:rsidR="008A2C7E" w:rsidRPr="007641BA" w:rsidRDefault="008A2C7E" w:rsidP="00611673">
            <w:pPr>
              <w:pStyle w:val="BodyTextIndent"/>
              <w:ind w:left="0"/>
              <w:jc w:val="right"/>
              <w:rPr>
                <w:color w:val="FFFFFF" w:themeColor="background1"/>
                <w:szCs w:val="24"/>
                <w:lang w:val="en-GB"/>
              </w:rPr>
            </w:pPr>
            <w:r w:rsidRPr="007641BA">
              <w:rPr>
                <w:color w:val="FFFFFF" w:themeColor="background1"/>
                <w:szCs w:val="24"/>
                <w:lang w:val="en-GB"/>
              </w:rPr>
              <w:t>£000</w:t>
            </w:r>
          </w:p>
        </w:tc>
      </w:tr>
      <w:tr w:rsidR="003C4F48" w:rsidRPr="00617696" w14:paraId="5849A45D" w14:textId="77777777" w:rsidTr="00300384">
        <w:trPr>
          <w:trHeight w:hRule="exact" w:val="300"/>
        </w:trPr>
        <w:tc>
          <w:tcPr>
            <w:tcW w:w="4208" w:type="dxa"/>
          </w:tcPr>
          <w:p w14:paraId="416DA00D" w14:textId="59910223" w:rsidR="003C4F48" w:rsidRPr="00617696" w:rsidRDefault="003C4F48" w:rsidP="003C4F48">
            <w:pPr>
              <w:pStyle w:val="Footer"/>
              <w:tabs>
                <w:tab w:val="clear" w:pos="4153"/>
                <w:tab w:val="clear" w:pos="8306"/>
                <w:tab w:val="left" w:pos="270"/>
              </w:tabs>
              <w:rPr>
                <w:szCs w:val="24"/>
              </w:rPr>
            </w:pPr>
            <w:r w:rsidRPr="00617696">
              <w:rPr>
                <w:szCs w:val="24"/>
              </w:rPr>
              <w:t>Goods and services creditors</w:t>
            </w:r>
          </w:p>
        </w:tc>
        <w:tc>
          <w:tcPr>
            <w:tcW w:w="1654" w:type="dxa"/>
            <w:vAlign w:val="center"/>
          </w:tcPr>
          <w:p w14:paraId="25A1F9FA" w14:textId="39F61F03" w:rsidR="003C4F48" w:rsidRPr="00617696" w:rsidRDefault="005E7562" w:rsidP="00BC6C4F">
            <w:pPr>
              <w:pStyle w:val="Footer"/>
              <w:tabs>
                <w:tab w:val="clear" w:pos="4153"/>
                <w:tab w:val="clear" w:pos="8306"/>
                <w:tab w:val="decimal" w:pos="979"/>
              </w:tabs>
              <w:jc w:val="right"/>
              <w:rPr>
                <w:szCs w:val="24"/>
              </w:rPr>
            </w:pPr>
            <w:r w:rsidRPr="00617696">
              <w:rPr>
                <w:szCs w:val="24"/>
              </w:rPr>
              <w:t>2,</w:t>
            </w:r>
            <w:r w:rsidR="0093761E" w:rsidRPr="00617696">
              <w:rPr>
                <w:szCs w:val="24"/>
              </w:rPr>
              <w:t>676</w:t>
            </w:r>
          </w:p>
        </w:tc>
        <w:tc>
          <w:tcPr>
            <w:tcW w:w="1606" w:type="dxa"/>
            <w:vAlign w:val="center"/>
          </w:tcPr>
          <w:p w14:paraId="62A393FE" w14:textId="0CD9CF60" w:rsidR="003C4F48" w:rsidRPr="00617696" w:rsidRDefault="003C4F48" w:rsidP="00BC6C4F">
            <w:pPr>
              <w:pStyle w:val="Footer"/>
              <w:tabs>
                <w:tab w:val="clear" w:pos="4153"/>
                <w:tab w:val="clear" w:pos="8306"/>
                <w:tab w:val="decimal" w:pos="979"/>
              </w:tabs>
              <w:jc w:val="right"/>
              <w:rPr>
                <w:szCs w:val="24"/>
              </w:rPr>
            </w:pPr>
            <w:r w:rsidRPr="00617696">
              <w:rPr>
                <w:szCs w:val="24"/>
              </w:rPr>
              <w:t>2,734</w:t>
            </w:r>
          </w:p>
        </w:tc>
      </w:tr>
      <w:tr w:rsidR="003C4F48" w:rsidRPr="00617696" w14:paraId="3C31CE53" w14:textId="77777777" w:rsidTr="00300384">
        <w:trPr>
          <w:trHeight w:hRule="exact" w:val="300"/>
        </w:trPr>
        <w:tc>
          <w:tcPr>
            <w:tcW w:w="4208" w:type="dxa"/>
          </w:tcPr>
          <w:p w14:paraId="1C336EB6" w14:textId="77777777" w:rsidR="003C4F48" w:rsidRPr="00617696" w:rsidRDefault="003C4F48" w:rsidP="003C4F48">
            <w:pPr>
              <w:tabs>
                <w:tab w:val="left" w:pos="270"/>
              </w:tabs>
              <w:rPr>
                <w:szCs w:val="24"/>
              </w:rPr>
            </w:pPr>
            <w:r w:rsidRPr="00617696">
              <w:rPr>
                <w:szCs w:val="24"/>
              </w:rPr>
              <w:t>PAYE/NI</w:t>
            </w:r>
          </w:p>
          <w:p w14:paraId="7C2AF74F" w14:textId="77777777" w:rsidR="003C4F48" w:rsidRPr="00617696" w:rsidRDefault="003C4F48" w:rsidP="003C4F48">
            <w:pPr>
              <w:tabs>
                <w:tab w:val="left" w:pos="270"/>
              </w:tabs>
              <w:rPr>
                <w:szCs w:val="24"/>
              </w:rPr>
            </w:pPr>
          </w:p>
        </w:tc>
        <w:tc>
          <w:tcPr>
            <w:tcW w:w="1654" w:type="dxa"/>
          </w:tcPr>
          <w:p w14:paraId="175E7E93" w14:textId="2932D362" w:rsidR="003C4F48" w:rsidRPr="00617696" w:rsidRDefault="005E7562" w:rsidP="00BC6C4F">
            <w:pPr>
              <w:pStyle w:val="Footer"/>
              <w:tabs>
                <w:tab w:val="clear" w:pos="4153"/>
                <w:tab w:val="clear" w:pos="8306"/>
                <w:tab w:val="decimal" w:pos="979"/>
              </w:tabs>
              <w:jc w:val="right"/>
              <w:rPr>
                <w:szCs w:val="24"/>
              </w:rPr>
            </w:pPr>
            <w:r w:rsidRPr="00617696">
              <w:rPr>
                <w:szCs w:val="24"/>
              </w:rPr>
              <w:t>1,499</w:t>
            </w:r>
          </w:p>
        </w:tc>
        <w:tc>
          <w:tcPr>
            <w:tcW w:w="1606" w:type="dxa"/>
          </w:tcPr>
          <w:p w14:paraId="703000F6" w14:textId="50F47D62" w:rsidR="003C4F48" w:rsidRPr="00617696" w:rsidRDefault="003C4F48" w:rsidP="00BC6C4F">
            <w:pPr>
              <w:pStyle w:val="Footer"/>
              <w:tabs>
                <w:tab w:val="clear" w:pos="4153"/>
                <w:tab w:val="clear" w:pos="8306"/>
                <w:tab w:val="decimal" w:pos="979"/>
              </w:tabs>
              <w:jc w:val="right"/>
              <w:rPr>
                <w:szCs w:val="24"/>
              </w:rPr>
            </w:pPr>
            <w:r w:rsidRPr="00617696">
              <w:rPr>
                <w:szCs w:val="24"/>
              </w:rPr>
              <w:t>964</w:t>
            </w:r>
          </w:p>
        </w:tc>
      </w:tr>
      <w:tr w:rsidR="0093761E" w:rsidRPr="00617696" w14:paraId="67C939B9" w14:textId="77777777" w:rsidTr="00300384">
        <w:trPr>
          <w:trHeight w:hRule="exact" w:val="300"/>
        </w:trPr>
        <w:tc>
          <w:tcPr>
            <w:tcW w:w="4208" w:type="dxa"/>
          </w:tcPr>
          <w:p w14:paraId="5610652A" w14:textId="5C5FDCBD" w:rsidR="0093761E" w:rsidRPr="00617696" w:rsidRDefault="0093761E" w:rsidP="003C4F48">
            <w:pPr>
              <w:tabs>
                <w:tab w:val="left" w:pos="270"/>
              </w:tabs>
              <w:rPr>
                <w:szCs w:val="24"/>
              </w:rPr>
            </w:pPr>
            <w:r w:rsidRPr="00617696">
              <w:rPr>
                <w:szCs w:val="24"/>
              </w:rPr>
              <w:lastRenderedPageBreak/>
              <w:t>VAT</w:t>
            </w:r>
          </w:p>
        </w:tc>
        <w:tc>
          <w:tcPr>
            <w:tcW w:w="1654" w:type="dxa"/>
          </w:tcPr>
          <w:p w14:paraId="4E05DF8A" w14:textId="7F7465C0" w:rsidR="0093761E" w:rsidRPr="00617696" w:rsidRDefault="0093761E" w:rsidP="00BC6C4F">
            <w:pPr>
              <w:pStyle w:val="Footer"/>
              <w:tabs>
                <w:tab w:val="clear" w:pos="4153"/>
                <w:tab w:val="clear" w:pos="8306"/>
                <w:tab w:val="decimal" w:pos="979"/>
              </w:tabs>
              <w:jc w:val="right"/>
              <w:rPr>
                <w:szCs w:val="24"/>
              </w:rPr>
            </w:pPr>
            <w:r w:rsidRPr="00617696">
              <w:rPr>
                <w:szCs w:val="24"/>
              </w:rPr>
              <w:t>27</w:t>
            </w:r>
          </w:p>
        </w:tc>
        <w:tc>
          <w:tcPr>
            <w:tcW w:w="1606" w:type="dxa"/>
          </w:tcPr>
          <w:p w14:paraId="525D7E75" w14:textId="09375CB4" w:rsidR="0093761E" w:rsidRPr="00617696" w:rsidRDefault="0093761E" w:rsidP="00BC6C4F">
            <w:pPr>
              <w:pStyle w:val="Footer"/>
              <w:tabs>
                <w:tab w:val="clear" w:pos="4153"/>
                <w:tab w:val="clear" w:pos="8306"/>
                <w:tab w:val="decimal" w:pos="979"/>
              </w:tabs>
              <w:jc w:val="right"/>
              <w:rPr>
                <w:szCs w:val="24"/>
              </w:rPr>
            </w:pPr>
            <w:r w:rsidRPr="00617696">
              <w:rPr>
                <w:szCs w:val="24"/>
              </w:rPr>
              <w:t>-</w:t>
            </w:r>
          </w:p>
        </w:tc>
      </w:tr>
      <w:tr w:rsidR="003C4F48" w:rsidRPr="00617696" w14:paraId="691A92EF" w14:textId="77777777" w:rsidTr="00300384">
        <w:trPr>
          <w:trHeight w:hRule="exact" w:val="347"/>
        </w:trPr>
        <w:tc>
          <w:tcPr>
            <w:tcW w:w="4208" w:type="dxa"/>
          </w:tcPr>
          <w:p w14:paraId="5DC522B0" w14:textId="77777777" w:rsidR="003C4F48" w:rsidRPr="00617696" w:rsidRDefault="003C4F48" w:rsidP="003C4F48">
            <w:pPr>
              <w:tabs>
                <w:tab w:val="left" w:pos="270"/>
              </w:tabs>
              <w:rPr>
                <w:szCs w:val="24"/>
              </w:rPr>
            </w:pPr>
            <w:r w:rsidRPr="00617696">
              <w:rPr>
                <w:szCs w:val="24"/>
              </w:rPr>
              <w:t>Local taxation creditors</w:t>
            </w:r>
          </w:p>
        </w:tc>
        <w:tc>
          <w:tcPr>
            <w:tcW w:w="1654" w:type="dxa"/>
          </w:tcPr>
          <w:p w14:paraId="6ED0A049" w14:textId="2A2FD0A3" w:rsidR="003C4F48" w:rsidRPr="00617696" w:rsidRDefault="003C4F48" w:rsidP="00BC6C4F">
            <w:pPr>
              <w:pStyle w:val="Footer"/>
              <w:tabs>
                <w:tab w:val="clear" w:pos="4153"/>
                <w:tab w:val="clear" w:pos="8306"/>
                <w:tab w:val="decimal" w:pos="979"/>
              </w:tabs>
              <w:jc w:val="right"/>
              <w:rPr>
                <w:szCs w:val="24"/>
              </w:rPr>
            </w:pPr>
            <w:r w:rsidRPr="00617696">
              <w:rPr>
                <w:szCs w:val="24"/>
              </w:rPr>
              <w:t>3,</w:t>
            </w:r>
            <w:r w:rsidR="0093761E" w:rsidRPr="00617696">
              <w:rPr>
                <w:szCs w:val="24"/>
              </w:rPr>
              <w:t>457</w:t>
            </w:r>
          </w:p>
        </w:tc>
        <w:tc>
          <w:tcPr>
            <w:tcW w:w="1606" w:type="dxa"/>
          </w:tcPr>
          <w:p w14:paraId="65EF5C1E" w14:textId="5C213CD4" w:rsidR="003C4F48" w:rsidRPr="00617696" w:rsidRDefault="003C4F48" w:rsidP="00BC6C4F">
            <w:pPr>
              <w:pStyle w:val="Footer"/>
              <w:tabs>
                <w:tab w:val="clear" w:pos="4153"/>
                <w:tab w:val="clear" w:pos="8306"/>
                <w:tab w:val="decimal" w:pos="979"/>
              </w:tabs>
              <w:jc w:val="right"/>
              <w:rPr>
                <w:szCs w:val="24"/>
              </w:rPr>
            </w:pPr>
            <w:r w:rsidRPr="00617696">
              <w:rPr>
                <w:szCs w:val="24"/>
              </w:rPr>
              <w:t>3,873</w:t>
            </w:r>
          </w:p>
        </w:tc>
      </w:tr>
      <w:tr w:rsidR="003C4F48" w:rsidRPr="00617696" w14:paraId="21D057D8" w14:textId="77777777" w:rsidTr="00300384">
        <w:trPr>
          <w:trHeight w:hRule="exact" w:val="347"/>
        </w:trPr>
        <w:tc>
          <w:tcPr>
            <w:tcW w:w="4208" w:type="dxa"/>
          </w:tcPr>
          <w:p w14:paraId="3B83C838" w14:textId="2B0BEE21" w:rsidR="003C4F48" w:rsidRPr="00617696" w:rsidRDefault="003C4F48" w:rsidP="003C4F48">
            <w:pPr>
              <w:rPr>
                <w:szCs w:val="24"/>
              </w:rPr>
            </w:pPr>
            <w:r w:rsidRPr="00617696">
              <w:rPr>
                <w:szCs w:val="24"/>
              </w:rPr>
              <w:t>Other creditors</w:t>
            </w:r>
          </w:p>
        </w:tc>
        <w:tc>
          <w:tcPr>
            <w:tcW w:w="1654" w:type="dxa"/>
          </w:tcPr>
          <w:p w14:paraId="49A4EDAD" w14:textId="4E286F5C" w:rsidR="003C4F48" w:rsidRPr="00617696" w:rsidRDefault="005E7562" w:rsidP="00BC6C4F">
            <w:pPr>
              <w:pStyle w:val="Footer"/>
              <w:tabs>
                <w:tab w:val="clear" w:pos="4153"/>
                <w:tab w:val="clear" w:pos="8306"/>
                <w:tab w:val="decimal" w:pos="979"/>
              </w:tabs>
              <w:jc w:val="right"/>
              <w:rPr>
                <w:szCs w:val="24"/>
              </w:rPr>
            </w:pPr>
            <w:r w:rsidRPr="00617696">
              <w:rPr>
                <w:szCs w:val="24"/>
              </w:rPr>
              <w:t>2,</w:t>
            </w:r>
            <w:r w:rsidR="0093761E" w:rsidRPr="00617696">
              <w:rPr>
                <w:szCs w:val="24"/>
              </w:rPr>
              <w:t>5</w:t>
            </w:r>
            <w:r w:rsidR="001360C4">
              <w:rPr>
                <w:szCs w:val="24"/>
              </w:rPr>
              <w:t>99</w:t>
            </w:r>
          </w:p>
        </w:tc>
        <w:tc>
          <w:tcPr>
            <w:tcW w:w="1606" w:type="dxa"/>
          </w:tcPr>
          <w:p w14:paraId="67899685" w14:textId="3D63636C" w:rsidR="003C4F48" w:rsidRPr="00617696" w:rsidRDefault="003C4F48" w:rsidP="00BC6C4F">
            <w:pPr>
              <w:pStyle w:val="Footer"/>
              <w:tabs>
                <w:tab w:val="clear" w:pos="4153"/>
                <w:tab w:val="clear" w:pos="8306"/>
                <w:tab w:val="decimal" w:pos="979"/>
              </w:tabs>
              <w:jc w:val="right"/>
              <w:rPr>
                <w:szCs w:val="24"/>
              </w:rPr>
            </w:pPr>
            <w:r w:rsidRPr="00617696">
              <w:rPr>
                <w:szCs w:val="24"/>
              </w:rPr>
              <w:t>1,726</w:t>
            </w:r>
          </w:p>
        </w:tc>
      </w:tr>
      <w:tr w:rsidR="003C4F48" w:rsidRPr="00617696" w14:paraId="16899866" w14:textId="77777777" w:rsidTr="00300384">
        <w:trPr>
          <w:trHeight w:hRule="exact" w:val="300"/>
        </w:trPr>
        <w:tc>
          <w:tcPr>
            <w:tcW w:w="4208" w:type="dxa"/>
          </w:tcPr>
          <w:p w14:paraId="3824DC50" w14:textId="69585E34" w:rsidR="003C4F48" w:rsidRPr="00617696" w:rsidRDefault="00300384" w:rsidP="003C4F48">
            <w:pPr>
              <w:rPr>
                <w:szCs w:val="24"/>
              </w:rPr>
            </w:pPr>
            <w:r>
              <w:rPr>
                <w:szCs w:val="24"/>
              </w:rPr>
              <w:t>Total</w:t>
            </w:r>
          </w:p>
        </w:tc>
        <w:tc>
          <w:tcPr>
            <w:tcW w:w="1654" w:type="dxa"/>
          </w:tcPr>
          <w:p w14:paraId="7924C7B2" w14:textId="2EF3ECB7" w:rsidR="003C4F48" w:rsidRPr="00617696" w:rsidRDefault="0093761E" w:rsidP="00BC6C4F">
            <w:pPr>
              <w:tabs>
                <w:tab w:val="decimal" w:pos="979"/>
              </w:tabs>
              <w:jc w:val="right"/>
              <w:rPr>
                <w:szCs w:val="24"/>
              </w:rPr>
            </w:pPr>
            <w:r w:rsidRPr="00617696">
              <w:rPr>
                <w:szCs w:val="24"/>
              </w:rPr>
              <w:t>10,</w:t>
            </w:r>
            <w:r w:rsidR="001360C4">
              <w:rPr>
                <w:szCs w:val="24"/>
              </w:rPr>
              <w:t>258</w:t>
            </w:r>
          </w:p>
        </w:tc>
        <w:tc>
          <w:tcPr>
            <w:tcW w:w="1606" w:type="dxa"/>
          </w:tcPr>
          <w:p w14:paraId="27C38CAB" w14:textId="311AE3B8" w:rsidR="003C4F48" w:rsidRPr="00617696" w:rsidRDefault="003C4F48" w:rsidP="00BC6C4F">
            <w:pPr>
              <w:tabs>
                <w:tab w:val="decimal" w:pos="979"/>
              </w:tabs>
              <w:jc w:val="right"/>
              <w:rPr>
                <w:szCs w:val="24"/>
              </w:rPr>
            </w:pPr>
            <w:r w:rsidRPr="00617696">
              <w:rPr>
                <w:szCs w:val="24"/>
              </w:rPr>
              <w:t>9,296</w:t>
            </w:r>
          </w:p>
        </w:tc>
      </w:tr>
    </w:tbl>
    <w:p w14:paraId="717C32A7" w14:textId="1C5381BD" w:rsidR="00300384" w:rsidRDefault="00300384" w:rsidP="00D90216">
      <w:pPr>
        <w:jc w:val="both"/>
        <w:rPr>
          <w:b/>
          <w:sz w:val="22"/>
        </w:rPr>
      </w:pPr>
    </w:p>
    <w:p w14:paraId="1A5A7BFE" w14:textId="74BDA755" w:rsidR="00BE3374" w:rsidRDefault="00BE3374" w:rsidP="00300384">
      <w:pPr>
        <w:rPr>
          <w:b/>
          <w:sz w:val="22"/>
        </w:rPr>
      </w:pPr>
    </w:p>
    <w:p w14:paraId="43B16347" w14:textId="26965D0B" w:rsidR="00D90216" w:rsidRPr="00617696" w:rsidRDefault="001C592E" w:rsidP="00617696">
      <w:pPr>
        <w:pStyle w:val="Heading2"/>
        <w:jc w:val="left"/>
        <w:rPr>
          <w:sz w:val="24"/>
          <w:szCs w:val="24"/>
        </w:rPr>
      </w:pPr>
      <w:bookmarkStart w:id="45" w:name="_Toc166761545"/>
      <w:r w:rsidRPr="00617696">
        <w:rPr>
          <w:sz w:val="24"/>
          <w:szCs w:val="24"/>
        </w:rPr>
        <w:t>1</w:t>
      </w:r>
      <w:r w:rsidR="007C6DCB" w:rsidRPr="00617696">
        <w:rPr>
          <w:sz w:val="24"/>
          <w:szCs w:val="24"/>
        </w:rPr>
        <w:t>2</w:t>
      </w:r>
      <w:r w:rsidR="00D90216" w:rsidRPr="00617696">
        <w:rPr>
          <w:sz w:val="24"/>
          <w:szCs w:val="24"/>
        </w:rPr>
        <w:tab/>
      </w:r>
      <w:bookmarkStart w:id="46" w:name="N12"/>
      <w:bookmarkEnd w:id="46"/>
      <w:r w:rsidR="00D90216" w:rsidRPr="00617696">
        <w:rPr>
          <w:sz w:val="24"/>
          <w:szCs w:val="24"/>
        </w:rPr>
        <w:t>Provisions</w:t>
      </w:r>
      <w:bookmarkEnd w:id="45"/>
    </w:p>
    <w:p w14:paraId="073A796E" w14:textId="77777777" w:rsidR="00D90216" w:rsidRPr="00617696" w:rsidRDefault="00D90216" w:rsidP="00617696">
      <w:pPr>
        <w:ind w:left="720"/>
        <w:rPr>
          <w:szCs w:val="24"/>
        </w:rPr>
      </w:pPr>
    </w:p>
    <w:p w14:paraId="6951343F" w14:textId="77777777" w:rsidR="00D90216" w:rsidRPr="00617696" w:rsidRDefault="00D90216" w:rsidP="00617696">
      <w:pPr>
        <w:pStyle w:val="BodyTextIndent2"/>
        <w:ind w:firstLine="0"/>
        <w:rPr>
          <w:szCs w:val="24"/>
        </w:rPr>
      </w:pPr>
      <w:r w:rsidRPr="00617696">
        <w:rPr>
          <w:szCs w:val="24"/>
        </w:rPr>
        <w:t>The Authority has the power to establish provisions for any liabilities of uncertain timing or amount that have been incurred.</w:t>
      </w:r>
    </w:p>
    <w:p w14:paraId="6B4E3312" w14:textId="77777777" w:rsidR="00D90216" w:rsidRPr="00617696" w:rsidRDefault="00D90216" w:rsidP="00617696">
      <w:pPr>
        <w:ind w:left="720"/>
        <w:rPr>
          <w:b/>
          <w:szCs w:val="24"/>
        </w:rPr>
      </w:pPr>
    </w:p>
    <w:p w14:paraId="320A1FBE" w14:textId="0409FC9C" w:rsidR="00D90216" w:rsidRPr="00617696" w:rsidRDefault="00D90216" w:rsidP="00617696">
      <w:pPr>
        <w:pStyle w:val="BodyTextIndent2"/>
        <w:ind w:firstLine="0"/>
        <w:rPr>
          <w:szCs w:val="24"/>
        </w:rPr>
      </w:pPr>
      <w:r w:rsidRPr="00617696">
        <w:rPr>
          <w:szCs w:val="24"/>
        </w:rPr>
        <w:t>The Authority has established an Insurance Liabilities Provision to meet liabilities, the precise cost of which is uncertain, but which are not reimbursable from insurers as they fall below individual excess clauses and the annual self-insured limits.</w:t>
      </w:r>
    </w:p>
    <w:p w14:paraId="54A615F3" w14:textId="77777777" w:rsidR="007B03D1" w:rsidRPr="00617696" w:rsidRDefault="007B03D1" w:rsidP="00617696">
      <w:pPr>
        <w:pStyle w:val="BodyTextIndent2"/>
        <w:ind w:left="0" w:firstLine="0"/>
        <w:rPr>
          <w:szCs w:val="24"/>
          <w:highlight w:val="yellow"/>
        </w:rPr>
      </w:pPr>
    </w:p>
    <w:p w14:paraId="02A4F7DA" w14:textId="77777777" w:rsidR="007368F0" w:rsidRPr="00617696" w:rsidRDefault="007368F0" w:rsidP="00617696">
      <w:pPr>
        <w:pStyle w:val="BodyTextIndent2"/>
        <w:ind w:firstLine="0"/>
        <w:rPr>
          <w:szCs w:val="24"/>
        </w:rPr>
      </w:pPr>
      <w:r w:rsidRPr="00617696">
        <w:rPr>
          <w:szCs w:val="24"/>
        </w:rPr>
        <w:t xml:space="preserve">The Authority </w:t>
      </w:r>
      <w:r w:rsidR="00063302" w:rsidRPr="00617696">
        <w:rPr>
          <w:szCs w:val="24"/>
        </w:rPr>
        <w:t>has also recognised a provision in relation to its share of the Business Rates Collection Fund outstanding appeals, which is calculated and provided by billing authorities based on their assumptions of outstanding appeal success rates</w:t>
      </w:r>
      <w:r w:rsidR="007E0728" w:rsidRPr="00617696">
        <w:rPr>
          <w:szCs w:val="24"/>
        </w:rPr>
        <w:t>.</w:t>
      </w:r>
    </w:p>
    <w:p w14:paraId="0DC5213E" w14:textId="77777777" w:rsidR="00D90216" w:rsidRPr="00617696" w:rsidRDefault="00D90216" w:rsidP="00617696">
      <w:pPr>
        <w:ind w:left="720"/>
        <w:rPr>
          <w:szCs w:val="24"/>
        </w:rPr>
      </w:pPr>
    </w:p>
    <w:p w14:paraId="5E990018" w14:textId="77777777" w:rsidR="00D90216" w:rsidRPr="00617696" w:rsidRDefault="00D90216" w:rsidP="00617696">
      <w:pPr>
        <w:pStyle w:val="BodyTextIndent"/>
        <w:rPr>
          <w:szCs w:val="24"/>
          <w:lang w:val="en-GB"/>
        </w:rPr>
      </w:pPr>
      <w:r w:rsidRPr="00617696">
        <w:rPr>
          <w:szCs w:val="24"/>
          <w:lang w:val="en-GB"/>
        </w:rPr>
        <w:t>The balances set aside, together with the movement on the provisions, is shown below:</w:t>
      </w:r>
    </w:p>
    <w:p w14:paraId="2EA58EE2" w14:textId="77777777" w:rsidR="00D90216" w:rsidRPr="00AF3DCD" w:rsidRDefault="00D90216" w:rsidP="00D90216">
      <w:pPr>
        <w:ind w:left="720"/>
        <w:rPr>
          <w:sz w:val="22"/>
        </w:rPr>
      </w:pPr>
    </w:p>
    <w:tbl>
      <w:tblPr>
        <w:tblW w:w="995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1"/>
        <w:gridCol w:w="1296"/>
        <w:gridCol w:w="1296"/>
        <w:gridCol w:w="1296"/>
        <w:gridCol w:w="1296"/>
        <w:gridCol w:w="1296"/>
        <w:gridCol w:w="1296"/>
      </w:tblGrid>
      <w:tr w:rsidR="00611673" w:rsidRPr="00AF3DCD" w14:paraId="530C815F" w14:textId="77777777" w:rsidTr="00611673">
        <w:trPr>
          <w:trHeight w:hRule="exact" w:val="578"/>
          <w:tblHeader/>
        </w:trPr>
        <w:tc>
          <w:tcPr>
            <w:tcW w:w="2181" w:type="dxa"/>
            <w:shd w:val="clear" w:color="auto" w:fill="BD2716"/>
          </w:tcPr>
          <w:p w14:paraId="2DC872F6" w14:textId="77777777" w:rsidR="00611673" w:rsidRPr="007641BA" w:rsidRDefault="00611673" w:rsidP="00053629">
            <w:pPr>
              <w:spacing w:after="120"/>
              <w:rPr>
                <w:color w:val="FFFFFF" w:themeColor="background1"/>
                <w:szCs w:val="24"/>
              </w:rPr>
            </w:pPr>
          </w:p>
        </w:tc>
        <w:tc>
          <w:tcPr>
            <w:tcW w:w="2592" w:type="dxa"/>
            <w:gridSpan w:val="2"/>
            <w:shd w:val="clear" w:color="auto" w:fill="BD2716"/>
            <w:vAlign w:val="center"/>
          </w:tcPr>
          <w:p w14:paraId="587DEF93" w14:textId="36280363" w:rsidR="00611673" w:rsidRPr="007641BA" w:rsidRDefault="00611673" w:rsidP="00611673">
            <w:pPr>
              <w:pStyle w:val="BodyTextIndent"/>
              <w:ind w:left="0"/>
              <w:jc w:val="center"/>
              <w:rPr>
                <w:color w:val="FFFFFF" w:themeColor="background1"/>
                <w:szCs w:val="24"/>
              </w:rPr>
            </w:pPr>
            <w:r w:rsidRPr="007641BA">
              <w:rPr>
                <w:color w:val="FFFFFF" w:themeColor="background1"/>
                <w:szCs w:val="24"/>
              </w:rPr>
              <w:t>Insurance Liabilities</w:t>
            </w:r>
          </w:p>
        </w:tc>
        <w:tc>
          <w:tcPr>
            <w:tcW w:w="2592" w:type="dxa"/>
            <w:gridSpan w:val="2"/>
            <w:shd w:val="clear" w:color="auto" w:fill="BD2716"/>
            <w:vAlign w:val="center"/>
          </w:tcPr>
          <w:p w14:paraId="621D4F98" w14:textId="0B4A2138" w:rsidR="00611673" w:rsidRPr="007641BA" w:rsidRDefault="00611673" w:rsidP="00611673">
            <w:pPr>
              <w:pStyle w:val="BodyTextIndent"/>
              <w:ind w:left="0"/>
              <w:jc w:val="center"/>
              <w:rPr>
                <w:color w:val="FFFFFF" w:themeColor="background1"/>
                <w:szCs w:val="24"/>
              </w:rPr>
            </w:pPr>
            <w:r w:rsidRPr="007641BA">
              <w:rPr>
                <w:color w:val="FFFFFF" w:themeColor="background1"/>
                <w:szCs w:val="24"/>
              </w:rPr>
              <w:t>Business rates appeals</w:t>
            </w:r>
          </w:p>
        </w:tc>
        <w:tc>
          <w:tcPr>
            <w:tcW w:w="1296" w:type="dxa"/>
            <w:shd w:val="clear" w:color="auto" w:fill="BD2716"/>
            <w:vAlign w:val="center"/>
          </w:tcPr>
          <w:p w14:paraId="19835B1B" w14:textId="023B3309" w:rsidR="00611673" w:rsidRPr="007641BA" w:rsidRDefault="00611673" w:rsidP="00611673">
            <w:pPr>
              <w:pStyle w:val="BodyTextIndent"/>
              <w:ind w:left="0"/>
              <w:jc w:val="center"/>
              <w:rPr>
                <w:color w:val="FFFFFF" w:themeColor="background1"/>
                <w:szCs w:val="24"/>
              </w:rPr>
            </w:pPr>
            <w:r w:rsidRPr="007641BA">
              <w:rPr>
                <w:color w:val="FFFFFF" w:themeColor="background1"/>
                <w:szCs w:val="24"/>
              </w:rPr>
              <w:t>Total</w:t>
            </w:r>
          </w:p>
        </w:tc>
        <w:tc>
          <w:tcPr>
            <w:tcW w:w="1296" w:type="dxa"/>
            <w:shd w:val="clear" w:color="auto" w:fill="BD2716"/>
            <w:vAlign w:val="center"/>
          </w:tcPr>
          <w:p w14:paraId="5F4AC8F6" w14:textId="49A289BD" w:rsidR="00611673" w:rsidRPr="007641BA" w:rsidRDefault="00611673" w:rsidP="00611673">
            <w:pPr>
              <w:pStyle w:val="BodyTextIndent"/>
              <w:ind w:left="0"/>
              <w:jc w:val="center"/>
              <w:rPr>
                <w:color w:val="FFFFFF" w:themeColor="background1"/>
                <w:szCs w:val="24"/>
              </w:rPr>
            </w:pPr>
            <w:r w:rsidRPr="007641BA">
              <w:rPr>
                <w:color w:val="FFFFFF" w:themeColor="background1"/>
                <w:szCs w:val="24"/>
              </w:rPr>
              <w:t>Total</w:t>
            </w:r>
          </w:p>
        </w:tc>
      </w:tr>
      <w:tr w:rsidR="00053629" w:rsidRPr="00AF3DCD" w14:paraId="48C58387" w14:textId="77777777" w:rsidTr="00611673">
        <w:trPr>
          <w:trHeight w:hRule="exact" w:val="570"/>
          <w:tblHeader/>
        </w:trPr>
        <w:tc>
          <w:tcPr>
            <w:tcW w:w="2181" w:type="dxa"/>
            <w:shd w:val="clear" w:color="auto" w:fill="BD2716"/>
          </w:tcPr>
          <w:p w14:paraId="54E63F25" w14:textId="77777777" w:rsidR="00053629" w:rsidRPr="007641BA" w:rsidRDefault="00053629" w:rsidP="00053629">
            <w:pPr>
              <w:spacing w:after="120"/>
              <w:rPr>
                <w:color w:val="FFFFFF" w:themeColor="background1"/>
                <w:szCs w:val="24"/>
              </w:rPr>
            </w:pPr>
          </w:p>
        </w:tc>
        <w:tc>
          <w:tcPr>
            <w:tcW w:w="1296" w:type="dxa"/>
            <w:shd w:val="clear" w:color="auto" w:fill="BD2716"/>
            <w:vAlign w:val="center"/>
          </w:tcPr>
          <w:p w14:paraId="4C6618D9" w14:textId="535DC1AD" w:rsidR="00053629" w:rsidRPr="007641BA" w:rsidRDefault="00053629" w:rsidP="00611673">
            <w:pPr>
              <w:pStyle w:val="BodyTextIndent"/>
              <w:ind w:left="0"/>
              <w:jc w:val="right"/>
              <w:rPr>
                <w:color w:val="FFFFFF" w:themeColor="background1"/>
                <w:szCs w:val="24"/>
              </w:rPr>
            </w:pPr>
            <w:r w:rsidRPr="007641BA">
              <w:rPr>
                <w:color w:val="FFFFFF" w:themeColor="background1"/>
                <w:szCs w:val="24"/>
              </w:rPr>
              <w:t>2022/23</w:t>
            </w:r>
          </w:p>
          <w:p w14:paraId="20114270" w14:textId="5EB89525" w:rsidR="00053629" w:rsidRPr="007641BA" w:rsidRDefault="00053629" w:rsidP="00611673">
            <w:pPr>
              <w:pStyle w:val="BodyTextIndent"/>
              <w:ind w:left="0"/>
              <w:jc w:val="right"/>
              <w:rPr>
                <w:color w:val="FFFFFF" w:themeColor="background1"/>
                <w:szCs w:val="24"/>
                <w:lang w:val="en-GB"/>
              </w:rPr>
            </w:pPr>
            <w:r w:rsidRPr="007641BA">
              <w:rPr>
                <w:color w:val="FFFFFF" w:themeColor="background1"/>
                <w:szCs w:val="24"/>
              </w:rPr>
              <w:t>£000</w:t>
            </w:r>
          </w:p>
        </w:tc>
        <w:tc>
          <w:tcPr>
            <w:tcW w:w="1296" w:type="dxa"/>
            <w:shd w:val="clear" w:color="auto" w:fill="BD2716"/>
            <w:vAlign w:val="center"/>
          </w:tcPr>
          <w:p w14:paraId="32B937C6" w14:textId="180C8C69" w:rsidR="00053629" w:rsidRPr="007641BA" w:rsidRDefault="00053629" w:rsidP="00611673">
            <w:pPr>
              <w:pStyle w:val="BodyTextIndent"/>
              <w:ind w:left="0"/>
              <w:jc w:val="right"/>
              <w:rPr>
                <w:color w:val="FFFFFF" w:themeColor="background1"/>
                <w:szCs w:val="24"/>
              </w:rPr>
            </w:pPr>
            <w:r w:rsidRPr="007641BA">
              <w:rPr>
                <w:color w:val="FFFFFF" w:themeColor="background1"/>
                <w:szCs w:val="24"/>
              </w:rPr>
              <w:t>2021/22</w:t>
            </w:r>
          </w:p>
          <w:p w14:paraId="512E8DEA" w14:textId="069D631A" w:rsidR="00053629" w:rsidRPr="007641BA" w:rsidRDefault="00053629" w:rsidP="00611673">
            <w:pPr>
              <w:pStyle w:val="BodyTextIndent"/>
              <w:ind w:left="0"/>
              <w:jc w:val="right"/>
              <w:rPr>
                <w:color w:val="FFFFFF" w:themeColor="background1"/>
                <w:szCs w:val="24"/>
                <w:lang w:val="en-GB"/>
              </w:rPr>
            </w:pPr>
            <w:r w:rsidRPr="007641BA">
              <w:rPr>
                <w:color w:val="FFFFFF" w:themeColor="background1"/>
                <w:szCs w:val="24"/>
              </w:rPr>
              <w:t>£000</w:t>
            </w:r>
          </w:p>
        </w:tc>
        <w:tc>
          <w:tcPr>
            <w:tcW w:w="1296" w:type="dxa"/>
            <w:shd w:val="clear" w:color="auto" w:fill="BD2716"/>
            <w:vAlign w:val="center"/>
          </w:tcPr>
          <w:p w14:paraId="32EEB0BA" w14:textId="77777777" w:rsidR="00053629" w:rsidRPr="007641BA" w:rsidRDefault="00053629" w:rsidP="00611673">
            <w:pPr>
              <w:pStyle w:val="BodyTextIndent"/>
              <w:ind w:left="0"/>
              <w:jc w:val="right"/>
              <w:rPr>
                <w:color w:val="FFFFFF" w:themeColor="background1"/>
                <w:szCs w:val="24"/>
              </w:rPr>
            </w:pPr>
            <w:r w:rsidRPr="007641BA">
              <w:rPr>
                <w:color w:val="FFFFFF" w:themeColor="background1"/>
                <w:szCs w:val="24"/>
              </w:rPr>
              <w:t>2022/23</w:t>
            </w:r>
          </w:p>
          <w:p w14:paraId="020731F0" w14:textId="09FE8D3D" w:rsidR="00053629" w:rsidRPr="007641BA" w:rsidRDefault="00053629" w:rsidP="00611673">
            <w:pPr>
              <w:pStyle w:val="BodyTextIndent"/>
              <w:ind w:left="0"/>
              <w:jc w:val="right"/>
              <w:rPr>
                <w:color w:val="FFFFFF" w:themeColor="background1"/>
                <w:szCs w:val="24"/>
                <w:lang w:val="en-GB"/>
              </w:rPr>
            </w:pPr>
            <w:r w:rsidRPr="007641BA">
              <w:rPr>
                <w:color w:val="FFFFFF" w:themeColor="background1"/>
                <w:szCs w:val="24"/>
              </w:rPr>
              <w:t>£000</w:t>
            </w:r>
          </w:p>
        </w:tc>
        <w:tc>
          <w:tcPr>
            <w:tcW w:w="1296" w:type="dxa"/>
            <w:shd w:val="clear" w:color="auto" w:fill="BD2716"/>
            <w:vAlign w:val="center"/>
          </w:tcPr>
          <w:p w14:paraId="2CC58E6D" w14:textId="77777777" w:rsidR="00053629" w:rsidRPr="007641BA" w:rsidRDefault="00053629" w:rsidP="00611673">
            <w:pPr>
              <w:pStyle w:val="BodyTextIndent"/>
              <w:ind w:left="0"/>
              <w:jc w:val="right"/>
              <w:rPr>
                <w:color w:val="FFFFFF" w:themeColor="background1"/>
                <w:szCs w:val="24"/>
              </w:rPr>
            </w:pPr>
            <w:r w:rsidRPr="007641BA">
              <w:rPr>
                <w:color w:val="FFFFFF" w:themeColor="background1"/>
                <w:szCs w:val="24"/>
              </w:rPr>
              <w:t>2021/22</w:t>
            </w:r>
          </w:p>
          <w:p w14:paraId="69137530" w14:textId="31F5C669" w:rsidR="00053629" w:rsidRPr="007641BA" w:rsidRDefault="00053629" w:rsidP="00611673">
            <w:pPr>
              <w:pStyle w:val="BodyTextIndent"/>
              <w:ind w:left="0"/>
              <w:jc w:val="right"/>
              <w:rPr>
                <w:color w:val="FFFFFF" w:themeColor="background1"/>
                <w:szCs w:val="24"/>
                <w:lang w:val="en-GB"/>
              </w:rPr>
            </w:pPr>
            <w:r w:rsidRPr="007641BA">
              <w:rPr>
                <w:color w:val="FFFFFF" w:themeColor="background1"/>
                <w:szCs w:val="24"/>
              </w:rPr>
              <w:t>£000</w:t>
            </w:r>
          </w:p>
        </w:tc>
        <w:tc>
          <w:tcPr>
            <w:tcW w:w="1296" w:type="dxa"/>
            <w:shd w:val="clear" w:color="auto" w:fill="BD2716"/>
            <w:vAlign w:val="center"/>
          </w:tcPr>
          <w:p w14:paraId="1AB3A264" w14:textId="77777777" w:rsidR="00053629" w:rsidRPr="007641BA" w:rsidRDefault="00053629" w:rsidP="00611673">
            <w:pPr>
              <w:pStyle w:val="BodyTextIndent"/>
              <w:ind w:left="0"/>
              <w:jc w:val="right"/>
              <w:rPr>
                <w:color w:val="FFFFFF" w:themeColor="background1"/>
                <w:szCs w:val="24"/>
              </w:rPr>
            </w:pPr>
            <w:r w:rsidRPr="007641BA">
              <w:rPr>
                <w:color w:val="FFFFFF" w:themeColor="background1"/>
                <w:szCs w:val="24"/>
              </w:rPr>
              <w:t>2022/23</w:t>
            </w:r>
          </w:p>
          <w:p w14:paraId="2A83AAB4" w14:textId="7869A96C" w:rsidR="00053629" w:rsidRPr="007641BA" w:rsidRDefault="00053629" w:rsidP="00611673">
            <w:pPr>
              <w:pStyle w:val="BodyTextIndent"/>
              <w:ind w:left="0"/>
              <w:jc w:val="right"/>
              <w:rPr>
                <w:color w:val="FFFFFF" w:themeColor="background1"/>
                <w:szCs w:val="24"/>
                <w:lang w:val="en-GB"/>
              </w:rPr>
            </w:pPr>
            <w:r w:rsidRPr="007641BA">
              <w:rPr>
                <w:color w:val="FFFFFF" w:themeColor="background1"/>
                <w:szCs w:val="24"/>
              </w:rPr>
              <w:t>£000</w:t>
            </w:r>
          </w:p>
        </w:tc>
        <w:tc>
          <w:tcPr>
            <w:tcW w:w="1296" w:type="dxa"/>
            <w:shd w:val="clear" w:color="auto" w:fill="BD2716"/>
            <w:vAlign w:val="center"/>
          </w:tcPr>
          <w:p w14:paraId="6A336379" w14:textId="77777777" w:rsidR="00053629" w:rsidRPr="007641BA" w:rsidRDefault="00053629" w:rsidP="00611673">
            <w:pPr>
              <w:pStyle w:val="BodyTextIndent"/>
              <w:ind w:left="0"/>
              <w:jc w:val="right"/>
              <w:rPr>
                <w:color w:val="FFFFFF" w:themeColor="background1"/>
                <w:szCs w:val="24"/>
              </w:rPr>
            </w:pPr>
            <w:r w:rsidRPr="007641BA">
              <w:rPr>
                <w:color w:val="FFFFFF" w:themeColor="background1"/>
                <w:szCs w:val="24"/>
              </w:rPr>
              <w:t>2021/22</w:t>
            </w:r>
          </w:p>
          <w:p w14:paraId="183873F7" w14:textId="507C1231" w:rsidR="00053629" w:rsidRPr="007641BA" w:rsidRDefault="00053629" w:rsidP="00611673">
            <w:pPr>
              <w:pStyle w:val="BodyTextIndent"/>
              <w:ind w:left="0"/>
              <w:jc w:val="right"/>
              <w:rPr>
                <w:color w:val="FFFFFF" w:themeColor="background1"/>
                <w:szCs w:val="24"/>
                <w:lang w:val="en-GB"/>
              </w:rPr>
            </w:pPr>
            <w:r w:rsidRPr="007641BA">
              <w:rPr>
                <w:color w:val="FFFFFF" w:themeColor="background1"/>
                <w:szCs w:val="24"/>
              </w:rPr>
              <w:t>£000</w:t>
            </w:r>
          </w:p>
        </w:tc>
      </w:tr>
      <w:tr w:rsidR="008A2C7E" w:rsidRPr="00AF3DCD" w14:paraId="5CF7DF64" w14:textId="77777777" w:rsidTr="00DD63D7">
        <w:trPr>
          <w:trHeight w:hRule="exact" w:val="420"/>
        </w:trPr>
        <w:tc>
          <w:tcPr>
            <w:tcW w:w="2181" w:type="dxa"/>
          </w:tcPr>
          <w:p w14:paraId="693D7C93" w14:textId="77777777" w:rsidR="008A2C7E" w:rsidRPr="00617696" w:rsidRDefault="008A2C7E" w:rsidP="008A2C7E">
            <w:pPr>
              <w:spacing w:after="120"/>
              <w:rPr>
                <w:szCs w:val="24"/>
              </w:rPr>
            </w:pPr>
            <w:r w:rsidRPr="00617696">
              <w:rPr>
                <w:szCs w:val="24"/>
              </w:rPr>
              <w:t xml:space="preserve">Balance </w:t>
            </w:r>
            <w:proofErr w:type="gramStart"/>
            <w:r w:rsidRPr="00617696">
              <w:rPr>
                <w:szCs w:val="24"/>
              </w:rPr>
              <w:t>at</w:t>
            </w:r>
            <w:proofErr w:type="gramEnd"/>
            <w:r w:rsidRPr="00617696">
              <w:rPr>
                <w:szCs w:val="24"/>
              </w:rPr>
              <w:t xml:space="preserve"> 1 April</w:t>
            </w:r>
          </w:p>
        </w:tc>
        <w:tc>
          <w:tcPr>
            <w:tcW w:w="1296" w:type="dxa"/>
            <w:vAlign w:val="center"/>
          </w:tcPr>
          <w:p w14:paraId="76E10F08" w14:textId="111688E9" w:rsidR="008A2C7E" w:rsidRPr="00617696" w:rsidRDefault="008A2C7E" w:rsidP="00DD63D7">
            <w:pPr>
              <w:tabs>
                <w:tab w:val="decimal" w:pos="900"/>
              </w:tabs>
              <w:spacing w:after="120"/>
              <w:jc w:val="right"/>
              <w:rPr>
                <w:szCs w:val="24"/>
              </w:rPr>
            </w:pPr>
            <w:r w:rsidRPr="00617696">
              <w:rPr>
                <w:szCs w:val="24"/>
              </w:rPr>
              <w:t>593</w:t>
            </w:r>
          </w:p>
        </w:tc>
        <w:tc>
          <w:tcPr>
            <w:tcW w:w="1296" w:type="dxa"/>
            <w:vAlign w:val="center"/>
          </w:tcPr>
          <w:p w14:paraId="330A9ADF" w14:textId="279D2F9B" w:rsidR="008A2C7E" w:rsidRPr="00617696" w:rsidRDefault="008A2C7E" w:rsidP="00DD63D7">
            <w:pPr>
              <w:tabs>
                <w:tab w:val="decimal" w:pos="900"/>
              </w:tabs>
              <w:spacing w:after="120"/>
              <w:jc w:val="right"/>
              <w:rPr>
                <w:szCs w:val="24"/>
              </w:rPr>
            </w:pPr>
            <w:r w:rsidRPr="00617696">
              <w:rPr>
                <w:szCs w:val="24"/>
              </w:rPr>
              <w:t>500</w:t>
            </w:r>
          </w:p>
        </w:tc>
        <w:tc>
          <w:tcPr>
            <w:tcW w:w="1296" w:type="dxa"/>
            <w:vAlign w:val="center"/>
          </w:tcPr>
          <w:p w14:paraId="5FCBC59F" w14:textId="41AAA0C5" w:rsidR="008A2C7E" w:rsidRPr="00617696" w:rsidRDefault="008A2C7E" w:rsidP="00DD63D7">
            <w:pPr>
              <w:tabs>
                <w:tab w:val="decimal" w:pos="784"/>
              </w:tabs>
              <w:spacing w:after="120"/>
              <w:jc w:val="right"/>
              <w:rPr>
                <w:szCs w:val="24"/>
              </w:rPr>
            </w:pPr>
            <w:r w:rsidRPr="00617696">
              <w:rPr>
                <w:szCs w:val="24"/>
              </w:rPr>
              <w:t>854</w:t>
            </w:r>
          </w:p>
        </w:tc>
        <w:tc>
          <w:tcPr>
            <w:tcW w:w="1296" w:type="dxa"/>
            <w:vAlign w:val="center"/>
          </w:tcPr>
          <w:p w14:paraId="27694E6A" w14:textId="6FFF2571" w:rsidR="008A2C7E" w:rsidRPr="00617696" w:rsidRDefault="008A2C7E" w:rsidP="00DD63D7">
            <w:pPr>
              <w:tabs>
                <w:tab w:val="decimal" w:pos="784"/>
              </w:tabs>
              <w:spacing w:after="120"/>
              <w:jc w:val="right"/>
              <w:rPr>
                <w:szCs w:val="24"/>
              </w:rPr>
            </w:pPr>
            <w:r w:rsidRPr="00617696">
              <w:rPr>
                <w:szCs w:val="24"/>
              </w:rPr>
              <w:t>898</w:t>
            </w:r>
          </w:p>
        </w:tc>
        <w:tc>
          <w:tcPr>
            <w:tcW w:w="1296" w:type="dxa"/>
            <w:vAlign w:val="center"/>
          </w:tcPr>
          <w:p w14:paraId="0DF1F055" w14:textId="1D5508EE" w:rsidR="008A2C7E" w:rsidRPr="00617696" w:rsidRDefault="008A2C7E" w:rsidP="00DD63D7">
            <w:pPr>
              <w:tabs>
                <w:tab w:val="decimal" w:pos="784"/>
              </w:tabs>
              <w:spacing w:after="120"/>
              <w:jc w:val="right"/>
              <w:rPr>
                <w:szCs w:val="24"/>
              </w:rPr>
            </w:pPr>
            <w:r w:rsidRPr="00617696">
              <w:rPr>
                <w:szCs w:val="24"/>
              </w:rPr>
              <w:t>1,447</w:t>
            </w:r>
          </w:p>
        </w:tc>
        <w:tc>
          <w:tcPr>
            <w:tcW w:w="1296" w:type="dxa"/>
            <w:vAlign w:val="center"/>
          </w:tcPr>
          <w:p w14:paraId="159DACB9" w14:textId="0066C99A" w:rsidR="008A2C7E" w:rsidRPr="00617696" w:rsidRDefault="008A2C7E" w:rsidP="00DD63D7">
            <w:pPr>
              <w:tabs>
                <w:tab w:val="decimal" w:pos="784"/>
              </w:tabs>
              <w:spacing w:after="120"/>
              <w:jc w:val="right"/>
              <w:rPr>
                <w:szCs w:val="24"/>
              </w:rPr>
            </w:pPr>
            <w:r w:rsidRPr="00617696">
              <w:rPr>
                <w:szCs w:val="24"/>
              </w:rPr>
              <w:t>1,398</w:t>
            </w:r>
          </w:p>
        </w:tc>
      </w:tr>
      <w:tr w:rsidR="008A2C7E" w:rsidRPr="00AF3DCD" w14:paraId="52AF7707" w14:textId="77777777" w:rsidTr="00DD63D7">
        <w:trPr>
          <w:trHeight w:hRule="exact" w:val="412"/>
        </w:trPr>
        <w:tc>
          <w:tcPr>
            <w:tcW w:w="2181" w:type="dxa"/>
          </w:tcPr>
          <w:p w14:paraId="2C41E349" w14:textId="77777777" w:rsidR="008A2C7E" w:rsidRPr="00617696" w:rsidRDefault="008A2C7E" w:rsidP="008A2C7E">
            <w:pPr>
              <w:spacing w:after="120"/>
              <w:rPr>
                <w:szCs w:val="24"/>
              </w:rPr>
            </w:pPr>
            <w:r w:rsidRPr="00617696">
              <w:rPr>
                <w:szCs w:val="24"/>
              </w:rPr>
              <w:t>Amounts utilised</w:t>
            </w:r>
          </w:p>
        </w:tc>
        <w:tc>
          <w:tcPr>
            <w:tcW w:w="1296" w:type="dxa"/>
            <w:vAlign w:val="center"/>
          </w:tcPr>
          <w:p w14:paraId="76B926D5" w14:textId="496037D7" w:rsidR="008A2C7E" w:rsidRPr="00617696" w:rsidRDefault="008A2C7E" w:rsidP="00DD63D7">
            <w:pPr>
              <w:tabs>
                <w:tab w:val="decimal" w:pos="900"/>
              </w:tabs>
              <w:spacing w:after="120"/>
              <w:jc w:val="right"/>
              <w:rPr>
                <w:szCs w:val="24"/>
              </w:rPr>
            </w:pPr>
            <w:r w:rsidRPr="00617696">
              <w:rPr>
                <w:szCs w:val="24"/>
              </w:rPr>
              <w:t>(89)</w:t>
            </w:r>
          </w:p>
        </w:tc>
        <w:tc>
          <w:tcPr>
            <w:tcW w:w="1296" w:type="dxa"/>
            <w:vAlign w:val="center"/>
          </w:tcPr>
          <w:p w14:paraId="3813A5E0" w14:textId="096DCC8A" w:rsidR="008A2C7E" w:rsidRPr="00617696" w:rsidRDefault="008A2C7E" w:rsidP="00DD63D7">
            <w:pPr>
              <w:tabs>
                <w:tab w:val="decimal" w:pos="900"/>
              </w:tabs>
              <w:spacing w:after="120"/>
              <w:jc w:val="right"/>
              <w:rPr>
                <w:szCs w:val="24"/>
              </w:rPr>
            </w:pPr>
            <w:r w:rsidRPr="00617696">
              <w:rPr>
                <w:szCs w:val="24"/>
              </w:rPr>
              <w:t>(97)</w:t>
            </w:r>
          </w:p>
        </w:tc>
        <w:tc>
          <w:tcPr>
            <w:tcW w:w="1296" w:type="dxa"/>
            <w:vAlign w:val="center"/>
          </w:tcPr>
          <w:p w14:paraId="65F4DE2E" w14:textId="48B0588C" w:rsidR="008A2C7E" w:rsidRPr="00617696" w:rsidRDefault="008A2C7E" w:rsidP="00DD63D7">
            <w:pPr>
              <w:tabs>
                <w:tab w:val="decimal" w:pos="784"/>
              </w:tabs>
              <w:spacing w:after="120"/>
              <w:jc w:val="right"/>
              <w:rPr>
                <w:szCs w:val="24"/>
              </w:rPr>
            </w:pPr>
            <w:r w:rsidRPr="00617696">
              <w:rPr>
                <w:szCs w:val="24"/>
              </w:rPr>
              <w:t>-</w:t>
            </w:r>
          </w:p>
        </w:tc>
        <w:tc>
          <w:tcPr>
            <w:tcW w:w="1296" w:type="dxa"/>
            <w:vAlign w:val="center"/>
          </w:tcPr>
          <w:p w14:paraId="7DFC824C" w14:textId="4C5AEEB6" w:rsidR="008A2C7E" w:rsidRPr="00617696" w:rsidRDefault="008A2C7E" w:rsidP="00DD63D7">
            <w:pPr>
              <w:tabs>
                <w:tab w:val="decimal" w:pos="784"/>
              </w:tabs>
              <w:spacing w:after="120"/>
              <w:jc w:val="right"/>
              <w:rPr>
                <w:szCs w:val="24"/>
              </w:rPr>
            </w:pPr>
            <w:r w:rsidRPr="00617696">
              <w:rPr>
                <w:szCs w:val="24"/>
              </w:rPr>
              <w:t>-</w:t>
            </w:r>
          </w:p>
        </w:tc>
        <w:tc>
          <w:tcPr>
            <w:tcW w:w="1296" w:type="dxa"/>
            <w:vAlign w:val="center"/>
          </w:tcPr>
          <w:p w14:paraId="5B1F8A8E" w14:textId="611ADCA7" w:rsidR="008A2C7E" w:rsidRPr="00617696" w:rsidRDefault="008A2C7E" w:rsidP="00DD63D7">
            <w:pPr>
              <w:tabs>
                <w:tab w:val="decimal" w:pos="784"/>
              </w:tabs>
              <w:spacing w:after="120"/>
              <w:jc w:val="right"/>
              <w:rPr>
                <w:szCs w:val="24"/>
              </w:rPr>
            </w:pPr>
            <w:r w:rsidRPr="00617696">
              <w:rPr>
                <w:szCs w:val="24"/>
              </w:rPr>
              <w:t>(89)</w:t>
            </w:r>
          </w:p>
        </w:tc>
        <w:tc>
          <w:tcPr>
            <w:tcW w:w="1296" w:type="dxa"/>
            <w:vAlign w:val="center"/>
          </w:tcPr>
          <w:p w14:paraId="6413479E" w14:textId="7151B64F" w:rsidR="008A2C7E" w:rsidRPr="00617696" w:rsidRDefault="008A2C7E" w:rsidP="00DD63D7">
            <w:pPr>
              <w:tabs>
                <w:tab w:val="decimal" w:pos="784"/>
              </w:tabs>
              <w:spacing w:after="120"/>
              <w:jc w:val="right"/>
              <w:rPr>
                <w:szCs w:val="24"/>
              </w:rPr>
            </w:pPr>
            <w:r w:rsidRPr="00617696">
              <w:rPr>
                <w:szCs w:val="24"/>
              </w:rPr>
              <w:t>(97)</w:t>
            </w:r>
          </w:p>
        </w:tc>
      </w:tr>
      <w:tr w:rsidR="008A2C7E" w:rsidRPr="00AF3DCD" w14:paraId="498BC9CD" w14:textId="77777777" w:rsidTr="00DD63D7">
        <w:trPr>
          <w:trHeight w:hRule="exact" w:val="574"/>
        </w:trPr>
        <w:tc>
          <w:tcPr>
            <w:tcW w:w="2181" w:type="dxa"/>
          </w:tcPr>
          <w:p w14:paraId="30762056" w14:textId="77777777" w:rsidR="008A2C7E" w:rsidRPr="00617696" w:rsidRDefault="008A2C7E" w:rsidP="008A2C7E">
            <w:pPr>
              <w:pStyle w:val="Footer"/>
              <w:tabs>
                <w:tab w:val="clear" w:pos="4153"/>
                <w:tab w:val="clear" w:pos="8306"/>
              </w:tabs>
              <w:rPr>
                <w:szCs w:val="24"/>
              </w:rPr>
            </w:pPr>
            <w:r w:rsidRPr="00617696">
              <w:rPr>
                <w:szCs w:val="24"/>
              </w:rPr>
              <w:t>Unused amounts reversed</w:t>
            </w:r>
          </w:p>
        </w:tc>
        <w:tc>
          <w:tcPr>
            <w:tcW w:w="1296" w:type="dxa"/>
            <w:vAlign w:val="center"/>
          </w:tcPr>
          <w:p w14:paraId="3EC34016" w14:textId="2A2B2D8D" w:rsidR="008A2C7E" w:rsidRPr="00617696" w:rsidRDefault="008A2C7E" w:rsidP="00DD63D7">
            <w:pPr>
              <w:tabs>
                <w:tab w:val="decimal" w:pos="900"/>
              </w:tabs>
              <w:spacing w:after="120"/>
              <w:jc w:val="right"/>
              <w:rPr>
                <w:szCs w:val="24"/>
              </w:rPr>
            </w:pPr>
            <w:r w:rsidRPr="00617696">
              <w:rPr>
                <w:szCs w:val="24"/>
              </w:rPr>
              <w:t>(130)</w:t>
            </w:r>
          </w:p>
        </w:tc>
        <w:tc>
          <w:tcPr>
            <w:tcW w:w="1296" w:type="dxa"/>
            <w:vAlign w:val="center"/>
          </w:tcPr>
          <w:p w14:paraId="637E5259" w14:textId="17A66263" w:rsidR="008A2C7E" w:rsidRPr="00617696" w:rsidRDefault="008A2C7E" w:rsidP="00DD63D7">
            <w:pPr>
              <w:tabs>
                <w:tab w:val="decimal" w:pos="900"/>
              </w:tabs>
              <w:spacing w:after="120"/>
              <w:jc w:val="right"/>
              <w:rPr>
                <w:szCs w:val="24"/>
              </w:rPr>
            </w:pPr>
            <w:r w:rsidRPr="00617696">
              <w:rPr>
                <w:szCs w:val="24"/>
              </w:rPr>
              <w:t>(37)</w:t>
            </w:r>
          </w:p>
        </w:tc>
        <w:tc>
          <w:tcPr>
            <w:tcW w:w="1296" w:type="dxa"/>
            <w:vAlign w:val="center"/>
          </w:tcPr>
          <w:p w14:paraId="18412C0C" w14:textId="3E560116" w:rsidR="008A2C7E" w:rsidRPr="00617696" w:rsidRDefault="008A2C7E" w:rsidP="00DD63D7">
            <w:pPr>
              <w:tabs>
                <w:tab w:val="decimal" w:pos="784"/>
              </w:tabs>
              <w:spacing w:after="120"/>
              <w:jc w:val="right"/>
              <w:rPr>
                <w:szCs w:val="24"/>
              </w:rPr>
            </w:pPr>
            <w:r w:rsidRPr="00617696">
              <w:rPr>
                <w:szCs w:val="24"/>
              </w:rPr>
              <w:t>(229)</w:t>
            </w:r>
          </w:p>
        </w:tc>
        <w:tc>
          <w:tcPr>
            <w:tcW w:w="1296" w:type="dxa"/>
            <w:vAlign w:val="center"/>
          </w:tcPr>
          <w:p w14:paraId="1743770B" w14:textId="1500C39A" w:rsidR="008A2C7E" w:rsidRPr="00617696" w:rsidRDefault="008A2C7E" w:rsidP="00DD63D7">
            <w:pPr>
              <w:tabs>
                <w:tab w:val="decimal" w:pos="784"/>
              </w:tabs>
              <w:spacing w:after="120"/>
              <w:jc w:val="right"/>
              <w:rPr>
                <w:szCs w:val="24"/>
              </w:rPr>
            </w:pPr>
            <w:r w:rsidRPr="00617696">
              <w:rPr>
                <w:szCs w:val="24"/>
              </w:rPr>
              <w:t>(85)</w:t>
            </w:r>
          </w:p>
        </w:tc>
        <w:tc>
          <w:tcPr>
            <w:tcW w:w="1296" w:type="dxa"/>
            <w:vAlign w:val="center"/>
          </w:tcPr>
          <w:p w14:paraId="123A9AB2" w14:textId="4CC03324" w:rsidR="008A2C7E" w:rsidRPr="00617696" w:rsidRDefault="008A2C7E" w:rsidP="00DD63D7">
            <w:pPr>
              <w:tabs>
                <w:tab w:val="decimal" w:pos="784"/>
              </w:tabs>
              <w:spacing w:after="120"/>
              <w:jc w:val="right"/>
              <w:rPr>
                <w:szCs w:val="24"/>
              </w:rPr>
            </w:pPr>
            <w:r w:rsidRPr="00617696">
              <w:rPr>
                <w:szCs w:val="24"/>
              </w:rPr>
              <w:t>(359)</w:t>
            </w:r>
          </w:p>
        </w:tc>
        <w:tc>
          <w:tcPr>
            <w:tcW w:w="1296" w:type="dxa"/>
            <w:vAlign w:val="center"/>
          </w:tcPr>
          <w:p w14:paraId="6D4D4CE4" w14:textId="38D50848" w:rsidR="008A2C7E" w:rsidRPr="00617696" w:rsidRDefault="008A2C7E" w:rsidP="00DD63D7">
            <w:pPr>
              <w:tabs>
                <w:tab w:val="decimal" w:pos="784"/>
              </w:tabs>
              <w:spacing w:after="120"/>
              <w:jc w:val="right"/>
              <w:rPr>
                <w:szCs w:val="24"/>
              </w:rPr>
            </w:pPr>
            <w:r w:rsidRPr="00617696">
              <w:rPr>
                <w:szCs w:val="24"/>
              </w:rPr>
              <w:t>(122)</w:t>
            </w:r>
          </w:p>
        </w:tc>
      </w:tr>
      <w:tr w:rsidR="008A2C7E" w:rsidRPr="00AF3DCD" w14:paraId="38949098" w14:textId="77777777" w:rsidTr="00DD63D7">
        <w:trPr>
          <w:trHeight w:hRule="exact" w:val="530"/>
        </w:trPr>
        <w:tc>
          <w:tcPr>
            <w:tcW w:w="2181" w:type="dxa"/>
          </w:tcPr>
          <w:p w14:paraId="12C9AACC" w14:textId="77777777" w:rsidR="008A2C7E" w:rsidRPr="00617696" w:rsidRDefault="008A2C7E" w:rsidP="008A2C7E">
            <w:pPr>
              <w:pStyle w:val="Footer"/>
              <w:tabs>
                <w:tab w:val="clear" w:pos="4153"/>
                <w:tab w:val="clear" w:pos="8306"/>
              </w:tabs>
              <w:rPr>
                <w:szCs w:val="24"/>
              </w:rPr>
            </w:pPr>
            <w:r w:rsidRPr="00617696">
              <w:rPr>
                <w:szCs w:val="24"/>
              </w:rPr>
              <w:t>Additional provision</w:t>
            </w:r>
          </w:p>
        </w:tc>
        <w:tc>
          <w:tcPr>
            <w:tcW w:w="1296" w:type="dxa"/>
            <w:vAlign w:val="center"/>
          </w:tcPr>
          <w:p w14:paraId="5DAA081C" w14:textId="241EFB9D" w:rsidR="008A2C7E" w:rsidRPr="00617696" w:rsidRDefault="008A2C7E" w:rsidP="00DD63D7">
            <w:pPr>
              <w:pStyle w:val="Footer"/>
              <w:tabs>
                <w:tab w:val="clear" w:pos="4153"/>
                <w:tab w:val="clear" w:pos="8306"/>
                <w:tab w:val="decimal" w:pos="900"/>
              </w:tabs>
              <w:jc w:val="right"/>
              <w:rPr>
                <w:szCs w:val="24"/>
              </w:rPr>
            </w:pPr>
            <w:r w:rsidRPr="00617696">
              <w:rPr>
                <w:szCs w:val="24"/>
              </w:rPr>
              <w:t>205</w:t>
            </w:r>
          </w:p>
        </w:tc>
        <w:tc>
          <w:tcPr>
            <w:tcW w:w="1296" w:type="dxa"/>
            <w:vAlign w:val="center"/>
          </w:tcPr>
          <w:p w14:paraId="5F05F642" w14:textId="11EA06C9" w:rsidR="008A2C7E" w:rsidRPr="00617696" w:rsidRDefault="008A2C7E" w:rsidP="00DD63D7">
            <w:pPr>
              <w:pStyle w:val="Footer"/>
              <w:tabs>
                <w:tab w:val="clear" w:pos="4153"/>
                <w:tab w:val="clear" w:pos="8306"/>
                <w:tab w:val="decimal" w:pos="900"/>
              </w:tabs>
              <w:jc w:val="right"/>
              <w:rPr>
                <w:szCs w:val="24"/>
              </w:rPr>
            </w:pPr>
            <w:r w:rsidRPr="00617696">
              <w:rPr>
                <w:szCs w:val="24"/>
              </w:rPr>
              <w:t>227</w:t>
            </w:r>
          </w:p>
        </w:tc>
        <w:tc>
          <w:tcPr>
            <w:tcW w:w="1296" w:type="dxa"/>
            <w:vAlign w:val="center"/>
          </w:tcPr>
          <w:p w14:paraId="7D57BDBE" w14:textId="323BFD3F" w:rsidR="008A2C7E" w:rsidRPr="00617696" w:rsidRDefault="008A2C7E" w:rsidP="00DD63D7">
            <w:pPr>
              <w:pStyle w:val="Footer"/>
              <w:tabs>
                <w:tab w:val="clear" w:pos="4153"/>
                <w:tab w:val="clear" w:pos="8306"/>
                <w:tab w:val="decimal" w:pos="784"/>
              </w:tabs>
              <w:jc w:val="right"/>
              <w:rPr>
                <w:szCs w:val="24"/>
              </w:rPr>
            </w:pPr>
            <w:r w:rsidRPr="00617696">
              <w:rPr>
                <w:szCs w:val="24"/>
              </w:rPr>
              <w:t>35</w:t>
            </w:r>
          </w:p>
        </w:tc>
        <w:tc>
          <w:tcPr>
            <w:tcW w:w="1296" w:type="dxa"/>
            <w:vAlign w:val="center"/>
          </w:tcPr>
          <w:p w14:paraId="2A170E39" w14:textId="50DD4AEA" w:rsidR="008A2C7E" w:rsidRPr="00617696" w:rsidRDefault="008A2C7E" w:rsidP="00DD63D7">
            <w:pPr>
              <w:pStyle w:val="Footer"/>
              <w:tabs>
                <w:tab w:val="clear" w:pos="4153"/>
                <w:tab w:val="clear" w:pos="8306"/>
                <w:tab w:val="decimal" w:pos="784"/>
              </w:tabs>
              <w:jc w:val="right"/>
              <w:rPr>
                <w:szCs w:val="24"/>
              </w:rPr>
            </w:pPr>
            <w:r w:rsidRPr="00617696">
              <w:rPr>
                <w:szCs w:val="24"/>
              </w:rPr>
              <w:t>41</w:t>
            </w:r>
          </w:p>
        </w:tc>
        <w:tc>
          <w:tcPr>
            <w:tcW w:w="1296" w:type="dxa"/>
            <w:vAlign w:val="center"/>
          </w:tcPr>
          <w:p w14:paraId="51895F45" w14:textId="71A3845F" w:rsidR="008A2C7E" w:rsidRPr="00617696" w:rsidRDefault="008A2C7E" w:rsidP="00DD63D7">
            <w:pPr>
              <w:pStyle w:val="Footer"/>
              <w:tabs>
                <w:tab w:val="clear" w:pos="4153"/>
                <w:tab w:val="clear" w:pos="8306"/>
                <w:tab w:val="decimal" w:pos="784"/>
              </w:tabs>
              <w:jc w:val="right"/>
              <w:rPr>
                <w:szCs w:val="24"/>
              </w:rPr>
            </w:pPr>
            <w:r w:rsidRPr="00617696">
              <w:rPr>
                <w:szCs w:val="24"/>
              </w:rPr>
              <w:t>240</w:t>
            </w:r>
          </w:p>
        </w:tc>
        <w:tc>
          <w:tcPr>
            <w:tcW w:w="1296" w:type="dxa"/>
            <w:vAlign w:val="center"/>
          </w:tcPr>
          <w:p w14:paraId="1E18CD9C" w14:textId="515D7BDF" w:rsidR="008A2C7E" w:rsidRPr="00617696" w:rsidRDefault="008A2C7E" w:rsidP="00DD63D7">
            <w:pPr>
              <w:pStyle w:val="Footer"/>
              <w:tabs>
                <w:tab w:val="clear" w:pos="4153"/>
                <w:tab w:val="clear" w:pos="8306"/>
                <w:tab w:val="decimal" w:pos="784"/>
              </w:tabs>
              <w:jc w:val="right"/>
              <w:rPr>
                <w:szCs w:val="24"/>
              </w:rPr>
            </w:pPr>
            <w:r w:rsidRPr="00617696">
              <w:rPr>
                <w:szCs w:val="24"/>
              </w:rPr>
              <w:t>268</w:t>
            </w:r>
          </w:p>
        </w:tc>
      </w:tr>
      <w:tr w:rsidR="008A2C7E" w:rsidRPr="00AF3DCD" w14:paraId="1AA84FA7" w14:textId="77777777" w:rsidTr="00DD63D7">
        <w:trPr>
          <w:trHeight w:hRule="exact" w:val="650"/>
        </w:trPr>
        <w:tc>
          <w:tcPr>
            <w:tcW w:w="2181" w:type="dxa"/>
          </w:tcPr>
          <w:p w14:paraId="367BF687" w14:textId="5C0918BD" w:rsidR="008A2C7E" w:rsidRPr="00617696" w:rsidRDefault="008A2C7E" w:rsidP="008A2C7E">
            <w:pPr>
              <w:pStyle w:val="Footer"/>
              <w:tabs>
                <w:tab w:val="clear" w:pos="4153"/>
                <w:tab w:val="clear" w:pos="8306"/>
              </w:tabs>
              <w:rPr>
                <w:szCs w:val="24"/>
              </w:rPr>
            </w:pPr>
            <w:r w:rsidRPr="00617696">
              <w:rPr>
                <w:szCs w:val="24"/>
              </w:rPr>
              <w:t xml:space="preserve">Balance </w:t>
            </w:r>
            <w:proofErr w:type="gramStart"/>
            <w:r w:rsidRPr="00617696">
              <w:rPr>
                <w:szCs w:val="24"/>
              </w:rPr>
              <w:t>at</w:t>
            </w:r>
            <w:proofErr w:type="gramEnd"/>
            <w:r w:rsidRPr="00617696">
              <w:rPr>
                <w:szCs w:val="24"/>
              </w:rPr>
              <w:t xml:space="preserve"> 31</w:t>
            </w:r>
            <w:r w:rsidR="001E71F1">
              <w:rPr>
                <w:szCs w:val="24"/>
              </w:rPr>
              <w:t xml:space="preserve"> March</w:t>
            </w:r>
          </w:p>
        </w:tc>
        <w:tc>
          <w:tcPr>
            <w:tcW w:w="1296" w:type="dxa"/>
            <w:vAlign w:val="center"/>
          </w:tcPr>
          <w:p w14:paraId="4CAD74AE" w14:textId="4B677320" w:rsidR="008A2C7E" w:rsidRPr="00617696" w:rsidRDefault="008A2C7E" w:rsidP="00DD63D7">
            <w:pPr>
              <w:pStyle w:val="Footer"/>
              <w:tabs>
                <w:tab w:val="clear" w:pos="4153"/>
                <w:tab w:val="clear" w:pos="8306"/>
                <w:tab w:val="decimal" w:pos="900"/>
              </w:tabs>
              <w:jc w:val="right"/>
              <w:rPr>
                <w:szCs w:val="24"/>
              </w:rPr>
            </w:pPr>
            <w:r w:rsidRPr="00617696">
              <w:rPr>
                <w:szCs w:val="24"/>
              </w:rPr>
              <w:t>579</w:t>
            </w:r>
          </w:p>
        </w:tc>
        <w:tc>
          <w:tcPr>
            <w:tcW w:w="1296" w:type="dxa"/>
            <w:vAlign w:val="center"/>
          </w:tcPr>
          <w:p w14:paraId="356216AC" w14:textId="258B3F5F" w:rsidR="008A2C7E" w:rsidRPr="00617696" w:rsidRDefault="008A2C7E" w:rsidP="00DD63D7">
            <w:pPr>
              <w:pStyle w:val="Footer"/>
              <w:tabs>
                <w:tab w:val="clear" w:pos="4153"/>
                <w:tab w:val="clear" w:pos="8306"/>
                <w:tab w:val="decimal" w:pos="900"/>
              </w:tabs>
              <w:jc w:val="right"/>
              <w:rPr>
                <w:szCs w:val="24"/>
              </w:rPr>
            </w:pPr>
            <w:r w:rsidRPr="00617696">
              <w:rPr>
                <w:szCs w:val="24"/>
              </w:rPr>
              <w:t>593</w:t>
            </w:r>
          </w:p>
        </w:tc>
        <w:tc>
          <w:tcPr>
            <w:tcW w:w="1296" w:type="dxa"/>
            <w:vAlign w:val="center"/>
          </w:tcPr>
          <w:p w14:paraId="1F7C3810" w14:textId="6E207A2E" w:rsidR="008A2C7E" w:rsidRPr="00617696" w:rsidRDefault="008A2C7E" w:rsidP="00DD63D7">
            <w:pPr>
              <w:pStyle w:val="Footer"/>
              <w:tabs>
                <w:tab w:val="clear" w:pos="4153"/>
                <w:tab w:val="clear" w:pos="8306"/>
                <w:tab w:val="decimal" w:pos="784"/>
              </w:tabs>
              <w:jc w:val="right"/>
              <w:rPr>
                <w:szCs w:val="24"/>
              </w:rPr>
            </w:pPr>
            <w:r w:rsidRPr="00617696">
              <w:rPr>
                <w:szCs w:val="24"/>
              </w:rPr>
              <w:t>660</w:t>
            </w:r>
          </w:p>
        </w:tc>
        <w:tc>
          <w:tcPr>
            <w:tcW w:w="1296" w:type="dxa"/>
            <w:vAlign w:val="center"/>
          </w:tcPr>
          <w:p w14:paraId="7B7F8E0F" w14:textId="2D86FD6D" w:rsidR="008A2C7E" w:rsidRPr="00617696" w:rsidRDefault="008A2C7E" w:rsidP="00DD63D7">
            <w:pPr>
              <w:pStyle w:val="Footer"/>
              <w:tabs>
                <w:tab w:val="clear" w:pos="4153"/>
                <w:tab w:val="clear" w:pos="8306"/>
                <w:tab w:val="decimal" w:pos="784"/>
              </w:tabs>
              <w:jc w:val="right"/>
              <w:rPr>
                <w:szCs w:val="24"/>
              </w:rPr>
            </w:pPr>
            <w:r w:rsidRPr="00617696">
              <w:rPr>
                <w:szCs w:val="24"/>
              </w:rPr>
              <w:t>854</w:t>
            </w:r>
          </w:p>
        </w:tc>
        <w:tc>
          <w:tcPr>
            <w:tcW w:w="1296" w:type="dxa"/>
            <w:vAlign w:val="center"/>
          </w:tcPr>
          <w:p w14:paraId="6779C3E4" w14:textId="53F85A23" w:rsidR="008A2C7E" w:rsidRPr="00617696" w:rsidRDefault="008A2C7E" w:rsidP="00DD63D7">
            <w:pPr>
              <w:pStyle w:val="Footer"/>
              <w:tabs>
                <w:tab w:val="clear" w:pos="4153"/>
                <w:tab w:val="clear" w:pos="8306"/>
                <w:tab w:val="decimal" w:pos="784"/>
              </w:tabs>
              <w:jc w:val="right"/>
              <w:rPr>
                <w:szCs w:val="24"/>
              </w:rPr>
            </w:pPr>
            <w:r w:rsidRPr="00617696">
              <w:rPr>
                <w:szCs w:val="24"/>
              </w:rPr>
              <w:t>1,239</w:t>
            </w:r>
          </w:p>
        </w:tc>
        <w:tc>
          <w:tcPr>
            <w:tcW w:w="1296" w:type="dxa"/>
            <w:vAlign w:val="center"/>
          </w:tcPr>
          <w:p w14:paraId="455CF824" w14:textId="04AD5F58" w:rsidR="008A2C7E" w:rsidRPr="00617696" w:rsidRDefault="008A2C7E" w:rsidP="00DD63D7">
            <w:pPr>
              <w:pStyle w:val="Footer"/>
              <w:tabs>
                <w:tab w:val="clear" w:pos="4153"/>
                <w:tab w:val="clear" w:pos="8306"/>
                <w:tab w:val="decimal" w:pos="784"/>
              </w:tabs>
              <w:jc w:val="right"/>
              <w:rPr>
                <w:szCs w:val="24"/>
              </w:rPr>
            </w:pPr>
            <w:r w:rsidRPr="00617696">
              <w:rPr>
                <w:szCs w:val="24"/>
              </w:rPr>
              <w:t>1,447</w:t>
            </w:r>
          </w:p>
        </w:tc>
      </w:tr>
    </w:tbl>
    <w:p w14:paraId="0961DDA0" w14:textId="3D5321E7" w:rsidR="00BC6C4F" w:rsidRDefault="00BC6C4F">
      <w:pPr>
        <w:rPr>
          <w:b/>
          <w:szCs w:val="24"/>
        </w:rPr>
      </w:pPr>
    </w:p>
    <w:p w14:paraId="33D32AFE" w14:textId="5639FB13" w:rsidR="000D7D67" w:rsidRPr="00BE3374" w:rsidRDefault="00BE3374" w:rsidP="00BC6C4F">
      <w:pPr>
        <w:pStyle w:val="Heading2"/>
        <w:jc w:val="left"/>
        <w:rPr>
          <w:sz w:val="24"/>
          <w:szCs w:val="24"/>
        </w:rPr>
      </w:pPr>
      <w:bookmarkStart w:id="47" w:name="_Toc166761546"/>
      <w:r w:rsidRPr="00BE3374">
        <w:rPr>
          <w:sz w:val="24"/>
          <w:szCs w:val="24"/>
        </w:rPr>
        <w:t>1</w:t>
      </w:r>
      <w:r w:rsidR="007C6DCB" w:rsidRPr="00BE3374">
        <w:rPr>
          <w:sz w:val="24"/>
          <w:szCs w:val="24"/>
        </w:rPr>
        <w:t>3</w:t>
      </w:r>
      <w:r w:rsidR="00D90216" w:rsidRPr="00BE3374">
        <w:rPr>
          <w:sz w:val="24"/>
          <w:szCs w:val="24"/>
        </w:rPr>
        <w:tab/>
      </w:r>
      <w:bookmarkStart w:id="48" w:name="N13"/>
      <w:bookmarkEnd w:id="48"/>
      <w:r w:rsidR="000D7D67" w:rsidRPr="00BE3374">
        <w:rPr>
          <w:sz w:val="24"/>
          <w:szCs w:val="24"/>
        </w:rPr>
        <w:t>Other Long</w:t>
      </w:r>
      <w:r w:rsidR="00A16368" w:rsidRPr="00BE3374">
        <w:rPr>
          <w:sz w:val="24"/>
          <w:szCs w:val="24"/>
        </w:rPr>
        <w:t>-</w:t>
      </w:r>
      <w:r w:rsidR="000D7D67" w:rsidRPr="00BE3374">
        <w:rPr>
          <w:sz w:val="24"/>
          <w:szCs w:val="24"/>
        </w:rPr>
        <w:t>Term Liabilities</w:t>
      </w:r>
      <w:bookmarkEnd w:id="47"/>
    </w:p>
    <w:p w14:paraId="47252286" w14:textId="77777777" w:rsidR="000D7D67" w:rsidRPr="00AF3DCD" w:rsidRDefault="000D7D67" w:rsidP="00BC6C4F">
      <w:pPr>
        <w:rPr>
          <w:sz w:val="22"/>
        </w:rPr>
      </w:pPr>
    </w:p>
    <w:p w14:paraId="76AA36C2" w14:textId="0E612907" w:rsidR="000D7D67" w:rsidRPr="00BE3374" w:rsidRDefault="000D7D67" w:rsidP="00BC6C4F">
      <w:pPr>
        <w:pStyle w:val="01-NormInd1-BB"/>
        <w:jc w:val="left"/>
        <w:rPr>
          <w:rFonts w:eastAsia="Times New Roman"/>
          <w:sz w:val="24"/>
          <w:szCs w:val="24"/>
        </w:rPr>
      </w:pPr>
      <w:r w:rsidRPr="00BE3374">
        <w:rPr>
          <w:rFonts w:eastAsia="Times New Roman"/>
          <w:sz w:val="24"/>
          <w:szCs w:val="24"/>
        </w:rPr>
        <w:t>Other long</w:t>
      </w:r>
      <w:r w:rsidR="00A16368" w:rsidRPr="00BE3374">
        <w:rPr>
          <w:rFonts w:eastAsia="Times New Roman"/>
          <w:sz w:val="24"/>
          <w:szCs w:val="24"/>
        </w:rPr>
        <w:t>-</w:t>
      </w:r>
      <w:r w:rsidRPr="00BE3374">
        <w:rPr>
          <w:rFonts w:eastAsia="Times New Roman"/>
          <w:sz w:val="24"/>
          <w:szCs w:val="24"/>
        </w:rPr>
        <w:t>term liabilities comprise the following:</w:t>
      </w:r>
    </w:p>
    <w:p w14:paraId="7B03A6A3" w14:textId="77777777" w:rsidR="000D7D67" w:rsidRPr="00AF3DCD" w:rsidRDefault="000D7D67" w:rsidP="000D7D67">
      <w:pPr>
        <w:pStyle w:val="01-NormInd1-BB"/>
        <w:rPr>
          <w:rFonts w:eastAsia="Times New Roman"/>
        </w:rPr>
      </w:pP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701"/>
        <w:gridCol w:w="1701"/>
      </w:tblGrid>
      <w:tr w:rsidR="00BA53E7" w:rsidRPr="00AF3DCD" w14:paraId="408F8D67" w14:textId="77777777" w:rsidTr="00611673">
        <w:trPr>
          <w:tblHeader/>
        </w:trPr>
        <w:tc>
          <w:tcPr>
            <w:tcW w:w="4536" w:type="dxa"/>
            <w:shd w:val="clear" w:color="auto" w:fill="BD2716"/>
          </w:tcPr>
          <w:p w14:paraId="561CA649" w14:textId="77777777" w:rsidR="00BA53E7" w:rsidRPr="007641BA" w:rsidRDefault="00BA53E7" w:rsidP="00BA53E7">
            <w:pPr>
              <w:jc w:val="both"/>
              <w:rPr>
                <w:b/>
                <w:color w:val="FFFFFF" w:themeColor="background1"/>
                <w:szCs w:val="24"/>
              </w:rPr>
            </w:pPr>
          </w:p>
        </w:tc>
        <w:tc>
          <w:tcPr>
            <w:tcW w:w="1701" w:type="dxa"/>
            <w:shd w:val="clear" w:color="auto" w:fill="BD2716"/>
            <w:vAlign w:val="center"/>
          </w:tcPr>
          <w:p w14:paraId="0590CE01" w14:textId="77777777" w:rsidR="00BA53E7" w:rsidRPr="007641BA" w:rsidRDefault="00670DBF" w:rsidP="00611673">
            <w:pPr>
              <w:pStyle w:val="BodyTextIndent"/>
              <w:ind w:left="0"/>
              <w:jc w:val="right"/>
              <w:rPr>
                <w:color w:val="FFFFFF" w:themeColor="background1"/>
                <w:szCs w:val="24"/>
                <w:lang w:val="en-GB"/>
              </w:rPr>
            </w:pPr>
            <w:r w:rsidRPr="007641BA">
              <w:rPr>
                <w:color w:val="FFFFFF" w:themeColor="background1"/>
                <w:szCs w:val="24"/>
                <w:lang w:val="en-GB"/>
              </w:rPr>
              <w:t>202</w:t>
            </w:r>
            <w:r w:rsidR="006138F7" w:rsidRPr="007641BA">
              <w:rPr>
                <w:color w:val="FFFFFF" w:themeColor="background1"/>
                <w:szCs w:val="24"/>
                <w:lang w:val="en-GB"/>
              </w:rPr>
              <w:t>2</w:t>
            </w:r>
            <w:r w:rsidRPr="007641BA">
              <w:rPr>
                <w:color w:val="FFFFFF" w:themeColor="background1"/>
                <w:szCs w:val="24"/>
                <w:lang w:val="en-GB"/>
              </w:rPr>
              <w:t>/2</w:t>
            </w:r>
            <w:r w:rsidR="006138F7" w:rsidRPr="007641BA">
              <w:rPr>
                <w:color w:val="FFFFFF" w:themeColor="background1"/>
                <w:szCs w:val="24"/>
                <w:lang w:val="en-GB"/>
              </w:rPr>
              <w:t>3</w:t>
            </w:r>
          </w:p>
          <w:p w14:paraId="24242E17" w14:textId="50350F4C" w:rsidR="008A2C7E" w:rsidRPr="007641BA" w:rsidRDefault="008A2C7E" w:rsidP="00611673">
            <w:pPr>
              <w:pStyle w:val="BodyTextIndent"/>
              <w:ind w:left="0"/>
              <w:jc w:val="right"/>
              <w:rPr>
                <w:color w:val="FFFFFF" w:themeColor="background1"/>
                <w:szCs w:val="24"/>
                <w:lang w:val="en-GB"/>
              </w:rPr>
            </w:pPr>
            <w:r w:rsidRPr="007641BA">
              <w:rPr>
                <w:color w:val="FFFFFF" w:themeColor="background1"/>
                <w:szCs w:val="24"/>
                <w:lang w:val="en-GB"/>
              </w:rPr>
              <w:t>£000</w:t>
            </w:r>
          </w:p>
        </w:tc>
        <w:tc>
          <w:tcPr>
            <w:tcW w:w="1701" w:type="dxa"/>
            <w:shd w:val="clear" w:color="auto" w:fill="BD2716"/>
            <w:vAlign w:val="center"/>
          </w:tcPr>
          <w:p w14:paraId="626B40CF" w14:textId="77777777" w:rsidR="00BA53E7" w:rsidRPr="007641BA" w:rsidRDefault="00BA53E7" w:rsidP="00611673">
            <w:pPr>
              <w:pStyle w:val="BodyTextIndent"/>
              <w:ind w:left="0"/>
              <w:jc w:val="right"/>
              <w:rPr>
                <w:color w:val="FFFFFF" w:themeColor="background1"/>
                <w:szCs w:val="24"/>
                <w:lang w:val="en-GB"/>
              </w:rPr>
            </w:pPr>
            <w:r w:rsidRPr="007641BA">
              <w:rPr>
                <w:color w:val="FFFFFF" w:themeColor="background1"/>
                <w:szCs w:val="24"/>
                <w:lang w:val="en-GB"/>
              </w:rPr>
              <w:t>202</w:t>
            </w:r>
            <w:r w:rsidR="006138F7" w:rsidRPr="007641BA">
              <w:rPr>
                <w:color w:val="FFFFFF" w:themeColor="background1"/>
                <w:szCs w:val="24"/>
                <w:lang w:val="en-GB"/>
              </w:rPr>
              <w:t>1</w:t>
            </w:r>
            <w:r w:rsidRPr="007641BA">
              <w:rPr>
                <w:color w:val="FFFFFF" w:themeColor="background1"/>
                <w:szCs w:val="24"/>
                <w:lang w:val="en-GB"/>
              </w:rPr>
              <w:t>/2</w:t>
            </w:r>
            <w:r w:rsidR="006138F7" w:rsidRPr="007641BA">
              <w:rPr>
                <w:color w:val="FFFFFF" w:themeColor="background1"/>
                <w:szCs w:val="24"/>
                <w:lang w:val="en-GB"/>
              </w:rPr>
              <w:t>2</w:t>
            </w:r>
          </w:p>
          <w:p w14:paraId="4DCB666F" w14:textId="1912F7E8" w:rsidR="008A2C7E" w:rsidRPr="007641BA" w:rsidRDefault="008A2C7E" w:rsidP="00611673">
            <w:pPr>
              <w:pStyle w:val="BodyTextIndent"/>
              <w:ind w:left="0"/>
              <w:jc w:val="right"/>
              <w:rPr>
                <w:color w:val="FFFFFF" w:themeColor="background1"/>
                <w:szCs w:val="24"/>
                <w:lang w:val="en-GB"/>
              </w:rPr>
            </w:pPr>
            <w:r w:rsidRPr="007641BA">
              <w:rPr>
                <w:color w:val="FFFFFF" w:themeColor="background1"/>
                <w:szCs w:val="24"/>
                <w:lang w:val="en-GB"/>
              </w:rPr>
              <w:t>£000</w:t>
            </w:r>
          </w:p>
        </w:tc>
      </w:tr>
      <w:tr w:rsidR="006138F7" w:rsidRPr="00AF3DCD" w14:paraId="0FC67912" w14:textId="77777777" w:rsidTr="007641BA">
        <w:tc>
          <w:tcPr>
            <w:tcW w:w="4536" w:type="dxa"/>
            <w:shd w:val="clear" w:color="auto" w:fill="auto"/>
          </w:tcPr>
          <w:p w14:paraId="6620A136" w14:textId="77777777" w:rsidR="006138F7" w:rsidRPr="00617696" w:rsidRDefault="006138F7" w:rsidP="006138F7">
            <w:pPr>
              <w:rPr>
                <w:szCs w:val="24"/>
              </w:rPr>
            </w:pPr>
            <w:r w:rsidRPr="00617696">
              <w:rPr>
                <w:szCs w:val="24"/>
              </w:rPr>
              <w:t xml:space="preserve">Finance Lease Liability </w:t>
            </w:r>
          </w:p>
        </w:tc>
        <w:tc>
          <w:tcPr>
            <w:tcW w:w="1701" w:type="dxa"/>
            <w:shd w:val="clear" w:color="auto" w:fill="auto"/>
            <w:vAlign w:val="center"/>
          </w:tcPr>
          <w:p w14:paraId="0CD593EC" w14:textId="6CCF7A65" w:rsidR="006138F7" w:rsidRPr="00617696" w:rsidRDefault="00D00CAD" w:rsidP="00DD63D7">
            <w:pPr>
              <w:tabs>
                <w:tab w:val="decimal" w:pos="648"/>
                <w:tab w:val="decimal" w:pos="738"/>
              </w:tabs>
              <w:jc w:val="right"/>
              <w:rPr>
                <w:szCs w:val="24"/>
              </w:rPr>
            </w:pPr>
            <w:r w:rsidRPr="00617696">
              <w:rPr>
                <w:szCs w:val="24"/>
              </w:rPr>
              <w:t>-</w:t>
            </w:r>
          </w:p>
        </w:tc>
        <w:tc>
          <w:tcPr>
            <w:tcW w:w="1701" w:type="dxa"/>
            <w:shd w:val="clear" w:color="auto" w:fill="auto"/>
            <w:vAlign w:val="center"/>
          </w:tcPr>
          <w:p w14:paraId="196400F3" w14:textId="41248BB3" w:rsidR="006138F7" w:rsidRPr="00617696" w:rsidRDefault="006138F7" w:rsidP="00DD63D7">
            <w:pPr>
              <w:tabs>
                <w:tab w:val="decimal" w:pos="648"/>
                <w:tab w:val="decimal" w:pos="738"/>
              </w:tabs>
              <w:jc w:val="right"/>
              <w:rPr>
                <w:szCs w:val="24"/>
              </w:rPr>
            </w:pPr>
            <w:r w:rsidRPr="00617696">
              <w:rPr>
                <w:szCs w:val="24"/>
              </w:rPr>
              <w:t>33</w:t>
            </w:r>
          </w:p>
        </w:tc>
      </w:tr>
      <w:tr w:rsidR="006138F7" w:rsidRPr="00AF3DCD" w14:paraId="5D067F2D" w14:textId="77777777" w:rsidTr="007641BA">
        <w:tc>
          <w:tcPr>
            <w:tcW w:w="4536" w:type="dxa"/>
            <w:shd w:val="clear" w:color="auto" w:fill="auto"/>
          </w:tcPr>
          <w:p w14:paraId="4C1F7158" w14:textId="78DDBFCB" w:rsidR="006138F7" w:rsidRPr="00617696" w:rsidRDefault="006138F7" w:rsidP="006138F7">
            <w:pPr>
              <w:rPr>
                <w:szCs w:val="24"/>
              </w:rPr>
            </w:pPr>
            <w:r w:rsidRPr="00617696">
              <w:rPr>
                <w:szCs w:val="24"/>
              </w:rPr>
              <w:t xml:space="preserve">PFI Liability (see </w:t>
            </w:r>
            <w:hyperlink w:anchor="N14" w:history="1">
              <w:r w:rsidRPr="00617696">
                <w:rPr>
                  <w:rStyle w:val="Hyperlink"/>
                  <w:szCs w:val="24"/>
                </w:rPr>
                <w:t>Note 14</w:t>
              </w:r>
            </w:hyperlink>
            <w:r w:rsidRPr="00617696">
              <w:rPr>
                <w:szCs w:val="24"/>
              </w:rPr>
              <w:t>)</w:t>
            </w:r>
          </w:p>
        </w:tc>
        <w:tc>
          <w:tcPr>
            <w:tcW w:w="1701" w:type="dxa"/>
            <w:shd w:val="clear" w:color="auto" w:fill="auto"/>
            <w:vAlign w:val="center"/>
          </w:tcPr>
          <w:p w14:paraId="6D4C1395" w14:textId="69FA5475" w:rsidR="006138F7" w:rsidRPr="00617696" w:rsidRDefault="008E58F6" w:rsidP="00DD63D7">
            <w:pPr>
              <w:tabs>
                <w:tab w:val="decimal" w:pos="648"/>
                <w:tab w:val="decimal" w:pos="738"/>
              </w:tabs>
              <w:jc w:val="right"/>
              <w:rPr>
                <w:szCs w:val="24"/>
              </w:rPr>
            </w:pPr>
            <w:r w:rsidRPr="00617696">
              <w:rPr>
                <w:szCs w:val="24"/>
              </w:rPr>
              <w:t>11,868</w:t>
            </w:r>
          </w:p>
        </w:tc>
        <w:tc>
          <w:tcPr>
            <w:tcW w:w="1701" w:type="dxa"/>
            <w:shd w:val="clear" w:color="auto" w:fill="auto"/>
            <w:vAlign w:val="center"/>
          </w:tcPr>
          <w:p w14:paraId="0BFE0DD4" w14:textId="33699E8F" w:rsidR="006138F7" w:rsidRPr="00617696" w:rsidRDefault="006138F7" w:rsidP="00DD63D7">
            <w:pPr>
              <w:tabs>
                <w:tab w:val="decimal" w:pos="648"/>
                <w:tab w:val="decimal" w:pos="738"/>
              </w:tabs>
              <w:jc w:val="right"/>
              <w:rPr>
                <w:szCs w:val="24"/>
              </w:rPr>
            </w:pPr>
            <w:r w:rsidRPr="00617696">
              <w:rPr>
                <w:szCs w:val="24"/>
              </w:rPr>
              <w:t>12,351</w:t>
            </w:r>
          </w:p>
        </w:tc>
      </w:tr>
      <w:tr w:rsidR="006138F7" w:rsidRPr="00AF3DCD" w14:paraId="52790330" w14:textId="77777777" w:rsidTr="007641BA">
        <w:tc>
          <w:tcPr>
            <w:tcW w:w="4536" w:type="dxa"/>
            <w:shd w:val="clear" w:color="auto" w:fill="auto"/>
          </w:tcPr>
          <w:p w14:paraId="5D49CCCB" w14:textId="7E6ADF0E" w:rsidR="006138F7" w:rsidRPr="00617696" w:rsidRDefault="006138F7" w:rsidP="006138F7">
            <w:pPr>
              <w:rPr>
                <w:szCs w:val="24"/>
              </w:rPr>
            </w:pPr>
            <w:r w:rsidRPr="00617696">
              <w:rPr>
                <w:szCs w:val="24"/>
              </w:rPr>
              <w:t xml:space="preserve">PFI Contractor Loan (see </w:t>
            </w:r>
            <w:hyperlink w:anchor="N14" w:history="1">
              <w:r w:rsidRPr="00617696">
                <w:rPr>
                  <w:rStyle w:val="Hyperlink"/>
                  <w:szCs w:val="24"/>
                </w:rPr>
                <w:t>Note 14</w:t>
              </w:r>
            </w:hyperlink>
            <w:r w:rsidRPr="00617696">
              <w:rPr>
                <w:szCs w:val="24"/>
              </w:rPr>
              <w:t>)</w:t>
            </w:r>
          </w:p>
        </w:tc>
        <w:tc>
          <w:tcPr>
            <w:tcW w:w="1701" w:type="dxa"/>
            <w:shd w:val="clear" w:color="auto" w:fill="auto"/>
            <w:vAlign w:val="center"/>
          </w:tcPr>
          <w:p w14:paraId="734273B7" w14:textId="557DB5D5" w:rsidR="006138F7" w:rsidRPr="00617696" w:rsidRDefault="00D00CAD" w:rsidP="00DD63D7">
            <w:pPr>
              <w:tabs>
                <w:tab w:val="decimal" w:pos="648"/>
                <w:tab w:val="decimal" w:pos="738"/>
              </w:tabs>
              <w:jc w:val="right"/>
              <w:rPr>
                <w:szCs w:val="24"/>
              </w:rPr>
            </w:pPr>
            <w:r w:rsidRPr="00617696">
              <w:rPr>
                <w:szCs w:val="24"/>
              </w:rPr>
              <w:t>45</w:t>
            </w:r>
          </w:p>
        </w:tc>
        <w:tc>
          <w:tcPr>
            <w:tcW w:w="1701" w:type="dxa"/>
            <w:shd w:val="clear" w:color="auto" w:fill="auto"/>
            <w:vAlign w:val="center"/>
          </w:tcPr>
          <w:p w14:paraId="42A10F81" w14:textId="4734AA9F" w:rsidR="006138F7" w:rsidRPr="00617696" w:rsidRDefault="006138F7" w:rsidP="00DD63D7">
            <w:pPr>
              <w:tabs>
                <w:tab w:val="decimal" w:pos="648"/>
                <w:tab w:val="decimal" w:pos="738"/>
              </w:tabs>
              <w:jc w:val="right"/>
              <w:rPr>
                <w:szCs w:val="24"/>
              </w:rPr>
            </w:pPr>
            <w:r w:rsidRPr="00617696">
              <w:rPr>
                <w:szCs w:val="24"/>
              </w:rPr>
              <w:t>50</w:t>
            </w:r>
          </w:p>
        </w:tc>
      </w:tr>
      <w:tr w:rsidR="006138F7" w:rsidRPr="00AF3DCD" w14:paraId="71241545" w14:textId="77777777" w:rsidTr="007641BA">
        <w:tc>
          <w:tcPr>
            <w:tcW w:w="4536" w:type="dxa"/>
            <w:shd w:val="clear" w:color="auto" w:fill="auto"/>
          </w:tcPr>
          <w:p w14:paraId="077C249A" w14:textId="7661E3A7" w:rsidR="006138F7" w:rsidRPr="00617696" w:rsidRDefault="006138F7" w:rsidP="006138F7">
            <w:pPr>
              <w:rPr>
                <w:szCs w:val="24"/>
              </w:rPr>
            </w:pPr>
            <w:r w:rsidRPr="00617696">
              <w:rPr>
                <w:szCs w:val="24"/>
              </w:rPr>
              <w:t xml:space="preserve">Pension Liability (see </w:t>
            </w:r>
            <w:hyperlink w:anchor="N15" w:history="1">
              <w:r w:rsidRPr="00617696">
                <w:rPr>
                  <w:rStyle w:val="Hyperlink"/>
                  <w:szCs w:val="24"/>
                </w:rPr>
                <w:t>Note 15</w:t>
              </w:r>
            </w:hyperlink>
            <w:r w:rsidRPr="00617696">
              <w:rPr>
                <w:szCs w:val="24"/>
              </w:rPr>
              <w:t>)</w:t>
            </w:r>
          </w:p>
        </w:tc>
        <w:tc>
          <w:tcPr>
            <w:tcW w:w="1701" w:type="dxa"/>
            <w:shd w:val="clear" w:color="auto" w:fill="auto"/>
            <w:vAlign w:val="center"/>
          </w:tcPr>
          <w:p w14:paraId="4094EB75" w14:textId="7FE976F5" w:rsidR="006138F7" w:rsidRPr="00617696" w:rsidRDefault="008E58F6" w:rsidP="00DD63D7">
            <w:pPr>
              <w:tabs>
                <w:tab w:val="decimal" w:pos="648"/>
                <w:tab w:val="decimal" w:pos="738"/>
              </w:tabs>
              <w:jc w:val="right"/>
              <w:rPr>
                <w:szCs w:val="24"/>
              </w:rPr>
            </w:pPr>
            <w:r w:rsidRPr="00617696">
              <w:rPr>
                <w:szCs w:val="24"/>
              </w:rPr>
              <w:t>6</w:t>
            </w:r>
            <w:r w:rsidR="008302A9">
              <w:rPr>
                <w:szCs w:val="24"/>
              </w:rPr>
              <w:t>51</w:t>
            </w:r>
            <w:r w:rsidRPr="00617696">
              <w:rPr>
                <w:szCs w:val="24"/>
              </w:rPr>
              <w:t>,</w:t>
            </w:r>
            <w:r w:rsidR="008302A9">
              <w:rPr>
                <w:szCs w:val="24"/>
              </w:rPr>
              <w:t>53</w:t>
            </w:r>
            <w:r w:rsidR="008774E3">
              <w:rPr>
                <w:szCs w:val="24"/>
              </w:rPr>
              <w:t>6</w:t>
            </w:r>
          </w:p>
        </w:tc>
        <w:tc>
          <w:tcPr>
            <w:tcW w:w="1701" w:type="dxa"/>
            <w:shd w:val="clear" w:color="auto" w:fill="auto"/>
            <w:vAlign w:val="center"/>
          </w:tcPr>
          <w:p w14:paraId="25B8ADA0" w14:textId="0BBD9911" w:rsidR="006138F7" w:rsidRPr="00617696" w:rsidRDefault="006138F7" w:rsidP="00DD63D7">
            <w:pPr>
              <w:tabs>
                <w:tab w:val="decimal" w:pos="648"/>
                <w:tab w:val="decimal" w:pos="738"/>
              </w:tabs>
              <w:jc w:val="right"/>
              <w:rPr>
                <w:szCs w:val="24"/>
              </w:rPr>
            </w:pPr>
            <w:r w:rsidRPr="00617696">
              <w:rPr>
                <w:szCs w:val="24"/>
              </w:rPr>
              <w:t>883,218</w:t>
            </w:r>
          </w:p>
        </w:tc>
      </w:tr>
      <w:tr w:rsidR="006138F7" w:rsidRPr="00AF3DCD" w14:paraId="3BA5AAA1" w14:textId="77777777" w:rsidTr="007641BA">
        <w:tc>
          <w:tcPr>
            <w:tcW w:w="4536" w:type="dxa"/>
            <w:shd w:val="clear" w:color="auto" w:fill="auto"/>
          </w:tcPr>
          <w:p w14:paraId="1050F01B" w14:textId="781EEDD0" w:rsidR="006138F7" w:rsidRPr="00617696" w:rsidRDefault="001E71F1" w:rsidP="006138F7">
            <w:pPr>
              <w:rPr>
                <w:szCs w:val="24"/>
              </w:rPr>
            </w:pPr>
            <w:r>
              <w:rPr>
                <w:szCs w:val="24"/>
              </w:rPr>
              <w:t>Total</w:t>
            </w:r>
          </w:p>
        </w:tc>
        <w:tc>
          <w:tcPr>
            <w:tcW w:w="1701" w:type="dxa"/>
            <w:shd w:val="clear" w:color="auto" w:fill="auto"/>
            <w:vAlign w:val="center"/>
          </w:tcPr>
          <w:p w14:paraId="0C17EEFD" w14:textId="24D37C39" w:rsidR="006138F7" w:rsidRPr="00617696" w:rsidRDefault="008E58F6" w:rsidP="00DD63D7">
            <w:pPr>
              <w:tabs>
                <w:tab w:val="decimal" w:pos="648"/>
                <w:tab w:val="decimal" w:pos="738"/>
              </w:tabs>
              <w:jc w:val="right"/>
              <w:rPr>
                <w:szCs w:val="24"/>
              </w:rPr>
            </w:pPr>
            <w:r w:rsidRPr="00617696">
              <w:rPr>
                <w:szCs w:val="24"/>
              </w:rPr>
              <w:t>6</w:t>
            </w:r>
            <w:r w:rsidR="008302A9">
              <w:rPr>
                <w:szCs w:val="24"/>
              </w:rPr>
              <w:t>63</w:t>
            </w:r>
            <w:r w:rsidR="008774E3">
              <w:rPr>
                <w:szCs w:val="24"/>
              </w:rPr>
              <w:t>,4</w:t>
            </w:r>
            <w:r w:rsidR="008302A9">
              <w:rPr>
                <w:szCs w:val="24"/>
              </w:rPr>
              <w:t>4</w:t>
            </w:r>
            <w:r w:rsidR="008774E3">
              <w:rPr>
                <w:szCs w:val="24"/>
              </w:rPr>
              <w:t>9</w:t>
            </w:r>
          </w:p>
        </w:tc>
        <w:tc>
          <w:tcPr>
            <w:tcW w:w="1701" w:type="dxa"/>
            <w:shd w:val="clear" w:color="auto" w:fill="auto"/>
            <w:vAlign w:val="center"/>
          </w:tcPr>
          <w:p w14:paraId="755B8B65" w14:textId="0A942B16" w:rsidR="006138F7" w:rsidRPr="00617696" w:rsidRDefault="006138F7" w:rsidP="00DD63D7">
            <w:pPr>
              <w:tabs>
                <w:tab w:val="decimal" w:pos="648"/>
                <w:tab w:val="decimal" w:pos="738"/>
              </w:tabs>
              <w:jc w:val="right"/>
              <w:rPr>
                <w:szCs w:val="24"/>
              </w:rPr>
            </w:pPr>
            <w:r w:rsidRPr="00617696">
              <w:rPr>
                <w:szCs w:val="24"/>
              </w:rPr>
              <w:t>895,652</w:t>
            </w:r>
          </w:p>
        </w:tc>
      </w:tr>
    </w:tbl>
    <w:p w14:paraId="5D8FAF37" w14:textId="77777777" w:rsidR="001F1736" w:rsidRPr="00AF3DCD" w:rsidRDefault="001F1736" w:rsidP="00D90216">
      <w:pPr>
        <w:rPr>
          <w:b/>
          <w:sz w:val="22"/>
        </w:rPr>
      </w:pPr>
    </w:p>
    <w:p w14:paraId="6C41AAD1" w14:textId="77777777" w:rsidR="00D90216" w:rsidRPr="00617696" w:rsidRDefault="001C592E" w:rsidP="00617696">
      <w:pPr>
        <w:pStyle w:val="Heading2"/>
        <w:jc w:val="left"/>
        <w:rPr>
          <w:sz w:val="24"/>
          <w:szCs w:val="24"/>
        </w:rPr>
      </w:pPr>
      <w:bookmarkStart w:id="49" w:name="_Toc166761547"/>
      <w:r w:rsidRPr="00BE3374">
        <w:rPr>
          <w:sz w:val="24"/>
          <w:szCs w:val="24"/>
        </w:rPr>
        <w:lastRenderedPageBreak/>
        <w:t>1</w:t>
      </w:r>
      <w:r w:rsidR="007C6DCB" w:rsidRPr="00BE3374">
        <w:rPr>
          <w:sz w:val="24"/>
          <w:szCs w:val="24"/>
        </w:rPr>
        <w:t>4</w:t>
      </w:r>
      <w:r w:rsidR="000D7D67" w:rsidRPr="00BE3374">
        <w:rPr>
          <w:sz w:val="24"/>
          <w:szCs w:val="24"/>
        </w:rPr>
        <w:tab/>
      </w:r>
      <w:bookmarkStart w:id="50" w:name="N14"/>
      <w:bookmarkEnd w:id="50"/>
      <w:r w:rsidR="00D90216" w:rsidRPr="00617696">
        <w:rPr>
          <w:sz w:val="24"/>
          <w:szCs w:val="24"/>
        </w:rPr>
        <w:t>PFI Scheme</w:t>
      </w:r>
      <w:r w:rsidR="00217242" w:rsidRPr="00617696">
        <w:rPr>
          <w:sz w:val="24"/>
          <w:szCs w:val="24"/>
        </w:rPr>
        <w:t>s</w:t>
      </w:r>
      <w:bookmarkEnd w:id="49"/>
    </w:p>
    <w:p w14:paraId="2E430BF6" w14:textId="77777777" w:rsidR="00D90216" w:rsidRPr="00617696" w:rsidRDefault="00D90216" w:rsidP="00617696">
      <w:pPr>
        <w:rPr>
          <w:b/>
          <w:szCs w:val="24"/>
        </w:rPr>
      </w:pPr>
    </w:p>
    <w:p w14:paraId="5D2EB5E8" w14:textId="77777777" w:rsidR="001E0613" w:rsidRPr="00617696" w:rsidRDefault="001E0613" w:rsidP="00617696">
      <w:pPr>
        <w:ind w:left="720"/>
        <w:rPr>
          <w:szCs w:val="24"/>
        </w:rPr>
      </w:pPr>
      <w:r w:rsidRPr="00617696">
        <w:rPr>
          <w:szCs w:val="24"/>
        </w:rPr>
        <w:t>The Authority operates two PFI schemes with separate Private Sector Partners (PSP), details of which are as follows:</w:t>
      </w:r>
    </w:p>
    <w:p w14:paraId="64056171" w14:textId="77777777" w:rsidR="001E0613" w:rsidRPr="00617696" w:rsidRDefault="001E0613" w:rsidP="00617696">
      <w:pPr>
        <w:ind w:left="720"/>
        <w:rPr>
          <w:szCs w:val="24"/>
          <w:highlight w:val="yellow"/>
        </w:rPr>
      </w:pPr>
    </w:p>
    <w:p w14:paraId="3D7815ED" w14:textId="77777777" w:rsidR="001E0613" w:rsidRPr="00617696" w:rsidRDefault="001E0613" w:rsidP="00617696">
      <w:pPr>
        <w:ind w:left="720"/>
        <w:rPr>
          <w:szCs w:val="24"/>
        </w:rPr>
      </w:pPr>
      <w:r w:rsidRPr="00617696">
        <w:rPr>
          <w:szCs w:val="24"/>
        </w:rPr>
        <w:t>PFF Lancashire L</w:t>
      </w:r>
      <w:r w:rsidR="009E2E4B" w:rsidRPr="00617696">
        <w:rPr>
          <w:szCs w:val="24"/>
        </w:rPr>
        <w:t>imi</w:t>
      </w:r>
      <w:r w:rsidRPr="00617696">
        <w:rPr>
          <w:szCs w:val="24"/>
        </w:rPr>
        <w:t>t</w:t>
      </w:r>
      <w:r w:rsidR="009E2E4B" w:rsidRPr="00617696">
        <w:rPr>
          <w:szCs w:val="24"/>
        </w:rPr>
        <w:t>e</w:t>
      </w:r>
      <w:r w:rsidRPr="00617696">
        <w:rPr>
          <w:szCs w:val="24"/>
        </w:rPr>
        <w:t>d</w:t>
      </w:r>
    </w:p>
    <w:p w14:paraId="42EDF1D3" w14:textId="77777777" w:rsidR="001E0613" w:rsidRPr="00617696" w:rsidRDefault="001E0613" w:rsidP="00617696">
      <w:pPr>
        <w:ind w:left="720"/>
        <w:rPr>
          <w:szCs w:val="24"/>
        </w:rPr>
      </w:pPr>
    </w:p>
    <w:p w14:paraId="3D63057E" w14:textId="77777777" w:rsidR="00D90216" w:rsidRPr="00617696" w:rsidRDefault="00D90216" w:rsidP="00617696">
      <w:pPr>
        <w:ind w:left="720"/>
        <w:rPr>
          <w:szCs w:val="24"/>
        </w:rPr>
      </w:pPr>
      <w:r w:rsidRPr="00617696">
        <w:rPr>
          <w:szCs w:val="24"/>
        </w:rPr>
        <w:t xml:space="preserve">The Authority signed a contract in May 2002 with a Private Sector Partner (PSP), a consortium known as PFF Lancashire Limited, under the Government's Private Finance Initiative, for two fire stations at Morecambe and Hyndburn. </w:t>
      </w:r>
    </w:p>
    <w:p w14:paraId="1AD68473" w14:textId="77777777" w:rsidR="00D90216" w:rsidRPr="00617696" w:rsidRDefault="00D90216" w:rsidP="00617696">
      <w:pPr>
        <w:ind w:left="720"/>
        <w:rPr>
          <w:szCs w:val="24"/>
        </w:rPr>
      </w:pPr>
    </w:p>
    <w:p w14:paraId="32A3E2CE" w14:textId="16AD2B99" w:rsidR="00D90216" w:rsidRPr="00617696" w:rsidRDefault="00D90216" w:rsidP="00617696">
      <w:pPr>
        <w:ind w:left="720"/>
        <w:rPr>
          <w:szCs w:val="24"/>
        </w:rPr>
      </w:pPr>
      <w:r w:rsidRPr="00617696">
        <w:rPr>
          <w:szCs w:val="24"/>
        </w:rPr>
        <w:t xml:space="preserve">Under the contract the Authority pays an annual unitary charge to </w:t>
      </w:r>
      <w:r w:rsidR="00217242" w:rsidRPr="00617696">
        <w:rPr>
          <w:szCs w:val="24"/>
        </w:rPr>
        <w:t>PFF Lancashire</w:t>
      </w:r>
      <w:r w:rsidRPr="00617696">
        <w:rPr>
          <w:szCs w:val="24"/>
        </w:rPr>
        <w:t xml:space="preserve"> </w:t>
      </w:r>
      <w:r w:rsidR="009E2E4B" w:rsidRPr="00617696">
        <w:rPr>
          <w:szCs w:val="24"/>
        </w:rPr>
        <w:t xml:space="preserve">Limited </w:t>
      </w:r>
      <w:r w:rsidRPr="00617696">
        <w:rPr>
          <w:szCs w:val="24"/>
        </w:rPr>
        <w:t>for service</w:t>
      </w:r>
      <w:r w:rsidR="00217242" w:rsidRPr="00617696">
        <w:rPr>
          <w:szCs w:val="24"/>
        </w:rPr>
        <w:t>d</w:t>
      </w:r>
      <w:r w:rsidRPr="00617696">
        <w:rPr>
          <w:szCs w:val="24"/>
        </w:rPr>
        <w:t xml:space="preserve"> accommodation over the life of the 30-year contract, commencing in 2003/04.</w:t>
      </w:r>
      <w:r w:rsidR="000F28B4" w:rsidRPr="00617696">
        <w:rPr>
          <w:szCs w:val="24"/>
        </w:rPr>
        <w:t xml:space="preserve"> </w:t>
      </w:r>
      <w:r w:rsidRPr="00617696">
        <w:rPr>
          <w:szCs w:val="24"/>
        </w:rPr>
        <w:t>The buildings and any plant installed in them at the end of the contract will be transferred to the Authority for nil consideration.</w:t>
      </w:r>
      <w:r w:rsidR="00607136">
        <w:rPr>
          <w:szCs w:val="24"/>
        </w:rPr>
        <w:t xml:space="preserve"> </w:t>
      </w:r>
      <w:r w:rsidRPr="00617696">
        <w:rPr>
          <w:szCs w:val="24"/>
        </w:rPr>
        <w:t>The estimated capital value of the scheme at the point of financial close was £3.500m.</w:t>
      </w:r>
    </w:p>
    <w:p w14:paraId="5440C70F" w14:textId="77777777" w:rsidR="00D90216" w:rsidRPr="00617696" w:rsidRDefault="00D90216" w:rsidP="00617696">
      <w:pPr>
        <w:ind w:left="720"/>
        <w:rPr>
          <w:szCs w:val="24"/>
        </w:rPr>
      </w:pPr>
    </w:p>
    <w:p w14:paraId="54217C90" w14:textId="40F5A94C" w:rsidR="00A50E0F" w:rsidRPr="00617696" w:rsidRDefault="00A50E0F" w:rsidP="00617696">
      <w:pPr>
        <w:ind w:left="720"/>
        <w:rPr>
          <w:szCs w:val="24"/>
        </w:rPr>
      </w:pPr>
      <w:r w:rsidRPr="00617696">
        <w:rPr>
          <w:szCs w:val="24"/>
        </w:rPr>
        <w:t>Under the contract PFF Lancashire L</w:t>
      </w:r>
      <w:r w:rsidR="009E2E4B" w:rsidRPr="00617696">
        <w:rPr>
          <w:szCs w:val="24"/>
        </w:rPr>
        <w:t>imi</w:t>
      </w:r>
      <w:r w:rsidRPr="00617696">
        <w:rPr>
          <w:szCs w:val="24"/>
        </w:rPr>
        <w:t>t</w:t>
      </w:r>
      <w:r w:rsidR="009E2E4B" w:rsidRPr="00617696">
        <w:rPr>
          <w:szCs w:val="24"/>
        </w:rPr>
        <w:t>e</w:t>
      </w:r>
      <w:r w:rsidRPr="00617696">
        <w:rPr>
          <w:szCs w:val="24"/>
        </w:rPr>
        <w:t xml:space="preserve">d </w:t>
      </w:r>
      <w:r w:rsidR="005436A9" w:rsidRPr="00617696">
        <w:rPr>
          <w:szCs w:val="24"/>
        </w:rPr>
        <w:t>contributed</w:t>
      </w:r>
      <w:r w:rsidRPr="00617696">
        <w:rPr>
          <w:szCs w:val="24"/>
        </w:rPr>
        <w:t xml:space="preserve"> £0.150m towards the development costs, which is repaid through the annual unitary charge on the life of the 30-year contract commencing in 2005/06.</w:t>
      </w:r>
      <w:r w:rsidR="00607136">
        <w:rPr>
          <w:szCs w:val="24"/>
        </w:rPr>
        <w:t xml:space="preserve"> </w:t>
      </w:r>
      <w:r w:rsidRPr="00617696">
        <w:rPr>
          <w:szCs w:val="24"/>
        </w:rPr>
        <w:t>In accordance with recommended accounting practice, the reimbursement has been classed as a loan and the liability reflected as such in the Authori</w:t>
      </w:r>
      <w:r w:rsidR="00251BB2" w:rsidRPr="00617696">
        <w:rPr>
          <w:szCs w:val="24"/>
        </w:rPr>
        <w:t xml:space="preserve">ty’s accounts. </w:t>
      </w:r>
      <w:proofErr w:type="gramStart"/>
      <w:r w:rsidR="00251BB2" w:rsidRPr="00617696">
        <w:rPr>
          <w:szCs w:val="24"/>
        </w:rPr>
        <w:t>At</w:t>
      </w:r>
      <w:proofErr w:type="gramEnd"/>
      <w:r w:rsidR="00251BB2" w:rsidRPr="00617696">
        <w:rPr>
          <w:szCs w:val="24"/>
        </w:rPr>
        <w:t xml:space="preserve"> 31 March 202</w:t>
      </w:r>
      <w:r w:rsidR="006138F7" w:rsidRPr="00617696">
        <w:rPr>
          <w:szCs w:val="24"/>
        </w:rPr>
        <w:t>3</w:t>
      </w:r>
      <w:r w:rsidRPr="00617696">
        <w:rPr>
          <w:szCs w:val="24"/>
        </w:rPr>
        <w:t xml:space="preserve"> the </w:t>
      </w:r>
      <w:r w:rsidR="000756D9" w:rsidRPr="00617696">
        <w:rPr>
          <w:szCs w:val="24"/>
        </w:rPr>
        <w:t xml:space="preserve">total </w:t>
      </w:r>
      <w:r w:rsidRPr="00617696">
        <w:rPr>
          <w:szCs w:val="24"/>
        </w:rPr>
        <w:t>outstanding loan was £0.</w:t>
      </w:r>
      <w:r w:rsidR="00EE1D91" w:rsidRPr="00617696">
        <w:rPr>
          <w:szCs w:val="24"/>
        </w:rPr>
        <w:t>0</w:t>
      </w:r>
      <w:r w:rsidR="006B2155" w:rsidRPr="00617696">
        <w:rPr>
          <w:szCs w:val="24"/>
        </w:rPr>
        <w:t>5</w:t>
      </w:r>
      <w:r w:rsidR="00450C46" w:rsidRPr="00617696">
        <w:rPr>
          <w:szCs w:val="24"/>
        </w:rPr>
        <w:t>0</w:t>
      </w:r>
      <w:r w:rsidRPr="00617696">
        <w:rPr>
          <w:szCs w:val="24"/>
        </w:rPr>
        <w:t>m (20</w:t>
      </w:r>
      <w:r w:rsidR="006B2155" w:rsidRPr="00617696">
        <w:rPr>
          <w:szCs w:val="24"/>
        </w:rPr>
        <w:t>2</w:t>
      </w:r>
      <w:r w:rsidR="006138F7" w:rsidRPr="00617696">
        <w:rPr>
          <w:szCs w:val="24"/>
        </w:rPr>
        <w:t>1</w:t>
      </w:r>
      <w:r w:rsidR="006B2155" w:rsidRPr="00617696">
        <w:rPr>
          <w:szCs w:val="24"/>
        </w:rPr>
        <w:t>/2</w:t>
      </w:r>
      <w:r w:rsidR="006138F7" w:rsidRPr="00617696">
        <w:rPr>
          <w:szCs w:val="24"/>
        </w:rPr>
        <w:t>2</w:t>
      </w:r>
      <w:r w:rsidRPr="00617696">
        <w:rPr>
          <w:szCs w:val="24"/>
        </w:rPr>
        <w:t>: £0.</w:t>
      </w:r>
      <w:r w:rsidR="005B2EBF" w:rsidRPr="00617696">
        <w:rPr>
          <w:szCs w:val="24"/>
        </w:rPr>
        <w:t>0</w:t>
      </w:r>
      <w:r w:rsidR="006138F7" w:rsidRPr="00617696">
        <w:rPr>
          <w:szCs w:val="24"/>
        </w:rPr>
        <w:t>55</w:t>
      </w:r>
      <w:r w:rsidRPr="00617696">
        <w:rPr>
          <w:szCs w:val="24"/>
        </w:rPr>
        <w:t>m).</w:t>
      </w:r>
    </w:p>
    <w:p w14:paraId="23B492A8" w14:textId="77777777" w:rsidR="00A50E0F" w:rsidRPr="00617696" w:rsidRDefault="00A50E0F" w:rsidP="00617696">
      <w:pPr>
        <w:ind w:left="720"/>
        <w:rPr>
          <w:szCs w:val="24"/>
        </w:rPr>
      </w:pPr>
    </w:p>
    <w:p w14:paraId="616AF18C" w14:textId="700CC162" w:rsidR="001E0613" w:rsidRPr="00617696" w:rsidRDefault="003230DB" w:rsidP="00617696">
      <w:pPr>
        <w:ind w:left="720"/>
        <w:rPr>
          <w:szCs w:val="24"/>
        </w:rPr>
      </w:pPr>
      <w:r w:rsidRPr="00617696">
        <w:rPr>
          <w:szCs w:val="24"/>
        </w:rPr>
        <w:t>F</w:t>
      </w:r>
      <w:r w:rsidR="001E0613" w:rsidRPr="00617696">
        <w:rPr>
          <w:szCs w:val="24"/>
        </w:rPr>
        <w:t>ire and Rescue NW L</w:t>
      </w:r>
      <w:r w:rsidR="002B520D" w:rsidRPr="00617696">
        <w:rPr>
          <w:szCs w:val="24"/>
        </w:rPr>
        <w:t>imi</w:t>
      </w:r>
      <w:r w:rsidR="001E0613" w:rsidRPr="00617696">
        <w:rPr>
          <w:szCs w:val="24"/>
        </w:rPr>
        <w:t>t</w:t>
      </w:r>
      <w:r w:rsidR="002B520D" w:rsidRPr="00617696">
        <w:rPr>
          <w:szCs w:val="24"/>
        </w:rPr>
        <w:t>e</w:t>
      </w:r>
      <w:r w:rsidR="001E0613" w:rsidRPr="00617696">
        <w:rPr>
          <w:szCs w:val="24"/>
        </w:rPr>
        <w:t>d</w:t>
      </w:r>
    </w:p>
    <w:p w14:paraId="5EC182BD" w14:textId="77777777" w:rsidR="001E0613" w:rsidRPr="00617696" w:rsidRDefault="001E0613" w:rsidP="00617696">
      <w:pPr>
        <w:ind w:left="720"/>
        <w:rPr>
          <w:szCs w:val="24"/>
        </w:rPr>
      </w:pPr>
    </w:p>
    <w:p w14:paraId="40C188AB" w14:textId="2B6C9AF5" w:rsidR="00217242" w:rsidRPr="00617696" w:rsidRDefault="00217242" w:rsidP="00617696">
      <w:pPr>
        <w:ind w:left="720"/>
        <w:rPr>
          <w:szCs w:val="24"/>
        </w:rPr>
      </w:pPr>
      <w:r w:rsidRPr="00617696">
        <w:rPr>
          <w:szCs w:val="24"/>
        </w:rPr>
        <w:t>The Authority is also involved in a second PFI project, with Merseyside Fire and Rescue Authority and Cumbria County Council to deliver 16 new fire stations, 4 of which will be in Lancashire. Contracts were signed with Balfour Beatty Fire and Rescue NW L</w:t>
      </w:r>
      <w:r w:rsidR="002B520D" w:rsidRPr="00617696">
        <w:rPr>
          <w:szCs w:val="24"/>
        </w:rPr>
        <w:t>imi</w:t>
      </w:r>
      <w:r w:rsidRPr="00617696">
        <w:rPr>
          <w:szCs w:val="24"/>
        </w:rPr>
        <w:t>t</w:t>
      </w:r>
      <w:r w:rsidR="002B520D" w:rsidRPr="00617696">
        <w:rPr>
          <w:szCs w:val="24"/>
        </w:rPr>
        <w:t>e</w:t>
      </w:r>
      <w:r w:rsidRPr="00617696">
        <w:rPr>
          <w:szCs w:val="24"/>
        </w:rPr>
        <w:t>d in February 2011, with phased construction beginning in 2011/12 and completing in 2013/14.</w:t>
      </w:r>
    </w:p>
    <w:p w14:paraId="7ED66E80" w14:textId="035A2D9F" w:rsidR="006B2155" w:rsidRPr="00617696" w:rsidRDefault="006B2155" w:rsidP="00617696">
      <w:pPr>
        <w:ind w:left="720"/>
        <w:rPr>
          <w:szCs w:val="24"/>
        </w:rPr>
      </w:pPr>
    </w:p>
    <w:p w14:paraId="3594EFD3" w14:textId="00817463" w:rsidR="006B2155" w:rsidRPr="00617696" w:rsidRDefault="006B2155" w:rsidP="00617696">
      <w:pPr>
        <w:ind w:left="720"/>
        <w:rPr>
          <w:szCs w:val="24"/>
        </w:rPr>
      </w:pPr>
      <w:r w:rsidRPr="00617696">
        <w:rPr>
          <w:szCs w:val="24"/>
        </w:rPr>
        <w:t xml:space="preserve">Balfour Beatty sold its’ interest in the PFI scheme </w:t>
      </w:r>
      <w:r w:rsidR="005A0490" w:rsidRPr="00617696">
        <w:rPr>
          <w:szCs w:val="24"/>
        </w:rPr>
        <w:t xml:space="preserve">in July 2021 </w:t>
      </w:r>
      <w:r w:rsidRPr="00617696">
        <w:rPr>
          <w:szCs w:val="24"/>
        </w:rPr>
        <w:t xml:space="preserve">to BBGI, a company who already operates several PFI schemes in the UK including within the emergency services sector. BBGI undertook a </w:t>
      </w:r>
      <w:r w:rsidR="00CF111B" w:rsidRPr="00617696">
        <w:rPr>
          <w:szCs w:val="24"/>
        </w:rPr>
        <w:t>refinancing</w:t>
      </w:r>
      <w:r w:rsidRPr="00617696">
        <w:rPr>
          <w:szCs w:val="24"/>
        </w:rPr>
        <w:t xml:space="preserve"> deal </w:t>
      </w:r>
      <w:r w:rsidR="000B73C5" w:rsidRPr="00617696">
        <w:rPr>
          <w:szCs w:val="24"/>
        </w:rPr>
        <w:t>in December 2021</w:t>
      </w:r>
      <w:r w:rsidR="005A0490" w:rsidRPr="00617696">
        <w:rPr>
          <w:szCs w:val="24"/>
        </w:rPr>
        <w:t>, resulting in a one-off saving of £0.9m for the three authorities, of which Lancashire’s share was £0.2m</w:t>
      </w:r>
      <w:r w:rsidR="000B73C5" w:rsidRPr="00617696">
        <w:rPr>
          <w:szCs w:val="24"/>
        </w:rPr>
        <w:t>.</w:t>
      </w:r>
    </w:p>
    <w:p w14:paraId="5BA4D333" w14:textId="77777777" w:rsidR="00217242" w:rsidRPr="00617696" w:rsidRDefault="00217242" w:rsidP="00617696">
      <w:pPr>
        <w:ind w:left="720"/>
        <w:rPr>
          <w:szCs w:val="24"/>
        </w:rPr>
      </w:pPr>
    </w:p>
    <w:p w14:paraId="5D472584" w14:textId="4BF57073" w:rsidR="00217242" w:rsidRPr="00617696" w:rsidRDefault="00217242" w:rsidP="00617696">
      <w:pPr>
        <w:ind w:left="720"/>
        <w:rPr>
          <w:szCs w:val="24"/>
        </w:rPr>
      </w:pPr>
      <w:r w:rsidRPr="00617696">
        <w:rPr>
          <w:szCs w:val="24"/>
        </w:rPr>
        <w:t>Under the contract the Authority pays an annual unitary charge to Fire and Rescue NW L</w:t>
      </w:r>
      <w:r w:rsidR="002B520D" w:rsidRPr="00617696">
        <w:rPr>
          <w:szCs w:val="24"/>
        </w:rPr>
        <w:t>imi</w:t>
      </w:r>
      <w:r w:rsidRPr="00617696">
        <w:rPr>
          <w:szCs w:val="24"/>
        </w:rPr>
        <w:t>t</w:t>
      </w:r>
      <w:r w:rsidR="002B520D" w:rsidRPr="00617696">
        <w:rPr>
          <w:szCs w:val="24"/>
        </w:rPr>
        <w:t>e</w:t>
      </w:r>
      <w:r w:rsidRPr="00617696">
        <w:rPr>
          <w:szCs w:val="24"/>
        </w:rPr>
        <w:t xml:space="preserve">d for serviced accommodation over the life of the contract, </w:t>
      </w:r>
      <w:r w:rsidR="008B45EF" w:rsidRPr="00617696">
        <w:rPr>
          <w:szCs w:val="24"/>
        </w:rPr>
        <w:t xml:space="preserve">which runs for 25 years from initial handover of each station </w:t>
      </w:r>
      <w:r w:rsidRPr="00617696">
        <w:rPr>
          <w:szCs w:val="24"/>
        </w:rPr>
        <w:t xml:space="preserve">commencing in </w:t>
      </w:r>
      <w:r w:rsidR="008B45EF" w:rsidRPr="00617696">
        <w:rPr>
          <w:szCs w:val="24"/>
        </w:rPr>
        <w:t xml:space="preserve">March </w:t>
      </w:r>
      <w:r w:rsidRPr="00617696">
        <w:rPr>
          <w:szCs w:val="24"/>
        </w:rPr>
        <w:t>20</w:t>
      </w:r>
      <w:r w:rsidR="008B45EF" w:rsidRPr="00617696">
        <w:rPr>
          <w:szCs w:val="24"/>
        </w:rPr>
        <w:t>11</w:t>
      </w:r>
      <w:r w:rsidRPr="00617696">
        <w:rPr>
          <w:szCs w:val="24"/>
        </w:rPr>
        <w:t>/</w:t>
      </w:r>
      <w:r w:rsidR="008B45EF" w:rsidRPr="00617696">
        <w:rPr>
          <w:szCs w:val="24"/>
        </w:rPr>
        <w:t>12 for the Authority</w:t>
      </w:r>
      <w:r w:rsidRPr="00617696">
        <w:rPr>
          <w:szCs w:val="24"/>
        </w:rPr>
        <w:t xml:space="preserve">. The buildings and any plant installed in them at the end of the contract will be transferred to the Authority for nil consideration. The estimated capital value of the </w:t>
      </w:r>
      <w:r w:rsidR="008B45EF" w:rsidRPr="00617696">
        <w:rPr>
          <w:szCs w:val="24"/>
        </w:rPr>
        <w:t xml:space="preserve">total </w:t>
      </w:r>
      <w:r w:rsidRPr="00617696">
        <w:rPr>
          <w:szCs w:val="24"/>
        </w:rPr>
        <w:t>scheme at the point of financial close was £</w:t>
      </w:r>
      <w:r w:rsidR="008B45EF" w:rsidRPr="00617696">
        <w:rPr>
          <w:szCs w:val="24"/>
        </w:rPr>
        <w:t>47.886m, and for the Authority was £12.161m</w:t>
      </w:r>
      <w:r w:rsidRPr="00617696">
        <w:rPr>
          <w:szCs w:val="24"/>
        </w:rPr>
        <w:t>.</w:t>
      </w:r>
    </w:p>
    <w:p w14:paraId="3EBBA344" w14:textId="77777777" w:rsidR="00BE1512" w:rsidRPr="00617696" w:rsidRDefault="00BE1512" w:rsidP="00617696">
      <w:pPr>
        <w:rPr>
          <w:szCs w:val="24"/>
        </w:rPr>
      </w:pPr>
    </w:p>
    <w:p w14:paraId="2CF61D76" w14:textId="01BCB014" w:rsidR="00217242" w:rsidRPr="00617696" w:rsidRDefault="005A3979" w:rsidP="00617696">
      <w:pPr>
        <w:ind w:left="720"/>
        <w:rPr>
          <w:szCs w:val="24"/>
        </w:rPr>
      </w:pPr>
      <w:r w:rsidRPr="00617696">
        <w:rPr>
          <w:szCs w:val="24"/>
        </w:rPr>
        <w:t>All PFI Schemes</w:t>
      </w:r>
    </w:p>
    <w:p w14:paraId="78D506D7" w14:textId="77777777" w:rsidR="00217242" w:rsidRPr="00617696" w:rsidRDefault="00217242" w:rsidP="00617696">
      <w:pPr>
        <w:ind w:left="720"/>
        <w:rPr>
          <w:szCs w:val="24"/>
        </w:rPr>
      </w:pPr>
    </w:p>
    <w:p w14:paraId="1F74512E" w14:textId="21E7CE3C" w:rsidR="00D90216" w:rsidRPr="00617696" w:rsidRDefault="00217242" w:rsidP="00617696">
      <w:pPr>
        <w:ind w:left="720"/>
        <w:rPr>
          <w:szCs w:val="24"/>
        </w:rPr>
      </w:pPr>
      <w:r w:rsidRPr="00617696">
        <w:rPr>
          <w:szCs w:val="24"/>
        </w:rPr>
        <w:t>All PFI</w:t>
      </w:r>
      <w:r w:rsidR="00D90216" w:rsidRPr="00617696">
        <w:rPr>
          <w:szCs w:val="24"/>
        </w:rPr>
        <w:t xml:space="preserve"> stations are recognised on the Authority’s Balance Sheet</w:t>
      </w:r>
      <w:r w:rsidRPr="00617696">
        <w:rPr>
          <w:szCs w:val="24"/>
        </w:rPr>
        <w:t xml:space="preserve"> from the date of </w:t>
      </w:r>
      <w:r w:rsidR="008B45EF" w:rsidRPr="00617696">
        <w:rPr>
          <w:szCs w:val="24"/>
        </w:rPr>
        <w:t xml:space="preserve">initial </w:t>
      </w:r>
      <w:r w:rsidRPr="00617696">
        <w:rPr>
          <w:szCs w:val="24"/>
        </w:rPr>
        <w:t>handover</w:t>
      </w:r>
      <w:r w:rsidR="00D90216" w:rsidRPr="00617696">
        <w:rPr>
          <w:szCs w:val="24"/>
        </w:rPr>
        <w:t xml:space="preserve">. Movements in their value over the year are detailed in the analysis of the movement on Property, Plant &amp; Equipment balance in </w:t>
      </w:r>
      <w:hyperlink w:anchor="N6" w:history="1">
        <w:r w:rsidR="007C6DCB" w:rsidRPr="00617696">
          <w:rPr>
            <w:rStyle w:val="Hyperlink"/>
            <w:szCs w:val="24"/>
          </w:rPr>
          <w:t>N</w:t>
        </w:r>
        <w:r w:rsidR="00D90216" w:rsidRPr="00617696">
          <w:rPr>
            <w:rStyle w:val="Hyperlink"/>
            <w:szCs w:val="24"/>
          </w:rPr>
          <w:t xml:space="preserve">ote </w:t>
        </w:r>
        <w:r w:rsidR="00903724" w:rsidRPr="00617696">
          <w:rPr>
            <w:rStyle w:val="Hyperlink"/>
            <w:szCs w:val="24"/>
          </w:rPr>
          <w:t>6</w:t>
        </w:r>
      </w:hyperlink>
      <w:r w:rsidR="00D90216" w:rsidRPr="00617696">
        <w:rPr>
          <w:szCs w:val="24"/>
        </w:rPr>
        <w:t xml:space="preserve">. </w:t>
      </w:r>
    </w:p>
    <w:p w14:paraId="4C5B1AEA" w14:textId="77777777" w:rsidR="000669A4" w:rsidRPr="00617696" w:rsidRDefault="000669A4" w:rsidP="00617696">
      <w:pPr>
        <w:ind w:left="720"/>
        <w:rPr>
          <w:szCs w:val="24"/>
        </w:rPr>
      </w:pPr>
    </w:p>
    <w:p w14:paraId="5E246E9A" w14:textId="5C0FF620" w:rsidR="00BB58EF" w:rsidRPr="00617696" w:rsidRDefault="00D90216" w:rsidP="00617696">
      <w:pPr>
        <w:ind w:left="720"/>
        <w:rPr>
          <w:szCs w:val="24"/>
        </w:rPr>
      </w:pPr>
      <w:r w:rsidRPr="00617696">
        <w:rPr>
          <w:szCs w:val="24"/>
        </w:rPr>
        <w:t>Payments made under the contract</w:t>
      </w:r>
      <w:r w:rsidR="005A3979" w:rsidRPr="00617696">
        <w:rPr>
          <w:szCs w:val="24"/>
        </w:rPr>
        <w:t>s</w:t>
      </w:r>
      <w:r w:rsidRPr="00617696">
        <w:rPr>
          <w:szCs w:val="24"/>
        </w:rPr>
        <w:t xml:space="preserve"> are performance related, so deductions are made if parts of the building are not available or if service performance (including maintenance) falls below an agreed standard. The Authority makes an agreed payment each year which is increased by inflation and can be reduced if the contractor fails to meet availability and performance </w:t>
      </w:r>
      <w:r w:rsidRPr="00617696">
        <w:rPr>
          <w:szCs w:val="24"/>
        </w:rPr>
        <w:lastRenderedPageBreak/>
        <w:t xml:space="preserve">standards in any </w:t>
      </w:r>
      <w:r w:rsidR="00C35551" w:rsidRPr="00617696">
        <w:rPr>
          <w:szCs w:val="24"/>
        </w:rPr>
        <w:t>year but</w:t>
      </w:r>
      <w:r w:rsidRPr="00617696">
        <w:rPr>
          <w:szCs w:val="24"/>
        </w:rPr>
        <w:t xml:space="preserve"> is otherwise fixed. In addition, the Authority receives Government Grant to offset some of these costs.</w:t>
      </w:r>
    </w:p>
    <w:p w14:paraId="50FB0BA2" w14:textId="2AC95D85" w:rsidR="00300384" w:rsidRDefault="00300384">
      <w:pPr>
        <w:rPr>
          <w:szCs w:val="24"/>
        </w:rPr>
      </w:pPr>
    </w:p>
    <w:p w14:paraId="3304B057" w14:textId="29522FA8" w:rsidR="00D90216" w:rsidRPr="00617696" w:rsidRDefault="00D90216" w:rsidP="00300384">
      <w:pPr>
        <w:ind w:left="720"/>
        <w:rPr>
          <w:szCs w:val="24"/>
        </w:rPr>
      </w:pPr>
      <w:r w:rsidRPr="00617696">
        <w:rPr>
          <w:szCs w:val="24"/>
        </w:rPr>
        <w:t xml:space="preserve">Payments remaining to be made under </w:t>
      </w:r>
      <w:r w:rsidR="005A3979" w:rsidRPr="00617696">
        <w:rPr>
          <w:szCs w:val="24"/>
        </w:rPr>
        <w:t>both</w:t>
      </w:r>
      <w:r w:rsidRPr="00617696">
        <w:rPr>
          <w:szCs w:val="24"/>
        </w:rPr>
        <w:t xml:space="preserve"> PFI </w:t>
      </w:r>
      <w:r w:rsidR="000414B9" w:rsidRPr="00617696">
        <w:rPr>
          <w:szCs w:val="24"/>
        </w:rPr>
        <w:t>contracts</w:t>
      </w:r>
      <w:r w:rsidRPr="00617696">
        <w:rPr>
          <w:szCs w:val="24"/>
        </w:rPr>
        <w:t xml:space="preserve"> and Government Subsidie</w:t>
      </w:r>
      <w:r w:rsidR="00251BB2" w:rsidRPr="00617696">
        <w:rPr>
          <w:szCs w:val="24"/>
        </w:rPr>
        <w:t xml:space="preserve">s to be received </w:t>
      </w:r>
      <w:proofErr w:type="gramStart"/>
      <w:r w:rsidR="00251BB2" w:rsidRPr="00617696">
        <w:rPr>
          <w:szCs w:val="24"/>
        </w:rPr>
        <w:t>at</w:t>
      </w:r>
      <w:proofErr w:type="gramEnd"/>
      <w:r w:rsidR="00251BB2" w:rsidRPr="00617696">
        <w:rPr>
          <w:szCs w:val="24"/>
        </w:rPr>
        <w:t xml:space="preserve"> 31 March 202</w:t>
      </w:r>
      <w:r w:rsidR="00E66DE8" w:rsidRPr="00617696">
        <w:rPr>
          <w:szCs w:val="24"/>
        </w:rPr>
        <w:t>3</w:t>
      </w:r>
      <w:r w:rsidR="0003405C" w:rsidRPr="00617696">
        <w:rPr>
          <w:szCs w:val="24"/>
        </w:rPr>
        <w:t xml:space="preserve"> </w:t>
      </w:r>
      <w:r w:rsidRPr="00617696">
        <w:rPr>
          <w:szCs w:val="24"/>
        </w:rPr>
        <w:t>are as follows:</w:t>
      </w:r>
    </w:p>
    <w:p w14:paraId="55EDD3E5" w14:textId="77777777" w:rsidR="00D90216" w:rsidRPr="00AF3DCD" w:rsidRDefault="00D90216" w:rsidP="00D90216">
      <w:pPr>
        <w:pStyle w:val="BodyTextIndent"/>
        <w:rPr>
          <w:sz w:val="22"/>
          <w:szCs w:val="22"/>
          <w:lang w:val="en-GB"/>
        </w:rPr>
      </w:pPr>
    </w:p>
    <w:tbl>
      <w:tblPr>
        <w:tblW w:w="102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1"/>
        <w:gridCol w:w="1439"/>
        <w:gridCol w:w="2067"/>
        <w:gridCol w:w="1276"/>
        <w:gridCol w:w="1134"/>
        <w:gridCol w:w="1842"/>
      </w:tblGrid>
      <w:tr w:rsidR="00405586" w:rsidRPr="00AF3DCD" w14:paraId="0EAF2185" w14:textId="77777777" w:rsidTr="00611673">
        <w:trPr>
          <w:tblHeader/>
        </w:trPr>
        <w:tc>
          <w:tcPr>
            <w:tcW w:w="2481" w:type="dxa"/>
            <w:shd w:val="clear" w:color="auto" w:fill="BD2716"/>
          </w:tcPr>
          <w:p w14:paraId="1FE6CD50" w14:textId="77777777" w:rsidR="00D90216" w:rsidRPr="007641BA" w:rsidRDefault="00D90216" w:rsidP="00D72DD9">
            <w:pPr>
              <w:pStyle w:val="BodyTextIndent"/>
              <w:ind w:left="0"/>
              <w:rPr>
                <w:color w:val="FFFFFF" w:themeColor="background1"/>
                <w:szCs w:val="24"/>
                <w:lang w:val="en-GB"/>
              </w:rPr>
            </w:pPr>
          </w:p>
        </w:tc>
        <w:tc>
          <w:tcPr>
            <w:tcW w:w="1439" w:type="dxa"/>
            <w:shd w:val="clear" w:color="auto" w:fill="BD2716"/>
            <w:vAlign w:val="center"/>
          </w:tcPr>
          <w:p w14:paraId="2ABC2450" w14:textId="77777777" w:rsidR="00D90216" w:rsidRPr="007641BA" w:rsidRDefault="00D90216" w:rsidP="00611673">
            <w:pPr>
              <w:pStyle w:val="BodyTextIndent"/>
              <w:ind w:left="0"/>
              <w:jc w:val="right"/>
              <w:rPr>
                <w:color w:val="FFFFFF" w:themeColor="background1"/>
                <w:szCs w:val="24"/>
                <w:lang w:val="en-GB"/>
              </w:rPr>
            </w:pPr>
            <w:r w:rsidRPr="007641BA">
              <w:rPr>
                <w:color w:val="FFFFFF" w:themeColor="background1"/>
                <w:szCs w:val="24"/>
                <w:lang w:val="en-GB"/>
              </w:rPr>
              <w:t>Payment for Services</w:t>
            </w:r>
          </w:p>
          <w:p w14:paraId="745F36B9" w14:textId="6980CD51" w:rsidR="0058790E" w:rsidRPr="007641BA" w:rsidRDefault="0058790E" w:rsidP="00611673">
            <w:pPr>
              <w:pStyle w:val="BodyTextIndent"/>
              <w:ind w:left="0"/>
              <w:jc w:val="right"/>
              <w:rPr>
                <w:color w:val="FFFFFF" w:themeColor="background1"/>
                <w:szCs w:val="24"/>
                <w:lang w:val="en-GB"/>
              </w:rPr>
            </w:pPr>
            <w:r w:rsidRPr="007641BA">
              <w:rPr>
                <w:color w:val="FFFFFF" w:themeColor="background1"/>
                <w:szCs w:val="24"/>
                <w:lang w:val="en-GB"/>
              </w:rPr>
              <w:t>£000</w:t>
            </w:r>
          </w:p>
        </w:tc>
        <w:tc>
          <w:tcPr>
            <w:tcW w:w="2067" w:type="dxa"/>
            <w:shd w:val="clear" w:color="auto" w:fill="BD2716"/>
            <w:vAlign w:val="center"/>
          </w:tcPr>
          <w:p w14:paraId="0E20D5FE" w14:textId="77777777" w:rsidR="00D90216" w:rsidRPr="007641BA" w:rsidRDefault="00D90216" w:rsidP="00611673">
            <w:pPr>
              <w:pStyle w:val="BodyTextIndent"/>
              <w:ind w:left="0" w:right="139"/>
              <w:jc w:val="right"/>
              <w:rPr>
                <w:color w:val="FFFFFF" w:themeColor="background1"/>
                <w:szCs w:val="24"/>
                <w:lang w:val="en-GB"/>
              </w:rPr>
            </w:pPr>
            <w:r w:rsidRPr="007641BA">
              <w:rPr>
                <w:color w:val="FFFFFF" w:themeColor="background1"/>
                <w:szCs w:val="24"/>
                <w:lang w:val="en-GB"/>
              </w:rPr>
              <w:t xml:space="preserve">Reimbursement of Capital </w:t>
            </w:r>
            <w:r w:rsidR="00405586" w:rsidRPr="007641BA">
              <w:rPr>
                <w:color w:val="FFFFFF" w:themeColor="background1"/>
                <w:szCs w:val="24"/>
                <w:lang w:val="en-GB"/>
              </w:rPr>
              <w:t>Expenditure</w:t>
            </w:r>
          </w:p>
          <w:p w14:paraId="03C34E0C" w14:textId="4AD6A4BB" w:rsidR="0058790E" w:rsidRPr="007641BA" w:rsidRDefault="0058790E" w:rsidP="00611673">
            <w:pPr>
              <w:pStyle w:val="BodyTextIndent"/>
              <w:ind w:left="0" w:right="139"/>
              <w:jc w:val="right"/>
              <w:rPr>
                <w:color w:val="FFFFFF" w:themeColor="background1"/>
                <w:szCs w:val="24"/>
                <w:lang w:val="en-GB"/>
              </w:rPr>
            </w:pPr>
            <w:r w:rsidRPr="007641BA">
              <w:rPr>
                <w:color w:val="FFFFFF" w:themeColor="background1"/>
                <w:szCs w:val="24"/>
                <w:lang w:val="en-GB"/>
              </w:rPr>
              <w:t>£000</w:t>
            </w:r>
          </w:p>
        </w:tc>
        <w:tc>
          <w:tcPr>
            <w:tcW w:w="1276" w:type="dxa"/>
            <w:shd w:val="clear" w:color="auto" w:fill="BD2716"/>
            <w:vAlign w:val="center"/>
          </w:tcPr>
          <w:p w14:paraId="228F83E2" w14:textId="77777777" w:rsidR="00D90216" w:rsidRPr="007641BA" w:rsidRDefault="00D90216" w:rsidP="00611673">
            <w:pPr>
              <w:pStyle w:val="BodyTextIndent"/>
              <w:ind w:left="-81" w:right="40"/>
              <w:jc w:val="right"/>
              <w:rPr>
                <w:color w:val="FFFFFF" w:themeColor="background1"/>
                <w:szCs w:val="24"/>
                <w:lang w:val="en-GB"/>
              </w:rPr>
            </w:pPr>
            <w:r w:rsidRPr="007641BA">
              <w:rPr>
                <w:color w:val="FFFFFF" w:themeColor="background1"/>
                <w:szCs w:val="24"/>
                <w:lang w:val="en-GB"/>
              </w:rPr>
              <w:t>Interest</w:t>
            </w:r>
          </w:p>
          <w:p w14:paraId="7695D921" w14:textId="5A658A82" w:rsidR="0058790E" w:rsidRPr="007641BA" w:rsidRDefault="0058790E" w:rsidP="00611673">
            <w:pPr>
              <w:pStyle w:val="BodyTextIndent"/>
              <w:ind w:left="-81" w:right="40"/>
              <w:jc w:val="right"/>
              <w:rPr>
                <w:color w:val="FFFFFF" w:themeColor="background1"/>
                <w:szCs w:val="24"/>
                <w:lang w:val="en-GB"/>
              </w:rPr>
            </w:pPr>
            <w:r w:rsidRPr="007641BA">
              <w:rPr>
                <w:color w:val="FFFFFF" w:themeColor="background1"/>
                <w:szCs w:val="24"/>
                <w:lang w:val="en-GB"/>
              </w:rPr>
              <w:t>£000</w:t>
            </w:r>
          </w:p>
        </w:tc>
        <w:tc>
          <w:tcPr>
            <w:tcW w:w="1134" w:type="dxa"/>
            <w:shd w:val="clear" w:color="auto" w:fill="BD2716"/>
            <w:vAlign w:val="center"/>
          </w:tcPr>
          <w:p w14:paraId="2B7FFC66" w14:textId="77777777" w:rsidR="00D90216" w:rsidRPr="007641BA" w:rsidRDefault="00D90216" w:rsidP="00611673">
            <w:pPr>
              <w:pStyle w:val="BodyTextIndent"/>
              <w:ind w:left="0"/>
              <w:jc w:val="right"/>
              <w:rPr>
                <w:color w:val="FFFFFF" w:themeColor="background1"/>
                <w:szCs w:val="24"/>
                <w:lang w:val="en-GB"/>
              </w:rPr>
            </w:pPr>
            <w:r w:rsidRPr="007641BA">
              <w:rPr>
                <w:color w:val="FFFFFF" w:themeColor="background1"/>
                <w:szCs w:val="24"/>
                <w:lang w:val="en-GB"/>
              </w:rPr>
              <w:t>Total</w:t>
            </w:r>
          </w:p>
          <w:p w14:paraId="6DB7BEB9" w14:textId="193D2B2A" w:rsidR="0058790E" w:rsidRPr="007641BA" w:rsidRDefault="0058790E" w:rsidP="00611673">
            <w:pPr>
              <w:pStyle w:val="BodyTextIndent"/>
              <w:ind w:left="0"/>
              <w:jc w:val="right"/>
              <w:rPr>
                <w:color w:val="FFFFFF" w:themeColor="background1"/>
                <w:szCs w:val="24"/>
                <w:lang w:val="en-GB"/>
              </w:rPr>
            </w:pPr>
            <w:r w:rsidRPr="007641BA">
              <w:rPr>
                <w:color w:val="FFFFFF" w:themeColor="background1"/>
                <w:szCs w:val="24"/>
                <w:lang w:val="en-GB"/>
              </w:rPr>
              <w:t>£000</w:t>
            </w:r>
          </w:p>
        </w:tc>
        <w:tc>
          <w:tcPr>
            <w:tcW w:w="1842" w:type="dxa"/>
            <w:shd w:val="clear" w:color="auto" w:fill="BD2716"/>
            <w:vAlign w:val="center"/>
          </w:tcPr>
          <w:p w14:paraId="511BCBE2" w14:textId="77777777" w:rsidR="00D90216" w:rsidRPr="007641BA" w:rsidRDefault="00D90216" w:rsidP="00611673">
            <w:pPr>
              <w:pStyle w:val="BodyTextIndent"/>
              <w:ind w:left="0"/>
              <w:jc w:val="right"/>
              <w:rPr>
                <w:color w:val="FFFFFF" w:themeColor="background1"/>
                <w:szCs w:val="24"/>
                <w:lang w:val="en-GB"/>
              </w:rPr>
            </w:pPr>
            <w:r w:rsidRPr="007641BA">
              <w:rPr>
                <w:color w:val="FFFFFF" w:themeColor="background1"/>
                <w:szCs w:val="24"/>
                <w:lang w:val="en-GB"/>
              </w:rPr>
              <w:t>Government Subsidy</w:t>
            </w:r>
          </w:p>
          <w:p w14:paraId="3D1CA33D" w14:textId="02871D9C" w:rsidR="0058790E" w:rsidRPr="007641BA" w:rsidRDefault="0058790E" w:rsidP="00611673">
            <w:pPr>
              <w:pStyle w:val="BodyTextIndent"/>
              <w:ind w:left="0"/>
              <w:jc w:val="right"/>
              <w:rPr>
                <w:color w:val="FFFFFF" w:themeColor="background1"/>
                <w:szCs w:val="24"/>
                <w:lang w:val="en-GB"/>
              </w:rPr>
            </w:pPr>
            <w:r w:rsidRPr="007641BA">
              <w:rPr>
                <w:color w:val="FFFFFF" w:themeColor="background1"/>
                <w:szCs w:val="24"/>
                <w:lang w:val="en-GB"/>
              </w:rPr>
              <w:t>£000</w:t>
            </w:r>
          </w:p>
        </w:tc>
      </w:tr>
      <w:tr w:rsidR="006023F6" w:rsidRPr="00E66DE8" w14:paraId="15DBA55F" w14:textId="77777777" w:rsidTr="00DD63D7">
        <w:tc>
          <w:tcPr>
            <w:tcW w:w="2481" w:type="dxa"/>
            <w:shd w:val="clear" w:color="auto" w:fill="auto"/>
            <w:vAlign w:val="bottom"/>
          </w:tcPr>
          <w:p w14:paraId="7EAC91DE" w14:textId="77777777" w:rsidR="006023F6" w:rsidRPr="00233BF0" w:rsidRDefault="006023F6" w:rsidP="006023F6">
            <w:pPr>
              <w:pStyle w:val="BodyTextIndent"/>
              <w:ind w:left="0"/>
              <w:rPr>
                <w:szCs w:val="24"/>
                <w:lang w:val="en-GB"/>
              </w:rPr>
            </w:pPr>
            <w:r w:rsidRPr="00233BF0">
              <w:rPr>
                <w:szCs w:val="24"/>
                <w:lang w:val="en-GB"/>
              </w:rPr>
              <w:t>Payable in 1 year</w:t>
            </w:r>
          </w:p>
        </w:tc>
        <w:tc>
          <w:tcPr>
            <w:tcW w:w="1439" w:type="dxa"/>
            <w:shd w:val="clear" w:color="auto" w:fill="auto"/>
            <w:vAlign w:val="center"/>
          </w:tcPr>
          <w:p w14:paraId="3D64EE68" w14:textId="3711FD64" w:rsidR="006023F6" w:rsidRPr="001E71F1" w:rsidRDefault="006023F6" w:rsidP="00DD63D7">
            <w:pPr>
              <w:tabs>
                <w:tab w:val="decimal" w:pos="648"/>
                <w:tab w:val="decimal" w:pos="738"/>
              </w:tabs>
              <w:jc w:val="right"/>
              <w:rPr>
                <w:szCs w:val="24"/>
              </w:rPr>
            </w:pPr>
            <w:r w:rsidRPr="00233BF0">
              <w:rPr>
                <w:szCs w:val="24"/>
              </w:rPr>
              <w:t>853</w:t>
            </w:r>
          </w:p>
        </w:tc>
        <w:tc>
          <w:tcPr>
            <w:tcW w:w="2067" w:type="dxa"/>
            <w:shd w:val="clear" w:color="auto" w:fill="auto"/>
            <w:vAlign w:val="center"/>
          </w:tcPr>
          <w:p w14:paraId="641ACFE4" w14:textId="5B7B41B5" w:rsidR="006023F6" w:rsidRPr="001E71F1" w:rsidRDefault="006023F6" w:rsidP="00DD63D7">
            <w:pPr>
              <w:tabs>
                <w:tab w:val="decimal" w:pos="648"/>
                <w:tab w:val="decimal" w:pos="738"/>
              </w:tabs>
              <w:jc w:val="right"/>
              <w:rPr>
                <w:szCs w:val="24"/>
              </w:rPr>
            </w:pPr>
            <w:r w:rsidRPr="00233BF0">
              <w:rPr>
                <w:szCs w:val="24"/>
              </w:rPr>
              <w:t>483</w:t>
            </w:r>
          </w:p>
        </w:tc>
        <w:tc>
          <w:tcPr>
            <w:tcW w:w="1276" w:type="dxa"/>
            <w:shd w:val="clear" w:color="auto" w:fill="auto"/>
            <w:vAlign w:val="center"/>
          </w:tcPr>
          <w:p w14:paraId="73A63BEF" w14:textId="3DC32474" w:rsidR="006023F6" w:rsidRPr="001E71F1" w:rsidRDefault="006023F6" w:rsidP="00DD63D7">
            <w:pPr>
              <w:tabs>
                <w:tab w:val="decimal" w:pos="648"/>
              </w:tabs>
              <w:jc w:val="right"/>
              <w:rPr>
                <w:szCs w:val="24"/>
              </w:rPr>
            </w:pPr>
            <w:r w:rsidRPr="00233BF0">
              <w:rPr>
                <w:szCs w:val="24"/>
              </w:rPr>
              <w:t>1,263</w:t>
            </w:r>
          </w:p>
        </w:tc>
        <w:tc>
          <w:tcPr>
            <w:tcW w:w="1134" w:type="dxa"/>
            <w:shd w:val="clear" w:color="auto" w:fill="auto"/>
            <w:vAlign w:val="center"/>
          </w:tcPr>
          <w:p w14:paraId="4B56456C" w14:textId="5E451BA5" w:rsidR="006023F6" w:rsidRPr="001E71F1" w:rsidRDefault="006023F6" w:rsidP="00DD63D7">
            <w:pPr>
              <w:tabs>
                <w:tab w:val="decimal" w:pos="648"/>
                <w:tab w:val="decimal" w:pos="738"/>
              </w:tabs>
              <w:jc w:val="right"/>
              <w:rPr>
                <w:szCs w:val="24"/>
              </w:rPr>
            </w:pPr>
            <w:r w:rsidRPr="00233BF0">
              <w:rPr>
                <w:szCs w:val="24"/>
              </w:rPr>
              <w:t>2,599</w:t>
            </w:r>
          </w:p>
        </w:tc>
        <w:tc>
          <w:tcPr>
            <w:tcW w:w="1842" w:type="dxa"/>
            <w:shd w:val="clear" w:color="auto" w:fill="auto"/>
            <w:vAlign w:val="center"/>
          </w:tcPr>
          <w:p w14:paraId="47B214FA" w14:textId="3E9D043D" w:rsidR="006023F6" w:rsidRPr="001E71F1" w:rsidRDefault="006023F6" w:rsidP="00DD63D7">
            <w:pPr>
              <w:tabs>
                <w:tab w:val="decimal" w:pos="648"/>
                <w:tab w:val="decimal" w:pos="738"/>
                <w:tab w:val="decimal" w:pos="1046"/>
              </w:tabs>
              <w:jc w:val="right"/>
              <w:rPr>
                <w:szCs w:val="24"/>
              </w:rPr>
            </w:pPr>
            <w:r w:rsidRPr="00233BF0">
              <w:rPr>
                <w:szCs w:val="24"/>
              </w:rPr>
              <w:t>1,734</w:t>
            </w:r>
          </w:p>
        </w:tc>
      </w:tr>
      <w:tr w:rsidR="006023F6" w:rsidRPr="00E66DE8" w14:paraId="2FFB281F" w14:textId="77777777" w:rsidTr="00DD63D7">
        <w:trPr>
          <w:trHeight w:val="257"/>
        </w:trPr>
        <w:tc>
          <w:tcPr>
            <w:tcW w:w="2481" w:type="dxa"/>
            <w:shd w:val="clear" w:color="auto" w:fill="auto"/>
            <w:vAlign w:val="bottom"/>
          </w:tcPr>
          <w:p w14:paraId="2663EC3B" w14:textId="77777777" w:rsidR="006023F6" w:rsidRPr="00233BF0" w:rsidRDefault="006023F6" w:rsidP="006023F6">
            <w:pPr>
              <w:pStyle w:val="BodyTextIndent"/>
              <w:ind w:left="0"/>
              <w:rPr>
                <w:szCs w:val="24"/>
                <w:lang w:val="en-GB"/>
              </w:rPr>
            </w:pPr>
            <w:r w:rsidRPr="00233BF0">
              <w:rPr>
                <w:szCs w:val="24"/>
                <w:lang w:val="en-GB"/>
              </w:rPr>
              <w:t>Payable within 2-5 years</w:t>
            </w:r>
          </w:p>
        </w:tc>
        <w:tc>
          <w:tcPr>
            <w:tcW w:w="1439" w:type="dxa"/>
            <w:shd w:val="clear" w:color="auto" w:fill="auto"/>
            <w:vAlign w:val="center"/>
          </w:tcPr>
          <w:p w14:paraId="626A482E" w14:textId="46EBDC52" w:rsidR="006023F6" w:rsidRPr="001E71F1" w:rsidRDefault="006023F6" w:rsidP="00DD63D7">
            <w:pPr>
              <w:tabs>
                <w:tab w:val="decimal" w:pos="648"/>
                <w:tab w:val="decimal" w:pos="738"/>
              </w:tabs>
              <w:jc w:val="right"/>
              <w:rPr>
                <w:szCs w:val="24"/>
              </w:rPr>
            </w:pPr>
            <w:r w:rsidRPr="00233BF0">
              <w:rPr>
                <w:szCs w:val="24"/>
              </w:rPr>
              <w:t>3,647</w:t>
            </w:r>
          </w:p>
        </w:tc>
        <w:tc>
          <w:tcPr>
            <w:tcW w:w="2067" w:type="dxa"/>
            <w:shd w:val="clear" w:color="auto" w:fill="auto"/>
            <w:vAlign w:val="center"/>
          </w:tcPr>
          <w:p w14:paraId="2260081F" w14:textId="2059E497" w:rsidR="006023F6" w:rsidRPr="001E71F1" w:rsidRDefault="006023F6" w:rsidP="00DD63D7">
            <w:pPr>
              <w:tabs>
                <w:tab w:val="decimal" w:pos="648"/>
                <w:tab w:val="decimal" w:pos="738"/>
              </w:tabs>
              <w:jc w:val="right"/>
              <w:rPr>
                <w:szCs w:val="24"/>
              </w:rPr>
            </w:pPr>
            <w:r w:rsidRPr="00233BF0">
              <w:rPr>
                <w:szCs w:val="24"/>
              </w:rPr>
              <w:t>2,410</w:t>
            </w:r>
          </w:p>
        </w:tc>
        <w:tc>
          <w:tcPr>
            <w:tcW w:w="1276" w:type="dxa"/>
            <w:shd w:val="clear" w:color="auto" w:fill="auto"/>
            <w:vAlign w:val="center"/>
          </w:tcPr>
          <w:p w14:paraId="592446F5" w14:textId="15D6307A" w:rsidR="006023F6" w:rsidRPr="001E71F1" w:rsidRDefault="006023F6" w:rsidP="00DD63D7">
            <w:pPr>
              <w:tabs>
                <w:tab w:val="decimal" w:pos="648"/>
              </w:tabs>
              <w:jc w:val="right"/>
              <w:rPr>
                <w:szCs w:val="24"/>
              </w:rPr>
            </w:pPr>
            <w:r w:rsidRPr="00233BF0">
              <w:rPr>
                <w:szCs w:val="24"/>
              </w:rPr>
              <w:t>4,658</w:t>
            </w:r>
          </w:p>
        </w:tc>
        <w:tc>
          <w:tcPr>
            <w:tcW w:w="1134" w:type="dxa"/>
            <w:shd w:val="clear" w:color="auto" w:fill="auto"/>
            <w:vAlign w:val="center"/>
          </w:tcPr>
          <w:p w14:paraId="5FC2F999" w14:textId="24F126CB" w:rsidR="006023F6" w:rsidRPr="001E71F1" w:rsidRDefault="006023F6" w:rsidP="00DD63D7">
            <w:pPr>
              <w:tabs>
                <w:tab w:val="decimal" w:pos="648"/>
                <w:tab w:val="decimal" w:pos="738"/>
              </w:tabs>
              <w:jc w:val="right"/>
              <w:rPr>
                <w:szCs w:val="24"/>
              </w:rPr>
            </w:pPr>
            <w:r w:rsidRPr="00233BF0">
              <w:rPr>
                <w:szCs w:val="24"/>
              </w:rPr>
              <w:t>10,715</w:t>
            </w:r>
          </w:p>
        </w:tc>
        <w:tc>
          <w:tcPr>
            <w:tcW w:w="1842" w:type="dxa"/>
            <w:shd w:val="clear" w:color="auto" w:fill="auto"/>
            <w:vAlign w:val="center"/>
          </w:tcPr>
          <w:p w14:paraId="55EE3F31" w14:textId="4693004C" w:rsidR="006023F6" w:rsidRPr="001E71F1" w:rsidRDefault="006023F6" w:rsidP="00DD63D7">
            <w:pPr>
              <w:tabs>
                <w:tab w:val="decimal" w:pos="648"/>
                <w:tab w:val="decimal" w:pos="738"/>
                <w:tab w:val="decimal" w:pos="1046"/>
              </w:tabs>
              <w:jc w:val="right"/>
              <w:rPr>
                <w:szCs w:val="24"/>
              </w:rPr>
            </w:pPr>
            <w:r w:rsidRPr="00233BF0">
              <w:rPr>
                <w:szCs w:val="24"/>
              </w:rPr>
              <w:t>6,935</w:t>
            </w:r>
          </w:p>
        </w:tc>
      </w:tr>
      <w:tr w:rsidR="006023F6" w:rsidRPr="00E66DE8" w14:paraId="051984C3" w14:textId="77777777" w:rsidTr="00DD63D7">
        <w:tc>
          <w:tcPr>
            <w:tcW w:w="2481" w:type="dxa"/>
            <w:shd w:val="clear" w:color="auto" w:fill="auto"/>
            <w:vAlign w:val="bottom"/>
          </w:tcPr>
          <w:p w14:paraId="513F07A0" w14:textId="77777777" w:rsidR="006023F6" w:rsidRPr="00233BF0" w:rsidRDefault="006023F6" w:rsidP="006023F6">
            <w:pPr>
              <w:pStyle w:val="BodyTextIndent"/>
              <w:ind w:left="0"/>
              <w:rPr>
                <w:szCs w:val="24"/>
                <w:lang w:val="en-GB"/>
              </w:rPr>
            </w:pPr>
            <w:r w:rsidRPr="00233BF0">
              <w:rPr>
                <w:szCs w:val="24"/>
                <w:lang w:val="en-GB"/>
              </w:rPr>
              <w:t>Payable within 6-10 years</w:t>
            </w:r>
          </w:p>
        </w:tc>
        <w:tc>
          <w:tcPr>
            <w:tcW w:w="1439" w:type="dxa"/>
            <w:shd w:val="clear" w:color="auto" w:fill="auto"/>
            <w:vAlign w:val="center"/>
          </w:tcPr>
          <w:p w14:paraId="7A146135" w14:textId="7F2576C3" w:rsidR="006023F6" w:rsidRPr="001E71F1" w:rsidRDefault="006023F6" w:rsidP="00DD63D7">
            <w:pPr>
              <w:tabs>
                <w:tab w:val="decimal" w:pos="648"/>
                <w:tab w:val="decimal" w:pos="738"/>
              </w:tabs>
              <w:jc w:val="right"/>
              <w:rPr>
                <w:szCs w:val="24"/>
              </w:rPr>
            </w:pPr>
            <w:r w:rsidRPr="00233BF0">
              <w:rPr>
                <w:szCs w:val="24"/>
              </w:rPr>
              <w:t>5,160</w:t>
            </w:r>
          </w:p>
        </w:tc>
        <w:tc>
          <w:tcPr>
            <w:tcW w:w="2067" w:type="dxa"/>
            <w:shd w:val="clear" w:color="auto" w:fill="auto"/>
            <w:vAlign w:val="center"/>
          </w:tcPr>
          <w:p w14:paraId="7AE23785" w14:textId="427D08AD" w:rsidR="006023F6" w:rsidRPr="001E71F1" w:rsidRDefault="006023F6" w:rsidP="00DD63D7">
            <w:pPr>
              <w:tabs>
                <w:tab w:val="decimal" w:pos="648"/>
                <w:tab w:val="decimal" w:pos="738"/>
              </w:tabs>
              <w:jc w:val="right"/>
              <w:rPr>
                <w:szCs w:val="24"/>
              </w:rPr>
            </w:pPr>
            <w:r w:rsidRPr="00233BF0">
              <w:rPr>
                <w:szCs w:val="24"/>
              </w:rPr>
              <w:t>4,620</w:t>
            </w:r>
          </w:p>
        </w:tc>
        <w:tc>
          <w:tcPr>
            <w:tcW w:w="1276" w:type="dxa"/>
            <w:shd w:val="clear" w:color="auto" w:fill="auto"/>
            <w:vAlign w:val="center"/>
          </w:tcPr>
          <w:p w14:paraId="5378E087" w14:textId="31DD2854" w:rsidR="006023F6" w:rsidRPr="001E71F1" w:rsidRDefault="006023F6" w:rsidP="00DD63D7">
            <w:pPr>
              <w:tabs>
                <w:tab w:val="decimal" w:pos="648"/>
              </w:tabs>
              <w:jc w:val="right"/>
              <w:rPr>
                <w:szCs w:val="24"/>
              </w:rPr>
            </w:pPr>
            <w:r w:rsidRPr="00233BF0">
              <w:rPr>
                <w:szCs w:val="24"/>
              </w:rPr>
              <w:t>4,199</w:t>
            </w:r>
          </w:p>
        </w:tc>
        <w:tc>
          <w:tcPr>
            <w:tcW w:w="1134" w:type="dxa"/>
            <w:shd w:val="clear" w:color="auto" w:fill="auto"/>
            <w:vAlign w:val="center"/>
          </w:tcPr>
          <w:p w14:paraId="5F4A7495" w14:textId="0018E1BE" w:rsidR="006023F6" w:rsidRPr="001E71F1" w:rsidRDefault="006023F6" w:rsidP="00DD63D7">
            <w:pPr>
              <w:tabs>
                <w:tab w:val="decimal" w:pos="648"/>
                <w:tab w:val="decimal" w:pos="738"/>
              </w:tabs>
              <w:jc w:val="right"/>
              <w:rPr>
                <w:szCs w:val="24"/>
              </w:rPr>
            </w:pPr>
            <w:r w:rsidRPr="00233BF0">
              <w:rPr>
                <w:szCs w:val="24"/>
              </w:rPr>
              <w:t>13,979</w:t>
            </w:r>
          </w:p>
        </w:tc>
        <w:tc>
          <w:tcPr>
            <w:tcW w:w="1842" w:type="dxa"/>
            <w:shd w:val="clear" w:color="auto" w:fill="auto"/>
            <w:vAlign w:val="center"/>
          </w:tcPr>
          <w:p w14:paraId="4667544A" w14:textId="6570CE9D" w:rsidR="006023F6" w:rsidRPr="001E71F1" w:rsidRDefault="006023F6" w:rsidP="00DD63D7">
            <w:pPr>
              <w:tabs>
                <w:tab w:val="decimal" w:pos="648"/>
                <w:tab w:val="decimal" w:pos="738"/>
                <w:tab w:val="decimal" w:pos="1046"/>
              </w:tabs>
              <w:jc w:val="right"/>
              <w:rPr>
                <w:szCs w:val="24"/>
              </w:rPr>
            </w:pPr>
            <w:r w:rsidRPr="00233BF0">
              <w:rPr>
                <w:szCs w:val="24"/>
              </w:rPr>
              <w:t>8,648</w:t>
            </w:r>
          </w:p>
        </w:tc>
      </w:tr>
      <w:tr w:rsidR="006023F6" w:rsidRPr="00E66DE8" w14:paraId="4AECCF04" w14:textId="77777777" w:rsidTr="00DD63D7">
        <w:tc>
          <w:tcPr>
            <w:tcW w:w="2481" w:type="dxa"/>
            <w:shd w:val="clear" w:color="auto" w:fill="auto"/>
            <w:vAlign w:val="bottom"/>
          </w:tcPr>
          <w:p w14:paraId="3F06D334" w14:textId="77777777" w:rsidR="006023F6" w:rsidRPr="00233BF0" w:rsidRDefault="006023F6" w:rsidP="006023F6">
            <w:pPr>
              <w:pStyle w:val="BodyTextIndent"/>
              <w:ind w:left="0"/>
              <w:rPr>
                <w:szCs w:val="24"/>
                <w:lang w:val="en-GB"/>
              </w:rPr>
            </w:pPr>
            <w:r w:rsidRPr="00233BF0">
              <w:rPr>
                <w:szCs w:val="24"/>
                <w:lang w:val="en-GB"/>
              </w:rPr>
              <w:t>Payable within 11-15 years</w:t>
            </w:r>
          </w:p>
        </w:tc>
        <w:tc>
          <w:tcPr>
            <w:tcW w:w="1439" w:type="dxa"/>
            <w:shd w:val="clear" w:color="auto" w:fill="auto"/>
            <w:vAlign w:val="center"/>
          </w:tcPr>
          <w:p w14:paraId="03E14BBC" w14:textId="7E5E14C2" w:rsidR="006023F6" w:rsidRPr="001E71F1" w:rsidRDefault="006023F6" w:rsidP="00DD63D7">
            <w:pPr>
              <w:tabs>
                <w:tab w:val="decimal" w:pos="648"/>
                <w:tab w:val="decimal" w:pos="738"/>
              </w:tabs>
              <w:jc w:val="right"/>
              <w:rPr>
                <w:szCs w:val="24"/>
              </w:rPr>
            </w:pPr>
            <w:r w:rsidRPr="00233BF0">
              <w:rPr>
                <w:szCs w:val="24"/>
              </w:rPr>
              <w:t>3,552</w:t>
            </w:r>
          </w:p>
        </w:tc>
        <w:tc>
          <w:tcPr>
            <w:tcW w:w="2067" w:type="dxa"/>
            <w:shd w:val="clear" w:color="auto" w:fill="auto"/>
            <w:vAlign w:val="center"/>
          </w:tcPr>
          <w:p w14:paraId="7523169A" w14:textId="4F7E113D" w:rsidR="006023F6" w:rsidRPr="001E71F1" w:rsidRDefault="006023F6" w:rsidP="00DD63D7">
            <w:pPr>
              <w:tabs>
                <w:tab w:val="decimal" w:pos="648"/>
                <w:tab w:val="decimal" w:pos="738"/>
              </w:tabs>
              <w:jc w:val="right"/>
              <w:rPr>
                <w:szCs w:val="24"/>
              </w:rPr>
            </w:pPr>
            <w:r w:rsidRPr="00233BF0">
              <w:rPr>
                <w:szCs w:val="24"/>
              </w:rPr>
              <w:t>4,580</w:t>
            </w:r>
          </w:p>
        </w:tc>
        <w:tc>
          <w:tcPr>
            <w:tcW w:w="1276" w:type="dxa"/>
            <w:shd w:val="clear" w:color="auto" w:fill="auto"/>
            <w:vAlign w:val="center"/>
          </w:tcPr>
          <w:p w14:paraId="5E2711B2" w14:textId="60C7F65C" w:rsidR="006023F6" w:rsidRPr="001E71F1" w:rsidRDefault="006023F6" w:rsidP="00DD63D7">
            <w:pPr>
              <w:tabs>
                <w:tab w:val="decimal" w:pos="648"/>
              </w:tabs>
              <w:jc w:val="right"/>
              <w:rPr>
                <w:szCs w:val="24"/>
              </w:rPr>
            </w:pPr>
            <w:r w:rsidRPr="00233BF0">
              <w:rPr>
                <w:szCs w:val="24"/>
              </w:rPr>
              <w:t>1,989</w:t>
            </w:r>
          </w:p>
        </w:tc>
        <w:tc>
          <w:tcPr>
            <w:tcW w:w="1134" w:type="dxa"/>
            <w:shd w:val="clear" w:color="auto" w:fill="auto"/>
            <w:vAlign w:val="center"/>
          </w:tcPr>
          <w:p w14:paraId="1BDECE54" w14:textId="13B049AE" w:rsidR="006023F6" w:rsidRPr="001E71F1" w:rsidRDefault="006023F6" w:rsidP="00DD63D7">
            <w:pPr>
              <w:tabs>
                <w:tab w:val="decimal" w:pos="648"/>
                <w:tab w:val="decimal" w:pos="738"/>
              </w:tabs>
              <w:jc w:val="right"/>
              <w:rPr>
                <w:szCs w:val="24"/>
              </w:rPr>
            </w:pPr>
            <w:r w:rsidRPr="00233BF0">
              <w:rPr>
                <w:szCs w:val="24"/>
              </w:rPr>
              <w:t>10,122</w:t>
            </w:r>
          </w:p>
        </w:tc>
        <w:tc>
          <w:tcPr>
            <w:tcW w:w="1842" w:type="dxa"/>
            <w:shd w:val="clear" w:color="auto" w:fill="auto"/>
            <w:vAlign w:val="center"/>
          </w:tcPr>
          <w:p w14:paraId="4D9E3F3C" w14:textId="4FCC441F" w:rsidR="006023F6" w:rsidRPr="001E71F1" w:rsidRDefault="006023F6" w:rsidP="00DD63D7">
            <w:pPr>
              <w:tabs>
                <w:tab w:val="decimal" w:pos="648"/>
                <w:tab w:val="decimal" w:pos="738"/>
                <w:tab w:val="decimal" w:pos="1046"/>
              </w:tabs>
              <w:jc w:val="right"/>
              <w:rPr>
                <w:szCs w:val="24"/>
              </w:rPr>
            </w:pPr>
            <w:r w:rsidRPr="00233BF0">
              <w:rPr>
                <w:szCs w:val="24"/>
              </w:rPr>
              <w:t>6,256</w:t>
            </w:r>
          </w:p>
        </w:tc>
      </w:tr>
      <w:tr w:rsidR="006023F6" w:rsidRPr="00E66DE8" w14:paraId="40BC5C3B" w14:textId="77777777" w:rsidTr="00DD63D7">
        <w:tc>
          <w:tcPr>
            <w:tcW w:w="2481" w:type="dxa"/>
            <w:shd w:val="clear" w:color="auto" w:fill="auto"/>
            <w:vAlign w:val="bottom"/>
          </w:tcPr>
          <w:p w14:paraId="79CEADB5" w14:textId="77777777" w:rsidR="006023F6" w:rsidRPr="00233BF0" w:rsidRDefault="006023F6" w:rsidP="006023F6">
            <w:pPr>
              <w:pStyle w:val="BodyTextIndent"/>
              <w:ind w:left="0"/>
              <w:rPr>
                <w:szCs w:val="24"/>
                <w:lang w:val="en-GB"/>
              </w:rPr>
            </w:pPr>
            <w:r w:rsidRPr="00233BF0">
              <w:rPr>
                <w:szCs w:val="24"/>
                <w:lang w:val="en-GB"/>
              </w:rPr>
              <w:t>Payable within 16-20 years</w:t>
            </w:r>
          </w:p>
        </w:tc>
        <w:tc>
          <w:tcPr>
            <w:tcW w:w="1439" w:type="dxa"/>
            <w:shd w:val="clear" w:color="auto" w:fill="auto"/>
            <w:vAlign w:val="center"/>
          </w:tcPr>
          <w:p w14:paraId="08EAF01E" w14:textId="3B14BB88" w:rsidR="006023F6" w:rsidRPr="001E71F1" w:rsidRDefault="006023F6" w:rsidP="00DD63D7">
            <w:pPr>
              <w:tabs>
                <w:tab w:val="decimal" w:pos="648"/>
                <w:tab w:val="decimal" w:pos="738"/>
              </w:tabs>
              <w:jc w:val="right"/>
              <w:rPr>
                <w:szCs w:val="24"/>
              </w:rPr>
            </w:pPr>
            <w:r w:rsidRPr="00233BF0">
              <w:rPr>
                <w:szCs w:val="24"/>
              </w:rPr>
              <w:t>275</w:t>
            </w:r>
          </w:p>
        </w:tc>
        <w:tc>
          <w:tcPr>
            <w:tcW w:w="2067" w:type="dxa"/>
            <w:shd w:val="clear" w:color="auto" w:fill="auto"/>
            <w:vAlign w:val="center"/>
          </w:tcPr>
          <w:p w14:paraId="380A7003" w14:textId="1A54CF2A" w:rsidR="006023F6" w:rsidRPr="001E71F1" w:rsidRDefault="006023F6" w:rsidP="00DD63D7">
            <w:pPr>
              <w:tabs>
                <w:tab w:val="decimal" w:pos="648"/>
                <w:tab w:val="decimal" w:pos="738"/>
              </w:tabs>
              <w:jc w:val="right"/>
              <w:rPr>
                <w:szCs w:val="24"/>
              </w:rPr>
            </w:pPr>
            <w:r w:rsidRPr="00233BF0">
              <w:rPr>
                <w:szCs w:val="24"/>
              </w:rPr>
              <w:t>258</w:t>
            </w:r>
          </w:p>
        </w:tc>
        <w:tc>
          <w:tcPr>
            <w:tcW w:w="1276" w:type="dxa"/>
            <w:shd w:val="clear" w:color="auto" w:fill="auto"/>
            <w:vAlign w:val="center"/>
          </w:tcPr>
          <w:p w14:paraId="0377F703" w14:textId="01C19635" w:rsidR="006023F6" w:rsidRPr="001E71F1" w:rsidRDefault="006023F6" w:rsidP="00DD63D7">
            <w:pPr>
              <w:tabs>
                <w:tab w:val="decimal" w:pos="648"/>
              </w:tabs>
              <w:jc w:val="right"/>
              <w:rPr>
                <w:szCs w:val="24"/>
              </w:rPr>
            </w:pPr>
            <w:r w:rsidRPr="00233BF0">
              <w:rPr>
                <w:szCs w:val="24"/>
              </w:rPr>
              <w:t>13</w:t>
            </w:r>
          </w:p>
        </w:tc>
        <w:tc>
          <w:tcPr>
            <w:tcW w:w="1134" w:type="dxa"/>
            <w:shd w:val="clear" w:color="auto" w:fill="auto"/>
            <w:vAlign w:val="center"/>
          </w:tcPr>
          <w:p w14:paraId="2C4BF25A" w14:textId="39A8E701" w:rsidR="006023F6" w:rsidRPr="001E71F1" w:rsidRDefault="006023F6" w:rsidP="00DD63D7">
            <w:pPr>
              <w:tabs>
                <w:tab w:val="decimal" w:pos="648"/>
                <w:tab w:val="decimal" w:pos="738"/>
              </w:tabs>
              <w:jc w:val="right"/>
              <w:rPr>
                <w:szCs w:val="24"/>
              </w:rPr>
            </w:pPr>
            <w:r w:rsidRPr="00233BF0">
              <w:rPr>
                <w:szCs w:val="24"/>
              </w:rPr>
              <w:t>545</w:t>
            </w:r>
          </w:p>
        </w:tc>
        <w:tc>
          <w:tcPr>
            <w:tcW w:w="1842" w:type="dxa"/>
            <w:shd w:val="clear" w:color="auto" w:fill="auto"/>
            <w:vAlign w:val="center"/>
          </w:tcPr>
          <w:p w14:paraId="789D2C60" w14:textId="2CB40A0C" w:rsidR="006023F6" w:rsidRPr="001E71F1" w:rsidRDefault="006023F6" w:rsidP="00DD63D7">
            <w:pPr>
              <w:tabs>
                <w:tab w:val="decimal" w:pos="648"/>
                <w:tab w:val="decimal" w:pos="738"/>
                <w:tab w:val="decimal" w:pos="1046"/>
              </w:tabs>
              <w:jc w:val="right"/>
              <w:rPr>
                <w:szCs w:val="24"/>
              </w:rPr>
            </w:pPr>
            <w:r w:rsidRPr="00233BF0">
              <w:rPr>
                <w:szCs w:val="24"/>
              </w:rPr>
              <w:t>365</w:t>
            </w:r>
          </w:p>
        </w:tc>
      </w:tr>
      <w:tr w:rsidR="006023F6" w:rsidRPr="00AF3DCD" w14:paraId="6C2262DE" w14:textId="77777777" w:rsidTr="00DD63D7">
        <w:tc>
          <w:tcPr>
            <w:tcW w:w="2481" w:type="dxa"/>
            <w:shd w:val="clear" w:color="auto" w:fill="auto"/>
            <w:vAlign w:val="bottom"/>
          </w:tcPr>
          <w:p w14:paraId="7A65FD0A" w14:textId="77777777" w:rsidR="006023F6" w:rsidRPr="00233BF0" w:rsidRDefault="006023F6" w:rsidP="006023F6">
            <w:pPr>
              <w:pStyle w:val="BodyTextIndent"/>
              <w:ind w:left="0"/>
              <w:rPr>
                <w:szCs w:val="24"/>
                <w:lang w:val="en-GB"/>
              </w:rPr>
            </w:pPr>
            <w:r w:rsidRPr="00233BF0">
              <w:rPr>
                <w:szCs w:val="24"/>
                <w:lang w:val="en-GB"/>
              </w:rPr>
              <w:t>Total</w:t>
            </w:r>
          </w:p>
        </w:tc>
        <w:tc>
          <w:tcPr>
            <w:tcW w:w="1439" w:type="dxa"/>
            <w:shd w:val="clear" w:color="auto" w:fill="auto"/>
            <w:vAlign w:val="center"/>
          </w:tcPr>
          <w:p w14:paraId="35A95B6D" w14:textId="16E55CE9" w:rsidR="006023F6" w:rsidRPr="001E71F1" w:rsidRDefault="006023F6" w:rsidP="00DD63D7">
            <w:pPr>
              <w:tabs>
                <w:tab w:val="decimal" w:pos="648"/>
                <w:tab w:val="decimal" w:pos="738"/>
              </w:tabs>
              <w:jc w:val="right"/>
              <w:rPr>
                <w:szCs w:val="24"/>
              </w:rPr>
            </w:pPr>
            <w:r w:rsidRPr="00233BF0">
              <w:rPr>
                <w:szCs w:val="24"/>
              </w:rPr>
              <w:t>13,487</w:t>
            </w:r>
          </w:p>
        </w:tc>
        <w:tc>
          <w:tcPr>
            <w:tcW w:w="2067" w:type="dxa"/>
            <w:shd w:val="clear" w:color="auto" w:fill="auto"/>
            <w:vAlign w:val="center"/>
          </w:tcPr>
          <w:p w14:paraId="3D252290" w14:textId="782A06D2" w:rsidR="006023F6" w:rsidRPr="001E71F1" w:rsidRDefault="006023F6" w:rsidP="00DD63D7">
            <w:pPr>
              <w:tabs>
                <w:tab w:val="decimal" w:pos="648"/>
                <w:tab w:val="decimal" w:pos="738"/>
              </w:tabs>
              <w:jc w:val="right"/>
              <w:rPr>
                <w:szCs w:val="24"/>
              </w:rPr>
            </w:pPr>
            <w:r w:rsidRPr="00233BF0">
              <w:rPr>
                <w:szCs w:val="24"/>
              </w:rPr>
              <w:t>12,351</w:t>
            </w:r>
          </w:p>
        </w:tc>
        <w:tc>
          <w:tcPr>
            <w:tcW w:w="1276" w:type="dxa"/>
            <w:shd w:val="clear" w:color="auto" w:fill="auto"/>
            <w:vAlign w:val="center"/>
          </w:tcPr>
          <w:p w14:paraId="54ABD078" w14:textId="6C562F2C" w:rsidR="006023F6" w:rsidRPr="001E71F1" w:rsidRDefault="006023F6" w:rsidP="00DD63D7">
            <w:pPr>
              <w:tabs>
                <w:tab w:val="decimal" w:pos="648"/>
              </w:tabs>
              <w:jc w:val="right"/>
              <w:rPr>
                <w:szCs w:val="24"/>
              </w:rPr>
            </w:pPr>
            <w:r w:rsidRPr="00233BF0">
              <w:rPr>
                <w:szCs w:val="24"/>
              </w:rPr>
              <w:t>12,122</w:t>
            </w:r>
          </w:p>
        </w:tc>
        <w:tc>
          <w:tcPr>
            <w:tcW w:w="1134" w:type="dxa"/>
            <w:shd w:val="clear" w:color="auto" w:fill="auto"/>
            <w:vAlign w:val="center"/>
          </w:tcPr>
          <w:p w14:paraId="5E69637C" w14:textId="1903BA80" w:rsidR="006023F6" w:rsidRPr="001E71F1" w:rsidRDefault="006023F6" w:rsidP="00DD63D7">
            <w:pPr>
              <w:tabs>
                <w:tab w:val="decimal" w:pos="648"/>
              </w:tabs>
              <w:jc w:val="right"/>
              <w:rPr>
                <w:szCs w:val="24"/>
              </w:rPr>
            </w:pPr>
            <w:r w:rsidRPr="00233BF0">
              <w:rPr>
                <w:szCs w:val="24"/>
              </w:rPr>
              <w:t>37,960</w:t>
            </w:r>
          </w:p>
        </w:tc>
        <w:tc>
          <w:tcPr>
            <w:tcW w:w="1842" w:type="dxa"/>
            <w:shd w:val="clear" w:color="auto" w:fill="auto"/>
            <w:vAlign w:val="center"/>
          </w:tcPr>
          <w:p w14:paraId="0C1A685D" w14:textId="5D85974F" w:rsidR="006023F6" w:rsidRPr="001E71F1" w:rsidRDefault="006023F6" w:rsidP="00DD63D7">
            <w:pPr>
              <w:tabs>
                <w:tab w:val="decimal" w:pos="648"/>
                <w:tab w:val="decimal" w:pos="1046"/>
              </w:tabs>
              <w:jc w:val="right"/>
              <w:rPr>
                <w:szCs w:val="24"/>
              </w:rPr>
            </w:pPr>
            <w:r w:rsidRPr="00233BF0">
              <w:rPr>
                <w:szCs w:val="24"/>
              </w:rPr>
              <w:t>23,938</w:t>
            </w:r>
          </w:p>
        </w:tc>
      </w:tr>
    </w:tbl>
    <w:p w14:paraId="7BE4AC41" w14:textId="77777777" w:rsidR="00A43D8F" w:rsidRDefault="00A43D8F" w:rsidP="00617696">
      <w:pPr>
        <w:jc w:val="both"/>
        <w:rPr>
          <w:szCs w:val="24"/>
        </w:rPr>
      </w:pPr>
    </w:p>
    <w:p w14:paraId="3D39E7E0" w14:textId="503E2A2C" w:rsidR="0061700B" w:rsidRPr="00BE3374" w:rsidRDefault="0061700B" w:rsidP="00BC6C4F">
      <w:pPr>
        <w:ind w:left="720"/>
        <w:rPr>
          <w:szCs w:val="24"/>
        </w:rPr>
      </w:pPr>
      <w:r w:rsidRPr="00BE3374">
        <w:rPr>
          <w:szCs w:val="24"/>
        </w:rPr>
        <w:t xml:space="preserve">Although the payments made to the contractor are described as unitary payments, they have been calculated to compensate the contractor for the fair value of the services they provide, the capital expenditure incurred and interest payable </w:t>
      </w:r>
      <w:r w:rsidR="00B1753C" w:rsidRPr="00BE3374">
        <w:rPr>
          <w:szCs w:val="24"/>
        </w:rPr>
        <w:t>over the life of the contract</w:t>
      </w:r>
      <w:r w:rsidRPr="00BE3374">
        <w:rPr>
          <w:szCs w:val="24"/>
        </w:rPr>
        <w:t>. The liability outstanding to pay the contractor for capital expenditure incurred is as follows:</w:t>
      </w:r>
    </w:p>
    <w:p w14:paraId="71815503" w14:textId="77777777" w:rsidR="0061700B" w:rsidRPr="00AF3DCD" w:rsidRDefault="0061700B" w:rsidP="0061700B">
      <w:pPr>
        <w:ind w:left="720"/>
        <w:jc w:val="both"/>
        <w:rPr>
          <w:sz w:val="22"/>
        </w:rPr>
      </w:pPr>
    </w:p>
    <w:tbl>
      <w:tblPr>
        <w:tblW w:w="908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1984"/>
        <w:gridCol w:w="1855"/>
      </w:tblGrid>
      <w:tr w:rsidR="00BA53E7" w:rsidRPr="00AF3DCD" w14:paraId="517B30A0" w14:textId="77777777" w:rsidTr="00611673">
        <w:trPr>
          <w:tblHeader/>
        </w:trPr>
        <w:tc>
          <w:tcPr>
            <w:tcW w:w="5245" w:type="dxa"/>
            <w:shd w:val="clear" w:color="auto" w:fill="BD2716"/>
          </w:tcPr>
          <w:p w14:paraId="09A74FBA" w14:textId="77777777" w:rsidR="00BA53E7" w:rsidRPr="007641BA" w:rsidRDefault="00BA53E7" w:rsidP="00BA53E7">
            <w:pPr>
              <w:jc w:val="both"/>
              <w:rPr>
                <w:color w:val="FFFFFF" w:themeColor="background1"/>
                <w:szCs w:val="24"/>
              </w:rPr>
            </w:pPr>
          </w:p>
        </w:tc>
        <w:tc>
          <w:tcPr>
            <w:tcW w:w="1984" w:type="dxa"/>
            <w:shd w:val="clear" w:color="auto" w:fill="BD2716"/>
            <w:vAlign w:val="center"/>
          </w:tcPr>
          <w:p w14:paraId="1D9CBE26" w14:textId="77777777" w:rsidR="00BA53E7" w:rsidRPr="007641BA" w:rsidRDefault="00670DBF" w:rsidP="00611673">
            <w:pPr>
              <w:pStyle w:val="BodyTextIndent"/>
              <w:ind w:left="0"/>
              <w:jc w:val="right"/>
              <w:rPr>
                <w:color w:val="FFFFFF" w:themeColor="background1"/>
                <w:szCs w:val="24"/>
                <w:lang w:val="en-GB"/>
              </w:rPr>
            </w:pPr>
            <w:r w:rsidRPr="007641BA">
              <w:rPr>
                <w:color w:val="FFFFFF" w:themeColor="background1"/>
                <w:szCs w:val="24"/>
                <w:lang w:val="en-GB"/>
              </w:rPr>
              <w:t>202</w:t>
            </w:r>
            <w:r w:rsidR="00E66DE8" w:rsidRPr="007641BA">
              <w:rPr>
                <w:color w:val="FFFFFF" w:themeColor="background1"/>
                <w:szCs w:val="24"/>
                <w:lang w:val="en-GB"/>
              </w:rPr>
              <w:t>2</w:t>
            </w:r>
            <w:r w:rsidRPr="007641BA">
              <w:rPr>
                <w:color w:val="FFFFFF" w:themeColor="background1"/>
                <w:szCs w:val="24"/>
                <w:lang w:val="en-GB"/>
              </w:rPr>
              <w:t>/2</w:t>
            </w:r>
            <w:r w:rsidR="00E66DE8" w:rsidRPr="007641BA">
              <w:rPr>
                <w:color w:val="FFFFFF" w:themeColor="background1"/>
                <w:szCs w:val="24"/>
                <w:lang w:val="en-GB"/>
              </w:rPr>
              <w:t>3</w:t>
            </w:r>
          </w:p>
          <w:p w14:paraId="72AA3AF4" w14:textId="4DBC5745" w:rsidR="00C67044" w:rsidRPr="007641BA" w:rsidRDefault="00C67044" w:rsidP="00611673">
            <w:pPr>
              <w:pStyle w:val="BodyTextIndent"/>
              <w:ind w:left="0"/>
              <w:jc w:val="right"/>
              <w:rPr>
                <w:color w:val="FFFFFF" w:themeColor="background1"/>
                <w:szCs w:val="24"/>
                <w:lang w:val="en-GB"/>
              </w:rPr>
            </w:pPr>
            <w:r w:rsidRPr="007641BA">
              <w:rPr>
                <w:color w:val="FFFFFF" w:themeColor="background1"/>
                <w:szCs w:val="24"/>
                <w:lang w:val="en-GB"/>
              </w:rPr>
              <w:t>£000</w:t>
            </w:r>
          </w:p>
        </w:tc>
        <w:tc>
          <w:tcPr>
            <w:tcW w:w="1855" w:type="dxa"/>
            <w:shd w:val="clear" w:color="auto" w:fill="BD2716"/>
            <w:vAlign w:val="center"/>
          </w:tcPr>
          <w:p w14:paraId="6155FAC5" w14:textId="77777777" w:rsidR="00BA53E7" w:rsidRPr="007641BA" w:rsidRDefault="00BA53E7" w:rsidP="00611673">
            <w:pPr>
              <w:pStyle w:val="BodyTextIndent"/>
              <w:ind w:left="0"/>
              <w:jc w:val="right"/>
              <w:rPr>
                <w:color w:val="FFFFFF" w:themeColor="background1"/>
                <w:szCs w:val="24"/>
                <w:lang w:val="en-GB"/>
              </w:rPr>
            </w:pPr>
            <w:r w:rsidRPr="007641BA">
              <w:rPr>
                <w:color w:val="FFFFFF" w:themeColor="background1"/>
                <w:szCs w:val="24"/>
                <w:lang w:val="en-GB"/>
              </w:rPr>
              <w:t>202</w:t>
            </w:r>
            <w:r w:rsidR="00E66DE8" w:rsidRPr="007641BA">
              <w:rPr>
                <w:color w:val="FFFFFF" w:themeColor="background1"/>
                <w:szCs w:val="24"/>
                <w:lang w:val="en-GB"/>
              </w:rPr>
              <w:t>1</w:t>
            </w:r>
            <w:r w:rsidRPr="007641BA">
              <w:rPr>
                <w:color w:val="FFFFFF" w:themeColor="background1"/>
                <w:szCs w:val="24"/>
                <w:lang w:val="en-GB"/>
              </w:rPr>
              <w:t>/2</w:t>
            </w:r>
            <w:r w:rsidR="00E66DE8" w:rsidRPr="007641BA">
              <w:rPr>
                <w:color w:val="FFFFFF" w:themeColor="background1"/>
                <w:szCs w:val="24"/>
                <w:lang w:val="en-GB"/>
              </w:rPr>
              <w:t>2</w:t>
            </w:r>
          </w:p>
          <w:p w14:paraId="285EF060" w14:textId="368957FF" w:rsidR="00C67044" w:rsidRPr="007641BA" w:rsidRDefault="00C67044" w:rsidP="00611673">
            <w:pPr>
              <w:pStyle w:val="BodyTextIndent"/>
              <w:ind w:left="0"/>
              <w:jc w:val="right"/>
              <w:rPr>
                <w:color w:val="FFFFFF" w:themeColor="background1"/>
                <w:szCs w:val="24"/>
                <w:lang w:val="en-GB"/>
              </w:rPr>
            </w:pPr>
            <w:r w:rsidRPr="007641BA">
              <w:rPr>
                <w:color w:val="FFFFFF" w:themeColor="background1"/>
                <w:szCs w:val="24"/>
                <w:lang w:val="en-GB"/>
              </w:rPr>
              <w:t>£000</w:t>
            </w:r>
          </w:p>
        </w:tc>
      </w:tr>
      <w:tr w:rsidR="00E66DE8" w:rsidRPr="00AF3DCD" w14:paraId="488B905B" w14:textId="77777777" w:rsidTr="00DD63D7">
        <w:tc>
          <w:tcPr>
            <w:tcW w:w="5245" w:type="dxa"/>
            <w:shd w:val="clear" w:color="auto" w:fill="auto"/>
          </w:tcPr>
          <w:p w14:paraId="1FF56D3D" w14:textId="77777777" w:rsidR="00E66DE8" w:rsidRPr="00233BF0" w:rsidRDefault="00E66DE8" w:rsidP="00BC6C4F">
            <w:pPr>
              <w:rPr>
                <w:szCs w:val="24"/>
              </w:rPr>
            </w:pPr>
            <w:r w:rsidRPr="00233BF0">
              <w:rPr>
                <w:szCs w:val="24"/>
              </w:rPr>
              <w:t>Balance outstanding at the start of the year</w:t>
            </w:r>
          </w:p>
        </w:tc>
        <w:tc>
          <w:tcPr>
            <w:tcW w:w="1984" w:type="dxa"/>
            <w:shd w:val="clear" w:color="auto" w:fill="auto"/>
            <w:vAlign w:val="center"/>
          </w:tcPr>
          <w:p w14:paraId="256C7309" w14:textId="7D511CFB" w:rsidR="00E66DE8" w:rsidRPr="00233BF0" w:rsidRDefault="006023F6" w:rsidP="00DD63D7">
            <w:pPr>
              <w:tabs>
                <w:tab w:val="decimal" w:pos="648"/>
                <w:tab w:val="decimal" w:pos="738"/>
              </w:tabs>
              <w:jc w:val="right"/>
              <w:rPr>
                <w:szCs w:val="24"/>
              </w:rPr>
            </w:pPr>
            <w:r w:rsidRPr="00233BF0">
              <w:rPr>
                <w:szCs w:val="24"/>
              </w:rPr>
              <w:t>12,795</w:t>
            </w:r>
          </w:p>
        </w:tc>
        <w:tc>
          <w:tcPr>
            <w:tcW w:w="1855" w:type="dxa"/>
            <w:shd w:val="clear" w:color="auto" w:fill="auto"/>
            <w:vAlign w:val="center"/>
          </w:tcPr>
          <w:p w14:paraId="15F244E1" w14:textId="51C109DE" w:rsidR="00E66DE8" w:rsidRPr="00233BF0" w:rsidRDefault="00E66DE8" w:rsidP="00DD63D7">
            <w:pPr>
              <w:tabs>
                <w:tab w:val="decimal" w:pos="648"/>
                <w:tab w:val="decimal" w:pos="738"/>
              </w:tabs>
              <w:jc w:val="right"/>
              <w:rPr>
                <w:szCs w:val="24"/>
              </w:rPr>
            </w:pPr>
            <w:r w:rsidRPr="00233BF0">
              <w:rPr>
                <w:szCs w:val="24"/>
              </w:rPr>
              <w:t>13,202</w:t>
            </w:r>
          </w:p>
        </w:tc>
      </w:tr>
      <w:tr w:rsidR="00E66DE8" w:rsidRPr="00AF3DCD" w14:paraId="3A357D1B" w14:textId="77777777" w:rsidTr="00DD63D7">
        <w:tc>
          <w:tcPr>
            <w:tcW w:w="5245" w:type="dxa"/>
            <w:shd w:val="clear" w:color="auto" w:fill="auto"/>
          </w:tcPr>
          <w:p w14:paraId="2D2DCD46" w14:textId="77777777" w:rsidR="00E66DE8" w:rsidRPr="00233BF0" w:rsidRDefault="00E66DE8" w:rsidP="00BC6C4F">
            <w:pPr>
              <w:rPr>
                <w:szCs w:val="24"/>
              </w:rPr>
            </w:pPr>
            <w:r w:rsidRPr="00233BF0">
              <w:rPr>
                <w:szCs w:val="24"/>
              </w:rPr>
              <w:t>Payments during the year</w:t>
            </w:r>
          </w:p>
        </w:tc>
        <w:tc>
          <w:tcPr>
            <w:tcW w:w="1984" w:type="dxa"/>
            <w:shd w:val="clear" w:color="auto" w:fill="auto"/>
            <w:vAlign w:val="center"/>
          </w:tcPr>
          <w:p w14:paraId="5128C494" w14:textId="22BC33A5" w:rsidR="00E66DE8" w:rsidRPr="00233BF0" w:rsidRDefault="00E66DE8" w:rsidP="00DD63D7">
            <w:pPr>
              <w:tabs>
                <w:tab w:val="decimal" w:pos="648"/>
                <w:tab w:val="decimal" w:pos="738"/>
              </w:tabs>
              <w:jc w:val="right"/>
              <w:rPr>
                <w:szCs w:val="24"/>
              </w:rPr>
            </w:pPr>
            <w:r w:rsidRPr="00233BF0">
              <w:rPr>
                <w:szCs w:val="24"/>
              </w:rPr>
              <w:t>(</w:t>
            </w:r>
            <w:r w:rsidR="006023F6" w:rsidRPr="00233BF0">
              <w:rPr>
                <w:szCs w:val="24"/>
              </w:rPr>
              <w:t>444</w:t>
            </w:r>
            <w:r w:rsidRPr="00233BF0">
              <w:rPr>
                <w:szCs w:val="24"/>
              </w:rPr>
              <w:t>)</w:t>
            </w:r>
          </w:p>
        </w:tc>
        <w:tc>
          <w:tcPr>
            <w:tcW w:w="1855" w:type="dxa"/>
            <w:shd w:val="clear" w:color="auto" w:fill="auto"/>
            <w:vAlign w:val="center"/>
          </w:tcPr>
          <w:p w14:paraId="34EB73E0" w14:textId="401BF1FA" w:rsidR="00E66DE8" w:rsidRPr="00233BF0" w:rsidRDefault="00E66DE8" w:rsidP="00DD63D7">
            <w:pPr>
              <w:tabs>
                <w:tab w:val="decimal" w:pos="648"/>
                <w:tab w:val="decimal" w:pos="738"/>
              </w:tabs>
              <w:jc w:val="right"/>
              <w:rPr>
                <w:szCs w:val="24"/>
              </w:rPr>
            </w:pPr>
            <w:r w:rsidRPr="00233BF0">
              <w:rPr>
                <w:szCs w:val="24"/>
              </w:rPr>
              <w:t>(407)</w:t>
            </w:r>
          </w:p>
        </w:tc>
      </w:tr>
      <w:tr w:rsidR="00E66DE8" w:rsidRPr="00AF3DCD" w14:paraId="713B56E3" w14:textId="77777777" w:rsidTr="00DD63D7">
        <w:tc>
          <w:tcPr>
            <w:tcW w:w="5245" w:type="dxa"/>
            <w:shd w:val="clear" w:color="auto" w:fill="auto"/>
          </w:tcPr>
          <w:p w14:paraId="310D5551" w14:textId="77777777" w:rsidR="00E66DE8" w:rsidRPr="00233BF0" w:rsidRDefault="00E66DE8" w:rsidP="00BC6C4F">
            <w:pPr>
              <w:rPr>
                <w:szCs w:val="24"/>
              </w:rPr>
            </w:pPr>
            <w:r w:rsidRPr="00233BF0">
              <w:rPr>
                <w:szCs w:val="24"/>
              </w:rPr>
              <w:t>Balance outstanding at year end</w:t>
            </w:r>
          </w:p>
        </w:tc>
        <w:tc>
          <w:tcPr>
            <w:tcW w:w="1984" w:type="dxa"/>
            <w:shd w:val="clear" w:color="auto" w:fill="auto"/>
            <w:vAlign w:val="center"/>
          </w:tcPr>
          <w:p w14:paraId="678EDC77" w14:textId="71AA8AE0" w:rsidR="00E66DE8" w:rsidRPr="00233BF0" w:rsidRDefault="00E66DE8" w:rsidP="00DD63D7">
            <w:pPr>
              <w:tabs>
                <w:tab w:val="decimal" w:pos="648"/>
                <w:tab w:val="decimal" w:pos="738"/>
              </w:tabs>
              <w:jc w:val="right"/>
              <w:rPr>
                <w:szCs w:val="24"/>
              </w:rPr>
            </w:pPr>
            <w:r w:rsidRPr="00233BF0">
              <w:rPr>
                <w:szCs w:val="24"/>
              </w:rPr>
              <w:t>12</w:t>
            </w:r>
            <w:r w:rsidR="006023F6" w:rsidRPr="00233BF0">
              <w:rPr>
                <w:szCs w:val="24"/>
              </w:rPr>
              <w:t>,351</w:t>
            </w:r>
          </w:p>
        </w:tc>
        <w:tc>
          <w:tcPr>
            <w:tcW w:w="1855" w:type="dxa"/>
            <w:shd w:val="clear" w:color="auto" w:fill="auto"/>
            <w:vAlign w:val="center"/>
          </w:tcPr>
          <w:p w14:paraId="09455FF0" w14:textId="39E5712C" w:rsidR="00E66DE8" w:rsidRPr="00233BF0" w:rsidRDefault="00E66DE8" w:rsidP="00DD63D7">
            <w:pPr>
              <w:tabs>
                <w:tab w:val="decimal" w:pos="648"/>
                <w:tab w:val="decimal" w:pos="738"/>
              </w:tabs>
              <w:jc w:val="right"/>
              <w:rPr>
                <w:szCs w:val="24"/>
              </w:rPr>
            </w:pPr>
            <w:r w:rsidRPr="00233BF0">
              <w:rPr>
                <w:szCs w:val="24"/>
              </w:rPr>
              <w:t>12,795</w:t>
            </w:r>
          </w:p>
        </w:tc>
      </w:tr>
    </w:tbl>
    <w:p w14:paraId="3429CAB3" w14:textId="7B67C600" w:rsidR="003278CF" w:rsidRDefault="003278CF">
      <w:pPr>
        <w:rPr>
          <w:b/>
          <w:szCs w:val="24"/>
        </w:rPr>
      </w:pPr>
    </w:p>
    <w:p w14:paraId="52D3CF4D" w14:textId="6646D895" w:rsidR="00D90216" w:rsidRPr="003278CF" w:rsidRDefault="001C592E" w:rsidP="003278CF">
      <w:pPr>
        <w:pStyle w:val="Heading2"/>
        <w:jc w:val="left"/>
        <w:rPr>
          <w:sz w:val="24"/>
          <w:szCs w:val="24"/>
        </w:rPr>
      </w:pPr>
      <w:bookmarkStart w:id="51" w:name="_Toc166761548"/>
      <w:r w:rsidRPr="003278CF">
        <w:rPr>
          <w:sz w:val="24"/>
          <w:szCs w:val="24"/>
        </w:rPr>
        <w:t>1</w:t>
      </w:r>
      <w:r w:rsidR="00445D8B" w:rsidRPr="003278CF">
        <w:rPr>
          <w:sz w:val="24"/>
          <w:szCs w:val="24"/>
        </w:rPr>
        <w:t>5</w:t>
      </w:r>
      <w:r w:rsidR="00D90216" w:rsidRPr="003278CF">
        <w:rPr>
          <w:sz w:val="24"/>
          <w:szCs w:val="24"/>
        </w:rPr>
        <w:tab/>
      </w:r>
      <w:bookmarkStart w:id="52" w:name="N15"/>
      <w:bookmarkEnd w:id="52"/>
      <w:r w:rsidR="00D90216" w:rsidRPr="003278CF">
        <w:rPr>
          <w:sz w:val="24"/>
          <w:szCs w:val="24"/>
        </w:rPr>
        <w:t>Net</w:t>
      </w:r>
      <w:r w:rsidR="00F26246">
        <w:rPr>
          <w:sz w:val="24"/>
          <w:szCs w:val="24"/>
        </w:rPr>
        <w:t xml:space="preserve"> </w:t>
      </w:r>
      <w:r w:rsidR="00D90216" w:rsidRPr="003278CF">
        <w:rPr>
          <w:sz w:val="24"/>
          <w:szCs w:val="24"/>
        </w:rPr>
        <w:t>Liability Related to Local Government and Firefighters’ Pensions Schemes</w:t>
      </w:r>
      <w:bookmarkEnd w:id="51"/>
      <w:r w:rsidR="00D90216" w:rsidRPr="003278CF">
        <w:rPr>
          <w:sz w:val="24"/>
          <w:szCs w:val="24"/>
        </w:rPr>
        <w:t xml:space="preserve"> </w:t>
      </w:r>
    </w:p>
    <w:p w14:paraId="6E52B345" w14:textId="597C7A7E" w:rsidR="00D90216" w:rsidRPr="003278CF" w:rsidRDefault="00D90216" w:rsidP="00233BF0">
      <w:r w:rsidRPr="003278CF">
        <w:tab/>
      </w:r>
    </w:p>
    <w:p w14:paraId="75B45666" w14:textId="77777777" w:rsidR="00D90216" w:rsidRPr="00233BF0" w:rsidRDefault="00D90216" w:rsidP="00233BF0">
      <w:pPr>
        <w:pStyle w:val="BodyTextIndent"/>
        <w:rPr>
          <w:szCs w:val="24"/>
        </w:rPr>
      </w:pPr>
      <w:r w:rsidRPr="00233BF0">
        <w:rPr>
          <w:szCs w:val="24"/>
        </w:rPr>
        <w:t xml:space="preserve">During the year the Authority made contributions to the cost of pensions for all employees (except for those who chose not to be members of the scheme) as required by statute. </w:t>
      </w:r>
    </w:p>
    <w:p w14:paraId="22637C78" w14:textId="77777777" w:rsidR="00D90216" w:rsidRPr="00233BF0" w:rsidRDefault="00D90216" w:rsidP="00233BF0">
      <w:pPr>
        <w:pStyle w:val="BodyText2"/>
        <w:rPr>
          <w:color w:val="auto"/>
          <w:szCs w:val="24"/>
        </w:rPr>
      </w:pPr>
    </w:p>
    <w:p w14:paraId="5DAAD358" w14:textId="77777777" w:rsidR="00D90216" w:rsidRPr="00233BF0" w:rsidRDefault="00D90216" w:rsidP="00233BF0">
      <w:pPr>
        <w:pStyle w:val="BodyText2"/>
        <w:ind w:left="720"/>
        <w:rPr>
          <w:color w:val="auto"/>
          <w:szCs w:val="24"/>
        </w:rPr>
      </w:pPr>
      <w:r w:rsidRPr="00233BF0">
        <w:rPr>
          <w:color w:val="auto"/>
          <w:szCs w:val="24"/>
        </w:rPr>
        <w:t>The Authority participates in two pension schemes:</w:t>
      </w:r>
    </w:p>
    <w:p w14:paraId="7D7AC94E" w14:textId="77777777" w:rsidR="00D90216" w:rsidRPr="00233BF0" w:rsidRDefault="00D90216" w:rsidP="00233BF0">
      <w:pPr>
        <w:rPr>
          <w:szCs w:val="24"/>
        </w:rPr>
      </w:pPr>
    </w:p>
    <w:p w14:paraId="6A89BC94" w14:textId="14B44C25" w:rsidR="00D90216" w:rsidRPr="00233BF0" w:rsidRDefault="00D90216" w:rsidP="00233BF0">
      <w:pPr>
        <w:pStyle w:val="BodyTextIndent"/>
        <w:ind w:left="1440" w:hanging="720"/>
        <w:rPr>
          <w:szCs w:val="24"/>
          <w:lang w:val="en-GB"/>
        </w:rPr>
      </w:pPr>
      <w:proofErr w:type="spellStart"/>
      <w:r w:rsidRPr="00233BF0">
        <w:rPr>
          <w:szCs w:val="24"/>
          <w:lang w:val="en-GB"/>
        </w:rPr>
        <w:t>i</w:t>
      </w:r>
      <w:proofErr w:type="spellEnd"/>
      <w:r w:rsidRPr="00233BF0">
        <w:rPr>
          <w:szCs w:val="24"/>
          <w:lang w:val="en-GB"/>
        </w:rPr>
        <w:t>)</w:t>
      </w:r>
      <w:r w:rsidRPr="00233BF0">
        <w:rPr>
          <w:szCs w:val="24"/>
          <w:lang w:val="en-GB"/>
        </w:rPr>
        <w:tab/>
        <w:t xml:space="preserve">Uniformed Firefighters are covered by an unfunded, defined benefit scheme, meaning that there are no investment assets built up to meet the pensions liabilities and that cash </w:t>
      </w:r>
      <w:r w:rsidR="000A40E3" w:rsidRPr="00233BF0">
        <w:rPr>
          <w:szCs w:val="24"/>
          <w:lang w:val="en-GB"/>
        </w:rPr>
        <w:t>must</w:t>
      </w:r>
      <w:r w:rsidRPr="00233BF0">
        <w:rPr>
          <w:szCs w:val="24"/>
          <w:lang w:val="en-GB"/>
        </w:rPr>
        <w:t xml:space="preserve"> be generated by the Authority to meet actual pensions payments as they fall due.</w:t>
      </w:r>
    </w:p>
    <w:p w14:paraId="411474B9" w14:textId="77777777" w:rsidR="00D90216" w:rsidRPr="00233BF0" w:rsidRDefault="00D90216" w:rsidP="00233BF0">
      <w:pPr>
        <w:ind w:hanging="425"/>
        <w:rPr>
          <w:szCs w:val="24"/>
          <w:highlight w:val="yellow"/>
        </w:rPr>
      </w:pPr>
    </w:p>
    <w:p w14:paraId="260979E0" w14:textId="77777777" w:rsidR="00DD63D7" w:rsidRDefault="00D90216" w:rsidP="00DD63D7">
      <w:pPr>
        <w:pStyle w:val="BodyTextIndent"/>
        <w:ind w:left="1440" w:hanging="720"/>
        <w:rPr>
          <w:szCs w:val="24"/>
          <w:lang w:val="en-GB"/>
        </w:rPr>
      </w:pPr>
      <w:r w:rsidRPr="00233BF0">
        <w:rPr>
          <w:szCs w:val="24"/>
          <w:lang w:val="en-GB"/>
        </w:rPr>
        <w:t>ii)</w:t>
      </w:r>
      <w:r w:rsidRPr="00233BF0">
        <w:rPr>
          <w:szCs w:val="24"/>
          <w:lang w:val="en-GB"/>
        </w:rPr>
        <w:tab/>
      </w:r>
      <w:proofErr w:type="gramStart"/>
      <w:r w:rsidRPr="00233BF0">
        <w:rPr>
          <w:szCs w:val="24"/>
          <w:lang w:val="en-GB"/>
        </w:rPr>
        <w:t>Other</w:t>
      </w:r>
      <w:proofErr w:type="gramEnd"/>
      <w:r w:rsidRPr="00233BF0">
        <w:rPr>
          <w:szCs w:val="24"/>
          <w:lang w:val="en-GB"/>
        </w:rPr>
        <w:t xml:space="preserve"> staff pensions are provided from the Lancashire County Pension Fund. This is a funded scheme, meaning that the Authority and employees pay contributions into a fund calculated at a level intended to balance the pensions liabilities with the investment assets. </w:t>
      </w:r>
    </w:p>
    <w:p w14:paraId="00AA5A64" w14:textId="77777777" w:rsidR="00DD63D7" w:rsidRDefault="00DD63D7">
      <w:pPr>
        <w:rPr>
          <w:szCs w:val="24"/>
        </w:rPr>
      </w:pPr>
      <w:r>
        <w:rPr>
          <w:szCs w:val="24"/>
        </w:rPr>
        <w:br w:type="page"/>
      </w:r>
    </w:p>
    <w:p w14:paraId="5B676F40" w14:textId="549559FE" w:rsidR="00D90216" w:rsidRPr="00DD63D7" w:rsidRDefault="00D90216" w:rsidP="00DD63D7">
      <w:pPr>
        <w:pStyle w:val="BodyTextIndent"/>
        <w:ind w:left="1440" w:hanging="720"/>
        <w:rPr>
          <w:szCs w:val="24"/>
          <w:lang w:val="en-GB"/>
        </w:rPr>
      </w:pPr>
      <w:r w:rsidRPr="00233BF0">
        <w:rPr>
          <w:b/>
          <w:color w:val="000000"/>
          <w:szCs w:val="24"/>
        </w:rPr>
        <w:lastRenderedPageBreak/>
        <w:t xml:space="preserve">Transactions Relating to Post-employment </w:t>
      </w:r>
      <w:proofErr w:type="gramStart"/>
      <w:r w:rsidRPr="00233BF0">
        <w:rPr>
          <w:b/>
          <w:color w:val="000000"/>
          <w:szCs w:val="24"/>
        </w:rPr>
        <w:t>Benefits</w:t>
      </w:r>
      <w:proofErr w:type="gramEnd"/>
    </w:p>
    <w:p w14:paraId="2A23C657" w14:textId="77777777" w:rsidR="00D90216" w:rsidRPr="00233BF0" w:rsidRDefault="00D90216" w:rsidP="00233BF0">
      <w:pPr>
        <w:pStyle w:val="BodyTextIndent"/>
        <w:ind w:left="0" w:hanging="425"/>
        <w:rPr>
          <w:szCs w:val="24"/>
          <w:lang w:val="en-GB"/>
        </w:rPr>
      </w:pPr>
    </w:p>
    <w:p w14:paraId="294822B1" w14:textId="4C12164C" w:rsidR="003278CF" w:rsidRDefault="00D90216" w:rsidP="00233BF0">
      <w:pPr>
        <w:ind w:left="720"/>
        <w:rPr>
          <w:color w:val="000000"/>
          <w:szCs w:val="24"/>
        </w:rPr>
      </w:pPr>
      <w:r w:rsidRPr="00233BF0">
        <w:rPr>
          <w:color w:val="000000"/>
          <w:szCs w:val="24"/>
        </w:rPr>
        <w:t>We recognise the cost of retirement benefits in the reported cost of services when they are earned by employees, rather than when the benefits are eventually paid as pensions.</w:t>
      </w:r>
      <w:r w:rsidR="00607136">
        <w:rPr>
          <w:color w:val="000000"/>
          <w:szCs w:val="24"/>
        </w:rPr>
        <w:t xml:space="preserve"> </w:t>
      </w:r>
      <w:r w:rsidRPr="00233BF0">
        <w:rPr>
          <w:color w:val="000000"/>
          <w:szCs w:val="24"/>
        </w:rPr>
        <w:t xml:space="preserve">However, the charge we are required to make against council tax is based on the cash payable in the year, so the real cost of </w:t>
      </w:r>
      <w:r w:rsidR="003278CF" w:rsidRPr="00233BF0">
        <w:rPr>
          <w:color w:val="000000"/>
          <w:szCs w:val="24"/>
        </w:rPr>
        <w:t>post-employment</w:t>
      </w:r>
      <w:r w:rsidRPr="00233BF0">
        <w:rPr>
          <w:color w:val="000000"/>
          <w:szCs w:val="24"/>
        </w:rPr>
        <w:t xml:space="preserve">/retirement benefits is reversed out of the General Fund via the Movement in Reserves Statement. </w:t>
      </w:r>
    </w:p>
    <w:p w14:paraId="594B8986" w14:textId="5723E9C8" w:rsidR="003278CF" w:rsidRDefault="003278CF">
      <w:pPr>
        <w:rPr>
          <w:color w:val="000000"/>
          <w:szCs w:val="24"/>
        </w:rPr>
      </w:pPr>
    </w:p>
    <w:p w14:paraId="0017E6A8" w14:textId="4F67B9B1" w:rsidR="006454EE" w:rsidRDefault="00D90216" w:rsidP="00233BF0">
      <w:pPr>
        <w:ind w:left="720"/>
        <w:rPr>
          <w:color w:val="000000"/>
          <w:szCs w:val="24"/>
        </w:rPr>
      </w:pPr>
      <w:r w:rsidRPr="00233BF0">
        <w:rPr>
          <w:color w:val="000000"/>
          <w:szCs w:val="24"/>
        </w:rPr>
        <w:t>The following transactions have been made in the Comprehensive Income &amp; Expenditure Statement and the General Fund Balance Fund via the Movement in Reserves Statement during the year:</w:t>
      </w:r>
    </w:p>
    <w:p w14:paraId="1A789028" w14:textId="77777777" w:rsidR="001E71F1" w:rsidRPr="00233BF0" w:rsidRDefault="001E71F1" w:rsidP="00233BF0">
      <w:pPr>
        <w:ind w:left="720"/>
        <w:rPr>
          <w:color w:val="000000"/>
          <w:szCs w:val="24"/>
        </w:rPr>
      </w:pPr>
    </w:p>
    <w:tbl>
      <w:tblPr>
        <w:tblW w:w="949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1168"/>
        <w:gridCol w:w="1242"/>
        <w:gridCol w:w="1309"/>
        <w:gridCol w:w="1243"/>
      </w:tblGrid>
      <w:tr w:rsidR="00D90216" w:rsidRPr="00AF3DCD" w14:paraId="7B108B96" w14:textId="77777777" w:rsidTr="00611673">
        <w:trPr>
          <w:trHeight w:val="300"/>
          <w:tblHeader/>
        </w:trPr>
        <w:tc>
          <w:tcPr>
            <w:tcW w:w="4536" w:type="dxa"/>
            <w:shd w:val="clear" w:color="auto" w:fill="BD2716"/>
          </w:tcPr>
          <w:p w14:paraId="2FF86E22" w14:textId="77777777" w:rsidR="00D90216" w:rsidRPr="007641BA" w:rsidRDefault="006454EE" w:rsidP="00BC6C4F">
            <w:pPr>
              <w:ind w:left="34"/>
              <w:jc w:val="center"/>
              <w:rPr>
                <w:color w:val="FFFFFF" w:themeColor="background1"/>
                <w:szCs w:val="24"/>
              </w:rPr>
            </w:pPr>
            <w:r w:rsidRPr="007641BA">
              <w:rPr>
                <w:color w:val="FFFFFF" w:themeColor="background1"/>
                <w:szCs w:val="24"/>
              </w:rPr>
              <w:br w:type="page"/>
            </w:r>
          </w:p>
        </w:tc>
        <w:tc>
          <w:tcPr>
            <w:tcW w:w="2410" w:type="dxa"/>
            <w:gridSpan w:val="2"/>
            <w:shd w:val="clear" w:color="auto" w:fill="BD2716"/>
            <w:vAlign w:val="center"/>
          </w:tcPr>
          <w:p w14:paraId="68A5E38B" w14:textId="77777777" w:rsidR="00D90216" w:rsidRPr="007641BA" w:rsidRDefault="00D90216" w:rsidP="00611673">
            <w:pPr>
              <w:ind w:left="34"/>
              <w:jc w:val="center"/>
              <w:rPr>
                <w:color w:val="FFFFFF" w:themeColor="background1"/>
                <w:szCs w:val="24"/>
              </w:rPr>
            </w:pPr>
            <w:r w:rsidRPr="007641BA">
              <w:rPr>
                <w:color w:val="FFFFFF" w:themeColor="background1"/>
                <w:szCs w:val="24"/>
              </w:rPr>
              <w:t>Local Government Pension Scheme</w:t>
            </w:r>
          </w:p>
        </w:tc>
        <w:tc>
          <w:tcPr>
            <w:tcW w:w="2552" w:type="dxa"/>
            <w:gridSpan w:val="2"/>
            <w:shd w:val="clear" w:color="auto" w:fill="BD2716"/>
            <w:vAlign w:val="center"/>
          </w:tcPr>
          <w:p w14:paraId="3F174721" w14:textId="77777777" w:rsidR="00D90216" w:rsidRPr="007641BA" w:rsidRDefault="00D90216" w:rsidP="00611673">
            <w:pPr>
              <w:ind w:left="34"/>
              <w:jc w:val="center"/>
              <w:rPr>
                <w:color w:val="FFFFFF" w:themeColor="background1"/>
                <w:szCs w:val="24"/>
              </w:rPr>
            </w:pPr>
            <w:r w:rsidRPr="007641BA">
              <w:rPr>
                <w:color w:val="FFFFFF" w:themeColor="background1"/>
                <w:szCs w:val="24"/>
              </w:rPr>
              <w:t>Uniformed Firefighters’ Pension Scheme</w:t>
            </w:r>
          </w:p>
        </w:tc>
      </w:tr>
      <w:tr w:rsidR="00053629" w:rsidRPr="00F663CF" w14:paraId="58F96BC7" w14:textId="77777777" w:rsidTr="00611673">
        <w:trPr>
          <w:trHeight w:val="300"/>
          <w:tblHeader/>
        </w:trPr>
        <w:tc>
          <w:tcPr>
            <w:tcW w:w="4536" w:type="dxa"/>
            <w:shd w:val="clear" w:color="auto" w:fill="BD2716"/>
          </w:tcPr>
          <w:p w14:paraId="44C7E816" w14:textId="77777777" w:rsidR="00053629" w:rsidRPr="007641BA" w:rsidRDefault="00053629" w:rsidP="00053629">
            <w:pPr>
              <w:ind w:left="34"/>
              <w:jc w:val="center"/>
              <w:rPr>
                <w:color w:val="FFFFFF" w:themeColor="background1"/>
                <w:szCs w:val="24"/>
              </w:rPr>
            </w:pPr>
          </w:p>
        </w:tc>
        <w:tc>
          <w:tcPr>
            <w:tcW w:w="1168" w:type="dxa"/>
            <w:shd w:val="clear" w:color="auto" w:fill="BD2716"/>
            <w:vAlign w:val="center"/>
          </w:tcPr>
          <w:p w14:paraId="4E344129" w14:textId="77777777" w:rsidR="00053629" w:rsidRPr="007641BA" w:rsidRDefault="00053629" w:rsidP="00611673">
            <w:pPr>
              <w:pStyle w:val="BodyTextIndent"/>
              <w:ind w:left="0"/>
              <w:jc w:val="right"/>
              <w:rPr>
                <w:color w:val="FFFFFF" w:themeColor="background1"/>
                <w:szCs w:val="24"/>
                <w:lang w:val="en-GB"/>
              </w:rPr>
            </w:pPr>
            <w:r w:rsidRPr="007641BA">
              <w:rPr>
                <w:color w:val="FFFFFF" w:themeColor="background1"/>
                <w:szCs w:val="24"/>
                <w:lang w:val="en-GB"/>
              </w:rPr>
              <w:t>2022/23</w:t>
            </w:r>
          </w:p>
          <w:p w14:paraId="441F71BA" w14:textId="2794C044" w:rsidR="00053629" w:rsidRPr="007641BA" w:rsidRDefault="00053629" w:rsidP="00611673">
            <w:pPr>
              <w:pStyle w:val="BodyTextIndent"/>
              <w:ind w:left="0"/>
              <w:jc w:val="right"/>
              <w:rPr>
                <w:color w:val="FFFFFF" w:themeColor="background1"/>
                <w:szCs w:val="24"/>
                <w:lang w:val="en-GB"/>
              </w:rPr>
            </w:pPr>
            <w:r w:rsidRPr="007641BA">
              <w:rPr>
                <w:color w:val="FFFFFF" w:themeColor="background1"/>
                <w:szCs w:val="24"/>
                <w:lang w:val="en-GB"/>
              </w:rPr>
              <w:t>£000</w:t>
            </w:r>
          </w:p>
        </w:tc>
        <w:tc>
          <w:tcPr>
            <w:tcW w:w="1242" w:type="dxa"/>
            <w:shd w:val="clear" w:color="auto" w:fill="BD2716"/>
            <w:vAlign w:val="center"/>
          </w:tcPr>
          <w:p w14:paraId="29EBC851" w14:textId="77777777" w:rsidR="00053629" w:rsidRPr="007641BA" w:rsidRDefault="00053629" w:rsidP="00611673">
            <w:pPr>
              <w:pStyle w:val="BodyTextIndent"/>
              <w:ind w:left="0"/>
              <w:jc w:val="right"/>
              <w:rPr>
                <w:color w:val="FFFFFF" w:themeColor="background1"/>
                <w:szCs w:val="24"/>
                <w:lang w:val="en-GB"/>
              </w:rPr>
            </w:pPr>
            <w:r w:rsidRPr="007641BA">
              <w:rPr>
                <w:color w:val="FFFFFF" w:themeColor="background1"/>
                <w:szCs w:val="24"/>
                <w:lang w:val="en-GB"/>
              </w:rPr>
              <w:t>2021/22</w:t>
            </w:r>
          </w:p>
          <w:p w14:paraId="055ACF54" w14:textId="3D69137A" w:rsidR="00053629" w:rsidRPr="007641BA" w:rsidRDefault="00053629" w:rsidP="00611673">
            <w:pPr>
              <w:pStyle w:val="BodyTextIndent"/>
              <w:ind w:left="0"/>
              <w:jc w:val="right"/>
              <w:rPr>
                <w:color w:val="FFFFFF" w:themeColor="background1"/>
                <w:szCs w:val="24"/>
                <w:lang w:val="en-GB"/>
              </w:rPr>
            </w:pPr>
            <w:r w:rsidRPr="007641BA">
              <w:rPr>
                <w:color w:val="FFFFFF" w:themeColor="background1"/>
                <w:szCs w:val="24"/>
                <w:lang w:val="en-GB"/>
              </w:rPr>
              <w:t>£000</w:t>
            </w:r>
          </w:p>
        </w:tc>
        <w:tc>
          <w:tcPr>
            <w:tcW w:w="1309" w:type="dxa"/>
            <w:shd w:val="clear" w:color="auto" w:fill="BD2716"/>
            <w:vAlign w:val="center"/>
          </w:tcPr>
          <w:p w14:paraId="1DB296D6" w14:textId="77777777" w:rsidR="00053629" w:rsidRPr="007641BA" w:rsidRDefault="00053629" w:rsidP="00611673">
            <w:pPr>
              <w:pStyle w:val="BodyTextIndent"/>
              <w:ind w:left="0"/>
              <w:jc w:val="right"/>
              <w:rPr>
                <w:color w:val="FFFFFF" w:themeColor="background1"/>
                <w:szCs w:val="24"/>
                <w:lang w:val="en-GB"/>
              </w:rPr>
            </w:pPr>
            <w:r w:rsidRPr="007641BA">
              <w:rPr>
                <w:color w:val="FFFFFF" w:themeColor="background1"/>
                <w:szCs w:val="24"/>
                <w:lang w:val="en-GB"/>
              </w:rPr>
              <w:t>2022/23</w:t>
            </w:r>
          </w:p>
          <w:p w14:paraId="07D08C6E" w14:textId="67514384" w:rsidR="00053629" w:rsidRPr="007641BA" w:rsidRDefault="00053629" w:rsidP="00611673">
            <w:pPr>
              <w:pStyle w:val="BodyTextIndent"/>
              <w:ind w:left="0"/>
              <w:jc w:val="right"/>
              <w:rPr>
                <w:color w:val="FFFFFF" w:themeColor="background1"/>
                <w:szCs w:val="24"/>
                <w:lang w:val="en-GB"/>
              </w:rPr>
            </w:pPr>
            <w:r w:rsidRPr="007641BA">
              <w:rPr>
                <w:color w:val="FFFFFF" w:themeColor="background1"/>
                <w:szCs w:val="24"/>
                <w:lang w:val="en-GB"/>
              </w:rPr>
              <w:t>£000</w:t>
            </w:r>
          </w:p>
        </w:tc>
        <w:tc>
          <w:tcPr>
            <w:tcW w:w="1243" w:type="dxa"/>
            <w:shd w:val="clear" w:color="auto" w:fill="BD2716"/>
            <w:vAlign w:val="center"/>
          </w:tcPr>
          <w:p w14:paraId="6B245367" w14:textId="77777777" w:rsidR="00053629" w:rsidRPr="007641BA" w:rsidRDefault="00053629" w:rsidP="00611673">
            <w:pPr>
              <w:pStyle w:val="BodyTextIndent"/>
              <w:ind w:left="0"/>
              <w:jc w:val="right"/>
              <w:rPr>
                <w:color w:val="FFFFFF" w:themeColor="background1"/>
                <w:szCs w:val="24"/>
                <w:lang w:val="en-GB"/>
              </w:rPr>
            </w:pPr>
            <w:r w:rsidRPr="007641BA">
              <w:rPr>
                <w:color w:val="FFFFFF" w:themeColor="background1"/>
                <w:szCs w:val="24"/>
                <w:lang w:val="en-GB"/>
              </w:rPr>
              <w:t>2021/22</w:t>
            </w:r>
          </w:p>
          <w:p w14:paraId="66A8134D" w14:textId="6BA08C81" w:rsidR="00053629" w:rsidRPr="007641BA" w:rsidRDefault="00053629" w:rsidP="00611673">
            <w:pPr>
              <w:pStyle w:val="BodyTextIndent"/>
              <w:ind w:left="0"/>
              <w:jc w:val="right"/>
              <w:rPr>
                <w:color w:val="FFFFFF" w:themeColor="background1"/>
                <w:szCs w:val="24"/>
                <w:lang w:val="en-GB"/>
              </w:rPr>
            </w:pPr>
            <w:r w:rsidRPr="007641BA">
              <w:rPr>
                <w:color w:val="FFFFFF" w:themeColor="background1"/>
                <w:szCs w:val="24"/>
                <w:lang w:val="en-GB"/>
              </w:rPr>
              <w:t>£000</w:t>
            </w:r>
          </w:p>
        </w:tc>
      </w:tr>
      <w:tr w:rsidR="00053629" w:rsidRPr="00AF3DCD" w14:paraId="4C252FE8" w14:textId="77777777" w:rsidTr="007641BA">
        <w:trPr>
          <w:trHeight w:val="300"/>
        </w:trPr>
        <w:tc>
          <w:tcPr>
            <w:tcW w:w="9498" w:type="dxa"/>
            <w:gridSpan w:val="5"/>
            <w:shd w:val="clear" w:color="auto" w:fill="D9D9D9" w:themeFill="background1" w:themeFillShade="D9"/>
          </w:tcPr>
          <w:p w14:paraId="6131BCCF" w14:textId="0457A4AF" w:rsidR="00053629" w:rsidRPr="00BD79B2" w:rsidRDefault="00053629" w:rsidP="00053629">
            <w:pPr>
              <w:ind w:left="34"/>
              <w:rPr>
                <w:b/>
                <w:bCs/>
                <w:szCs w:val="24"/>
                <w:highlight w:val="yellow"/>
              </w:rPr>
            </w:pPr>
            <w:r w:rsidRPr="00BD79B2">
              <w:rPr>
                <w:b/>
                <w:bCs/>
                <w:color w:val="000000"/>
                <w:szCs w:val="24"/>
              </w:rPr>
              <w:t>Comprehensive Income &amp; Expenditure Statement</w:t>
            </w:r>
          </w:p>
        </w:tc>
      </w:tr>
      <w:tr w:rsidR="00053629" w:rsidRPr="00AF3DCD" w14:paraId="62E32643" w14:textId="77777777" w:rsidTr="007641BA">
        <w:trPr>
          <w:trHeight w:val="300"/>
        </w:trPr>
        <w:tc>
          <w:tcPr>
            <w:tcW w:w="9498" w:type="dxa"/>
            <w:gridSpan w:val="5"/>
            <w:shd w:val="clear" w:color="auto" w:fill="D9D9D9" w:themeFill="background1" w:themeFillShade="D9"/>
          </w:tcPr>
          <w:p w14:paraId="5423222E" w14:textId="2EEC8719" w:rsidR="00053629" w:rsidRPr="00BD79B2" w:rsidRDefault="00053629" w:rsidP="00053629">
            <w:pPr>
              <w:ind w:left="34"/>
              <w:rPr>
                <w:b/>
                <w:bCs/>
                <w:szCs w:val="24"/>
              </w:rPr>
            </w:pPr>
            <w:r w:rsidRPr="00BD79B2">
              <w:rPr>
                <w:b/>
                <w:bCs/>
                <w:szCs w:val="24"/>
              </w:rPr>
              <w:t>Cost of Services:</w:t>
            </w:r>
          </w:p>
        </w:tc>
      </w:tr>
      <w:tr w:rsidR="00053629" w:rsidRPr="00AF3DCD" w14:paraId="71095A47" w14:textId="77777777" w:rsidTr="00DD63D7">
        <w:trPr>
          <w:trHeight w:val="300"/>
        </w:trPr>
        <w:tc>
          <w:tcPr>
            <w:tcW w:w="4536" w:type="dxa"/>
          </w:tcPr>
          <w:p w14:paraId="3F3FB33A" w14:textId="77777777" w:rsidR="00053629" w:rsidRPr="00233BF0" w:rsidRDefault="00053629" w:rsidP="00053629">
            <w:pPr>
              <w:numPr>
                <w:ilvl w:val="0"/>
                <w:numId w:val="16"/>
              </w:numPr>
              <w:tabs>
                <w:tab w:val="clear" w:pos="754"/>
                <w:tab w:val="num" w:pos="459"/>
              </w:tabs>
              <w:ind w:hanging="720"/>
              <w:rPr>
                <w:szCs w:val="24"/>
              </w:rPr>
            </w:pPr>
            <w:r w:rsidRPr="00233BF0">
              <w:rPr>
                <w:szCs w:val="24"/>
              </w:rPr>
              <w:t>Current service cost</w:t>
            </w:r>
          </w:p>
        </w:tc>
        <w:tc>
          <w:tcPr>
            <w:tcW w:w="1168" w:type="dxa"/>
            <w:vAlign w:val="center"/>
          </w:tcPr>
          <w:p w14:paraId="09CB9E93" w14:textId="68858C48" w:rsidR="00053629" w:rsidRPr="00233BF0" w:rsidRDefault="00053629" w:rsidP="00DD63D7">
            <w:pPr>
              <w:tabs>
                <w:tab w:val="decimal" w:pos="717"/>
              </w:tabs>
              <w:ind w:left="34"/>
              <w:jc w:val="right"/>
              <w:rPr>
                <w:szCs w:val="24"/>
              </w:rPr>
            </w:pPr>
            <w:r w:rsidRPr="00233BF0">
              <w:rPr>
                <w:szCs w:val="24"/>
              </w:rPr>
              <w:t>2,900</w:t>
            </w:r>
          </w:p>
        </w:tc>
        <w:tc>
          <w:tcPr>
            <w:tcW w:w="1242" w:type="dxa"/>
            <w:vAlign w:val="center"/>
          </w:tcPr>
          <w:p w14:paraId="638F3375" w14:textId="67AB7390" w:rsidR="00053629" w:rsidRPr="00233BF0" w:rsidRDefault="00053629" w:rsidP="00DD63D7">
            <w:pPr>
              <w:tabs>
                <w:tab w:val="decimal" w:pos="717"/>
              </w:tabs>
              <w:ind w:left="34"/>
              <w:jc w:val="right"/>
              <w:rPr>
                <w:szCs w:val="24"/>
              </w:rPr>
            </w:pPr>
            <w:r w:rsidRPr="00233BF0">
              <w:rPr>
                <w:szCs w:val="24"/>
              </w:rPr>
              <w:t>2,553</w:t>
            </w:r>
          </w:p>
        </w:tc>
        <w:tc>
          <w:tcPr>
            <w:tcW w:w="1309" w:type="dxa"/>
            <w:vAlign w:val="center"/>
          </w:tcPr>
          <w:p w14:paraId="07B60957" w14:textId="1553D1B2" w:rsidR="00053629" w:rsidRPr="00233BF0" w:rsidRDefault="00053629" w:rsidP="00DD63D7">
            <w:pPr>
              <w:tabs>
                <w:tab w:val="decimal" w:pos="884"/>
              </w:tabs>
              <w:ind w:left="34"/>
              <w:jc w:val="right"/>
              <w:rPr>
                <w:szCs w:val="24"/>
              </w:rPr>
            </w:pPr>
            <w:r w:rsidRPr="00233BF0">
              <w:rPr>
                <w:szCs w:val="24"/>
              </w:rPr>
              <w:t>13,640</w:t>
            </w:r>
          </w:p>
        </w:tc>
        <w:tc>
          <w:tcPr>
            <w:tcW w:w="1243" w:type="dxa"/>
            <w:vAlign w:val="center"/>
          </w:tcPr>
          <w:p w14:paraId="6D910F6A" w14:textId="0F3C77A8" w:rsidR="00053629" w:rsidRPr="00233BF0" w:rsidRDefault="00053629" w:rsidP="00DD63D7">
            <w:pPr>
              <w:tabs>
                <w:tab w:val="decimal" w:pos="884"/>
              </w:tabs>
              <w:ind w:left="34"/>
              <w:jc w:val="right"/>
              <w:rPr>
                <w:szCs w:val="24"/>
              </w:rPr>
            </w:pPr>
            <w:r w:rsidRPr="00233BF0">
              <w:rPr>
                <w:szCs w:val="24"/>
              </w:rPr>
              <w:t>15,840</w:t>
            </w:r>
          </w:p>
        </w:tc>
      </w:tr>
      <w:tr w:rsidR="00053629" w:rsidRPr="00AF3DCD" w14:paraId="3580E7D0" w14:textId="77777777" w:rsidTr="00DD63D7">
        <w:trPr>
          <w:trHeight w:val="300"/>
        </w:trPr>
        <w:tc>
          <w:tcPr>
            <w:tcW w:w="4536" w:type="dxa"/>
          </w:tcPr>
          <w:p w14:paraId="0ED950E7" w14:textId="77777777" w:rsidR="00053629" w:rsidRPr="00233BF0" w:rsidRDefault="00053629" w:rsidP="00053629">
            <w:pPr>
              <w:numPr>
                <w:ilvl w:val="0"/>
                <w:numId w:val="16"/>
              </w:numPr>
              <w:tabs>
                <w:tab w:val="clear" w:pos="754"/>
                <w:tab w:val="num" w:pos="459"/>
              </w:tabs>
              <w:ind w:hanging="720"/>
              <w:rPr>
                <w:szCs w:val="24"/>
              </w:rPr>
            </w:pPr>
            <w:r w:rsidRPr="00233BF0">
              <w:rPr>
                <w:szCs w:val="24"/>
              </w:rPr>
              <w:t>Administrative expenses</w:t>
            </w:r>
          </w:p>
        </w:tc>
        <w:tc>
          <w:tcPr>
            <w:tcW w:w="1168" w:type="dxa"/>
            <w:vAlign w:val="center"/>
          </w:tcPr>
          <w:p w14:paraId="4201722E" w14:textId="3F3CEEC0" w:rsidR="00053629" w:rsidRPr="00233BF0" w:rsidRDefault="00053629" w:rsidP="00DD63D7">
            <w:pPr>
              <w:tabs>
                <w:tab w:val="decimal" w:pos="717"/>
              </w:tabs>
              <w:ind w:left="34"/>
              <w:jc w:val="right"/>
              <w:rPr>
                <w:szCs w:val="24"/>
              </w:rPr>
            </w:pPr>
            <w:r w:rsidRPr="00233BF0">
              <w:rPr>
                <w:szCs w:val="24"/>
              </w:rPr>
              <w:t>41</w:t>
            </w:r>
          </w:p>
        </w:tc>
        <w:tc>
          <w:tcPr>
            <w:tcW w:w="1242" w:type="dxa"/>
            <w:vAlign w:val="center"/>
          </w:tcPr>
          <w:p w14:paraId="4C861465" w14:textId="5A58A03C" w:rsidR="00053629" w:rsidRPr="00233BF0" w:rsidRDefault="00053629" w:rsidP="00DD63D7">
            <w:pPr>
              <w:tabs>
                <w:tab w:val="decimal" w:pos="717"/>
              </w:tabs>
              <w:ind w:left="34"/>
              <w:jc w:val="right"/>
              <w:rPr>
                <w:szCs w:val="24"/>
              </w:rPr>
            </w:pPr>
            <w:r w:rsidRPr="00233BF0">
              <w:rPr>
                <w:szCs w:val="24"/>
              </w:rPr>
              <w:t>34</w:t>
            </w:r>
          </w:p>
        </w:tc>
        <w:tc>
          <w:tcPr>
            <w:tcW w:w="1309" w:type="dxa"/>
            <w:vAlign w:val="center"/>
          </w:tcPr>
          <w:p w14:paraId="4EC93DAF" w14:textId="20BA494D" w:rsidR="00053629" w:rsidRPr="00233BF0" w:rsidRDefault="00053629" w:rsidP="00DD63D7">
            <w:pPr>
              <w:tabs>
                <w:tab w:val="decimal" w:pos="884"/>
              </w:tabs>
              <w:ind w:left="34"/>
              <w:jc w:val="right"/>
              <w:rPr>
                <w:szCs w:val="24"/>
              </w:rPr>
            </w:pPr>
            <w:r w:rsidRPr="00233BF0">
              <w:rPr>
                <w:szCs w:val="24"/>
              </w:rPr>
              <w:t>-</w:t>
            </w:r>
          </w:p>
        </w:tc>
        <w:tc>
          <w:tcPr>
            <w:tcW w:w="1243" w:type="dxa"/>
            <w:vAlign w:val="center"/>
          </w:tcPr>
          <w:p w14:paraId="195037FF" w14:textId="7ABC18CB" w:rsidR="00053629" w:rsidRPr="00233BF0" w:rsidRDefault="00053629" w:rsidP="00DD63D7">
            <w:pPr>
              <w:tabs>
                <w:tab w:val="decimal" w:pos="884"/>
              </w:tabs>
              <w:ind w:left="34"/>
              <w:jc w:val="right"/>
              <w:rPr>
                <w:szCs w:val="24"/>
              </w:rPr>
            </w:pPr>
            <w:r w:rsidRPr="00233BF0">
              <w:rPr>
                <w:szCs w:val="24"/>
              </w:rPr>
              <w:t>-</w:t>
            </w:r>
          </w:p>
        </w:tc>
      </w:tr>
      <w:tr w:rsidR="00053629" w:rsidRPr="00AF3DCD" w14:paraId="128CFDA4" w14:textId="77777777" w:rsidTr="00DD63D7">
        <w:trPr>
          <w:trHeight w:val="300"/>
        </w:trPr>
        <w:tc>
          <w:tcPr>
            <w:tcW w:w="4536" w:type="dxa"/>
          </w:tcPr>
          <w:p w14:paraId="2D49D68D" w14:textId="77777777" w:rsidR="00053629" w:rsidRPr="00233BF0" w:rsidRDefault="00053629" w:rsidP="00053629">
            <w:pPr>
              <w:numPr>
                <w:ilvl w:val="0"/>
                <w:numId w:val="16"/>
              </w:numPr>
              <w:tabs>
                <w:tab w:val="clear" w:pos="754"/>
                <w:tab w:val="num" w:pos="459"/>
              </w:tabs>
              <w:ind w:hanging="720"/>
              <w:rPr>
                <w:szCs w:val="24"/>
              </w:rPr>
            </w:pPr>
            <w:r w:rsidRPr="00233BF0">
              <w:rPr>
                <w:szCs w:val="24"/>
              </w:rPr>
              <w:t>Past service cost</w:t>
            </w:r>
          </w:p>
        </w:tc>
        <w:tc>
          <w:tcPr>
            <w:tcW w:w="1168" w:type="dxa"/>
            <w:vAlign w:val="center"/>
          </w:tcPr>
          <w:p w14:paraId="04B8BDB6" w14:textId="11E19824" w:rsidR="00053629" w:rsidRPr="00233BF0" w:rsidRDefault="00053629" w:rsidP="00DD63D7">
            <w:pPr>
              <w:tabs>
                <w:tab w:val="decimal" w:pos="717"/>
              </w:tabs>
              <w:ind w:left="34"/>
              <w:jc w:val="right"/>
              <w:rPr>
                <w:szCs w:val="24"/>
              </w:rPr>
            </w:pPr>
            <w:r w:rsidRPr="00233BF0">
              <w:rPr>
                <w:szCs w:val="24"/>
              </w:rPr>
              <w:t>-</w:t>
            </w:r>
          </w:p>
        </w:tc>
        <w:tc>
          <w:tcPr>
            <w:tcW w:w="1242" w:type="dxa"/>
            <w:vAlign w:val="center"/>
          </w:tcPr>
          <w:p w14:paraId="3E52A477" w14:textId="6EBC6DFC" w:rsidR="00053629" w:rsidRPr="00233BF0" w:rsidRDefault="00053629" w:rsidP="00DD63D7">
            <w:pPr>
              <w:tabs>
                <w:tab w:val="decimal" w:pos="717"/>
              </w:tabs>
              <w:ind w:left="34"/>
              <w:jc w:val="right"/>
              <w:rPr>
                <w:szCs w:val="24"/>
              </w:rPr>
            </w:pPr>
            <w:r w:rsidRPr="00233BF0">
              <w:rPr>
                <w:szCs w:val="24"/>
              </w:rPr>
              <w:t>-</w:t>
            </w:r>
          </w:p>
        </w:tc>
        <w:tc>
          <w:tcPr>
            <w:tcW w:w="1309" w:type="dxa"/>
            <w:vAlign w:val="center"/>
          </w:tcPr>
          <w:p w14:paraId="037C4FA9" w14:textId="74798DC3" w:rsidR="00053629" w:rsidRPr="00233BF0" w:rsidRDefault="00053629" w:rsidP="00DD63D7">
            <w:pPr>
              <w:tabs>
                <w:tab w:val="decimal" w:pos="884"/>
              </w:tabs>
              <w:ind w:left="34"/>
              <w:jc w:val="right"/>
              <w:rPr>
                <w:szCs w:val="24"/>
              </w:rPr>
            </w:pPr>
            <w:r w:rsidRPr="00233BF0">
              <w:rPr>
                <w:szCs w:val="24"/>
              </w:rPr>
              <w:t>-</w:t>
            </w:r>
          </w:p>
        </w:tc>
        <w:tc>
          <w:tcPr>
            <w:tcW w:w="1243" w:type="dxa"/>
            <w:vAlign w:val="center"/>
          </w:tcPr>
          <w:p w14:paraId="5308C57C" w14:textId="0BDBDA16" w:rsidR="00053629" w:rsidRPr="00233BF0" w:rsidRDefault="00053629" w:rsidP="00DD63D7">
            <w:pPr>
              <w:tabs>
                <w:tab w:val="decimal" w:pos="884"/>
              </w:tabs>
              <w:ind w:left="34"/>
              <w:jc w:val="right"/>
              <w:rPr>
                <w:szCs w:val="24"/>
              </w:rPr>
            </w:pPr>
            <w:r w:rsidRPr="00233BF0">
              <w:rPr>
                <w:szCs w:val="24"/>
              </w:rPr>
              <w:t>-</w:t>
            </w:r>
          </w:p>
        </w:tc>
      </w:tr>
      <w:tr w:rsidR="00053629" w:rsidRPr="00F663CF" w14:paraId="508DC4B6" w14:textId="77777777" w:rsidTr="00DD63D7">
        <w:trPr>
          <w:trHeight w:val="300"/>
        </w:trPr>
        <w:tc>
          <w:tcPr>
            <w:tcW w:w="4536" w:type="dxa"/>
          </w:tcPr>
          <w:p w14:paraId="45EB3D04" w14:textId="4A25C72F" w:rsidR="00053629" w:rsidRPr="00233BF0" w:rsidRDefault="001E71F1" w:rsidP="00053629">
            <w:pPr>
              <w:ind w:left="34"/>
              <w:rPr>
                <w:b/>
                <w:bCs/>
                <w:szCs w:val="24"/>
              </w:rPr>
            </w:pPr>
            <w:r>
              <w:rPr>
                <w:b/>
                <w:bCs/>
                <w:szCs w:val="24"/>
              </w:rPr>
              <w:t>Cost of Services total</w:t>
            </w:r>
          </w:p>
        </w:tc>
        <w:tc>
          <w:tcPr>
            <w:tcW w:w="1168" w:type="dxa"/>
            <w:vAlign w:val="center"/>
          </w:tcPr>
          <w:p w14:paraId="6C90A462" w14:textId="4BF543E4" w:rsidR="00053629" w:rsidRPr="00233BF0" w:rsidRDefault="00053629" w:rsidP="00DD63D7">
            <w:pPr>
              <w:tabs>
                <w:tab w:val="decimal" w:pos="717"/>
              </w:tabs>
              <w:ind w:left="34"/>
              <w:jc w:val="right"/>
              <w:rPr>
                <w:b/>
                <w:bCs/>
                <w:szCs w:val="24"/>
              </w:rPr>
            </w:pPr>
            <w:r w:rsidRPr="00233BF0">
              <w:rPr>
                <w:b/>
                <w:bCs/>
                <w:szCs w:val="24"/>
              </w:rPr>
              <w:t>2,941</w:t>
            </w:r>
          </w:p>
        </w:tc>
        <w:tc>
          <w:tcPr>
            <w:tcW w:w="1242" w:type="dxa"/>
            <w:vAlign w:val="center"/>
          </w:tcPr>
          <w:p w14:paraId="03FF2CF4" w14:textId="67923C83" w:rsidR="00053629" w:rsidRPr="00233BF0" w:rsidRDefault="00053629" w:rsidP="00DD63D7">
            <w:pPr>
              <w:tabs>
                <w:tab w:val="decimal" w:pos="717"/>
              </w:tabs>
              <w:ind w:left="34"/>
              <w:jc w:val="right"/>
              <w:rPr>
                <w:b/>
                <w:bCs/>
                <w:szCs w:val="24"/>
              </w:rPr>
            </w:pPr>
            <w:r w:rsidRPr="00233BF0">
              <w:rPr>
                <w:b/>
                <w:bCs/>
                <w:szCs w:val="24"/>
              </w:rPr>
              <w:t>2,587</w:t>
            </w:r>
          </w:p>
        </w:tc>
        <w:tc>
          <w:tcPr>
            <w:tcW w:w="1309" w:type="dxa"/>
            <w:vAlign w:val="center"/>
          </w:tcPr>
          <w:p w14:paraId="6F6C4F19" w14:textId="1DE67675" w:rsidR="00053629" w:rsidRPr="00233BF0" w:rsidRDefault="00053629" w:rsidP="00DD63D7">
            <w:pPr>
              <w:tabs>
                <w:tab w:val="decimal" w:pos="884"/>
              </w:tabs>
              <w:ind w:left="34"/>
              <w:jc w:val="right"/>
              <w:rPr>
                <w:b/>
                <w:bCs/>
                <w:szCs w:val="24"/>
              </w:rPr>
            </w:pPr>
            <w:r w:rsidRPr="00233BF0">
              <w:rPr>
                <w:b/>
                <w:bCs/>
                <w:szCs w:val="24"/>
              </w:rPr>
              <w:t>13,640</w:t>
            </w:r>
          </w:p>
        </w:tc>
        <w:tc>
          <w:tcPr>
            <w:tcW w:w="1243" w:type="dxa"/>
            <w:vAlign w:val="center"/>
          </w:tcPr>
          <w:p w14:paraId="292376B5" w14:textId="131C9401" w:rsidR="00053629" w:rsidRPr="00233BF0" w:rsidRDefault="00053629" w:rsidP="00DD63D7">
            <w:pPr>
              <w:tabs>
                <w:tab w:val="decimal" w:pos="884"/>
              </w:tabs>
              <w:ind w:left="34"/>
              <w:jc w:val="right"/>
              <w:rPr>
                <w:b/>
                <w:bCs/>
                <w:szCs w:val="24"/>
              </w:rPr>
            </w:pPr>
            <w:r w:rsidRPr="00233BF0">
              <w:rPr>
                <w:b/>
                <w:bCs/>
                <w:szCs w:val="24"/>
              </w:rPr>
              <w:t>15,840</w:t>
            </w:r>
          </w:p>
        </w:tc>
      </w:tr>
    </w:tbl>
    <w:p w14:paraId="72EF1061" w14:textId="77777777" w:rsidR="001E71F1" w:rsidRDefault="001E71F1"/>
    <w:tbl>
      <w:tblPr>
        <w:tblW w:w="949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1168"/>
        <w:gridCol w:w="1242"/>
        <w:gridCol w:w="1309"/>
        <w:gridCol w:w="1243"/>
      </w:tblGrid>
      <w:tr w:rsidR="00053629" w:rsidRPr="00AF3DCD" w14:paraId="42636F51" w14:textId="77777777" w:rsidTr="007641BA">
        <w:trPr>
          <w:trHeight w:val="300"/>
        </w:trPr>
        <w:tc>
          <w:tcPr>
            <w:tcW w:w="9498" w:type="dxa"/>
            <w:gridSpan w:val="5"/>
            <w:shd w:val="clear" w:color="auto" w:fill="D9D9D9" w:themeFill="background1" w:themeFillShade="D9"/>
          </w:tcPr>
          <w:p w14:paraId="77A6504C" w14:textId="3B17E845" w:rsidR="00053629" w:rsidRPr="00BD79B2" w:rsidRDefault="00053629" w:rsidP="00053629">
            <w:pPr>
              <w:tabs>
                <w:tab w:val="decimal" w:pos="884"/>
              </w:tabs>
              <w:ind w:left="34"/>
              <w:rPr>
                <w:b/>
                <w:bCs/>
                <w:szCs w:val="24"/>
              </w:rPr>
            </w:pPr>
            <w:r w:rsidRPr="00BD79B2">
              <w:rPr>
                <w:b/>
                <w:bCs/>
                <w:szCs w:val="24"/>
              </w:rPr>
              <w:t>Financing and Investment Income and Expenditure:</w:t>
            </w:r>
          </w:p>
        </w:tc>
      </w:tr>
      <w:tr w:rsidR="00053629" w:rsidRPr="00AF3DCD" w14:paraId="5A46A9E6" w14:textId="77777777" w:rsidTr="00DD63D7">
        <w:trPr>
          <w:trHeight w:val="300"/>
        </w:trPr>
        <w:tc>
          <w:tcPr>
            <w:tcW w:w="4536" w:type="dxa"/>
          </w:tcPr>
          <w:p w14:paraId="7BB24C11" w14:textId="77777777" w:rsidR="00053629" w:rsidRPr="00233BF0" w:rsidRDefault="00053629" w:rsidP="00053629">
            <w:pPr>
              <w:numPr>
                <w:ilvl w:val="0"/>
                <w:numId w:val="16"/>
              </w:numPr>
              <w:tabs>
                <w:tab w:val="clear" w:pos="754"/>
                <w:tab w:val="num" w:pos="459"/>
              </w:tabs>
              <w:ind w:hanging="720"/>
              <w:rPr>
                <w:szCs w:val="24"/>
              </w:rPr>
            </w:pPr>
            <w:r w:rsidRPr="00233BF0">
              <w:rPr>
                <w:szCs w:val="24"/>
              </w:rPr>
              <w:t>Interest cost</w:t>
            </w:r>
          </w:p>
        </w:tc>
        <w:tc>
          <w:tcPr>
            <w:tcW w:w="1168" w:type="dxa"/>
            <w:vAlign w:val="center"/>
          </w:tcPr>
          <w:p w14:paraId="021D199F" w14:textId="2091B513" w:rsidR="00053629" w:rsidRPr="00233BF0" w:rsidRDefault="00053629" w:rsidP="00DD63D7">
            <w:pPr>
              <w:tabs>
                <w:tab w:val="decimal" w:pos="717"/>
              </w:tabs>
              <w:ind w:left="34"/>
              <w:jc w:val="right"/>
              <w:rPr>
                <w:szCs w:val="24"/>
              </w:rPr>
            </w:pPr>
            <w:r w:rsidRPr="00233BF0">
              <w:rPr>
                <w:szCs w:val="24"/>
              </w:rPr>
              <w:t>2,343</w:t>
            </w:r>
          </w:p>
        </w:tc>
        <w:tc>
          <w:tcPr>
            <w:tcW w:w="1242" w:type="dxa"/>
            <w:vAlign w:val="center"/>
          </w:tcPr>
          <w:p w14:paraId="316C9C8A" w14:textId="56686030" w:rsidR="00053629" w:rsidRPr="00233BF0" w:rsidRDefault="00053629" w:rsidP="00DD63D7">
            <w:pPr>
              <w:tabs>
                <w:tab w:val="decimal" w:pos="717"/>
              </w:tabs>
              <w:ind w:left="34"/>
              <w:jc w:val="right"/>
              <w:rPr>
                <w:szCs w:val="24"/>
              </w:rPr>
            </w:pPr>
            <w:r w:rsidRPr="00233BF0">
              <w:rPr>
                <w:szCs w:val="24"/>
              </w:rPr>
              <w:t>1,742</w:t>
            </w:r>
          </w:p>
        </w:tc>
        <w:tc>
          <w:tcPr>
            <w:tcW w:w="1309" w:type="dxa"/>
            <w:vAlign w:val="center"/>
          </w:tcPr>
          <w:p w14:paraId="2EBE2152" w14:textId="5E5C46E3" w:rsidR="00053629" w:rsidRPr="00233BF0" w:rsidRDefault="00053629" w:rsidP="00DD63D7">
            <w:pPr>
              <w:tabs>
                <w:tab w:val="decimal" w:pos="884"/>
              </w:tabs>
              <w:ind w:left="34"/>
              <w:jc w:val="right"/>
              <w:rPr>
                <w:szCs w:val="24"/>
              </w:rPr>
            </w:pPr>
            <w:r w:rsidRPr="00233BF0">
              <w:rPr>
                <w:szCs w:val="24"/>
              </w:rPr>
              <w:t>23,040</w:t>
            </w:r>
          </w:p>
        </w:tc>
        <w:tc>
          <w:tcPr>
            <w:tcW w:w="1243" w:type="dxa"/>
            <w:vAlign w:val="center"/>
          </w:tcPr>
          <w:p w14:paraId="4F110055" w14:textId="5FDB9A97" w:rsidR="00053629" w:rsidRPr="00233BF0" w:rsidRDefault="00053629" w:rsidP="00DD63D7">
            <w:pPr>
              <w:tabs>
                <w:tab w:val="decimal" w:pos="884"/>
              </w:tabs>
              <w:ind w:left="34"/>
              <w:jc w:val="right"/>
              <w:rPr>
                <w:szCs w:val="24"/>
              </w:rPr>
            </w:pPr>
            <w:r w:rsidRPr="00233BF0">
              <w:rPr>
                <w:szCs w:val="24"/>
              </w:rPr>
              <w:t>17,330</w:t>
            </w:r>
          </w:p>
        </w:tc>
      </w:tr>
      <w:tr w:rsidR="00053629" w:rsidRPr="00AF3DCD" w14:paraId="598567C1" w14:textId="77777777" w:rsidTr="00DD63D7">
        <w:trPr>
          <w:trHeight w:val="300"/>
        </w:trPr>
        <w:tc>
          <w:tcPr>
            <w:tcW w:w="4536" w:type="dxa"/>
          </w:tcPr>
          <w:p w14:paraId="63F0C168" w14:textId="77777777" w:rsidR="00053629" w:rsidRPr="00233BF0" w:rsidRDefault="00053629" w:rsidP="00053629">
            <w:pPr>
              <w:numPr>
                <w:ilvl w:val="0"/>
                <w:numId w:val="16"/>
              </w:numPr>
              <w:tabs>
                <w:tab w:val="clear" w:pos="754"/>
                <w:tab w:val="num" w:pos="459"/>
              </w:tabs>
              <w:ind w:hanging="720"/>
              <w:rPr>
                <w:szCs w:val="24"/>
              </w:rPr>
            </w:pPr>
            <w:r w:rsidRPr="00233BF0">
              <w:rPr>
                <w:szCs w:val="24"/>
              </w:rPr>
              <w:t>Interest on scheme assets</w:t>
            </w:r>
          </w:p>
        </w:tc>
        <w:tc>
          <w:tcPr>
            <w:tcW w:w="1168" w:type="dxa"/>
            <w:vAlign w:val="center"/>
          </w:tcPr>
          <w:p w14:paraId="26389F5B" w14:textId="4A6AD25E" w:rsidR="00053629" w:rsidRPr="00233BF0" w:rsidRDefault="00053629" w:rsidP="00DD63D7">
            <w:pPr>
              <w:tabs>
                <w:tab w:val="decimal" w:pos="717"/>
              </w:tabs>
              <w:ind w:left="34"/>
              <w:jc w:val="right"/>
              <w:rPr>
                <w:szCs w:val="24"/>
              </w:rPr>
            </w:pPr>
            <w:r w:rsidRPr="00233BF0">
              <w:rPr>
                <w:szCs w:val="24"/>
              </w:rPr>
              <w:t>(2,137)</w:t>
            </w:r>
          </w:p>
        </w:tc>
        <w:tc>
          <w:tcPr>
            <w:tcW w:w="1242" w:type="dxa"/>
            <w:vAlign w:val="center"/>
          </w:tcPr>
          <w:p w14:paraId="6546211A" w14:textId="75C8A6F0" w:rsidR="00053629" w:rsidRPr="00233BF0" w:rsidRDefault="00053629" w:rsidP="00DD63D7">
            <w:pPr>
              <w:tabs>
                <w:tab w:val="decimal" w:pos="717"/>
              </w:tabs>
              <w:ind w:left="34"/>
              <w:jc w:val="right"/>
              <w:rPr>
                <w:szCs w:val="24"/>
              </w:rPr>
            </w:pPr>
            <w:r w:rsidRPr="00233BF0">
              <w:rPr>
                <w:szCs w:val="24"/>
              </w:rPr>
              <w:t>(1,425)</w:t>
            </w:r>
          </w:p>
        </w:tc>
        <w:tc>
          <w:tcPr>
            <w:tcW w:w="1309" w:type="dxa"/>
            <w:vAlign w:val="center"/>
          </w:tcPr>
          <w:p w14:paraId="4E70C161" w14:textId="5CA034FC" w:rsidR="00053629" w:rsidRPr="00233BF0" w:rsidRDefault="00053629" w:rsidP="00DD63D7">
            <w:pPr>
              <w:tabs>
                <w:tab w:val="decimal" w:pos="884"/>
              </w:tabs>
              <w:ind w:left="34"/>
              <w:jc w:val="right"/>
              <w:rPr>
                <w:szCs w:val="24"/>
              </w:rPr>
            </w:pPr>
            <w:r w:rsidRPr="00233BF0">
              <w:rPr>
                <w:szCs w:val="24"/>
              </w:rPr>
              <w:t>-</w:t>
            </w:r>
          </w:p>
        </w:tc>
        <w:tc>
          <w:tcPr>
            <w:tcW w:w="1243" w:type="dxa"/>
            <w:vAlign w:val="center"/>
          </w:tcPr>
          <w:p w14:paraId="56B78565" w14:textId="0A71DEB8" w:rsidR="00053629" w:rsidRPr="00233BF0" w:rsidRDefault="00053629" w:rsidP="00DD63D7">
            <w:pPr>
              <w:tabs>
                <w:tab w:val="decimal" w:pos="884"/>
              </w:tabs>
              <w:ind w:left="34"/>
              <w:jc w:val="right"/>
              <w:rPr>
                <w:szCs w:val="24"/>
              </w:rPr>
            </w:pPr>
            <w:r w:rsidRPr="00233BF0">
              <w:rPr>
                <w:szCs w:val="24"/>
              </w:rPr>
              <w:t>-</w:t>
            </w:r>
          </w:p>
        </w:tc>
      </w:tr>
      <w:tr w:rsidR="00053629" w:rsidRPr="00F663CF" w14:paraId="2A2920CB" w14:textId="77777777" w:rsidTr="00DD63D7">
        <w:trPr>
          <w:trHeight w:val="300"/>
        </w:trPr>
        <w:tc>
          <w:tcPr>
            <w:tcW w:w="4536" w:type="dxa"/>
          </w:tcPr>
          <w:p w14:paraId="6DEA3ED0" w14:textId="14D6CEDB" w:rsidR="00053629" w:rsidRPr="001E71F1" w:rsidRDefault="001E71F1" w:rsidP="00053629">
            <w:pPr>
              <w:ind w:left="34"/>
              <w:rPr>
                <w:b/>
                <w:bCs/>
                <w:szCs w:val="24"/>
              </w:rPr>
            </w:pPr>
            <w:r>
              <w:rPr>
                <w:b/>
                <w:bCs/>
                <w:szCs w:val="24"/>
              </w:rPr>
              <w:t>Financing total</w:t>
            </w:r>
          </w:p>
        </w:tc>
        <w:tc>
          <w:tcPr>
            <w:tcW w:w="1168" w:type="dxa"/>
            <w:vAlign w:val="center"/>
          </w:tcPr>
          <w:p w14:paraId="4E789A63" w14:textId="24FC6CAE" w:rsidR="00053629" w:rsidRPr="00233BF0" w:rsidRDefault="00053629" w:rsidP="00DD63D7">
            <w:pPr>
              <w:tabs>
                <w:tab w:val="decimal" w:pos="717"/>
              </w:tabs>
              <w:ind w:left="34"/>
              <w:jc w:val="right"/>
              <w:rPr>
                <w:b/>
                <w:bCs/>
                <w:szCs w:val="24"/>
              </w:rPr>
            </w:pPr>
            <w:r w:rsidRPr="00233BF0">
              <w:rPr>
                <w:b/>
                <w:bCs/>
                <w:szCs w:val="24"/>
              </w:rPr>
              <w:t>206</w:t>
            </w:r>
          </w:p>
        </w:tc>
        <w:tc>
          <w:tcPr>
            <w:tcW w:w="1242" w:type="dxa"/>
            <w:vAlign w:val="center"/>
          </w:tcPr>
          <w:p w14:paraId="03C7A64E" w14:textId="38B0532D" w:rsidR="00053629" w:rsidRPr="00233BF0" w:rsidRDefault="00053629" w:rsidP="00DD63D7">
            <w:pPr>
              <w:tabs>
                <w:tab w:val="decimal" w:pos="717"/>
              </w:tabs>
              <w:ind w:left="34"/>
              <w:jc w:val="right"/>
              <w:rPr>
                <w:b/>
                <w:bCs/>
                <w:szCs w:val="24"/>
              </w:rPr>
            </w:pPr>
            <w:r w:rsidRPr="00233BF0">
              <w:rPr>
                <w:b/>
                <w:bCs/>
                <w:szCs w:val="24"/>
              </w:rPr>
              <w:t>317</w:t>
            </w:r>
          </w:p>
        </w:tc>
        <w:tc>
          <w:tcPr>
            <w:tcW w:w="1309" w:type="dxa"/>
            <w:vAlign w:val="center"/>
          </w:tcPr>
          <w:p w14:paraId="1D43A5C0" w14:textId="1FEA763C" w:rsidR="00053629" w:rsidRPr="00233BF0" w:rsidRDefault="00053629" w:rsidP="00DD63D7">
            <w:pPr>
              <w:tabs>
                <w:tab w:val="decimal" w:pos="884"/>
              </w:tabs>
              <w:ind w:left="34"/>
              <w:jc w:val="right"/>
              <w:rPr>
                <w:b/>
                <w:bCs/>
                <w:szCs w:val="24"/>
              </w:rPr>
            </w:pPr>
            <w:r w:rsidRPr="00233BF0">
              <w:rPr>
                <w:b/>
                <w:bCs/>
                <w:szCs w:val="24"/>
              </w:rPr>
              <w:t>23,040</w:t>
            </w:r>
          </w:p>
        </w:tc>
        <w:tc>
          <w:tcPr>
            <w:tcW w:w="1243" w:type="dxa"/>
            <w:vAlign w:val="center"/>
          </w:tcPr>
          <w:p w14:paraId="473A7F0E" w14:textId="5C1AD88D" w:rsidR="00053629" w:rsidRPr="00233BF0" w:rsidRDefault="00053629" w:rsidP="00DD63D7">
            <w:pPr>
              <w:tabs>
                <w:tab w:val="decimal" w:pos="884"/>
              </w:tabs>
              <w:ind w:left="34"/>
              <w:jc w:val="right"/>
              <w:rPr>
                <w:b/>
                <w:bCs/>
                <w:szCs w:val="24"/>
              </w:rPr>
            </w:pPr>
            <w:r w:rsidRPr="00233BF0">
              <w:rPr>
                <w:b/>
                <w:bCs/>
                <w:szCs w:val="24"/>
              </w:rPr>
              <w:t>17,330</w:t>
            </w:r>
          </w:p>
        </w:tc>
      </w:tr>
      <w:tr w:rsidR="00053629" w:rsidRPr="00F663CF" w14:paraId="3B64AF29" w14:textId="77777777" w:rsidTr="00DD63D7">
        <w:trPr>
          <w:trHeight w:val="300"/>
        </w:trPr>
        <w:tc>
          <w:tcPr>
            <w:tcW w:w="4536" w:type="dxa"/>
          </w:tcPr>
          <w:p w14:paraId="06DBC405" w14:textId="1D049912" w:rsidR="00053629" w:rsidRPr="00233BF0" w:rsidRDefault="00053629" w:rsidP="00053629">
            <w:pPr>
              <w:ind w:left="34"/>
              <w:rPr>
                <w:b/>
                <w:szCs w:val="24"/>
              </w:rPr>
            </w:pPr>
            <w:r w:rsidRPr="00233BF0">
              <w:rPr>
                <w:b/>
                <w:szCs w:val="24"/>
              </w:rPr>
              <w:t>Total post</w:t>
            </w:r>
            <w:r>
              <w:rPr>
                <w:b/>
                <w:szCs w:val="24"/>
              </w:rPr>
              <w:t>-</w:t>
            </w:r>
            <w:r w:rsidRPr="00233BF0">
              <w:rPr>
                <w:b/>
                <w:szCs w:val="24"/>
              </w:rPr>
              <w:t>employment benefit charged to the deficit on provision of services</w:t>
            </w:r>
          </w:p>
        </w:tc>
        <w:tc>
          <w:tcPr>
            <w:tcW w:w="1168" w:type="dxa"/>
            <w:vAlign w:val="center"/>
          </w:tcPr>
          <w:p w14:paraId="2147903A" w14:textId="77777777" w:rsidR="00053629" w:rsidRPr="00233BF0" w:rsidRDefault="00053629" w:rsidP="00DD63D7">
            <w:pPr>
              <w:tabs>
                <w:tab w:val="decimal" w:pos="717"/>
              </w:tabs>
              <w:ind w:left="34"/>
              <w:jc w:val="right"/>
              <w:rPr>
                <w:b/>
                <w:szCs w:val="24"/>
              </w:rPr>
            </w:pPr>
          </w:p>
          <w:p w14:paraId="37FBB71A" w14:textId="323EEA72" w:rsidR="00053629" w:rsidRPr="00233BF0" w:rsidRDefault="00053629" w:rsidP="00DD63D7">
            <w:pPr>
              <w:tabs>
                <w:tab w:val="decimal" w:pos="717"/>
              </w:tabs>
              <w:ind w:left="34"/>
              <w:jc w:val="right"/>
              <w:rPr>
                <w:b/>
                <w:szCs w:val="24"/>
              </w:rPr>
            </w:pPr>
            <w:r w:rsidRPr="00233BF0">
              <w:rPr>
                <w:b/>
                <w:szCs w:val="24"/>
              </w:rPr>
              <w:t>3,147</w:t>
            </w:r>
          </w:p>
        </w:tc>
        <w:tc>
          <w:tcPr>
            <w:tcW w:w="1242" w:type="dxa"/>
            <w:vAlign w:val="center"/>
          </w:tcPr>
          <w:p w14:paraId="7820F318" w14:textId="77777777" w:rsidR="00053629" w:rsidRPr="00233BF0" w:rsidRDefault="00053629" w:rsidP="00DD63D7">
            <w:pPr>
              <w:tabs>
                <w:tab w:val="decimal" w:pos="717"/>
              </w:tabs>
              <w:ind w:left="34"/>
              <w:jc w:val="right"/>
              <w:rPr>
                <w:b/>
                <w:szCs w:val="24"/>
              </w:rPr>
            </w:pPr>
          </w:p>
          <w:p w14:paraId="40EB8CB1" w14:textId="231AE77E" w:rsidR="00053629" w:rsidRPr="00233BF0" w:rsidRDefault="00053629" w:rsidP="00DD63D7">
            <w:pPr>
              <w:tabs>
                <w:tab w:val="decimal" w:pos="717"/>
              </w:tabs>
              <w:ind w:left="34"/>
              <w:jc w:val="right"/>
              <w:rPr>
                <w:b/>
                <w:szCs w:val="24"/>
              </w:rPr>
            </w:pPr>
            <w:r w:rsidRPr="00233BF0">
              <w:rPr>
                <w:b/>
                <w:szCs w:val="24"/>
              </w:rPr>
              <w:t>2,904</w:t>
            </w:r>
          </w:p>
        </w:tc>
        <w:tc>
          <w:tcPr>
            <w:tcW w:w="1309" w:type="dxa"/>
            <w:vAlign w:val="center"/>
          </w:tcPr>
          <w:p w14:paraId="2B7964AA" w14:textId="77777777" w:rsidR="00053629" w:rsidRPr="00233BF0" w:rsidRDefault="00053629" w:rsidP="00DD63D7">
            <w:pPr>
              <w:tabs>
                <w:tab w:val="decimal" w:pos="884"/>
              </w:tabs>
              <w:ind w:left="34"/>
              <w:jc w:val="right"/>
              <w:rPr>
                <w:b/>
                <w:szCs w:val="24"/>
              </w:rPr>
            </w:pPr>
          </w:p>
          <w:p w14:paraId="278132DA" w14:textId="0B112BCE" w:rsidR="00053629" w:rsidRPr="00233BF0" w:rsidRDefault="00053629" w:rsidP="00DD63D7">
            <w:pPr>
              <w:tabs>
                <w:tab w:val="decimal" w:pos="884"/>
              </w:tabs>
              <w:ind w:left="34"/>
              <w:jc w:val="right"/>
              <w:rPr>
                <w:b/>
                <w:szCs w:val="24"/>
              </w:rPr>
            </w:pPr>
            <w:r w:rsidRPr="00233BF0">
              <w:rPr>
                <w:b/>
                <w:szCs w:val="24"/>
              </w:rPr>
              <w:t>36,680</w:t>
            </w:r>
          </w:p>
        </w:tc>
        <w:tc>
          <w:tcPr>
            <w:tcW w:w="1243" w:type="dxa"/>
            <w:vAlign w:val="center"/>
          </w:tcPr>
          <w:p w14:paraId="4E03C9AA" w14:textId="77777777" w:rsidR="00053629" w:rsidRPr="00233BF0" w:rsidRDefault="00053629" w:rsidP="00DD63D7">
            <w:pPr>
              <w:tabs>
                <w:tab w:val="decimal" w:pos="884"/>
              </w:tabs>
              <w:ind w:left="34"/>
              <w:jc w:val="right"/>
              <w:rPr>
                <w:b/>
                <w:szCs w:val="24"/>
              </w:rPr>
            </w:pPr>
          </w:p>
          <w:p w14:paraId="6C740EB2" w14:textId="025C4CD6" w:rsidR="00053629" w:rsidRPr="00233BF0" w:rsidRDefault="00053629" w:rsidP="00DD63D7">
            <w:pPr>
              <w:tabs>
                <w:tab w:val="decimal" w:pos="884"/>
              </w:tabs>
              <w:ind w:left="34"/>
              <w:jc w:val="right"/>
              <w:rPr>
                <w:b/>
                <w:szCs w:val="24"/>
              </w:rPr>
            </w:pPr>
            <w:r w:rsidRPr="00233BF0">
              <w:rPr>
                <w:b/>
                <w:szCs w:val="24"/>
              </w:rPr>
              <w:t>33,170</w:t>
            </w:r>
          </w:p>
        </w:tc>
      </w:tr>
    </w:tbl>
    <w:p w14:paraId="58543FAA" w14:textId="77777777" w:rsidR="001E71F1" w:rsidRDefault="001E71F1"/>
    <w:tbl>
      <w:tblPr>
        <w:tblW w:w="949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1168"/>
        <w:gridCol w:w="1242"/>
        <w:gridCol w:w="1309"/>
        <w:gridCol w:w="1243"/>
      </w:tblGrid>
      <w:tr w:rsidR="00053629" w:rsidRPr="00AF3DCD" w14:paraId="371E6237" w14:textId="77777777" w:rsidTr="007641BA">
        <w:trPr>
          <w:trHeight w:val="300"/>
        </w:trPr>
        <w:tc>
          <w:tcPr>
            <w:tcW w:w="9498" w:type="dxa"/>
            <w:gridSpan w:val="5"/>
            <w:shd w:val="clear" w:color="auto" w:fill="D9D9D9" w:themeFill="background1" w:themeFillShade="D9"/>
          </w:tcPr>
          <w:p w14:paraId="16758FE8" w14:textId="0EBF0A18" w:rsidR="00053629" w:rsidRPr="00BD79B2" w:rsidRDefault="00053629" w:rsidP="00053629">
            <w:pPr>
              <w:tabs>
                <w:tab w:val="decimal" w:pos="717"/>
              </w:tabs>
              <w:ind w:left="34"/>
              <w:rPr>
                <w:b/>
                <w:szCs w:val="24"/>
              </w:rPr>
            </w:pPr>
            <w:r w:rsidRPr="00BD79B2">
              <w:rPr>
                <w:b/>
                <w:szCs w:val="24"/>
              </w:rPr>
              <w:t>Other post-employment benefit charged to the Comprehensive Income and Expenditure Statement</w:t>
            </w:r>
          </w:p>
        </w:tc>
      </w:tr>
      <w:tr w:rsidR="00053629" w:rsidRPr="00AF3DCD" w14:paraId="04158396" w14:textId="77777777" w:rsidTr="00DD63D7">
        <w:trPr>
          <w:trHeight w:val="300"/>
        </w:trPr>
        <w:tc>
          <w:tcPr>
            <w:tcW w:w="4536" w:type="dxa"/>
          </w:tcPr>
          <w:p w14:paraId="23AAB4E5" w14:textId="77777777" w:rsidR="00053629" w:rsidRPr="00233BF0" w:rsidRDefault="00053629" w:rsidP="00053629">
            <w:pPr>
              <w:numPr>
                <w:ilvl w:val="0"/>
                <w:numId w:val="16"/>
              </w:numPr>
              <w:tabs>
                <w:tab w:val="clear" w:pos="754"/>
                <w:tab w:val="num" w:pos="459"/>
              </w:tabs>
              <w:ind w:hanging="720"/>
              <w:rPr>
                <w:szCs w:val="24"/>
              </w:rPr>
            </w:pPr>
            <w:r w:rsidRPr="00233BF0">
              <w:rPr>
                <w:szCs w:val="24"/>
              </w:rPr>
              <w:t>Actuarial (gains) and losses</w:t>
            </w:r>
          </w:p>
        </w:tc>
        <w:tc>
          <w:tcPr>
            <w:tcW w:w="1168" w:type="dxa"/>
            <w:vAlign w:val="center"/>
          </w:tcPr>
          <w:p w14:paraId="66EA71A8" w14:textId="089399D4" w:rsidR="00053629" w:rsidRPr="00233BF0" w:rsidRDefault="00053629" w:rsidP="00DD63D7">
            <w:pPr>
              <w:tabs>
                <w:tab w:val="decimal" w:pos="717"/>
              </w:tabs>
              <w:ind w:left="34"/>
              <w:jc w:val="right"/>
              <w:rPr>
                <w:szCs w:val="24"/>
              </w:rPr>
            </w:pPr>
            <w:r w:rsidRPr="00233BF0">
              <w:rPr>
                <w:szCs w:val="24"/>
              </w:rPr>
              <w:t>(</w:t>
            </w:r>
            <w:r>
              <w:rPr>
                <w:szCs w:val="24"/>
              </w:rPr>
              <w:t>1</w:t>
            </w:r>
            <w:r w:rsidRPr="00233BF0">
              <w:rPr>
                <w:szCs w:val="24"/>
              </w:rPr>
              <w:t>0,</w:t>
            </w:r>
            <w:r>
              <w:rPr>
                <w:szCs w:val="24"/>
              </w:rPr>
              <w:t>297</w:t>
            </w:r>
            <w:r w:rsidRPr="00233BF0">
              <w:rPr>
                <w:szCs w:val="24"/>
              </w:rPr>
              <w:t>)</w:t>
            </w:r>
          </w:p>
        </w:tc>
        <w:tc>
          <w:tcPr>
            <w:tcW w:w="1242" w:type="dxa"/>
            <w:vAlign w:val="center"/>
          </w:tcPr>
          <w:p w14:paraId="4B172A46" w14:textId="6C1B6020" w:rsidR="00053629" w:rsidRPr="00233BF0" w:rsidRDefault="00053629" w:rsidP="00DD63D7">
            <w:pPr>
              <w:tabs>
                <w:tab w:val="decimal" w:pos="717"/>
              </w:tabs>
              <w:ind w:left="34"/>
              <w:jc w:val="right"/>
              <w:rPr>
                <w:szCs w:val="24"/>
              </w:rPr>
            </w:pPr>
            <w:r w:rsidRPr="00233BF0">
              <w:rPr>
                <w:szCs w:val="24"/>
              </w:rPr>
              <w:t>2,023</w:t>
            </w:r>
          </w:p>
        </w:tc>
        <w:tc>
          <w:tcPr>
            <w:tcW w:w="1309" w:type="dxa"/>
            <w:vAlign w:val="center"/>
          </w:tcPr>
          <w:p w14:paraId="52BD9D04" w14:textId="3D4D38B3" w:rsidR="00053629" w:rsidRPr="00233BF0" w:rsidRDefault="00053629" w:rsidP="00DD63D7">
            <w:pPr>
              <w:tabs>
                <w:tab w:val="decimal" w:pos="884"/>
              </w:tabs>
              <w:ind w:left="34"/>
              <w:jc w:val="right"/>
              <w:rPr>
                <w:bCs/>
                <w:szCs w:val="24"/>
              </w:rPr>
            </w:pPr>
            <w:r w:rsidRPr="00233BF0">
              <w:rPr>
                <w:bCs/>
                <w:szCs w:val="24"/>
              </w:rPr>
              <w:t>(2</w:t>
            </w:r>
            <w:r>
              <w:rPr>
                <w:bCs/>
                <w:szCs w:val="24"/>
              </w:rPr>
              <w:t>34</w:t>
            </w:r>
            <w:r w:rsidRPr="00233BF0">
              <w:rPr>
                <w:bCs/>
                <w:szCs w:val="24"/>
              </w:rPr>
              <w:t>,</w:t>
            </w:r>
            <w:r>
              <w:rPr>
                <w:bCs/>
                <w:szCs w:val="24"/>
              </w:rPr>
              <w:t>480</w:t>
            </w:r>
            <w:r w:rsidRPr="00233BF0">
              <w:rPr>
                <w:bCs/>
                <w:szCs w:val="24"/>
              </w:rPr>
              <w:t>)</w:t>
            </w:r>
          </w:p>
        </w:tc>
        <w:tc>
          <w:tcPr>
            <w:tcW w:w="1243" w:type="dxa"/>
            <w:vAlign w:val="center"/>
          </w:tcPr>
          <w:p w14:paraId="4F3D7745" w14:textId="53B7212C" w:rsidR="00053629" w:rsidRPr="00233BF0" w:rsidRDefault="00053629" w:rsidP="00DD63D7">
            <w:pPr>
              <w:tabs>
                <w:tab w:val="decimal" w:pos="884"/>
              </w:tabs>
              <w:ind w:left="34"/>
              <w:jc w:val="right"/>
              <w:rPr>
                <w:szCs w:val="24"/>
              </w:rPr>
            </w:pPr>
            <w:r w:rsidRPr="00233BF0">
              <w:rPr>
                <w:bCs/>
                <w:szCs w:val="24"/>
              </w:rPr>
              <w:t>3,020</w:t>
            </w:r>
          </w:p>
        </w:tc>
      </w:tr>
      <w:tr w:rsidR="00053629" w:rsidRPr="00F663CF" w14:paraId="3C89A1E0" w14:textId="77777777" w:rsidTr="00DD63D7">
        <w:trPr>
          <w:trHeight w:val="300"/>
        </w:trPr>
        <w:tc>
          <w:tcPr>
            <w:tcW w:w="4536" w:type="dxa"/>
          </w:tcPr>
          <w:p w14:paraId="4865CC16" w14:textId="6DC01BD2" w:rsidR="00053629" w:rsidRPr="00233BF0" w:rsidRDefault="00053629" w:rsidP="00053629">
            <w:pPr>
              <w:ind w:left="34"/>
              <w:rPr>
                <w:b/>
                <w:szCs w:val="24"/>
              </w:rPr>
            </w:pPr>
            <w:r w:rsidRPr="00233BF0">
              <w:rPr>
                <w:b/>
                <w:szCs w:val="24"/>
              </w:rPr>
              <w:t>Total post</w:t>
            </w:r>
            <w:r>
              <w:rPr>
                <w:b/>
                <w:szCs w:val="24"/>
              </w:rPr>
              <w:t>-</w:t>
            </w:r>
            <w:r w:rsidRPr="00233BF0">
              <w:rPr>
                <w:b/>
                <w:szCs w:val="24"/>
              </w:rPr>
              <w:t>employment benefit charged to the Comprehensive Income and Expenditure Statement</w:t>
            </w:r>
          </w:p>
        </w:tc>
        <w:tc>
          <w:tcPr>
            <w:tcW w:w="1168" w:type="dxa"/>
            <w:vAlign w:val="center"/>
          </w:tcPr>
          <w:p w14:paraId="124433A9" w14:textId="77777777" w:rsidR="00053629" w:rsidRPr="00233BF0" w:rsidRDefault="00053629" w:rsidP="00DD63D7">
            <w:pPr>
              <w:tabs>
                <w:tab w:val="decimal" w:pos="717"/>
              </w:tabs>
              <w:ind w:left="34"/>
              <w:jc w:val="right"/>
              <w:rPr>
                <w:b/>
                <w:szCs w:val="24"/>
              </w:rPr>
            </w:pPr>
          </w:p>
          <w:p w14:paraId="5B3AD400" w14:textId="77777777" w:rsidR="00053629" w:rsidRPr="00233BF0" w:rsidRDefault="00053629" w:rsidP="00DD63D7">
            <w:pPr>
              <w:tabs>
                <w:tab w:val="decimal" w:pos="717"/>
              </w:tabs>
              <w:ind w:left="34"/>
              <w:jc w:val="right"/>
              <w:rPr>
                <w:b/>
                <w:szCs w:val="24"/>
              </w:rPr>
            </w:pPr>
          </w:p>
          <w:p w14:paraId="0453437C" w14:textId="66E5D4BA" w:rsidR="00053629" w:rsidRPr="00233BF0" w:rsidRDefault="00053629" w:rsidP="00DD63D7">
            <w:pPr>
              <w:tabs>
                <w:tab w:val="decimal" w:pos="717"/>
              </w:tabs>
              <w:ind w:left="34"/>
              <w:jc w:val="right"/>
              <w:rPr>
                <w:b/>
                <w:szCs w:val="24"/>
              </w:rPr>
            </w:pPr>
            <w:r w:rsidRPr="00233BF0">
              <w:rPr>
                <w:b/>
                <w:szCs w:val="24"/>
              </w:rPr>
              <w:t>(</w:t>
            </w:r>
            <w:r>
              <w:rPr>
                <w:b/>
                <w:szCs w:val="24"/>
              </w:rPr>
              <w:t>7,150</w:t>
            </w:r>
            <w:r w:rsidRPr="00233BF0">
              <w:rPr>
                <w:b/>
                <w:szCs w:val="24"/>
              </w:rPr>
              <w:t>)</w:t>
            </w:r>
          </w:p>
        </w:tc>
        <w:tc>
          <w:tcPr>
            <w:tcW w:w="1242" w:type="dxa"/>
            <w:vAlign w:val="center"/>
          </w:tcPr>
          <w:p w14:paraId="4A520AB6" w14:textId="77777777" w:rsidR="00053629" w:rsidRPr="00233BF0" w:rsidRDefault="00053629" w:rsidP="00DD63D7">
            <w:pPr>
              <w:tabs>
                <w:tab w:val="decimal" w:pos="717"/>
              </w:tabs>
              <w:ind w:left="34"/>
              <w:jc w:val="right"/>
              <w:rPr>
                <w:b/>
                <w:szCs w:val="24"/>
              </w:rPr>
            </w:pPr>
          </w:p>
          <w:p w14:paraId="4871D7FC" w14:textId="77777777" w:rsidR="00053629" w:rsidRPr="00233BF0" w:rsidRDefault="00053629" w:rsidP="00DD63D7">
            <w:pPr>
              <w:tabs>
                <w:tab w:val="decimal" w:pos="717"/>
              </w:tabs>
              <w:ind w:left="34"/>
              <w:jc w:val="right"/>
              <w:rPr>
                <w:b/>
                <w:szCs w:val="24"/>
              </w:rPr>
            </w:pPr>
          </w:p>
          <w:p w14:paraId="7E59D138" w14:textId="5277BFA7" w:rsidR="00053629" w:rsidRPr="00233BF0" w:rsidRDefault="00053629" w:rsidP="00DD63D7">
            <w:pPr>
              <w:tabs>
                <w:tab w:val="decimal" w:pos="717"/>
              </w:tabs>
              <w:ind w:left="34"/>
              <w:jc w:val="right"/>
              <w:rPr>
                <w:b/>
                <w:szCs w:val="24"/>
              </w:rPr>
            </w:pPr>
            <w:r w:rsidRPr="00233BF0">
              <w:rPr>
                <w:b/>
                <w:szCs w:val="24"/>
              </w:rPr>
              <w:t>4,927</w:t>
            </w:r>
          </w:p>
        </w:tc>
        <w:tc>
          <w:tcPr>
            <w:tcW w:w="1309" w:type="dxa"/>
            <w:vAlign w:val="center"/>
          </w:tcPr>
          <w:p w14:paraId="00FA044E" w14:textId="77777777" w:rsidR="00053629" w:rsidRPr="00233BF0" w:rsidRDefault="00053629" w:rsidP="00DD63D7">
            <w:pPr>
              <w:tabs>
                <w:tab w:val="decimal" w:pos="884"/>
              </w:tabs>
              <w:ind w:left="34"/>
              <w:jc w:val="right"/>
              <w:rPr>
                <w:b/>
                <w:szCs w:val="24"/>
              </w:rPr>
            </w:pPr>
          </w:p>
          <w:p w14:paraId="683D09C0" w14:textId="77777777" w:rsidR="00053629" w:rsidRPr="00233BF0" w:rsidRDefault="00053629" w:rsidP="00DD63D7">
            <w:pPr>
              <w:tabs>
                <w:tab w:val="decimal" w:pos="884"/>
              </w:tabs>
              <w:ind w:left="34"/>
              <w:jc w:val="right"/>
              <w:rPr>
                <w:b/>
                <w:szCs w:val="24"/>
              </w:rPr>
            </w:pPr>
          </w:p>
          <w:p w14:paraId="56BC42DC" w14:textId="2A6AA974" w:rsidR="00053629" w:rsidRPr="00233BF0" w:rsidRDefault="00053629" w:rsidP="00DD63D7">
            <w:pPr>
              <w:tabs>
                <w:tab w:val="decimal" w:pos="884"/>
              </w:tabs>
              <w:ind w:left="34"/>
              <w:jc w:val="right"/>
              <w:rPr>
                <w:b/>
                <w:szCs w:val="24"/>
              </w:rPr>
            </w:pPr>
            <w:r w:rsidRPr="00233BF0">
              <w:rPr>
                <w:b/>
                <w:szCs w:val="24"/>
              </w:rPr>
              <w:t>(</w:t>
            </w:r>
            <w:r>
              <w:rPr>
                <w:b/>
                <w:szCs w:val="24"/>
              </w:rPr>
              <w:t>197,800</w:t>
            </w:r>
            <w:r w:rsidRPr="00233BF0">
              <w:rPr>
                <w:b/>
                <w:szCs w:val="24"/>
              </w:rPr>
              <w:t>)</w:t>
            </w:r>
          </w:p>
        </w:tc>
        <w:tc>
          <w:tcPr>
            <w:tcW w:w="1243" w:type="dxa"/>
            <w:vAlign w:val="center"/>
          </w:tcPr>
          <w:p w14:paraId="5FCC95F9" w14:textId="77777777" w:rsidR="00053629" w:rsidRPr="00233BF0" w:rsidRDefault="00053629" w:rsidP="00DD63D7">
            <w:pPr>
              <w:tabs>
                <w:tab w:val="decimal" w:pos="884"/>
              </w:tabs>
              <w:ind w:left="34"/>
              <w:jc w:val="right"/>
              <w:rPr>
                <w:b/>
                <w:szCs w:val="24"/>
              </w:rPr>
            </w:pPr>
          </w:p>
          <w:p w14:paraId="46A24AC5" w14:textId="77777777" w:rsidR="00053629" w:rsidRPr="00233BF0" w:rsidRDefault="00053629" w:rsidP="00DD63D7">
            <w:pPr>
              <w:tabs>
                <w:tab w:val="decimal" w:pos="884"/>
              </w:tabs>
              <w:ind w:left="34"/>
              <w:jc w:val="right"/>
              <w:rPr>
                <w:b/>
                <w:szCs w:val="24"/>
              </w:rPr>
            </w:pPr>
          </w:p>
          <w:p w14:paraId="55CD357B" w14:textId="5B1B552F" w:rsidR="00053629" w:rsidRPr="00233BF0" w:rsidRDefault="00053629" w:rsidP="00DD63D7">
            <w:pPr>
              <w:tabs>
                <w:tab w:val="decimal" w:pos="884"/>
              </w:tabs>
              <w:ind w:left="34"/>
              <w:jc w:val="right"/>
              <w:rPr>
                <w:b/>
                <w:szCs w:val="24"/>
              </w:rPr>
            </w:pPr>
            <w:r w:rsidRPr="00233BF0">
              <w:rPr>
                <w:b/>
                <w:szCs w:val="24"/>
              </w:rPr>
              <w:t>36,190</w:t>
            </w:r>
          </w:p>
        </w:tc>
      </w:tr>
    </w:tbl>
    <w:p w14:paraId="331B4249" w14:textId="77777777" w:rsidR="001E71F1" w:rsidRDefault="001E71F1"/>
    <w:tbl>
      <w:tblPr>
        <w:tblW w:w="949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1168"/>
        <w:gridCol w:w="1242"/>
        <w:gridCol w:w="1309"/>
        <w:gridCol w:w="1243"/>
      </w:tblGrid>
      <w:tr w:rsidR="00053629" w:rsidRPr="00AF3DCD" w14:paraId="41B1CF30" w14:textId="77777777" w:rsidTr="00982FEC">
        <w:trPr>
          <w:trHeight w:val="300"/>
        </w:trPr>
        <w:tc>
          <w:tcPr>
            <w:tcW w:w="9498" w:type="dxa"/>
            <w:gridSpan w:val="5"/>
            <w:shd w:val="clear" w:color="auto" w:fill="D9D9D9" w:themeFill="background1" w:themeFillShade="D9"/>
          </w:tcPr>
          <w:p w14:paraId="446DC1D5" w14:textId="155A813C" w:rsidR="00053629" w:rsidRPr="00BD79B2" w:rsidRDefault="00053629" w:rsidP="00053629">
            <w:pPr>
              <w:tabs>
                <w:tab w:val="decimal" w:pos="717"/>
              </w:tabs>
              <w:ind w:left="34"/>
              <w:rPr>
                <w:b/>
                <w:szCs w:val="24"/>
              </w:rPr>
            </w:pPr>
            <w:r w:rsidRPr="00BD79B2">
              <w:rPr>
                <w:b/>
                <w:szCs w:val="24"/>
              </w:rPr>
              <w:t>Movement in reserves statement</w:t>
            </w:r>
          </w:p>
        </w:tc>
      </w:tr>
      <w:tr w:rsidR="00053629" w:rsidRPr="00AF3DCD" w14:paraId="1FEE3C73" w14:textId="77777777" w:rsidTr="00DD63D7">
        <w:trPr>
          <w:trHeight w:val="300"/>
        </w:trPr>
        <w:tc>
          <w:tcPr>
            <w:tcW w:w="4536" w:type="dxa"/>
          </w:tcPr>
          <w:p w14:paraId="5D6630DD" w14:textId="16676097" w:rsidR="00053629" w:rsidRPr="00233BF0" w:rsidRDefault="00053629" w:rsidP="00053629">
            <w:pPr>
              <w:numPr>
                <w:ilvl w:val="0"/>
                <w:numId w:val="16"/>
              </w:numPr>
              <w:tabs>
                <w:tab w:val="clear" w:pos="754"/>
                <w:tab w:val="num" w:pos="459"/>
              </w:tabs>
              <w:ind w:left="459" w:hanging="425"/>
              <w:rPr>
                <w:b/>
                <w:szCs w:val="24"/>
              </w:rPr>
            </w:pPr>
            <w:r w:rsidRPr="00233BF0">
              <w:rPr>
                <w:szCs w:val="24"/>
              </w:rPr>
              <w:t>Reversal of net charges made to the</w:t>
            </w:r>
            <w:r w:rsidRPr="00233BF0">
              <w:rPr>
                <w:b/>
                <w:szCs w:val="24"/>
              </w:rPr>
              <w:t xml:space="preserve"> </w:t>
            </w:r>
            <w:r w:rsidRPr="00233BF0">
              <w:rPr>
                <w:szCs w:val="24"/>
              </w:rPr>
              <w:t>deficit on provision of services in accordance with the code</w:t>
            </w:r>
          </w:p>
        </w:tc>
        <w:tc>
          <w:tcPr>
            <w:tcW w:w="1168" w:type="dxa"/>
            <w:vAlign w:val="center"/>
          </w:tcPr>
          <w:p w14:paraId="1935A86A" w14:textId="77777777" w:rsidR="00053629" w:rsidRPr="00233BF0" w:rsidRDefault="00053629" w:rsidP="00DD63D7">
            <w:pPr>
              <w:tabs>
                <w:tab w:val="decimal" w:pos="717"/>
              </w:tabs>
              <w:ind w:left="34"/>
              <w:jc w:val="right"/>
              <w:rPr>
                <w:szCs w:val="24"/>
              </w:rPr>
            </w:pPr>
          </w:p>
          <w:p w14:paraId="744E6D88" w14:textId="77777777" w:rsidR="00053629" w:rsidRPr="00233BF0" w:rsidRDefault="00053629" w:rsidP="00DD63D7">
            <w:pPr>
              <w:tabs>
                <w:tab w:val="decimal" w:pos="717"/>
              </w:tabs>
              <w:ind w:left="34"/>
              <w:jc w:val="right"/>
              <w:rPr>
                <w:szCs w:val="24"/>
              </w:rPr>
            </w:pPr>
          </w:p>
          <w:p w14:paraId="346D729D" w14:textId="40397343" w:rsidR="00053629" w:rsidRPr="00233BF0" w:rsidRDefault="00053629" w:rsidP="00DD63D7">
            <w:pPr>
              <w:tabs>
                <w:tab w:val="decimal" w:pos="717"/>
              </w:tabs>
              <w:ind w:left="34"/>
              <w:jc w:val="right"/>
              <w:rPr>
                <w:szCs w:val="24"/>
              </w:rPr>
            </w:pPr>
            <w:r w:rsidRPr="00233BF0">
              <w:rPr>
                <w:szCs w:val="24"/>
              </w:rPr>
              <w:t>(2,799)</w:t>
            </w:r>
          </w:p>
        </w:tc>
        <w:tc>
          <w:tcPr>
            <w:tcW w:w="1242" w:type="dxa"/>
            <w:vAlign w:val="center"/>
          </w:tcPr>
          <w:p w14:paraId="7266732B" w14:textId="77777777" w:rsidR="00053629" w:rsidRPr="00233BF0" w:rsidRDefault="00053629" w:rsidP="00DD63D7">
            <w:pPr>
              <w:tabs>
                <w:tab w:val="decimal" w:pos="717"/>
              </w:tabs>
              <w:ind w:left="34"/>
              <w:jc w:val="right"/>
              <w:rPr>
                <w:szCs w:val="24"/>
              </w:rPr>
            </w:pPr>
          </w:p>
          <w:p w14:paraId="5F5D3F91" w14:textId="77777777" w:rsidR="00053629" w:rsidRPr="00233BF0" w:rsidRDefault="00053629" w:rsidP="00DD63D7">
            <w:pPr>
              <w:tabs>
                <w:tab w:val="decimal" w:pos="717"/>
              </w:tabs>
              <w:ind w:left="34"/>
              <w:jc w:val="right"/>
              <w:rPr>
                <w:szCs w:val="24"/>
              </w:rPr>
            </w:pPr>
          </w:p>
          <w:p w14:paraId="75C5209C" w14:textId="175C7CC3" w:rsidR="00053629" w:rsidRPr="00233BF0" w:rsidRDefault="00053629" w:rsidP="00DD63D7">
            <w:pPr>
              <w:tabs>
                <w:tab w:val="decimal" w:pos="717"/>
              </w:tabs>
              <w:ind w:left="34"/>
              <w:jc w:val="right"/>
              <w:rPr>
                <w:szCs w:val="24"/>
              </w:rPr>
            </w:pPr>
            <w:r w:rsidRPr="00233BF0">
              <w:rPr>
                <w:szCs w:val="24"/>
              </w:rPr>
              <w:t>(4,583)</w:t>
            </w:r>
          </w:p>
        </w:tc>
        <w:tc>
          <w:tcPr>
            <w:tcW w:w="1309" w:type="dxa"/>
            <w:vAlign w:val="center"/>
          </w:tcPr>
          <w:p w14:paraId="1ABA6D31" w14:textId="77777777" w:rsidR="00053629" w:rsidRPr="00233BF0" w:rsidRDefault="00053629" w:rsidP="00DD63D7">
            <w:pPr>
              <w:tabs>
                <w:tab w:val="decimal" w:pos="884"/>
              </w:tabs>
              <w:ind w:left="34"/>
              <w:jc w:val="right"/>
              <w:rPr>
                <w:szCs w:val="24"/>
              </w:rPr>
            </w:pPr>
          </w:p>
          <w:p w14:paraId="617D340D" w14:textId="77777777" w:rsidR="00053629" w:rsidRPr="00233BF0" w:rsidRDefault="00053629" w:rsidP="00DD63D7">
            <w:pPr>
              <w:tabs>
                <w:tab w:val="decimal" w:pos="884"/>
              </w:tabs>
              <w:ind w:left="34"/>
              <w:jc w:val="right"/>
              <w:rPr>
                <w:szCs w:val="24"/>
              </w:rPr>
            </w:pPr>
          </w:p>
          <w:p w14:paraId="2680F87C" w14:textId="05319C25" w:rsidR="00053629" w:rsidRPr="00233BF0" w:rsidRDefault="00053629" w:rsidP="00DD63D7">
            <w:pPr>
              <w:tabs>
                <w:tab w:val="decimal" w:pos="884"/>
              </w:tabs>
              <w:ind w:left="34"/>
              <w:jc w:val="right"/>
              <w:rPr>
                <w:szCs w:val="24"/>
              </w:rPr>
            </w:pPr>
            <w:r w:rsidRPr="00233BF0">
              <w:rPr>
                <w:szCs w:val="24"/>
              </w:rPr>
              <w:t>(10,080)</w:t>
            </w:r>
          </w:p>
        </w:tc>
        <w:tc>
          <w:tcPr>
            <w:tcW w:w="1243" w:type="dxa"/>
            <w:vAlign w:val="center"/>
          </w:tcPr>
          <w:p w14:paraId="2F4964FD" w14:textId="77777777" w:rsidR="00053629" w:rsidRPr="00233BF0" w:rsidRDefault="00053629" w:rsidP="00DD63D7">
            <w:pPr>
              <w:tabs>
                <w:tab w:val="decimal" w:pos="884"/>
              </w:tabs>
              <w:ind w:left="34"/>
              <w:jc w:val="right"/>
              <w:rPr>
                <w:szCs w:val="24"/>
              </w:rPr>
            </w:pPr>
          </w:p>
          <w:p w14:paraId="2DB40C10" w14:textId="77777777" w:rsidR="00053629" w:rsidRPr="00233BF0" w:rsidRDefault="00053629" w:rsidP="00DD63D7">
            <w:pPr>
              <w:tabs>
                <w:tab w:val="decimal" w:pos="884"/>
              </w:tabs>
              <w:ind w:left="34"/>
              <w:jc w:val="right"/>
              <w:rPr>
                <w:szCs w:val="24"/>
              </w:rPr>
            </w:pPr>
          </w:p>
          <w:p w14:paraId="14E49329" w14:textId="6F3F8698" w:rsidR="00053629" w:rsidRPr="00233BF0" w:rsidRDefault="00053629" w:rsidP="00DD63D7">
            <w:pPr>
              <w:tabs>
                <w:tab w:val="decimal" w:pos="884"/>
              </w:tabs>
              <w:ind w:left="34"/>
              <w:jc w:val="right"/>
              <w:rPr>
                <w:szCs w:val="24"/>
              </w:rPr>
            </w:pPr>
            <w:r w:rsidRPr="00233BF0">
              <w:rPr>
                <w:szCs w:val="24"/>
              </w:rPr>
              <w:t>(9,590)</w:t>
            </w:r>
          </w:p>
        </w:tc>
      </w:tr>
    </w:tbl>
    <w:p w14:paraId="37CAC914" w14:textId="77777777" w:rsidR="001E71F1" w:rsidRDefault="001E71F1"/>
    <w:tbl>
      <w:tblPr>
        <w:tblW w:w="949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1168"/>
        <w:gridCol w:w="1242"/>
        <w:gridCol w:w="1309"/>
        <w:gridCol w:w="1243"/>
      </w:tblGrid>
      <w:tr w:rsidR="00053629" w:rsidRPr="00AF3DCD" w14:paraId="3DC62280" w14:textId="77777777" w:rsidTr="00982FEC">
        <w:trPr>
          <w:trHeight w:val="300"/>
        </w:trPr>
        <w:tc>
          <w:tcPr>
            <w:tcW w:w="9498" w:type="dxa"/>
            <w:gridSpan w:val="5"/>
            <w:shd w:val="clear" w:color="auto" w:fill="D9D9D9" w:themeFill="background1" w:themeFillShade="D9"/>
          </w:tcPr>
          <w:p w14:paraId="0D74329B" w14:textId="57BAD4BD" w:rsidR="00053629" w:rsidRPr="00BD79B2" w:rsidRDefault="00053629" w:rsidP="00053629">
            <w:pPr>
              <w:tabs>
                <w:tab w:val="decimal" w:pos="717"/>
              </w:tabs>
              <w:ind w:left="34"/>
              <w:rPr>
                <w:b/>
                <w:szCs w:val="24"/>
              </w:rPr>
            </w:pPr>
            <w:r w:rsidRPr="00BD79B2">
              <w:rPr>
                <w:b/>
                <w:szCs w:val="24"/>
              </w:rPr>
              <w:t>Actual amount charged against the General Fund Balance for pensions in the year:</w:t>
            </w:r>
          </w:p>
        </w:tc>
      </w:tr>
      <w:tr w:rsidR="00053629" w:rsidRPr="00AF3DCD" w14:paraId="6F8300F6" w14:textId="77777777" w:rsidTr="00DD63D7">
        <w:trPr>
          <w:trHeight w:val="300"/>
        </w:trPr>
        <w:tc>
          <w:tcPr>
            <w:tcW w:w="4536" w:type="dxa"/>
          </w:tcPr>
          <w:p w14:paraId="75265932" w14:textId="77777777" w:rsidR="00053629" w:rsidRPr="00233BF0" w:rsidRDefault="00053629" w:rsidP="00053629">
            <w:pPr>
              <w:pStyle w:val="Footer"/>
              <w:tabs>
                <w:tab w:val="clear" w:pos="4153"/>
                <w:tab w:val="clear" w:pos="8306"/>
              </w:tabs>
              <w:ind w:left="34"/>
              <w:rPr>
                <w:szCs w:val="24"/>
              </w:rPr>
            </w:pPr>
            <w:r w:rsidRPr="00233BF0">
              <w:rPr>
                <w:szCs w:val="24"/>
              </w:rPr>
              <w:t>Employers’ contributions payable to the scheme</w:t>
            </w:r>
          </w:p>
        </w:tc>
        <w:tc>
          <w:tcPr>
            <w:tcW w:w="1168" w:type="dxa"/>
            <w:vAlign w:val="center"/>
          </w:tcPr>
          <w:p w14:paraId="5B38C50E" w14:textId="7C9231A1" w:rsidR="00053629" w:rsidRPr="00233BF0" w:rsidRDefault="00053629" w:rsidP="00DD63D7">
            <w:pPr>
              <w:tabs>
                <w:tab w:val="decimal" w:pos="717"/>
              </w:tabs>
              <w:ind w:left="34"/>
              <w:jc w:val="right"/>
              <w:rPr>
                <w:szCs w:val="24"/>
              </w:rPr>
            </w:pPr>
            <w:r w:rsidRPr="00233BF0">
              <w:rPr>
                <w:szCs w:val="24"/>
              </w:rPr>
              <w:t>(348)</w:t>
            </w:r>
          </w:p>
        </w:tc>
        <w:tc>
          <w:tcPr>
            <w:tcW w:w="1242" w:type="dxa"/>
            <w:vAlign w:val="center"/>
          </w:tcPr>
          <w:p w14:paraId="2BEC8786" w14:textId="5867CBDC" w:rsidR="00053629" w:rsidRPr="00233BF0" w:rsidRDefault="00053629" w:rsidP="00DD63D7">
            <w:pPr>
              <w:tabs>
                <w:tab w:val="decimal" w:pos="717"/>
              </w:tabs>
              <w:ind w:left="34"/>
              <w:jc w:val="right"/>
              <w:rPr>
                <w:szCs w:val="24"/>
              </w:rPr>
            </w:pPr>
            <w:r w:rsidRPr="00233BF0">
              <w:rPr>
                <w:szCs w:val="24"/>
              </w:rPr>
              <w:t>(344)</w:t>
            </w:r>
          </w:p>
        </w:tc>
        <w:tc>
          <w:tcPr>
            <w:tcW w:w="1309" w:type="dxa"/>
            <w:vAlign w:val="center"/>
          </w:tcPr>
          <w:p w14:paraId="2C17E690" w14:textId="668AD132" w:rsidR="00053629" w:rsidRPr="00233BF0" w:rsidRDefault="00053629" w:rsidP="00DD63D7">
            <w:pPr>
              <w:tabs>
                <w:tab w:val="decimal" w:pos="717"/>
              </w:tabs>
              <w:ind w:left="34"/>
              <w:jc w:val="right"/>
              <w:rPr>
                <w:szCs w:val="24"/>
              </w:rPr>
            </w:pPr>
            <w:r w:rsidRPr="00233BF0">
              <w:rPr>
                <w:szCs w:val="24"/>
              </w:rPr>
              <w:t>-</w:t>
            </w:r>
          </w:p>
        </w:tc>
        <w:tc>
          <w:tcPr>
            <w:tcW w:w="1243" w:type="dxa"/>
            <w:vAlign w:val="center"/>
          </w:tcPr>
          <w:p w14:paraId="2BF4F5B6" w14:textId="7DFED2CA" w:rsidR="00053629" w:rsidRPr="00233BF0" w:rsidRDefault="00053629" w:rsidP="00DD63D7">
            <w:pPr>
              <w:tabs>
                <w:tab w:val="decimal" w:pos="717"/>
              </w:tabs>
              <w:ind w:left="34"/>
              <w:jc w:val="right"/>
              <w:rPr>
                <w:szCs w:val="24"/>
              </w:rPr>
            </w:pPr>
            <w:r w:rsidRPr="00233BF0">
              <w:rPr>
                <w:szCs w:val="24"/>
              </w:rPr>
              <w:t>-</w:t>
            </w:r>
          </w:p>
        </w:tc>
      </w:tr>
      <w:tr w:rsidR="00053629" w:rsidRPr="00AF3DCD" w14:paraId="30B5A597" w14:textId="77777777" w:rsidTr="00DD63D7">
        <w:trPr>
          <w:trHeight w:val="300"/>
        </w:trPr>
        <w:tc>
          <w:tcPr>
            <w:tcW w:w="4536" w:type="dxa"/>
          </w:tcPr>
          <w:p w14:paraId="0FC8BFE7" w14:textId="77777777" w:rsidR="00053629" w:rsidRPr="00233BF0" w:rsidRDefault="00053629" w:rsidP="00053629">
            <w:pPr>
              <w:pStyle w:val="Footer"/>
              <w:tabs>
                <w:tab w:val="clear" w:pos="4153"/>
                <w:tab w:val="clear" w:pos="8306"/>
              </w:tabs>
              <w:ind w:left="34"/>
              <w:rPr>
                <w:szCs w:val="24"/>
              </w:rPr>
            </w:pPr>
            <w:r w:rsidRPr="00233BF0">
              <w:rPr>
                <w:szCs w:val="24"/>
              </w:rPr>
              <w:t>Net retirement benefits payable to pensioners</w:t>
            </w:r>
          </w:p>
        </w:tc>
        <w:tc>
          <w:tcPr>
            <w:tcW w:w="1168" w:type="dxa"/>
            <w:vAlign w:val="center"/>
          </w:tcPr>
          <w:p w14:paraId="2376AF00" w14:textId="77777777" w:rsidR="00053629" w:rsidRPr="00233BF0" w:rsidRDefault="00053629" w:rsidP="00DD63D7">
            <w:pPr>
              <w:tabs>
                <w:tab w:val="decimal" w:pos="717"/>
              </w:tabs>
              <w:ind w:left="34"/>
              <w:jc w:val="right"/>
              <w:rPr>
                <w:szCs w:val="24"/>
              </w:rPr>
            </w:pPr>
            <w:r w:rsidRPr="00233BF0">
              <w:rPr>
                <w:szCs w:val="24"/>
              </w:rPr>
              <w:t>-</w:t>
            </w:r>
          </w:p>
        </w:tc>
        <w:tc>
          <w:tcPr>
            <w:tcW w:w="1242" w:type="dxa"/>
            <w:vAlign w:val="center"/>
          </w:tcPr>
          <w:p w14:paraId="1B2461AD" w14:textId="62AB1A8F" w:rsidR="00053629" w:rsidRPr="00233BF0" w:rsidRDefault="00053629" w:rsidP="00DD63D7">
            <w:pPr>
              <w:tabs>
                <w:tab w:val="decimal" w:pos="717"/>
              </w:tabs>
              <w:ind w:left="34"/>
              <w:jc w:val="right"/>
              <w:rPr>
                <w:szCs w:val="24"/>
              </w:rPr>
            </w:pPr>
            <w:r w:rsidRPr="00233BF0">
              <w:rPr>
                <w:szCs w:val="24"/>
              </w:rPr>
              <w:t>-</w:t>
            </w:r>
          </w:p>
        </w:tc>
        <w:tc>
          <w:tcPr>
            <w:tcW w:w="1309" w:type="dxa"/>
            <w:vAlign w:val="center"/>
          </w:tcPr>
          <w:p w14:paraId="5DC3F90C" w14:textId="6006D303" w:rsidR="00053629" w:rsidRPr="00233BF0" w:rsidRDefault="00053629" w:rsidP="00DD63D7">
            <w:pPr>
              <w:tabs>
                <w:tab w:val="decimal" w:pos="884"/>
              </w:tabs>
              <w:ind w:left="34"/>
              <w:jc w:val="right"/>
              <w:rPr>
                <w:szCs w:val="24"/>
              </w:rPr>
            </w:pPr>
            <w:r w:rsidRPr="00233BF0">
              <w:rPr>
                <w:szCs w:val="24"/>
              </w:rPr>
              <w:t>(26,600)</w:t>
            </w:r>
          </w:p>
        </w:tc>
        <w:tc>
          <w:tcPr>
            <w:tcW w:w="1243" w:type="dxa"/>
            <w:vAlign w:val="center"/>
          </w:tcPr>
          <w:p w14:paraId="42361AF9" w14:textId="22FF7630" w:rsidR="00053629" w:rsidRPr="00233BF0" w:rsidRDefault="00053629" w:rsidP="00DD63D7">
            <w:pPr>
              <w:tabs>
                <w:tab w:val="decimal" w:pos="884"/>
              </w:tabs>
              <w:ind w:left="34"/>
              <w:jc w:val="right"/>
              <w:rPr>
                <w:szCs w:val="24"/>
              </w:rPr>
            </w:pPr>
            <w:r w:rsidRPr="00233BF0">
              <w:rPr>
                <w:szCs w:val="24"/>
              </w:rPr>
              <w:t>(26,600)</w:t>
            </w:r>
          </w:p>
        </w:tc>
      </w:tr>
    </w:tbl>
    <w:p w14:paraId="3638E25C" w14:textId="77777777" w:rsidR="00F663CF" w:rsidRDefault="00F663CF" w:rsidP="00D90216">
      <w:pPr>
        <w:ind w:left="706"/>
        <w:jc w:val="both"/>
        <w:rPr>
          <w:sz w:val="22"/>
          <w:highlight w:val="yellow"/>
        </w:rPr>
      </w:pPr>
    </w:p>
    <w:p w14:paraId="001D32CF" w14:textId="5BDA0B1D" w:rsidR="00D90216" w:rsidRPr="00233BF0" w:rsidRDefault="00D90216" w:rsidP="00233BF0">
      <w:pPr>
        <w:ind w:left="706"/>
        <w:rPr>
          <w:szCs w:val="24"/>
        </w:rPr>
      </w:pPr>
      <w:r w:rsidRPr="00233BF0">
        <w:rPr>
          <w:szCs w:val="24"/>
        </w:rPr>
        <w:t xml:space="preserve">The change in the net </w:t>
      </w:r>
      <w:r w:rsidR="003278CF" w:rsidRPr="00233BF0">
        <w:rPr>
          <w:szCs w:val="24"/>
        </w:rPr>
        <w:t>pension</w:t>
      </w:r>
      <w:r w:rsidRPr="00233BF0">
        <w:rPr>
          <w:szCs w:val="24"/>
        </w:rPr>
        <w:t xml:space="preserve"> liability is analysed into seven components:</w:t>
      </w:r>
    </w:p>
    <w:p w14:paraId="7B32DB07" w14:textId="77777777" w:rsidR="00D90216" w:rsidRPr="00233BF0" w:rsidRDefault="00D90216" w:rsidP="00233BF0">
      <w:pPr>
        <w:ind w:left="706"/>
        <w:rPr>
          <w:b/>
          <w:szCs w:val="24"/>
        </w:rPr>
      </w:pPr>
    </w:p>
    <w:p w14:paraId="6909A5B6" w14:textId="77777777" w:rsidR="00D90216" w:rsidRPr="00233BF0" w:rsidRDefault="00D90216" w:rsidP="00233BF0">
      <w:pPr>
        <w:ind w:left="706"/>
        <w:rPr>
          <w:szCs w:val="24"/>
        </w:rPr>
      </w:pPr>
      <w:r w:rsidRPr="00233BF0">
        <w:rPr>
          <w:b/>
          <w:szCs w:val="24"/>
        </w:rPr>
        <w:t>Current service cost</w:t>
      </w:r>
      <w:r w:rsidRPr="00233BF0">
        <w:rPr>
          <w:szCs w:val="24"/>
        </w:rPr>
        <w:t xml:space="preserve"> – the increase in liabilities </w:t>
      </w:r>
      <w:proofErr w:type="gramStart"/>
      <w:r w:rsidRPr="00233BF0">
        <w:rPr>
          <w:szCs w:val="24"/>
        </w:rPr>
        <w:t>as a result of</w:t>
      </w:r>
      <w:proofErr w:type="gramEnd"/>
      <w:r w:rsidRPr="00233BF0">
        <w:rPr>
          <w:szCs w:val="24"/>
        </w:rPr>
        <w:t xml:space="preserve"> years of service earned this year – allocated in the Comprehensive Income and Expenditure Statement to the services for which the employees worked. </w:t>
      </w:r>
    </w:p>
    <w:p w14:paraId="32271D3F" w14:textId="77777777" w:rsidR="00D90216" w:rsidRPr="00233BF0" w:rsidRDefault="00D90216" w:rsidP="00233BF0">
      <w:pPr>
        <w:ind w:left="706"/>
        <w:rPr>
          <w:b/>
          <w:szCs w:val="24"/>
        </w:rPr>
      </w:pPr>
    </w:p>
    <w:p w14:paraId="2199C378" w14:textId="1734978B" w:rsidR="00D90216" w:rsidRPr="00233BF0" w:rsidRDefault="00D90216" w:rsidP="00233BF0">
      <w:pPr>
        <w:ind w:left="706"/>
        <w:rPr>
          <w:szCs w:val="24"/>
        </w:rPr>
      </w:pPr>
      <w:r w:rsidRPr="00233BF0">
        <w:rPr>
          <w:b/>
          <w:szCs w:val="24"/>
        </w:rPr>
        <w:t>Past service cost</w:t>
      </w:r>
      <w:r w:rsidR="00075D09" w:rsidRPr="00233BF0">
        <w:rPr>
          <w:b/>
          <w:szCs w:val="24"/>
        </w:rPr>
        <w:t>/(gain)</w:t>
      </w:r>
      <w:r w:rsidRPr="00233BF0">
        <w:rPr>
          <w:szCs w:val="24"/>
        </w:rPr>
        <w:t xml:space="preserve"> – the increase</w:t>
      </w:r>
      <w:r w:rsidR="00075D09" w:rsidRPr="00233BF0">
        <w:rPr>
          <w:szCs w:val="24"/>
        </w:rPr>
        <w:t>/(decrease)</w:t>
      </w:r>
      <w:r w:rsidRPr="00233BF0">
        <w:rPr>
          <w:szCs w:val="24"/>
        </w:rPr>
        <w:t xml:space="preserve"> in liabilities arising from current year decisions whose effect relates to years of service earned in earlier years – debited</w:t>
      </w:r>
      <w:r w:rsidR="00075D09" w:rsidRPr="00233BF0">
        <w:rPr>
          <w:szCs w:val="24"/>
        </w:rPr>
        <w:t>/(credited)</w:t>
      </w:r>
      <w:r w:rsidRPr="00233BF0">
        <w:rPr>
          <w:szCs w:val="24"/>
        </w:rPr>
        <w:t xml:space="preserve"> to the deficit on the provision of services in the Comprehensive Income and Expenditure Statement</w:t>
      </w:r>
      <w:r w:rsidR="006454EE" w:rsidRPr="00233BF0">
        <w:rPr>
          <w:szCs w:val="24"/>
        </w:rPr>
        <w:t>.</w:t>
      </w:r>
    </w:p>
    <w:p w14:paraId="22EC944F" w14:textId="77777777" w:rsidR="00D90216" w:rsidRPr="00233BF0" w:rsidRDefault="00D90216" w:rsidP="00233BF0">
      <w:pPr>
        <w:ind w:left="706"/>
        <w:rPr>
          <w:szCs w:val="24"/>
        </w:rPr>
      </w:pPr>
    </w:p>
    <w:p w14:paraId="690259A3" w14:textId="77777777" w:rsidR="00D90216" w:rsidRPr="00233BF0" w:rsidRDefault="00D90216" w:rsidP="00233BF0">
      <w:pPr>
        <w:ind w:left="706"/>
        <w:rPr>
          <w:szCs w:val="24"/>
        </w:rPr>
      </w:pPr>
      <w:r w:rsidRPr="00233BF0">
        <w:rPr>
          <w:b/>
          <w:szCs w:val="24"/>
        </w:rPr>
        <w:t xml:space="preserve">Interest </w:t>
      </w:r>
      <w:r w:rsidR="0078056C" w:rsidRPr="00233BF0">
        <w:rPr>
          <w:b/>
          <w:szCs w:val="24"/>
        </w:rPr>
        <w:t>on liabilities</w:t>
      </w:r>
      <w:r w:rsidRPr="00233BF0">
        <w:rPr>
          <w:szCs w:val="24"/>
        </w:rPr>
        <w:t xml:space="preserve"> – the expected increase in the present value of liabilities during the year as they move one year closer to being paid.</w:t>
      </w:r>
    </w:p>
    <w:p w14:paraId="1A35B23C" w14:textId="77777777" w:rsidR="00D90216" w:rsidRPr="00233BF0" w:rsidRDefault="00D90216" w:rsidP="00233BF0">
      <w:pPr>
        <w:ind w:left="706"/>
        <w:rPr>
          <w:szCs w:val="24"/>
        </w:rPr>
      </w:pPr>
    </w:p>
    <w:p w14:paraId="1903707B" w14:textId="77777777" w:rsidR="00D90216" w:rsidRPr="00233BF0" w:rsidRDefault="0078056C" w:rsidP="00233BF0">
      <w:pPr>
        <w:ind w:left="706"/>
        <w:rPr>
          <w:szCs w:val="24"/>
        </w:rPr>
      </w:pPr>
      <w:r w:rsidRPr="00233BF0">
        <w:rPr>
          <w:b/>
          <w:szCs w:val="24"/>
        </w:rPr>
        <w:t>Interest</w:t>
      </w:r>
      <w:r w:rsidR="00D90216" w:rsidRPr="00233BF0">
        <w:rPr>
          <w:b/>
          <w:szCs w:val="24"/>
        </w:rPr>
        <w:t xml:space="preserve"> on </w:t>
      </w:r>
      <w:r w:rsidRPr="00233BF0">
        <w:rPr>
          <w:b/>
          <w:szCs w:val="24"/>
        </w:rPr>
        <w:t>a</w:t>
      </w:r>
      <w:r w:rsidR="00D90216" w:rsidRPr="00233BF0">
        <w:rPr>
          <w:b/>
          <w:szCs w:val="24"/>
        </w:rPr>
        <w:t>ssets</w:t>
      </w:r>
      <w:r w:rsidR="00D90216" w:rsidRPr="00233BF0">
        <w:rPr>
          <w:szCs w:val="24"/>
        </w:rPr>
        <w:t xml:space="preserve"> – the average rate of return expected on the investment assets held by the pension scheme.</w:t>
      </w:r>
    </w:p>
    <w:p w14:paraId="33FED981" w14:textId="77777777" w:rsidR="00D90216" w:rsidRPr="00233BF0" w:rsidRDefault="00D90216" w:rsidP="00233BF0">
      <w:pPr>
        <w:ind w:left="706"/>
        <w:rPr>
          <w:szCs w:val="24"/>
        </w:rPr>
      </w:pPr>
    </w:p>
    <w:p w14:paraId="52EAF3E4" w14:textId="77777777" w:rsidR="00D90216" w:rsidRPr="00233BF0" w:rsidRDefault="00D90216" w:rsidP="00233BF0">
      <w:pPr>
        <w:ind w:left="706"/>
        <w:rPr>
          <w:szCs w:val="24"/>
        </w:rPr>
      </w:pPr>
      <w:r w:rsidRPr="00233BF0">
        <w:rPr>
          <w:b/>
          <w:szCs w:val="24"/>
        </w:rPr>
        <w:t xml:space="preserve">Actuarial (gains) and losses </w:t>
      </w:r>
      <w:r w:rsidRPr="00233BF0">
        <w:rPr>
          <w:szCs w:val="24"/>
        </w:rPr>
        <w:t xml:space="preserve">– changes in the net pension liability that arise because events have not coincided with assumptions made at the last actuarial valuation or because the actuaries have updated their assumptions – </w:t>
      </w:r>
      <w:r w:rsidR="00DF3E5F" w:rsidRPr="00233BF0">
        <w:rPr>
          <w:szCs w:val="24"/>
        </w:rPr>
        <w:t>(credited)/</w:t>
      </w:r>
      <w:r w:rsidRPr="00233BF0">
        <w:rPr>
          <w:szCs w:val="24"/>
        </w:rPr>
        <w:t>debited to the pensions reserve.</w:t>
      </w:r>
    </w:p>
    <w:p w14:paraId="1A9B5D5A" w14:textId="77777777" w:rsidR="00D90216" w:rsidRPr="00233BF0" w:rsidRDefault="00D90216" w:rsidP="00233BF0">
      <w:pPr>
        <w:ind w:left="706"/>
        <w:rPr>
          <w:szCs w:val="24"/>
        </w:rPr>
      </w:pPr>
    </w:p>
    <w:p w14:paraId="55591245" w14:textId="77777777" w:rsidR="00D90216" w:rsidRPr="00233BF0" w:rsidRDefault="00D90216" w:rsidP="00233BF0">
      <w:pPr>
        <w:ind w:left="706"/>
        <w:rPr>
          <w:szCs w:val="24"/>
        </w:rPr>
      </w:pPr>
      <w:r w:rsidRPr="00233BF0">
        <w:rPr>
          <w:b/>
          <w:szCs w:val="24"/>
        </w:rPr>
        <w:t>Employers’ contributions</w:t>
      </w:r>
      <w:r w:rsidRPr="00233BF0">
        <w:rPr>
          <w:szCs w:val="24"/>
        </w:rPr>
        <w:t xml:space="preserve"> – the payments made into the pension scheme by the Authority during the year in respect of current employees. </w:t>
      </w:r>
    </w:p>
    <w:p w14:paraId="551ED355" w14:textId="77777777" w:rsidR="00D90216" w:rsidRPr="00233BF0" w:rsidRDefault="00D90216" w:rsidP="00233BF0">
      <w:pPr>
        <w:ind w:left="706"/>
        <w:rPr>
          <w:b/>
          <w:szCs w:val="24"/>
        </w:rPr>
      </w:pPr>
    </w:p>
    <w:p w14:paraId="1A9E3DCC" w14:textId="57A67DA5" w:rsidR="00D90216" w:rsidRPr="00233BF0" w:rsidRDefault="00D90216" w:rsidP="00233BF0">
      <w:pPr>
        <w:ind w:left="706"/>
        <w:rPr>
          <w:szCs w:val="24"/>
        </w:rPr>
      </w:pPr>
      <w:r w:rsidRPr="00233BF0">
        <w:rPr>
          <w:b/>
          <w:szCs w:val="24"/>
        </w:rPr>
        <w:t xml:space="preserve">Retirement benefits payable to pensioners – </w:t>
      </w:r>
      <w:r w:rsidRPr="00233BF0">
        <w:rPr>
          <w:szCs w:val="24"/>
        </w:rPr>
        <w:t xml:space="preserve">the net payments made in respect of the Firefighter pension scheme. Note, the fund also received a top up grant of </w:t>
      </w:r>
      <w:r w:rsidR="0004720E" w:rsidRPr="00233BF0">
        <w:rPr>
          <w:szCs w:val="24"/>
        </w:rPr>
        <w:t>£</w:t>
      </w:r>
      <w:r w:rsidR="00676AE5" w:rsidRPr="00233BF0">
        <w:rPr>
          <w:szCs w:val="24"/>
        </w:rPr>
        <w:t>1</w:t>
      </w:r>
      <w:r w:rsidR="00A64A07" w:rsidRPr="00233BF0">
        <w:rPr>
          <w:szCs w:val="24"/>
        </w:rPr>
        <w:t>7.794</w:t>
      </w:r>
      <w:r w:rsidR="006605BB" w:rsidRPr="00233BF0">
        <w:rPr>
          <w:szCs w:val="24"/>
        </w:rPr>
        <w:t xml:space="preserve">m </w:t>
      </w:r>
      <w:r w:rsidRPr="00233BF0">
        <w:rPr>
          <w:szCs w:val="24"/>
        </w:rPr>
        <w:t>(</w:t>
      </w:r>
      <w:r w:rsidR="00535F5B" w:rsidRPr="00233BF0">
        <w:rPr>
          <w:szCs w:val="24"/>
        </w:rPr>
        <w:t>20</w:t>
      </w:r>
      <w:r w:rsidR="006B2155" w:rsidRPr="00233BF0">
        <w:rPr>
          <w:szCs w:val="24"/>
        </w:rPr>
        <w:t>2</w:t>
      </w:r>
      <w:r w:rsidR="00E66DE8" w:rsidRPr="00233BF0">
        <w:rPr>
          <w:szCs w:val="24"/>
        </w:rPr>
        <w:t>1</w:t>
      </w:r>
      <w:r w:rsidR="006B2155" w:rsidRPr="00233BF0">
        <w:rPr>
          <w:szCs w:val="24"/>
        </w:rPr>
        <w:t>/2</w:t>
      </w:r>
      <w:r w:rsidR="00E66DE8" w:rsidRPr="00233BF0">
        <w:rPr>
          <w:szCs w:val="24"/>
        </w:rPr>
        <w:t>2</w:t>
      </w:r>
      <w:r w:rsidRPr="00233BF0">
        <w:rPr>
          <w:szCs w:val="24"/>
        </w:rPr>
        <w:t>: £</w:t>
      </w:r>
      <w:r w:rsidR="00E66DE8" w:rsidRPr="00233BF0">
        <w:rPr>
          <w:szCs w:val="24"/>
        </w:rPr>
        <w:t>16.045m</w:t>
      </w:r>
      <w:r w:rsidRPr="00233BF0">
        <w:rPr>
          <w:szCs w:val="24"/>
        </w:rPr>
        <w:t xml:space="preserve">) in addition to these, which can be seen in the Firefighters Pension Fund Account on </w:t>
      </w:r>
      <w:r w:rsidR="003D483B" w:rsidRPr="00233BF0">
        <w:rPr>
          <w:szCs w:val="24"/>
        </w:rPr>
        <w:t xml:space="preserve">page </w:t>
      </w:r>
      <w:r w:rsidR="00391E26" w:rsidRPr="00233BF0">
        <w:rPr>
          <w:szCs w:val="24"/>
        </w:rPr>
        <w:t>62</w:t>
      </w:r>
      <w:r w:rsidRPr="00233BF0">
        <w:rPr>
          <w:szCs w:val="24"/>
        </w:rPr>
        <w:t>.</w:t>
      </w:r>
    </w:p>
    <w:p w14:paraId="43B56D63" w14:textId="77777777" w:rsidR="00D90216" w:rsidRPr="00233BF0" w:rsidRDefault="00D90216" w:rsidP="00233BF0">
      <w:pPr>
        <w:ind w:left="706"/>
        <w:rPr>
          <w:szCs w:val="24"/>
        </w:rPr>
      </w:pPr>
    </w:p>
    <w:p w14:paraId="2232443C" w14:textId="5C4D1405" w:rsidR="00D90216" w:rsidRPr="00233BF0" w:rsidRDefault="00D90216" w:rsidP="00233BF0">
      <w:pPr>
        <w:ind w:left="709"/>
        <w:rPr>
          <w:szCs w:val="24"/>
        </w:rPr>
      </w:pPr>
      <w:r w:rsidRPr="00233BF0">
        <w:rPr>
          <w:szCs w:val="24"/>
        </w:rPr>
        <w:t xml:space="preserve">A full set of audited accounts for the Lancashire County Pension Fund, together with information relating to membership, actuarial and investment </w:t>
      </w:r>
      <w:r w:rsidR="00804E6C" w:rsidRPr="00233BF0">
        <w:rPr>
          <w:szCs w:val="24"/>
        </w:rPr>
        <w:t>policy,</w:t>
      </w:r>
      <w:r w:rsidRPr="00233BF0">
        <w:rPr>
          <w:szCs w:val="24"/>
        </w:rPr>
        <w:t xml:space="preserve"> and investment performance, are published in the ‘Lancashire County Pension Fund Annual Report’, available from the administering authority, Lancashire County Council, on request.</w:t>
      </w:r>
    </w:p>
    <w:p w14:paraId="7D708065" w14:textId="77777777" w:rsidR="00D90216" w:rsidRPr="00233BF0" w:rsidRDefault="00D90216" w:rsidP="00233BF0">
      <w:pPr>
        <w:rPr>
          <w:szCs w:val="24"/>
        </w:rPr>
      </w:pPr>
    </w:p>
    <w:p w14:paraId="5FFA9149" w14:textId="77777777" w:rsidR="00D90216" w:rsidRPr="00233BF0" w:rsidRDefault="00D90216" w:rsidP="00233BF0">
      <w:pPr>
        <w:ind w:left="709"/>
        <w:rPr>
          <w:b/>
          <w:szCs w:val="24"/>
        </w:rPr>
      </w:pPr>
      <w:r w:rsidRPr="00233BF0">
        <w:rPr>
          <w:b/>
          <w:szCs w:val="24"/>
        </w:rPr>
        <w:t>Assets and Liabilities in Relation to Post-employment Benefits</w:t>
      </w:r>
    </w:p>
    <w:p w14:paraId="2AA47B42" w14:textId="77777777" w:rsidR="00D90216" w:rsidRPr="00233BF0" w:rsidRDefault="00D90216" w:rsidP="00233BF0">
      <w:pPr>
        <w:ind w:left="709"/>
        <w:rPr>
          <w:szCs w:val="24"/>
        </w:rPr>
      </w:pPr>
    </w:p>
    <w:p w14:paraId="03194F5F" w14:textId="77777777" w:rsidR="00D90216" w:rsidRPr="00233BF0" w:rsidRDefault="00D90216" w:rsidP="00233BF0">
      <w:pPr>
        <w:ind w:left="709"/>
        <w:rPr>
          <w:szCs w:val="24"/>
        </w:rPr>
      </w:pPr>
      <w:r w:rsidRPr="00233BF0">
        <w:rPr>
          <w:szCs w:val="24"/>
        </w:rPr>
        <w:t>Reconciliation of present value of the scheme liabilities (defined benefit obligation):</w:t>
      </w:r>
    </w:p>
    <w:p w14:paraId="7D06B26B" w14:textId="77777777" w:rsidR="00D90216" w:rsidRPr="00AF3DCD" w:rsidRDefault="00D90216" w:rsidP="00D90216">
      <w:pPr>
        <w:ind w:left="709"/>
        <w:jc w:val="both"/>
        <w:rPr>
          <w:sz w:val="22"/>
        </w:rPr>
      </w:pPr>
    </w:p>
    <w:tbl>
      <w:tblPr>
        <w:tblW w:w="93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3"/>
        <w:gridCol w:w="1412"/>
        <w:gridCol w:w="1272"/>
        <w:gridCol w:w="175"/>
        <w:gridCol w:w="1272"/>
        <w:gridCol w:w="1305"/>
      </w:tblGrid>
      <w:tr w:rsidR="00B805A9" w:rsidRPr="00AF3DCD" w14:paraId="7697DE95" w14:textId="77777777" w:rsidTr="00611673">
        <w:trPr>
          <w:trHeight w:hRule="exact" w:val="850"/>
          <w:tblHeader/>
        </w:trPr>
        <w:tc>
          <w:tcPr>
            <w:tcW w:w="3953" w:type="dxa"/>
            <w:shd w:val="clear" w:color="auto" w:fill="BD2716"/>
          </w:tcPr>
          <w:p w14:paraId="04F7BAF2" w14:textId="77777777" w:rsidR="00B805A9" w:rsidRPr="00982FEC" w:rsidRDefault="00B805A9" w:rsidP="00CD62E6">
            <w:pPr>
              <w:jc w:val="both"/>
              <w:rPr>
                <w:color w:val="FFFFFF" w:themeColor="background1"/>
                <w:szCs w:val="24"/>
              </w:rPr>
            </w:pPr>
          </w:p>
        </w:tc>
        <w:tc>
          <w:tcPr>
            <w:tcW w:w="2684" w:type="dxa"/>
            <w:gridSpan w:val="2"/>
            <w:shd w:val="clear" w:color="auto" w:fill="BD2716"/>
            <w:vAlign w:val="center"/>
          </w:tcPr>
          <w:p w14:paraId="2ECB9B13" w14:textId="77777777" w:rsidR="00B805A9" w:rsidRPr="00982FEC" w:rsidRDefault="00B805A9" w:rsidP="00611673">
            <w:pPr>
              <w:jc w:val="center"/>
              <w:rPr>
                <w:color w:val="FFFFFF" w:themeColor="background1"/>
                <w:szCs w:val="24"/>
              </w:rPr>
            </w:pPr>
            <w:r w:rsidRPr="00982FEC">
              <w:rPr>
                <w:color w:val="FFFFFF" w:themeColor="background1"/>
                <w:szCs w:val="24"/>
              </w:rPr>
              <w:t>Funded Liabilities: Local Government Pension Scheme</w:t>
            </w:r>
          </w:p>
        </w:tc>
        <w:tc>
          <w:tcPr>
            <w:tcW w:w="2752" w:type="dxa"/>
            <w:gridSpan w:val="3"/>
            <w:shd w:val="clear" w:color="auto" w:fill="BD2716"/>
            <w:vAlign w:val="center"/>
          </w:tcPr>
          <w:p w14:paraId="5408F47A" w14:textId="77777777" w:rsidR="00B805A9" w:rsidRPr="00982FEC" w:rsidRDefault="00B805A9" w:rsidP="00611673">
            <w:pPr>
              <w:jc w:val="center"/>
              <w:rPr>
                <w:color w:val="FFFFFF" w:themeColor="background1"/>
                <w:szCs w:val="24"/>
              </w:rPr>
            </w:pPr>
            <w:r w:rsidRPr="00982FEC">
              <w:rPr>
                <w:color w:val="FFFFFF" w:themeColor="background1"/>
                <w:szCs w:val="24"/>
              </w:rPr>
              <w:t>Unfunded Liabilities: Uniformed Firefighters’ Pension Scheme</w:t>
            </w:r>
          </w:p>
        </w:tc>
      </w:tr>
      <w:tr w:rsidR="00053629" w:rsidRPr="00AF3DCD" w14:paraId="6D60649A" w14:textId="77777777" w:rsidTr="00611673">
        <w:trPr>
          <w:trHeight w:hRule="exact" w:val="850"/>
          <w:tblHeader/>
        </w:trPr>
        <w:tc>
          <w:tcPr>
            <w:tcW w:w="3953" w:type="dxa"/>
            <w:shd w:val="clear" w:color="auto" w:fill="BD2716"/>
          </w:tcPr>
          <w:p w14:paraId="3B42FA68" w14:textId="77777777" w:rsidR="00053629" w:rsidRPr="00982FEC" w:rsidRDefault="00053629" w:rsidP="00053629">
            <w:pPr>
              <w:jc w:val="both"/>
              <w:rPr>
                <w:color w:val="FFFFFF" w:themeColor="background1"/>
                <w:szCs w:val="24"/>
              </w:rPr>
            </w:pPr>
          </w:p>
        </w:tc>
        <w:tc>
          <w:tcPr>
            <w:tcW w:w="1412" w:type="dxa"/>
            <w:shd w:val="clear" w:color="auto" w:fill="BD2716"/>
            <w:vAlign w:val="center"/>
          </w:tcPr>
          <w:p w14:paraId="3A9D5B8D" w14:textId="77777777" w:rsidR="00053629" w:rsidRPr="00982FEC" w:rsidRDefault="00053629" w:rsidP="00611673">
            <w:pPr>
              <w:jc w:val="right"/>
              <w:rPr>
                <w:color w:val="FFFFFF" w:themeColor="background1"/>
                <w:szCs w:val="24"/>
              </w:rPr>
            </w:pPr>
            <w:r w:rsidRPr="00982FEC">
              <w:rPr>
                <w:color w:val="FFFFFF" w:themeColor="background1"/>
                <w:szCs w:val="24"/>
              </w:rPr>
              <w:t>31 March 2023</w:t>
            </w:r>
          </w:p>
          <w:p w14:paraId="138D406D" w14:textId="3C2D704A" w:rsidR="00053629" w:rsidRPr="00982FEC" w:rsidRDefault="00053629" w:rsidP="00611673">
            <w:pPr>
              <w:jc w:val="right"/>
              <w:rPr>
                <w:color w:val="FFFFFF" w:themeColor="background1"/>
                <w:szCs w:val="24"/>
              </w:rPr>
            </w:pPr>
            <w:r w:rsidRPr="00982FEC">
              <w:rPr>
                <w:color w:val="FFFFFF" w:themeColor="background1"/>
                <w:szCs w:val="24"/>
              </w:rPr>
              <w:t>£000</w:t>
            </w:r>
          </w:p>
        </w:tc>
        <w:tc>
          <w:tcPr>
            <w:tcW w:w="1272" w:type="dxa"/>
            <w:shd w:val="clear" w:color="auto" w:fill="BD2716"/>
            <w:vAlign w:val="center"/>
          </w:tcPr>
          <w:p w14:paraId="5D7E37DE" w14:textId="77777777" w:rsidR="00053629" w:rsidRPr="00982FEC" w:rsidRDefault="00053629" w:rsidP="00611673">
            <w:pPr>
              <w:jc w:val="right"/>
              <w:rPr>
                <w:color w:val="FFFFFF" w:themeColor="background1"/>
                <w:szCs w:val="24"/>
              </w:rPr>
            </w:pPr>
            <w:r w:rsidRPr="00982FEC">
              <w:rPr>
                <w:color w:val="FFFFFF" w:themeColor="background1"/>
                <w:szCs w:val="24"/>
              </w:rPr>
              <w:t>31 March 2022</w:t>
            </w:r>
          </w:p>
          <w:p w14:paraId="2CED4481" w14:textId="2C3407AC" w:rsidR="00053629" w:rsidRPr="00982FEC" w:rsidRDefault="00053629" w:rsidP="00611673">
            <w:pPr>
              <w:jc w:val="right"/>
              <w:rPr>
                <w:color w:val="FFFFFF" w:themeColor="background1"/>
                <w:szCs w:val="24"/>
              </w:rPr>
            </w:pPr>
            <w:r w:rsidRPr="00982FEC">
              <w:rPr>
                <w:color w:val="FFFFFF" w:themeColor="background1"/>
                <w:szCs w:val="24"/>
              </w:rPr>
              <w:t>£000</w:t>
            </w:r>
          </w:p>
        </w:tc>
        <w:tc>
          <w:tcPr>
            <w:tcW w:w="1447" w:type="dxa"/>
            <w:gridSpan w:val="2"/>
            <w:shd w:val="clear" w:color="auto" w:fill="BD2716"/>
            <w:vAlign w:val="center"/>
          </w:tcPr>
          <w:p w14:paraId="5E580A68" w14:textId="77777777" w:rsidR="00053629" w:rsidRPr="00982FEC" w:rsidRDefault="00053629" w:rsidP="00611673">
            <w:pPr>
              <w:jc w:val="right"/>
              <w:rPr>
                <w:color w:val="FFFFFF" w:themeColor="background1"/>
                <w:szCs w:val="24"/>
              </w:rPr>
            </w:pPr>
            <w:r w:rsidRPr="00982FEC">
              <w:rPr>
                <w:color w:val="FFFFFF" w:themeColor="background1"/>
                <w:szCs w:val="24"/>
              </w:rPr>
              <w:t>31 March 2023</w:t>
            </w:r>
          </w:p>
          <w:p w14:paraId="2569D777" w14:textId="7294337C" w:rsidR="00053629" w:rsidRPr="00982FEC" w:rsidRDefault="00053629" w:rsidP="00611673">
            <w:pPr>
              <w:jc w:val="right"/>
              <w:rPr>
                <w:color w:val="FFFFFF" w:themeColor="background1"/>
                <w:szCs w:val="24"/>
              </w:rPr>
            </w:pPr>
            <w:r w:rsidRPr="00982FEC">
              <w:rPr>
                <w:color w:val="FFFFFF" w:themeColor="background1"/>
                <w:szCs w:val="24"/>
              </w:rPr>
              <w:t>£000</w:t>
            </w:r>
          </w:p>
        </w:tc>
        <w:tc>
          <w:tcPr>
            <w:tcW w:w="1305" w:type="dxa"/>
            <w:shd w:val="clear" w:color="auto" w:fill="BD2716"/>
            <w:vAlign w:val="center"/>
          </w:tcPr>
          <w:p w14:paraId="120CBC72" w14:textId="77777777" w:rsidR="00053629" w:rsidRPr="00982FEC" w:rsidRDefault="00053629" w:rsidP="00611673">
            <w:pPr>
              <w:jc w:val="right"/>
              <w:rPr>
                <w:color w:val="FFFFFF" w:themeColor="background1"/>
                <w:szCs w:val="24"/>
              </w:rPr>
            </w:pPr>
            <w:r w:rsidRPr="00982FEC">
              <w:rPr>
                <w:color w:val="FFFFFF" w:themeColor="background1"/>
                <w:szCs w:val="24"/>
              </w:rPr>
              <w:t>31 March 2022</w:t>
            </w:r>
          </w:p>
          <w:p w14:paraId="687BB876" w14:textId="0DA6271A" w:rsidR="00053629" w:rsidRPr="00982FEC" w:rsidRDefault="00053629" w:rsidP="00611673">
            <w:pPr>
              <w:jc w:val="right"/>
              <w:rPr>
                <w:color w:val="FFFFFF" w:themeColor="background1"/>
                <w:szCs w:val="24"/>
              </w:rPr>
            </w:pPr>
            <w:r w:rsidRPr="00982FEC">
              <w:rPr>
                <w:color w:val="FFFFFF" w:themeColor="background1"/>
                <w:szCs w:val="24"/>
              </w:rPr>
              <w:t>£000</w:t>
            </w:r>
          </w:p>
        </w:tc>
      </w:tr>
      <w:tr w:rsidR="00053815" w:rsidRPr="00470E44" w14:paraId="7C2ABAC3" w14:textId="77777777" w:rsidTr="00DD63D7">
        <w:tc>
          <w:tcPr>
            <w:tcW w:w="3953" w:type="dxa"/>
          </w:tcPr>
          <w:p w14:paraId="3EC43D79" w14:textId="08538EBA" w:rsidR="00053815" w:rsidRPr="00233BF0" w:rsidRDefault="00053815" w:rsidP="00EF0ED9">
            <w:pPr>
              <w:rPr>
                <w:szCs w:val="24"/>
              </w:rPr>
            </w:pPr>
            <w:r w:rsidRPr="00233BF0">
              <w:rPr>
                <w:b/>
                <w:bCs/>
                <w:szCs w:val="24"/>
              </w:rPr>
              <w:t xml:space="preserve">Opening balance </w:t>
            </w:r>
            <w:proofErr w:type="gramStart"/>
            <w:r w:rsidRPr="00233BF0">
              <w:rPr>
                <w:b/>
                <w:bCs/>
                <w:szCs w:val="24"/>
              </w:rPr>
              <w:t>at</w:t>
            </w:r>
            <w:proofErr w:type="gramEnd"/>
            <w:r w:rsidRPr="00233BF0">
              <w:rPr>
                <w:b/>
                <w:bCs/>
                <w:szCs w:val="24"/>
              </w:rPr>
              <w:t xml:space="preserve"> 1 April</w:t>
            </w:r>
          </w:p>
        </w:tc>
        <w:tc>
          <w:tcPr>
            <w:tcW w:w="1412" w:type="dxa"/>
            <w:vAlign w:val="center"/>
          </w:tcPr>
          <w:p w14:paraId="09772ACB" w14:textId="0897320B" w:rsidR="00053815" w:rsidRPr="00233BF0" w:rsidRDefault="00053815" w:rsidP="00DD63D7">
            <w:pPr>
              <w:tabs>
                <w:tab w:val="decimal" w:pos="888"/>
              </w:tabs>
              <w:jc w:val="right"/>
              <w:rPr>
                <w:szCs w:val="24"/>
              </w:rPr>
            </w:pPr>
            <w:r w:rsidRPr="00233BF0">
              <w:rPr>
                <w:b/>
                <w:bCs/>
                <w:szCs w:val="24"/>
              </w:rPr>
              <w:t>(84,201)</w:t>
            </w:r>
          </w:p>
        </w:tc>
        <w:tc>
          <w:tcPr>
            <w:tcW w:w="1447" w:type="dxa"/>
            <w:gridSpan w:val="2"/>
            <w:vAlign w:val="center"/>
          </w:tcPr>
          <w:p w14:paraId="3BB16D70" w14:textId="2B677384" w:rsidR="00053815" w:rsidRPr="00233BF0" w:rsidRDefault="00053815" w:rsidP="00DD63D7">
            <w:pPr>
              <w:tabs>
                <w:tab w:val="decimal" w:pos="888"/>
              </w:tabs>
              <w:jc w:val="right"/>
              <w:rPr>
                <w:szCs w:val="24"/>
              </w:rPr>
            </w:pPr>
            <w:r w:rsidRPr="00233BF0">
              <w:rPr>
                <w:b/>
                <w:bCs/>
                <w:szCs w:val="24"/>
              </w:rPr>
              <w:t>(83,632)</w:t>
            </w:r>
          </w:p>
        </w:tc>
        <w:tc>
          <w:tcPr>
            <w:tcW w:w="1272" w:type="dxa"/>
            <w:vAlign w:val="center"/>
          </w:tcPr>
          <w:p w14:paraId="20C0244D" w14:textId="1BAC944A" w:rsidR="00053815" w:rsidRPr="00233BF0" w:rsidRDefault="00053815" w:rsidP="00DD63D7">
            <w:pPr>
              <w:tabs>
                <w:tab w:val="decimal" w:pos="888"/>
              </w:tabs>
              <w:jc w:val="right"/>
              <w:rPr>
                <w:szCs w:val="24"/>
              </w:rPr>
            </w:pPr>
            <w:r w:rsidRPr="00233BF0">
              <w:rPr>
                <w:b/>
                <w:bCs/>
                <w:szCs w:val="24"/>
              </w:rPr>
              <w:t>(875,9</w:t>
            </w:r>
            <w:r w:rsidR="00ED621F" w:rsidRPr="00233BF0">
              <w:rPr>
                <w:b/>
                <w:bCs/>
                <w:szCs w:val="24"/>
              </w:rPr>
              <w:t>36</w:t>
            </w:r>
            <w:r w:rsidRPr="00233BF0">
              <w:rPr>
                <w:b/>
                <w:bCs/>
                <w:szCs w:val="24"/>
              </w:rPr>
              <w:t>)</w:t>
            </w:r>
          </w:p>
        </w:tc>
        <w:tc>
          <w:tcPr>
            <w:tcW w:w="1305" w:type="dxa"/>
            <w:vAlign w:val="center"/>
          </w:tcPr>
          <w:p w14:paraId="063D63CF" w14:textId="35DBD851" w:rsidR="00053815" w:rsidRPr="00233BF0" w:rsidRDefault="00053815" w:rsidP="00DD63D7">
            <w:pPr>
              <w:tabs>
                <w:tab w:val="decimal" w:pos="888"/>
              </w:tabs>
              <w:jc w:val="right"/>
              <w:rPr>
                <w:szCs w:val="24"/>
              </w:rPr>
            </w:pPr>
            <w:r w:rsidRPr="00233BF0">
              <w:rPr>
                <w:b/>
                <w:bCs/>
                <w:szCs w:val="24"/>
              </w:rPr>
              <w:t>(872,3</w:t>
            </w:r>
            <w:r w:rsidR="00ED621F" w:rsidRPr="00233BF0">
              <w:rPr>
                <w:b/>
                <w:bCs/>
                <w:szCs w:val="24"/>
              </w:rPr>
              <w:t>86</w:t>
            </w:r>
            <w:r w:rsidRPr="00233BF0">
              <w:rPr>
                <w:b/>
                <w:bCs/>
                <w:szCs w:val="24"/>
              </w:rPr>
              <w:t>)</w:t>
            </w:r>
          </w:p>
        </w:tc>
      </w:tr>
      <w:tr w:rsidR="00053815" w:rsidRPr="00470E44" w14:paraId="50DF659C" w14:textId="77777777" w:rsidTr="00DD63D7">
        <w:trPr>
          <w:trHeight w:val="289"/>
        </w:trPr>
        <w:tc>
          <w:tcPr>
            <w:tcW w:w="3953" w:type="dxa"/>
          </w:tcPr>
          <w:p w14:paraId="0E4BBE62" w14:textId="358921E3" w:rsidR="00053815" w:rsidRPr="00233BF0" w:rsidRDefault="00053815" w:rsidP="00EF0ED9">
            <w:pPr>
              <w:rPr>
                <w:b/>
                <w:bCs/>
                <w:szCs w:val="24"/>
              </w:rPr>
            </w:pPr>
            <w:r w:rsidRPr="00233BF0">
              <w:rPr>
                <w:szCs w:val="24"/>
              </w:rPr>
              <w:t>Current service cost</w:t>
            </w:r>
          </w:p>
        </w:tc>
        <w:tc>
          <w:tcPr>
            <w:tcW w:w="1412" w:type="dxa"/>
            <w:vAlign w:val="center"/>
          </w:tcPr>
          <w:p w14:paraId="0AD36CAD" w14:textId="555A4E29" w:rsidR="00053815" w:rsidRPr="00233BF0" w:rsidRDefault="00053815" w:rsidP="00DD63D7">
            <w:pPr>
              <w:tabs>
                <w:tab w:val="decimal" w:pos="888"/>
              </w:tabs>
              <w:jc w:val="right"/>
              <w:rPr>
                <w:b/>
                <w:bCs/>
                <w:szCs w:val="24"/>
              </w:rPr>
            </w:pPr>
            <w:r w:rsidRPr="00233BF0">
              <w:rPr>
                <w:szCs w:val="24"/>
              </w:rPr>
              <w:t>(2,900)</w:t>
            </w:r>
          </w:p>
        </w:tc>
        <w:tc>
          <w:tcPr>
            <w:tcW w:w="1272" w:type="dxa"/>
            <w:vAlign w:val="center"/>
          </w:tcPr>
          <w:p w14:paraId="6BFCEFBA" w14:textId="27D85896" w:rsidR="00053815" w:rsidRPr="00233BF0" w:rsidRDefault="00053815" w:rsidP="00DD63D7">
            <w:pPr>
              <w:tabs>
                <w:tab w:val="decimal" w:pos="888"/>
              </w:tabs>
              <w:jc w:val="right"/>
              <w:rPr>
                <w:b/>
                <w:bCs/>
                <w:szCs w:val="24"/>
              </w:rPr>
            </w:pPr>
            <w:r w:rsidRPr="00233BF0">
              <w:rPr>
                <w:szCs w:val="24"/>
              </w:rPr>
              <w:t>(2,553)</w:t>
            </w:r>
          </w:p>
        </w:tc>
        <w:tc>
          <w:tcPr>
            <w:tcW w:w="1447" w:type="dxa"/>
            <w:gridSpan w:val="2"/>
            <w:vAlign w:val="center"/>
          </w:tcPr>
          <w:p w14:paraId="6185AC54" w14:textId="5D030428" w:rsidR="00053815" w:rsidRPr="00233BF0" w:rsidRDefault="00053815" w:rsidP="00DD63D7">
            <w:pPr>
              <w:tabs>
                <w:tab w:val="decimal" w:pos="1026"/>
              </w:tabs>
              <w:jc w:val="right"/>
              <w:rPr>
                <w:b/>
                <w:bCs/>
                <w:szCs w:val="24"/>
              </w:rPr>
            </w:pPr>
            <w:r w:rsidRPr="00233BF0">
              <w:rPr>
                <w:szCs w:val="24"/>
              </w:rPr>
              <w:t>(13,470)</w:t>
            </w:r>
          </w:p>
        </w:tc>
        <w:tc>
          <w:tcPr>
            <w:tcW w:w="1305" w:type="dxa"/>
            <w:vAlign w:val="center"/>
          </w:tcPr>
          <w:p w14:paraId="6030F2CC" w14:textId="7BD1191C" w:rsidR="00053815" w:rsidRPr="00233BF0" w:rsidRDefault="00053815" w:rsidP="00DD63D7">
            <w:pPr>
              <w:tabs>
                <w:tab w:val="decimal" w:pos="1026"/>
              </w:tabs>
              <w:jc w:val="right"/>
              <w:rPr>
                <w:b/>
                <w:bCs/>
                <w:szCs w:val="24"/>
              </w:rPr>
            </w:pPr>
            <w:r w:rsidRPr="00233BF0">
              <w:rPr>
                <w:szCs w:val="24"/>
              </w:rPr>
              <w:t>(15,750)</w:t>
            </w:r>
          </w:p>
        </w:tc>
      </w:tr>
      <w:tr w:rsidR="00053815" w:rsidRPr="00470E44" w14:paraId="4EA7BD55" w14:textId="77777777" w:rsidTr="00DD63D7">
        <w:tc>
          <w:tcPr>
            <w:tcW w:w="3953" w:type="dxa"/>
          </w:tcPr>
          <w:p w14:paraId="2549E1EC" w14:textId="3A4E4C4C" w:rsidR="00053815" w:rsidRPr="00233BF0" w:rsidRDefault="00053815" w:rsidP="00EF0ED9">
            <w:pPr>
              <w:rPr>
                <w:szCs w:val="24"/>
              </w:rPr>
            </w:pPr>
            <w:r w:rsidRPr="00233BF0">
              <w:rPr>
                <w:szCs w:val="24"/>
              </w:rPr>
              <w:t>Interest on liabilities</w:t>
            </w:r>
          </w:p>
        </w:tc>
        <w:tc>
          <w:tcPr>
            <w:tcW w:w="1412" w:type="dxa"/>
            <w:vAlign w:val="center"/>
          </w:tcPr>
          <w:p w14:paraId="1E6CE2D1" w14:textId="53D2567E" w:rsidR="00053815" w:rsidRPr="00233BF0" w:rsidRDefault="00053815" w:rsidP="00DD63D7">
            <w:pPr>
              <w:tabs>
                <w:tab w:val="decimal" w:pos="888"/>
              </w:tabs>
              <w:jc w:val="right"/>
              <w:rPr>
                <w:szCs w:val="24"/>
              </w:rPr>
            </w:pPr>
            <w:r w:rsidRPr="00233BF0">
              <w:rPr>
                <w:szCs w:val="24"/>
              </w:rPr>
              <w:t>(2,343)</w:t>
            </w:r>
          </w:p>
        </w:tc>
        <w:tc>
          <w:tcPr>
            <w:tcW w:w="1272" w:type="dxa"/>
            <w:vAlign w:val="center"/>
          </w:tcPr>
          <w:p w14:paraId="52463BB9" w14:textId="72BCC36A" w:rsidR="00053815" w:rsidRPr="00233BF0" w:rsidRDefault="00053815" w:rsidP="00DD63D7">
            <w:pPr>
              <w:tabs>
                <w:tab w:val="decimal" w:pos="888"/>
              </w:tabs>
              <w:jc w:val="right"/>
              <w:rPr>
                <w:szCs w:val="24"/>
              </w:rPr>
            </w:pPr>
            <w:r w:rsidRPr="00233BF0">
              <w:rPr>
                <w:szCs w:val="24"/>
              </w:rPr>
              <w:t>(1,742)</w:t>
            </w:r>
          </w:p>
        </w:tc>
        <w:tc>
          <w:tcPr>
            <w:tcW w:w="1447" w:type="dxa"/>
            <w:gridSpan w:val="2"/>
            <w:vAlign w:val="center"/>
          </w:tcPr>
          <w:p w14:paraId="6B6E1334" w14:textId="2C9235F9" w:rsidR="00053815" w:rsidRPr="00233BF0" w:rsidRDefault="00053815" w:rsidP="00DD63D7">
            <w:pPr>
              <w:tabs>
                <w:tab w:val="decimal" w:pos="1026"/>
              </w:tabs>
              <w:jc w:val="right"/>
              <w:rPr>
                <w:szCs w:val="24"/>
              </w:rPr>
            </w:pPr>
            <w:r w:rsidRPr="00233BF0">
              <w:rPr>
                <w:szCs w:val="24"/>
              </w:rPr>
              <w:t>(23,040)</w:t>
            </w:r>
          </w:p>
        </w:tc>
        <w:tc>
          <w:tcPr>
            <w:tcW w:w="1305" w:type="dxa"/>
            <w:vAlign w:val="center"/>
          </w:tcPr>
          <w:p w14:paraId="78E39A6A" w14:textId="6743CDC2" w:rsidR="00053815" w:rsidRPr="00233BF0" w:rsidRDefault="00053815" w:rsidP="00DD63D7">
            <w:pPr>
              <w:tabs>
                <w:tab w:val="decimal" w:pos="1026"/>
              </w:tabs>
              <w:jc w:val="right"/>
              <w:rPr>
                <w:szCs w:val="24"/>
              </w:rPr>
            </w:pPr>
            <w:r w:rsidRPr="00233BF0">
              <w:rPr>
                <w:szCs w:val="24"/>
              </w:rPr>
              <w:t>(17,330)</w:t>
            </w:r>
          </w:p>
        </w:tc>
      </w:tr>
      <w:tr w:rsidR="00053815" w:rsidRPr="00470E44" w14:paraId="08B4C0BD" w14:textId="77777777" w:rsidTr="00DD63D7">
        <w:tc>
          <w:tcPr>
            <w:tcW w:w="3953" w:type="dxa"/>
          </w:tcPr>
          <w:p w14:paraId="14174437" w14:textId="48CE0A87" w:rsidR="00053815" w:rsidRPr="00233BF0" w:rsidRDefault="00053815" w:rsidP="00EF0ED9">
            <w:pPr>
              <w:rPr>
                <w:szCs w:val="24"/>
              </w:rPr>
            </w:pPr>
            <w:r w:rsidRPr="00233BF0">
              <w:rPr>
                <w:szCs w:val="24"/>
              </w:rPr>
              <w:t xml:space="preserve">Contributions by scheme participants </w:t>
            </w:r>
          </w:p>
        </w:tc>
        <w:tc>
          <w:tcPr>
            <w:tcW w:w="1412" w:type="dxa"/>
            <w:vAlign w:val="center"/>
          </w:tcPr>
          <w:p w14:paraId="5BA0BFC1" w14:textId="19FA08CE" w:rsidR="00053815" w:rsidRPr="00233BF0" w:rsidRDefault="00053815" w:rsidP="00DD63D7">
            <w:pPr>
              <w:tabs>
                <w:tab w:val="decimal" w:pos="888"/>
              </w:tabs>
              <w:jc w:val="right"/>
              <w:rPr>
                <w:szCs w:val="24"/>
              </w:rPr>
            </w:pPr>
            <w:r w:rsidRPr="00233BF0">
              <w:rPr>
                <w:szCs w:val="24"/>
              </w:rPr>
              <w:t>(492)</w:t>
            </w:r>
          </w:p>
        </w:tc>
        <w:tc>
          <w:tcPr>
            <w:tcW w:w="1272" w:type="dxa"/>
            <w:vAlign w:val="center"/>
          </w:tcPr>
          <w:p w14:paraId="40E93DC8" w14:textId="6957E3A2" w:rsidR="00053815" w:rsidRPr="00233BF0" w:rsidRDefault="00053815" w:rsidP="00DD63D7">
            <w:pPr>
              <w:tabs>
                <w:tab w:val="decimal" w:pos="888"/>
              </w:tabs>
              <w:jc w:val="right"/>
              <w:rPr>
                <w:szCs w:val="24"/>
              </w:rPr>
            </w:pPr>
            <w:r w:rsidRPr="00233BF0">
              <w:rPr>
                <w:szCs w:val="24"/>
              </w:rPr>
              <w:t>(412)</w:t>
            </w:r>
          </w:p>
        </w:tc>
        <w:tc>
          <w:tcPr>
            <w:tcW w:w="1447" w:type="dxa"/>
            <w:gridSpan w:val="2"/>
            <w:vAlign w:val="center"/>
          </w:tcPr>
          <w:p w14:paraId="4EF4065C" w14:textId="74B09CC8" w:rsidR="00053815" w:rsidRPr="00233BF0" w:rsidRDefault="00053815" w:rsidP="00DD63D7">
            <w:pPr>
              <w:tabs>
                <w:tab w:val="decimal" w:pos="1026"/>
              </w:tabs>
              <w:jc w:val="right"/>
              <w:rPr>
                <w:szCs w:val="24"/>
              </w:rPr>
            </w:pPr>
            <w:r w:rsidRPr="00233BF0">
              <w:rPr>
                <w:szCs w:val="24"/>
              </w:rPr>
              <w:t>(3,560)</w:t>
            </w:r>
          </w:p>
        </w:tc>
        <w:tc>
          <w:tcPr>
            <w:tcW w:w="1305" w:type="dxa"/>
            <w:vAlign w:val="center"/>
          </w:tcPr>
          <w:p w14:paraId="02A4D60F" w14:textId="40539EF6" w:rsidR="00053815" w:rsidRPr="00233BF0" w:rsidRDefault="00053815" w:rsidP="00DD63D7">
            <w:pPr>
              <w:tabs>
                <w:tab w:val="decimal" w:pos="1026"/>
              </w:tabs>
              <w:jc w:val="right"/>
              <w:rPr>
                <w:szCs w:val="24"/>
              </w:rPr>
            </w:pPr>
            <w:r w:rsidRPr="00233BF0">
              <w:rPr>
                <w:szCs w:val="24"/>
              </w:rPr>
              <w:t>(3,330)</w:t>
            </w:r>
          </w:p>
        </w:tc>
      </w:tr>
    </w:tbl>
    <w:p w14:paraId="0FCA580A" w14:textId="77777777" w:rsidR="001E71F1" w:rsidRDefault="001E71F1"/>
    <w:tbl>
      <w:tblPr>
        <w:tblW w:w="93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3"/>
        <w:gridCol w:w="1412"/>
        <w:gridCol w:w="1272"/>
        <w:gridCol w:w="1447"/>
        <w:gridCol w:w="1305"/>
      </w:tblGrid>
      <w:tr w:rsidR="00DD63D7" w:rsidRPr="00470E44" w14:paraId="0EBB49D4" w14:textId="77777777" w:rsidTr="00611673">
        <w:tc>
          <w:tcPr>
            <w:tcW w:w="3953" w:type="dxa"/>
            <w:shd w:val="clear" w:color="auto" w:fill="BD2716"/>
          </w:tcPr>
          <w:p w14:paraId="4345BA4C" w14:textId="77777777" w:rsidR="00DD63D7" w:rsidRPr="00982FEC" w:rsidRDefault="00DD63D7" w:rsidP="00DD63D7">
            <w:pPr>
              <w:rPr>
                <w:color w:val="FFFFFF" w:themeColor="background1"/>
                <w:szCs w:val="24"/>
              </w:rPr>
            </w:pPr>
          </w:p>
        </w:tc>
        <w:tc>
          <w:tcPr>
            <w:tcW w:w="2684" w:type="dxa"/>
            <w:gridSpan w:val="2"/>
            <w:shd w:val="clear" w:color="auto" w:fill="BD2716"/>
            <w:vAlign w:val="center"/>
          </w:tcPr>
          <w:p w14:paraId="1D9845A0" w14:textId="4C99871F" w:rsidR="00DD63D7" w:rsidRPr="00982FEC" w:rsidRDefault="00DD63D7" w:rsidP="00611673">
            <w:pPr>
              <w:tabs>
                <w:tab w:val="decimal" w:pos="888"/>
              </w:tabs>
              <w:jc w:val="center"/>
              <w:rPr>
                <w:color w:val="FFFFFF" w:themeColor="background1"/>
                <w:szCs w:val="24"/>
              </w:rPr>
            </w:pPr>
            <w:r w:rsidRPr="00982FEC">
              <w:rPr>
                <w:color w:val="FFFFFF" w:themeColor="background1"/>
                <w:szCs w:val="24"/>
              </w:rPr>
              <w:t>Funded Liabilities: Local Government Pension Scheme</w:t>
            </w:r>
          </w:p>
        </w:tc>
        <w:tc>
          <w:tcPr>
            <w:tcW w:w="2752" w:type="dxa"/>
            <w:gridSpan w:val="2"/>
            <w:shd w:val="clear" w:color="auto" w:fill="BD2716"/>
            <w:vAlign w:val="center"/>
          </w:tcPr>
          <w:p w14:paraId="0D4798BD" w14:textId="38E1A0E1" w:rsidR="00DD63D7" w:rsidRPr="00982FEC" w:rsidRDefault="00DD63D7" w:rsidP="00611673">
            <w:pPr>
              <w:tabs>
                <w:tab w:val="decimal" w:pos="1026"/>
              </w:tabs>
              <w:jc w:val="center"/>
              <w:rPr>
                <w:color w:val="FFFFFF" w:themeColor="background1"/>
                <w:szCs w:val="24"/>
              </w:rPr>
            </w:pPr>
            <w:r w:rsidRPr="00982FEC">
              <w:rPr>
                <w:color w:val="FFFFFF" w:themeColor="background1"/>
                <w:szCs w:val="24"/>
              </w:rPr>
              <w:t>Unfunded Liabilities: Uniformed Firefighters’ Pension Scheme</w:t>
            </w:r>
          </w:p>
        </w:tc>
      </w:tr>
      <w:tr w:rsidR="00DD63D7" w:rsidRPr="00470E44" w14:paraId="772DC3F9" w14:textId="77777777" w:rsidTr="00611673">
        <w:tc>
          <w:tcPr>
            <w:tcW w:w="3953" w:type="dxa"/>
            <w:shd w:val="clear" w:color="auto" w:fill="BD2716"/>
          </w:tcPr>
          <w:p w14:paraId="7A2F5D5C" w14:textId="77777777" w:rsidR="00DD63D7" w:rsidRPr="00982FEC" w:rsidRDefault="00DD63D7" w:rsidP="00DD63D7">
            <w:pPr>
              <w:rPr>
                <w:color w:val="FFFFFF" w:themeColor="background1"/>
                <w:szCs w:val="24"/>
              </w:rPr>
            </w:pPr>
          </w:p>
        </w:tc>
        <w:tc>
          <w:tcPr>
            <w:tcW w:w="1412" w:type="dxa"/>
            <w:shd w:val="clear" w:color="auto" w:fill="BD2716"/>
            <w:vAlign w:val="center"/>
          </w:tcPr>
          <w:p w14:paraId="75C64D55" w14:textId="77777777" w:rsidR="00DD63D7" w:rsidRPr="00982FEC" w:rsidRDefault="00DD63D7" w:rsidP="00611673">
            <w:pPr>
              <w:jc w:val="right"/>
              <w:rPr>
                <w:color w:val="FFFFFF" w:themeColor="background1"/>
                <w:szCs w:val="24"/>
              </w:rPr>
            </w:pPr>
            <w:r w:rsidRPr="00982FEC">
              <w:rPr>
                <w:color w:val="FFFFFF" w:themeColor="background1"/>
                <w:szCs w:val="24"/>
              </w:rPr>
              <w:t>31 March 2023</w:t>
            </w:r>
          </w:p>
          <w:p w14:paraId="061D9660" w14:textId="7FC9A4DA" w:rsidR="00DD63D7" w:rsidRPr="00982FEC" w:rsidRDefault="00DD63D7" w:rsidP="00611673">
            <w:pPr>
              <w:jc w:val="right"/>
              <w:rPr>
                <w:color w:val="FFFFFF" w:themeColor="background1"/>
                <w:szCs w:val="24"/>
              </w:rPr>
            </w:pPr>
            <w:r w:rsidRPr="00982FEC">
              <w:rPr>
                <w:color w:val="FFFFFF" w:themeColor="background1"/>
                <w:szCs w:val="24"/>
              </w:rPr>
              <w:t>£000</w:t>
            </w:r>
          </w:p>
        </w:tc>
        <w:tc>
          <w:tcPr>
            <w:tcW w:w="1272" w:type="dxa"/>
            <w:shd w:val="clear" w:color="auto" w:fill="BD2716"/>
            <w:vAlign w:val="center"/>
          </w:tcPr>
          <w:p w14:paraId="500D2821" w14:textId="77777777" w:rsidR="00DD63D7" w:rsidRPr="00982FEC" w:rsidRDefault="00DD63D7" w:rsidP="00611673">
            <w:pPr>
              <w:jc w:val="right"/>
              <w:rPr>
                <w:color w:val="FFFFFF" w:themeColor="background1"/>
                <w:szCs w:val="24"/>
              </w:rPr>
            </w:pPr>
            <w:r w:rsidRPr="00982FEC">
              <w:rPr>
                <w:color w:val="FFFFFF" w:themeColor="background1"/>
                <w:szCs w:val="24"/>
              </w:rPr>
              <w:t>31 March 202</w:t>
            </w:r>
            <w:r w:rsidRPr="00982FEC">
              <w:rPr>
                <w:color w:val="FFFFFF" w:themeColor="background1"/>
                <w:szCs w:val="24"/>
              </w:rPr>
              <w:t>2</w:t>
            </w:r>
          </w:p>
          <w:p w14:paraId="381E8F68" w14:textId="223B17CF" w:rsidR="00DD63D7" w:rsidRPr="00982FEC" w:rsidRDefault="00DD63D7" w:rsidP="00611673">
            <w:pPr>
              <w:jc w:val="right"/>
              <w:rPr>
                <w:color w:val="FFFFFF" w:themeColor="background1"/>
                <w:szCs w:val="24"/>
              </w:rPr>
            </w:pPr>
            <w:r w:rsidRPr="00982FEC">
              <w:rPr>
                <w:color w:val="FFFFFF" w:themeColor="background1"/>
                <w:szCs w:val="24"/>
              </w:rPr>
              <w:t>£000</w:t>
            </w:r>
          </w:p>
        </w:tc>
        <w:tc>
          <w:tcPr>
            <w:tcW w:w="1447" w:type="dxa"/>
            <w:shd w:val="clear" w:color="auto" w:fill="BD2716"/>
            <w:vAlign w:val="center"/>
          </w:tcPr>
          <w:p w14:paraId="770700CB" w14:textId="77777777" w:rsidR="00DD63D7" w:rsidRPr="00982FEC" w:rsidRDefault="00DD63D7" w:rsidP="00611673">
            <w:pPr>
              <w:jc w:val="right"/>
              <w:rPr>
                <w:color w:val="FFFFFF" w:themeColor="background1"/>
                <w:szCs w:val="24"/>
              </w:rPr>
            </w:pPr>
            <w:r w:rsidRPr="00982FEC">
              <w:rPr>
                <w:color w:val="FFFFFF" w:themeColor="background1"/>
                <w:szCs w:val="24"/>
              </w:rPr>
              <w:t>31 March 2023</w:t>
            </w:r>
          </w:p>
          <w:p w14:paraId="07705AE8" w14:textId="5646D931" w:rsidR="00DD63D7" w:rsidRPr="00982FEC" w:rsidRDefault="00DD63D7" w:rsidP="00611673">
            <w:pPr>
              <w:jc w:val="right"/>
              <w:rPr>
                <w:color w:val="FFFFFF" w:themeColor="background1"/>
                <w:szCs w:val="24"/>
              </w:rPr>
            </w:pPr>
            <w:r w:rsidRPr="00982FEC">
              <w:rPr>
                <w:color w:val="FFFFFF" w:themeColor="background1"/>
                <w:szCs w:val="24"/>
              </w:rPr>
              <w:t>£000</w:t>
            </w:r>
          </w:p>
        </w:tc>
        <w:tc>
          <w:tcPr>
            <w:tcW w:w="1305" w:type="dxa"/>
            <w:shd w:val="clear" w:color="auto" w:fill="BD2716"/>
            <w:vAlign w:val="center"/>
          </w:tcPr>
          <w:p w14:paraId="6161B811" w14:textId="77777777" w:rsidR="00DD63D7" w:rsidRPr="00982FEC" w:rsidRDefault="00DD63D7" w:rsidP="00611673">
            <w:pPr>
              <w:jc w:val="right"/>
              <w:rPr>
                <w:color w:val="FFFFFF" w:themeColor="background1"/>
                <w:szCs w:val="24"/>
              </w:rPr>
            </w:pPr>
            <w:r w:rsidRPr="00982FEC">
              <w:rPr>
                <w:color w:val="FFFFFF" w:themeColor="background1"/>
                <w:szCs w:val="24"/>
              </w:rPr>
              <w:t>31 March 2022</w:t>
            </w:r>
          </w:p>
          <w:p w14:paraId="7C5C2CC0" w14:textId="15907192" w:rsidR="00DD63D7" w:rsidRPr="00982FEC" w:rsidRDefault="00DD63D7" w:rsidP="00611673">
            <w:pPr>
              <w:jc w:val="right"/>
              <w:rPr>
                <w:color w:val="FFFFFF" w:themeColor="background1"/>
                <w:szCs w:val="24"/>
              </w:rPr>
            </w:pPr>
            <w:r w:rsidRPr="00982FEC">
              <w:rPr>
                <w:color w:val="FFFFFF" w:themeColor="background1"/>
                <w:szCs w:val="24"/>
              </w:rPr>
              <w:t>£000</w:t>
            </w:r>
          </w:p>
        </w:tc>
      </w:tr>
      <w:tr w:rsidR="00DD63D7" w:rsidRPr="00470E44" w14:paraId="0E58499D" w14:textId="77777777" w:rsidTr="00982FEC">
        <w:tc>
          <w:tcPr>
            <w:tcW w:w="9389" w:type="dxa"/>
            <w:gridSpan w:val="5"/>
            <w:shd w:val="clear" w:color="auto" w:fill="D9D9D9" w:themeFill="background1" w:themeFillShade="D9"/>
          </w:tcPr>
          <w:p w14:paraId="757115A5" w14:textId="5E0168E5" w:rsidR="00DD63D7" w:rsidRPr="00BD79B2" w:rsidRDefault="00DD63D7" w:rsidP="00DD63D7">
            <w:pPr>
              <w:tabs>
                <w:tab w:val="decimal" w:pos="1026"/>
              </w:tabs>
              <w:rPr>
                <w:b/>
                <w:bCs/>
                <w:szCs w:val="24"/>
              </w:rPr>
            </w:pPr>
            <w:r w:rsidRPr="00BD79B2">
              <w:rPr>
                <w:b/>
                <w:bCs/>
                <w:szCs w:val="24"/>
              </w:rPr>
              <w:t>Remeasurements (liabilities):</w:t>
            </w:r>
          </w:p>
        </w:tc>
      </w:tr>
      <w:tr w:rsidR="00DD63D7" w:rsidRPr="00470E44" w14:paraId="20412B26" w14:textId="77777777" w:rsidTr="00DD63D7">
        <w:tc>
          <w:tcPr>
            <w:tcW w:w="3953" w:type="dxa"/>
          </w:tcPr>
          <w:p w14:paraId="700DB496" w14:textId="27DD0BE2" w:rsidR="00DD63D7" w:rsidRPr="00233BF0" w:rsidRDefault="00DD63D7" w:rsidP="00DD63D7">
            <w:pPr>
              <w:rPr>
                <w:szCs w:val="24"/>
              </w:rPr>
            </w:pPr>
            <w:r w:rsidRPr="00233BF0">
              <w:rPr>
                <w:szCs w:val="24"/>
              </w:rPr>
              <w:t>Experience (gain)/loss</w:t>
            </w:r>
          </w:p>
        </w:tc>
        <w:tc>
          <w:tcPr>
            <w:tcW w:w="1412" w:type="dxa"/>
            <w:vAlign w:val="center"/>
          </w:tcPr>
          <w:p w14:paraId="58D5C06C" w14:textId="661D954C" w:rsidR="00DD63D7" w:rsidRPr="00233BF0" w:rsidRDefault="00DD63D7" w:rsidP="00DD63D7">
            <w:pPr>
              <w:tabs>
                <w:tab w:val="decimal" w:pos="888"/>
              </w:tabs>
              <w:jc w:val="right"/>
              <w:rPr>
                <w:szCs w:val="24"/>
              </w:rPr>
            </w:pPr>
            <w:r w:rsidRPr="00233BF0">
              <w:rPr>
                <w:szCs w:val="24"/>
              </w:rPr>
              <w:t>(6,669)</w:t>
            </w:r>
          </w:p>
        </w:tc>
        <w:tc>
          <w:tcPr>
            <w:tcW w:w="1272" w:type="dxa"/>
            <w:vAlign w:val="center"/>
          </w:tcPr>
          <w:p w14:paraId="1B43D8A9" w14:textId="17F5674B" w:rsidR="00DD63D7" w:rsidRPr="00233BF0" w:rsidRDefault="00DD63D7" w:rsidP="00DD63D7">
            <w:pPr>
              <w:tabs>
                <w:tab w:val="decimal" w:pos="888"/>
              </w:tabs>
              <w:jc w:val="right"/>
              <w:rPr>
                <w:szCs w:val="24"/>
              </w:rPr>
            </w:pPr>
            <w:r w:rsidRPr="00233BF0">
              <w:rPr>
                <w:szCs w:val="24"/>
              </w:rPr>
              <w:t>(208)</w:t>
            </w:r>
          </w:p>
        </w:tc>
        <w:tc>
          <w:tcPr>
            <w:tcW w:w="1447" w:type="dxa"/>
            <w:vAlign w:val="center"/>
          </w:tcPr>
          <w:p w14:paraId="14DB94AD" w14:textId="391E6CB5" w:rsidR="00DD63D7" w:rsidRPr="00233BF0" w:rsidRDefault="00DD63D7" w:rsidP="00DD63D7">
            <w:pPr>
              <w:tabs>
                <w:tab w:val="decimal" w:pos="1026"/>
              </w:tabs>
              <w:jc w:val="right"/>
              <w:rPr>
                <w:szCs w:val="24"/>
              </w:rPr>
            </w:pPr>
            <w:r w:rsidRPr="00233BF0">
              <w:rPr>
                <w:szCs w:val="24"/>
              </w:rPr>
              <w:t>(49,4</w:t>
            </w:r>
            <w:r>
              <w:rPr>
                <w:szCs w:val="24"/>
              </w:rPr>
              <w:t>0</w:t>
            </w:r>
            <w:r w:rsidRPr="00233BF0">
              <w:rPr>
                <w:szCs w:val="24"/>
              </w:rPr>
              <w:t>0)</w:t>
            </w:r>
          </w:p>
        </w:tc>
        <w:tc>
          <w:tcPr>
            <w:tcW w:w="1305" w:type="dxa"/>
            <w:vAlign w:val="center"/>
          </w:tcPr>
          <w:p w14:paraId="46E37D0D" w14:textId="57786B44" w:rsidR="00DD63D7" w:rsidRPr="00233BF0" w:rsidRDefault="00DD63D7" w:rsidP="00DD63D7">
            <w:pPr>
              <w:tabs>
                <w:tab w:val="decimal" w:pos="1026"/>
              </w:tabs>
              <w:jc w:val="right"/>
              <w:rPr>
                <w:szCs w:val="24"/>
              </w:rPr>
            </w:pPr>
            <w:r w:rsidRPr="00233BF0">
              <w:rPr>
                <w:szCs w:val="24"/>
              </w:rPr>
              <w:t>(7,270)</w:t>
            </w:r>
          </w:p>
        </w:tc>
      </w:tr>
      <w:tr w:rsidR="00DD63D7" w:rsidRPr="00470E44" w14:paraId="13DA8E3F" w14:textId="77777777" w:rsidTr="00DD63D7">
        <w:tc>
          <w:tcPr>
            <w:tcW w:w="3953" w:type="dxa"/>
          </w:tcPr>
          <w:p w14:paraId="7F2118F5" w14:textId="46A9F520" w:rsidR="00DD63D7" w:rsidRPr="00233BF0" w:rsidRDefault="00DD63D7" w:rsidP="00DD63D7">
            <w:pPr>
              <w:rPr>
                <w:szCs w:val="24"/>
              </w:rPr>
            </w:pPr>
            <w:r w:rsidRPr="00233BF0">
              <w:rPr>
                <w:szCs w:val="24"/>
              </w:rPr>
              <w:t>Gain/(Loss) on financial assumptions</w:t>
            </w:r>
          </w:p>
        </w:tc>
        <w:tc>
          <w:tcPr>
            <w:tcW w:w="1412" w:type="dxa"/>
            <w:vAlign w:val="center"/>
          </w:tcPr>
          <w:p w14:paraId="50D643B4" w14:textId="77777777" w:rsidR="00DD63D7" w:rsidRPr="00233BF0" w:rsidRDefault="00DD63D7" w:rsidP="00DD63D7">
            <w:pPr>
              <w:tabs>
                <w:tab w:val="decimal" w:pos="888"/>
              </w:tabs>
              <w:jc w:val="right"/>
              <w:rPr>
                <w:szCs w:val="24"/>
              </w:rPr>
            </w:pPr>
          </w:p>
          <w:p w14:paraId="33C76C23" w14:textId="46F01EC4" w:rsidR="00DD63D7" w:rsidRPr="00233BF0" w:rsidRDefault="00DD63D7" w:rsidP="00DD63D7">
            <w:pPr>
              <w:tabs>
                <w:tab w:val="decimal" w:pos="888"/>
              </w:tabs>
              <w:jc w:val="right"/>
              <w:rPr>
                <w:szCs w:val="24"/>
              </w:rPr>
            </w:pPr>
            <w:r w:rsidRPr="00233BF0">
              <w:rPr>
                <w:szCs w:val="24"/>
              </w:rPr>
              <w:t>34,604</w:t>
            </w:r>
          </w:p>
        </w:tc>
        <w:tc>
          <w:tcPr>
            <w:tcW w:w="1272" w:type="dxa"/>
            <w:vAlign w:val="center"/>
          </w:tcPr>
          <w:p w14:paraId="1A3AC724" w14:textId="77777777" w:rsidR="00DD63D7" w:rsidRPr="00233BF0" w:rsidRDefault="00DD63D7" w:rsidP="00DD63D7">
            <w:pPr>
              <w:tabs>
                <w:tab w:val="decimal" w:pos="888"/>
              </w:tabs>
              <w:jc w:val="right"/>
              <w:rPr>
                <w:szCs w:val="24"/>
              </w:rPr>
            </w:pPr>
          </w:p>
          <w:p w14:paraId="048C3B62" w14:textId="5BF68100" w:rsidR="00DD63D7" w:rsidRPr="00233BF0" w:rsidRDefault="00DD63D7" w:rsidP="00DD63D7">
            <w:pPr>
              <w:tabs>
                <w:tab w:val="decimal" w:pos="888"/>
              </w:tabs>
              <w:jc w:val="right"/>
              <w:rPr>
                <w:szCs w:val="24"/>
              </w:rPr>
            </w:pPr>
            <w:r w:rsidRPr="00233BF0">
              <w:rPr>
                <w:szCs w:val="24"/>
              </w:rPr>
              <w:t>1,901</w:t>
            </w:r>
          </w:p>
        </w:tc>
        <w:tc>
          <w:tcPr>
            <w:tcW w:w="1447" w:type="dxa"/>
            <w:vAlign w:val="center"/>
          </w:tcPr>
          <w:p w14:paraId="48D31C65" w14:textId="77777777" w:rsidR="00DD63D7" w:rsidRPr="00233BF0" w:rsidRDefault="00DD63D7" w:rsidP="00DD63D7">
            <w:pPr>
              <w:tabs>
                <w:tab w:val="decimal" w:pos="1026"/>
              </w:tabs>
              <w:jc w:val="right"/>
              <w:rPr>
                <w:szCs w:val="24"/>
              </w:rPr>
            </w:pPr>
          </w:p>
          <w:p w14:paraId="12CEC8B7" w14:textId="2F92F938" w:rsidR="00DD63D7" w:rsidRPr="00233BF0" w:rsidRDefault="00DD63D7" w:rsidP="00DD63D7">
            <w:pPr>
              <w:tabs>
                <w:tab w:val="decimal" w:pos="1026"/>
              </w:tabs>
              <w:jc w:val="right"/>
              <w:rPr>
                <w:szCs w:val="24"/>
              </w:rPr>
            </w:pPr>
            <w:r w:rsidRPr="00233BF0">
              <w:rPr>
                <w:szCs w:val="24"/>
              </w:rPr>
              <w:t>2</w:t>
            </w:r>
            <w:r>
              <w:rPr>
                <w:szCs w:val="24"/>
              </w:rPr>
              <w:t>59</w:t>
            </w:r>
            <w:r w:rsidRPr="00233BF0">
              <w:rPr>
                <w:szCs w:val="24"/>
              </w:rPr>
              <w:t>,</w:t>
            </w:r>
            <w:r>
              <w:rPr>
                <w:szCs w:val="24"/>
              </w:rPr>
              <w:t>25</w:t>
            </w:r>
            <w:r w:rsidRPr="00233BF0">
              <w:rPr>
                <w:szCs w:val="24"/>
              </w:rPr>
              <w:t>0</w:t>
            </w:r>
          </w:p>
        </w:tc>
        <w:tc>
          <w:tcPr>
            <w:tcW w:w="1305" w:type="dxa"/>
            <w:vAlign w:val="center"/>
          </w:tcPr>
          <w:p w14:paraId="4F131DB2" w14:textId="77777777" w:rsidR="00DD63D7" w:rsidRPr="00233BF0" w:rsidRDefault="00DD63D7" w:rsidP="00DD63D7">
            <w:pPr>
              <w:tabs>
                <w:tab w:val="decimal" w:pos="1026"/>
              </w:tabs>
              <w:jc w:val="right"/>
              <w:rPr>
                <w:szCs w:val="24"/>
              </w:rPr>
            </w:pPr>
          </w:p>
          <w:p w14:paraId="21F6CB1B" w14:textId="2B671DD1" w:rsidR="00DD63D7" w:rsidRPr="00233BF0" w:rsidRDefault="00DD63D7" w:rsidP="00DD63D7">
            <w:pPr>
              <w:tabs>
                <w:tab w:val="decimal" w:pos="1026"/>
              </w:tabs>
              <w:jc w:val="right"/>
              <w:rPr>
                <w:szCs w:val="24"/>
              </w:rPr>
            </w:pPr>
            <w:r w:rsidRPr="00233BF0">
              <w:rPr>
                <w:szCs w:val="24"/>
              </w:rPr>
              <w:t>10,290</w:t>
            </w:r>
          </w:p>
        </w:tc>
      </w:tr>
      <w:tr w:rsidR="00DD63D7" w:rsidRPr="00470E44" w14:paraId="48ADFB46" w14:textId="77777777" w:rsidTr="00DD63D7">
        <w:tc>
          <w:tcPr>
            <w:tcW w:w="3953" w:type="dxa"/>
          </w:tcPr>
          <w:p w14:paraId="428FCCA5" w14:textId="5CF9F746" w:rsidR="00DD63D7" w:rsidRPr="00233BF0" w:rsidRDefault="00DD63D7" w:rsidP="00DD63D7">
            <w:pPr>
              <w:rPr>
                <w:szCs w:val="24"/>
              </w:rPr>
            </w:pPr>
            <w:r w:rsidRPr="00233BF0">
              <w:rPr>
                <w:szCs w:val="24"/>
              </w:rPr>
              <w:t>Gain/(Loss) on demographic assumptions</w:t>
            </w:r>
          </w:p>
        </w:tc>
        <w:tc>
          <w:tcPr>
            <w:tcW w:w="1412" w:type="dxa"/>
            <w:vAlign w:val="center"/>
          </w:tcPr>
          <w:p w14:paraId="41558D7E" w14:textId="77777777" w:rsidR="00DD63D7" w:rsidRPr="00233BF0" w:rsidRDefault="00DD63D7" w:rsidP="00DD63D7">
            <w:pPr>
              <w:tabs>
                <w:tab w:val="decimal" w:pos="888"/>
              </w:tabs>
              <w:jc w:val="right"/>
              <w:rPr>
                <w:szCs w:val="24"/>
              </w:rPr>
            </w:pPr>
          </w:p>
          <w:p w14:paraId="21AAB3E7" w14:textId="0A21F6B7" w:rsidR="00DD63D7" w:rsidRPr="00233BF0" w:rsidRDefault="00DD63D7" w:rsidP="00DD63D7">
            <w:pPr>
              <w:tabs>
                <w:tab w:val="decimal" w:pos="888"/>
              </w:tabs>
              <w:jc w:val="right"/>
              <w:rPr>
                <w:szCs w:val="24"/>
              </w:rPr>
            </w:pPr>
            <w:r w:rsidRPr="00233BF0">
              <w:rPr>
                <w:szCs w:val="24"/>
              </w:rPr>
              <w:t>1,885</w:t>
            </w:r>
          </w:p>
        </w:tc>
        <w:tc>
          <w:tcPr>
            <w:tcW w:w="1272" w:type="dxa"/>
            <w:vAlign w:val="center"/>
          </w:tcPr>
          <w:p w14:paraId="7DEC1A14" w14:textId="77777777" w:rsidR="00DD63D7" w:rsidRPr="00233BF0" w:rsidRDefault="00DD63D7" w:rsidP="00DD63D7">
            <w:pPr>
              <w:tabs>
                <w:tab w:val="decimal" w:pos="888"/>
              </w:tabs>
              <w:jc w:val="right"/>
              <w:rPr>
                <w:szCs w:val="24"/>
              </w:rPr>
            </w:pPr>
          </w:p>
          <w:p w14:paraId="07F7F8E5" w14:textId="65B17058" w:rsidR="00DD63D7" w:rsidRPr="00233BF0" w:rsidRDefault="00DD63D7" w:rsidP="00DD63D7">
            <w:pPr>
              <w:tabs>
                <w:tab w:val="decimal" w:pos="888"/>
              </w:tabs>
              <w:jc w:val="right"/>
              <w:rPr>
                <w:szCs w:val="24"/>
              </w:rPr>
            </w:pPr>
            <w:r w:rsidRPr="00233BF0">
              <w:rPr>
                <w:szCs w:val="24"/>
              </w:rPr>
              <w:t>644</w:t>
            </w:r>
          </w:p>
        </w:tc>
        <w:tc>
          <w:tcPr>
            <w:tcW w:w="1447" w:type="dxa"/>
            <w:vAlign w:val="center"/>
          </w:tcPr>
          <w:p w14:paraId="395407BC" w14:textId="77777777" w:rsidR="00DD63D7" w:rsidRPr="00233BF0" w:rsidRDefault="00DD63D7" w:rsidP="00DD63D7">
            <w:pPr>
              <w:tabs>
                <w:tab w:val="decimal" w:pos="1026"/>
              </w:tabs>
              <w:jc w:val="right"/>
              <w:rPr>
                <w:szCs w:val="24"/>
              </w:rPr>
            </w:pPr>
          </w:p>
          <w:p w14:paraId="4F1425A8" w14:textId="6132E978" w:rsidR="00DD63D7" w:rsidRPr="00233BF0" w:rsidRDefault="00DD63D7" w:rsidP="00DD63D7">
            <w:pPr>
              <w:tabs>
                <w:tab w:val="decimal" w:pos="1026"/>
              </w:tabs>
              <w:jc w:val="right"/>
              <w:rPr>
                <w:szCs w:val="24"/>
              </w:rPr>
            </w:pPr>
            <w:r>
              <w:rPr>
                <w:szCs w:val="24"/>
              </w:rPr>
              <w:t>24,630</w:t>
            </w:r>
          </w:p>
        </w:tc>
        <w:tc>
          <w:tcPr>
            <w:tcW w:w="1305" w:type="dxa"/>
            <w:vAlign w:val="center"/>
          </w:tcPr>
          <w:p w14:paraId="2B883581" w14:textId="77777777" w:rsidR="00DD63D7" w:rsidRPr="00233BF0" w:rsidRDefault="00DD63D7" w:rsidP="00DD63D7">
            <w:pPr>
              <w:tabs>
                <w:tab w:val="decimal" w:pos="1026"/>
              </w:tabs>
              <w:jc w:val="right"/>
              <w:rPr>
                <w:szCs w:val="24"/>
              </w:rPr>
            </w:pPr>
          </w:p>
          <w:p w14:paraId="315FF104" w14:textId="23795AA6" w:rsidR="00DD63D7" w:rsidRPr="00233BF0" w:rsidRDefault="00DD63D7" w:rsidP="00DD63D7">
            <w:pPr>
              <w:tabs>
                <w:tab w:val="decimal" w:pos="1026"/>
              </w:tabs>
              <w:jc w:val="right"/>
              <w:rPr>
                <w:szCs w:val="24"/>
              </w:rPr>
            </w:pPr>
            <w:r w:rsidRPr="00233BF0">
              <w:rPr>
                <w:szCs w:val="24"/>
              </w:rPr>
              <w:t>-</w:t>
            </w:r>
          </w:p>
        </w:tc>
      </w:tr>
      <w:tr w:rsidR="00DD63D7" w:rsidRPr="00470E44" w14:paraId="30C18108" w14:textId="77777777" w:rsidTr="00DD63D7">
        <w:tc>
          <w:tcPr>
            <w:tcW w:w="3953" w:type="dxa"/>
          </w:tcPr>
          <w:p w14:paraId="558D7795" w14:textId="27A6E9ED" w:rsidR="00DD63D7" w:rsidRPr="00233BF0" w:rsidRDefault="00DD63D7" w:rsidP="00DD63D7">
            <w:pPr>
              <w:rPr>
                <w:szCs w:val="24"/>
              </w:rPr>
            </w:pPr>
            <w:r w:rsidRPr="00233BF0">
              <w:rPr>
                <w:szCs w:val="24"/>
              </w:rPr>
              <w:t>Benefits/transfers paid</w:t>
            </w:r>
          </w:p>
        </w:tc>
        <w:tc>
          <w:tcPr>
            <w:tcW w:w="1412" w:type="dxa"/>
            <w:vAlign w:val="center"/>
          </w:tcPr>
          <w:p w14:paraId="2F317016" w14:textId="5C5D9177" w:rsidR="00DD63D7" w:rsidRPr="00233BF0" w:rsidRDefault="00DD63D7" w:rsidP="00DD63D7">
            <w:pPr>
              <w:tabs>
                <w:tab w:val="decimal" w:pos="888"/>
              </w:tabs>
              <w:jc w:val="right"/>
              <w:rPr>
                <w:szCs w:val="24"/>
              </w:rPr>
            </w:pPr>
            <w:r w:rsidRPr="00233BF0">
              <w:rPr>
                <w:szCs w:val="24"/>
              </w:rPr>
              <w:t>1,633</w:t>
            </w:r>
          </w:p>
        </w:tc>
        <w:tc>
          <w:tcPr>
            <w:tcW w:w="1272" w:type="dxa"/>
            <w:vAlign w:val="center"/>
          </w:tcPr>
          <w:p w14:paraId="73485B34" w14:textId="4B6553B4" w:rsidR="00DD63D7" w:rsidRPr="00233BF0" w:rsidRDefault="00DD63D7" w:rsidP="00DD63D7">
            <w:pPr>
              <w:tabs>
                <w:tab w:val="decimal" w:pos="888"/>
              </w:tabs>
              <w:jc w:val="right"/>
              <w:rPr>
                <w:szCs w:val="24"/>
              </w:rPr>
            </w:pPr>
            <w:r w:rsidRPr="00233BF0">
              <w:rPr>
                <w:szCs w:val="24"/>
              </w:rPr>
              <w:t>1,801</w:t>
            </w:r>
          </w:p>
        </w:tc>
        <w:tc>
          <w:tcPr>
            <w:tcW w:w="1447" w:type="dxa"/>
            <w:vAlign w:val="center"/>
          </w:tcPr>
          <w:p w14:paraId="39DFCBB5" w14:textId="4F10A27A" w:rsidR="00DD63D7" w:rsidRPr="00233BF0" w:rsidRDefault="00DD63D7" w:rsidP="00DD63D7">
            <w:pPr>
              <w:tabs>
                <w:tab w:val="decimal" w:pos="1026"/>
              </w:tabs>
              <w:jc w:val="right"/>
              <w:rPr>
                <w:szCs w:val="24"/>
              </w:rPr>
            </w:pPr>
            <w:r w:rsidRPr="00233BF0">
              <w:rPr>
                <w:szCs w:val="24"/>
              </w:rPr>
              <w:t>29,990</w:t>
            </w:r>
          </w:p>
        </w:tc>
        <w:tc>
          <w:tcPr>
            <w:tcW w:w="1305" w:type="dxa"/>
            <w:vAlign w:val="center"/>
          </w:tcPr>
          <w:p w14:paraId="05B5F696" w14:textId="4EBB5B32" w:rsidR="00DD63D7" w:rsidRPr="00233BF0" w:rsidRDefault="00DD63D7" w:rsidP="00DD63D7">
            <w:pPr>
              <w:tabs>
                <w:tab w:val="decimal" w:pos="1026"/>
              </w:tabs>
              <w:jc w:val="right"/>
              <w:rPr>
                <w:szCs w:val="24"/>
              </w:rPr>
            </w:pPr>
            <w:r w:rsidRPr="00233BF0">
              <w:rPr>
                <w:szCs w:val="24"/>
              </w:rPr>
              <w:t>29,840</w:t>
            </w:r>
          </w:p>
        </w:tc>
      </w:tr>
      <w:tr w:rsidR="00DD63D7" w:rsidRPr="00470E44" w14:paraId="56759CEA" w14:textId="77777777" w:rsidTr="00DD63D7">
        <w:tc>
          <w:tcPr>
            <w:tcW w:w="3953" w:type="dxa"/>
          </w:tcPr>
          <w:p w14:paraId="0A7FCDA7" w14:textId="7E040BF5" w:rsidR="00DD63D7" w:rsidRPr="00233BF0" w:rsidRDefault="00DD63D7" w:rsidP="00DD63D7">
            <w:pPr>
              <w:rPr>
                <w:szCs w:val="24"/>
              </w:rPr>
            </w:pPr>
            <w:r w:rsidRPr="00233BF0">
              <w:rPr>
                <w:szCs w:val="24"/>
              </w:rPr>
              <w:t>Past service cost</w:t>
            </w:r>
          </w:p>
        </w:tc>
        <w:tc>
          <w:tcPr>
            <w:tcW w:w="1412" w:type="dxa"/>
            <w:vAlign w:val="center"/>
          </w:tcPr>
          <w:p w14:paraId="6401268E" w14:textId="7C2768A0" w:rsidR="00DD63D7" w:rsidRPr="00233BF0" w:rsidRDefault="00DD63D7" w:rsidP="00DD63D7">
            <w:pPr>
              <w:tabs>
                <w:tab w:val="decimal" w:pos="888"/>
              </w:tabs>
              <w:jc w:val="right"/>
              <w:rPr>
                <w:szCs w:val="24"/>
              </w:rPr>
            </w:pPr>
            <w:r w:rsidRPr="00233BF0">
              <w:rPr>
                <w:szCs w:val="24"/>
              </w:rPr>
              <w:t>-</w:t>
            </w:r>
          </w:p>
        </w:tc>
        <w:tc>
          <w:tcPr>
            <w:tcW w:w="1272" w:type="dxa"/>
            <w:vAlign w:val="center"/>
          </w:tcPr>
          <w:p w14:paraId="1B30F9D8" w14:textId="1F2EE455" w:rsidR="00DD63D7" w:rsidRPr="00233BF0" w:rsidRDefault="00DD63D7" w:rsidP="00DD63D7">
            <w:pPr>
              <w:tabs>
                <w:tab w:val="decimal" w:pos="888"/>
              </w:tabs>
              <w:jc w:val="right"/>
              <w:rPr>
                <w:szCs w:val="24"/>
              </w:rPr>
            </w:pPr>
            <w:r w:rsidRPr="00233BF0">
              <w:rPr>
                <w:szCs w:val="24"/>
              </w:rPr>
              <w:t>-</w:t>
            </w:r>
          </w:p>
        </w:tc>
        <w:tc>
          <w:tcPr>
            <w:tcW w:w="1447" w:type="dxa"/>
            <w:vAlign w:val="center"/>
          </w:tcPr>
          <w:p w14:paraId="40ED884B" w14:textId="75390DE2" w:rsidR="00DD63D7" w:rsidRPr="00233BF0" w:rsidRDefault="00DD63D7" w:rsidP="00DD63D7">
            <w:pPr>
              <w:tabs>
                <w:tab w:val="decimal" w:pos="1026"/>
              </w:tabs>
              <w:jc w:val="right"/>
              <w:rPr>
                <w:szCs w:val="24"/>
              </w:rPr>
            </w:pPr>
            <w:r w:rsidRPr="00233BF0">
              <w:rPr>
                <w:szCs w:val="24"/>
              </w:rPr>
              <w:t>-</w:t>
            </w:r>
          </w:p>
        </w:tc>
        <w:tc>
          <w:tcPr>
            <w:tcW w:w="1305" w:type="dxa"/>
            <w:vAlign w:val="center"/>
          </w:tcPr>
          <w:p w14:paraId="73928141" w14:textId="4C1B35A3" w:rsidR="00DD63D7" w:rsidRPr="00233BF0" w:rsidRDefault="00DD63D7" w:rsidP="00DD63D7">
            <w:pPr>
              <w:tabs>
                <w:tab w:val="decimal" w:pos="1026"/>
              </w:tabs>
              <w:jc w:val="right"/>
              <w:rPr>
                <w:szCs w:val="24"/>
              </w:rPr>
            </w:pPr>
            <w:r w:rsidRPr="00233BF0">
              <w:rPr>
                <w:szCs w:val="24"/>
              </w:rPr>
              <w:t>-</w:t>
            </w:r>
          </w:p>
        </w:tc>
      </w:tr>
      <w:tr w:rsidR="00DD63D7" w:rsidRPr="00470E44" w14:paraId="6AF1DE4A" w14:textId="77777777" w:rsidTr="00DD63D7">
        <w:tc>
          <w:tcPr>
            <w:tcW w:w="3953" w:type="dxa"/>
          </w:tcPr>
          <w:p w14:paraId="7911920C" w14:textId="61DAFBAE" w:rsidR="00DD63D7" w:rsidRPr="00233BF0" w:rsidRDefault="00DD63D7" w:rsidP="00DD63D7">
            <w:pPr>
              <w:rPr>
                <w:szCs w:val="24"/>
              </w:rPr>
            </w:pPr>
            <w:r w:rsidRPr="00233BF0">
              <w:rPr>
                <w:b/>
                <w:bCs/>
                <w:szCs w:val="24"/>
              </w:rPr>
              <w:t xml:space="preserve">Closing balance </w:t>
            </w:r>
            <w:proofErr w:type="gramStart"/>
            <w:r w:rsidRPr="00233BF0">
              <w:rPr>
                <w:b/>
                <w:bCs/>
                <w:szCs w:val="24"/>
              </w:rPr>
              <w:t>at</w:t>
            </w:r>
            <w:proofErr w:type="gramEnd"/>
            <w:r w:rsidRPr="00233BF0">
              <w:rPr>
                <w:b/>
                <w:bCs/>
                <w:szCs w:val="24"/>
              </w:rPr>
              <w:t xml:space="preserve"> 31 March</w:t>
            </w:r>
          </w:p>
        </w:tc>
        <w:tc>
          <w:tcPr>
            <w:tcW w:w="1412" w:type="dxa"/>
            <w:vAlign w:val="center"/>
          </w:tcPr>
          <w:p w14:paraId="321CDCC8" w14:textId="06EC35E3" w:rsidR="00DD63D7" w:rsidRPr="00233BF0" w:rsidRDefault="00DD63D7" w:rsidP="00DD63D7">
            <w:pPr>
              <w:tabs>
                <w:tab w:val="decimal" w:pos="888"/>
              </w:tabs>
              <w:jc w:val="right"/>
              <w:rPr>
                <w:szCs w:val="24"/>
              </w:rPr>
            </w:pPr>
            <w:r w:rsidRPr="00233BF0">
              <w:rPr>
                <w:b/>
                <w:bCs/>
                <w:szCs w:val="24"/>
              </w:rPr>
              <w:t>(58,483)</w:t>
            </w:r>
          </w:p>
        </w:tc>
        <w:tc>
          <w:tcPr>
            <w:tcW w:w="1272" w:type="dxa"/>
            <w:vAlign w:val="center"/>
          </w:tcPr>
          <w:p w14:paraId="184EB967" w14:textId="47B9296C" w:rsidR="00DD63D7" w:rsidRPr="00233BF0" w:rsidRDefault="00DD63D7" w:rsidP="00DD63D7">
            <w:pPr>
              <w:tabs>
                <w:tab w:val="decimal" w:pos="888"/>
              </w:tabs>
              <w:jc w:val="right"/>
              <w:rPr>
                <w:szCs w:val="24"/>
              </w:rPr>
            </w:pPr>
            <w:r w:rsidRPr="00233BF0">
              <w:rPr>
                <w:b/>
                <w:bCs/>
                <w:szCs w:val="24"/>
              </w:rPr>
              <w:t>(84,201)</w:t>
            </w:r>
          </w:p>
        </w:tc>
        <w:tc>
          <w:tcPr>
            <w:tcW w:w="1447" w:type="dxa"/>
            <w:vAlign w:val="center"/>
          </w:tcPr>
          <w:p w14:paraId="1F2B689B" w14:textId="0B23B77F" w:rsidR="00DD63D7" w:rsidRPr="00233BF0" w:rsidRDefault="00DD63D7" w:rsidP="00DD63D7">
            <w:pPr>
              <w:tabs>
                <w:tab w:val="decimal" w:pos="1026"/>
              </w:tabs>
              <w:jc w:val="right"/>
              <w:rPr>
                <w:szCs w:val="24"/>
              </w:rPr>
            </w:pPr>
            <w:r w:rsidRPr="00233BF0">
              <w:rPr>
                <w:b/>
                <w:bCs/>
                <w:szCs w:val="24"/>
              </w:rPr>
              <w:t>(6</w:t>
            </w:r>
            <w:r>
              <w:rPr>
                <w:b/>
                <w:bCs/>
                <w:szCs w:val="24"/>
              </w:rPr>
              <w:t>51</w:t>
            </w:r>
            <w:r w:rsidRPr="00233BF0">
              <w:rPr>
                <w:b/>
                <w:bCs/>
                <w:szCs w:val="24"/>
              </w:rPr>
              <w:t>,</w:t>
            </w:r>
            <w:r>
              <w:rPr>
                <w:b/>
                <w:bCs/>
                <w:szCs w:val="24"/>
              </w:rPr>
              <w:t>53</w:t>
            </w:r>
            <w:r w:rsidRPr="00233BF0">
              <w:rPr>
                <w:b/>
                <w:bCs/>
                <w:szCs w:val="24"/>
              </w:rPr>
              <w:t>6)</w:t>
            </w:r>
          </w:p>
        </w:tc>
        <w:tc>
          <w:tcPr>
            <w:tcW w:w="1305" w:type="dxa"/>
            <w:vAlign w:val="center"/>
          </w:tcPr>
          <w:p w14:paraId="5F58C106" w14:textId="03C43AF2" w:rsidR="00DD63D7" w:rsidRPr="00233BF0" w:rsidRDefault="00DD63D7" w:rsidP="00DD63D7">
            <w:pPr>
              <w:tabs>
                <w:tab w:val="decimal" w:pos="1026"/>
              </w:tabs>
              <w:jc w:val="right"/>
              <w:rPr>
                <w:szCs w:val="24"/>
              </w:rPr>
            </w:pPr>
            <w:r w:rsidRPr="00233BF0">
              <w:rPr>
                <w:b/>
                <w:bCs/>
                <w:szCs w:val="24"/>
              </w:rPr>
              <w:t>(875,936)</w:t>
            </w:r>
          </w:p>
        </w:tc>
      </w:tr>
    </w:tbl>
    <w:p w14:paraId="2D32B6C1" w14:textId="60A03F1D" w:rsidR="000C442C" w:rsidRDefault="000C442C">
      <w:pPr>
        <w:rPr>
          <w:szCs w:val="24"/>
        </w:rPr>
      </w:pPr>
    </w:p>
    <w:p w14:paraId="35B5488F" w14:textId="1E61E8F5" w:rsidR="00D90216" w:rsidRPr="00233BF0" w:rsidRDefault="00D90216" w:rsidP="000C442C">
      <w:pPr>
        <w:ind w:left="709"/>
        <w:rPr>
          <w:szCs w:val="24"/>
        </w:rPr>
      </w:pPr>
      <w:r w:rsidRPr="00233BF0">
        <w:rPr>
          <w:szCs w:val="24"/>
        </w:rPr>
        <w:t>Reconciliation of the fair value of the scheme assets:</w:t>
      </w:r>
    </w:p>
    <w:p w14:paraId="06AD6826" w14:textId="77777777" w:rsidR="00D90216" w:rsidRPr="00AF3DCD" w:rsidRDefault="00D90216" w:rsidP="00D90216">
      <w:pPr>
        <w:ind w:left="709"/>
        <w:jc w:val="both"/>
        <w:rPr>
          <w:sz w:val="22"/>
        </w:rPr>
      </w:pP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5"/>
        <w:gridCol w:w="1418"/>
        <w:gridCol w:w="1276"/>
        <w:gridCol w:w="1417"/>
      </w:tblGrid>
      <w:tr w:rsidR="00B145DB" w:rsidRPr="00AF3DCD" w14:paraId="061108FA" w14:textId="77777777" w:rsidTr="00611673">
        <w:trPr>
          <w:cantSplit/>
          <w:trHeight w:val="850"/>
        </w:trPr>
        <w:tc>
          <w:tcPr>
            <w:tcW w:w="4111" w:type="dxa"/>
            <w:shd w:val="clear" w:color="auto" w:fill="BD2716"/>
          </w:tcPr>
          <w:p w14:paraId="4581373F" w14:textId="77777777" w:rsidR="00B145DB" w:rsidRPr="00982FEC" w:rsidRDefault="00B145DB" w:rsidP="00CD62E6">
            <w:pPr>
              <w:jc w:val="both"/>
              <w:rPr>
                <w:color w:val="FFFFFF" w:themeColor="background1"/>
                <w:szCs w:val="24"/>
              </w:rPr>
            </w:pPr>
          </w:p>
        </w:tc>
        <w:tc>
          <w:tcPr>
            <w:tcW w:w="2693" w:type="dxa"/>
            <w:gridSpan w:val="2"/>
            <w:shd w:val="clear" w:color="auto" w:fill="BD2716"/>
            <w:vAlign w:val="center"/>
          </w:tcPr>
          <w:p w14:paraId="093143A2" w14:textId="77777777" w:rsidR="00B145DB" w:rsidRPr="00982FEC" w:rsidRDefault="00B145DB" w:rsidP="00611673">
            <w:pPr>
              <w:jc w:val="center"/>
              <w:rPr>
                <w:color w:val="FFFFFF" w:themeColor="background1"/>
                <w:szCs w:val="24"/>
              </w:rPr>
            </w:pPr>
            <w:r w:rsidRPr="00982FEC">
              <w:rPr>
                <w:color w:val="FFFFFF" w:themeColor="background1"/>
                <w:szCs w:val="24"/>
              </w:rPr>
              <w:t>Funded Liabilities: Local Government Pension Scheme</w:t>
            </w:r>
          </w:p>
        </w:tc>
        <w:tc>
          <w:tcPr>
            <w:tcW w:w="2693" w:type="dxa"/>
            <w:gridSpan w:val="2"/>
            <w:shd w:val="clear" w:color="auto" w:fill="BD2716"/>
            <w:vAlign w:val="center"/>
          </w:tcPr>
          <w:p w14:paraId="41FC45DD" w14:textId="77777777" w:rsidR="00B145DB" w:rsidRPr="00982FEC" w:rsidRDefault="00B145DB" w:rsidP="00611673">
            <w:pPr>
              <w:jc w:val="center"/>
              <w:rPr>
                <w:color w:val="FFFFFF" w:themeColor="background1"/>
                <w:szCs w:val="24"/>
              </w:rPr>
            </w:pPr>
            <w:r w:rsidRPr="00982FEC">
              <w:rPr>
                <w:color w:val="FFFFFF" w:themeColor="background1"/>
                <w:szCs w:val="24"/>
              </w:rPr>
              <w:t>Unfunded Liabilities: Uniformed Firefighters’ Pension Scheme</w:t>
            </w:r>
          </w:p>
        </w:tc>
      </w:tr>
      <w:tr w:rsidR="00053629" w:rsidRPr="00AF3DCD" w14:paraId="625D6C0F" w14:textId="77777777" w:rsidTr="00611673">
        <w:trPr>
          <w:trHeight w:val="850"/>
        </w:trPr>
        <w:tc>
          <w:tcPr>
            <w:tcW w:w="4111" w:type="dxa"/>
            <w:shd w:val="clear" w:color="auto" w:fill="BD2716"/>
          </w:tcPr>
          <w:p w14:paraId="5692228E" w14:textId="77777777" w:rsidR="00053629" w:rsidRPr="00982FEC" w:rsidRDefault="00053629" w:rsidP="00053629">
            <w:pPr>
              <w:jc w:val="both"/>
              <w:rPr>
                <w:color w:val="FFFFFF" w:themeColor="background1"/>
                <w:szCs w:val="24"/>
              </w:rPr>
            </w:pPr>
          </w:p>
        </w:tc>
        <w:tc>
          <w:tcPr>
            <w:tcW w:w="1275" w:type="dxa"/>
            <w:shd w:val="clear" w:color="auto" w:fill="BD2716"/>
            <w:vAlign w:val="center"/>
          </w:tcPr>
          <w:p w14:paraId="4C20482E" w14:textId="77777777" w:rsidR="00053629" w:rsidRPr="00982FEC" w:rsidRDefault="00053629" w:rsidP="00611673">
            <w:pPr>
              <w:jc w:val="right"/>
              <w:rPr>
                <w:color w:val="FFFFFF" w:themeColor="background1"/>
                <w:szCs w:val="24"/>
              </w:rPr>
            </w:pPr>
            <w:r w:rsidRPr="00982FEC">
              <w:rPr>
                <w:color w:val="FFFFFF" w:themeColor="background1"/>
                <w:szCs w:val="24"/>
              </w:rPr>
              <w:t>31 March 2023</w:t>
            </w:r>
          </w:p>
          <w:p w14:paraId="3F448338" w14:textId="63A7E05A" w:rsidR="00053629" w:rsidRPr="00982FEC" w:rsidRDefault="00053629" w:rsidP="00611673">
            <w:pPr>
              <w:jc w:val="right"/>
              <w:rPr>
                <w:color w:val="FFFFFF" w:themeColor="background1"/>
                <w:szCs w:val="24"/>
              </w:rPr>
            </w:pPr>
            <w:r w:rsidRPr="00982FEC">
              <w:rPr>
                <w:color w:val="FFFFFF" w:themeColor="background1"/>
                <w:szCs w:val="24"/>
              </w:rPr>
              <w:t>£000</w:t>
            </w:r>
          </w:p>
        </w:tc>
        <w:tc>
          <w:tcPr>
            <w:tcW w:w="1418" w:type="dxa"/>
            <w:shd w:val="clear" w:color="auto" w:fill="BD2716"/>
            <w:vAlign w:val="center"/>
          </w:tcPr>
          <w:p w14:paraId="2FBEA83D" w14:textId="77777777" w:rsidR="00053629" w:rsidRPr="00982FEC" w:rsidRDefault="00053629" w:rsidP="00611673">
            <w:pPr>
              <w:jc w:val="right"/>
              <w:rPr>
                <w:color w:val="FFFFFF" w:themeColor="background1"/>
                <w:szCs w:val="24"/>
              </w:rPr>
            </w:pPr>
            <w:r w:rsidRPr="00982FEC">
              <w:rPr>
                <w:color w:val="FFFFFF" w:themeColor="background1"/>
                <w:szCs w:val="24"/>
              </w:rPr>
              <w:t>31 March 2022</w:t>
            </w:r>
          </w:p>
          <w:p w14:paraId="426AC8D2" w14:textId="219AF2B1" w:rsidR="00053629" w:rsidRPr="00982FEC" w:rsidRDefault="00053629" w:rsidP="00611673">
            <w:pPr>
              <w:jc w:val="right"/>
              <w:rPr>
                <w:color w:val="FFFFFF" w:themeColor="background1"/>
                <w:szCs w:val="24"/>
              </w:rPr>
            </w:pPr>
            <w:r w:rsidRPr="00982FEC">
              <w:rPr>
                <w:color w:val="FFFFFF" w:themeColor="background1"/>
                <w:szCs w:val="24"/>
              </w:rPr>
              <w:t>£000</w:t>
            </w:r>
          </w:p>
        </w:tc>
        <w:tc>
          <w:tcPr>
            <w:tcW w:w="1276" w:type="dxa"/>
            <w:shd w:val="clear" w:color="auto" w:fill="BD2716"/>
            <w:vAlign w:val="center"/>
          </w:tcPr>
          <w:p w14:paraId="60F27FCF" w14:textId="77777777" w:rsidR="00053629" w:rsidRPr="00982FEC" w:rsidRDefault="00053629" w:rsidP="00611673">
            <w:pPr>
              <w:jc w:val="right"/>
              <w:rPr>
                <w:color w:val="FFFFFF" w:themeColor="background1"/>
                <w:szCs w:val="24"/>
              </w:rPr>
            </w:pPr>
            <w:r w:rsidRPr="00982FEC">
              <w:rPr>
                <w:color w:val="FFFFFF" w:themeColor="background1"/>
                <w:szCs w:val="24"/>
              </w:rPr>
              <w:t>31 March 2023</w:t>
            </w:r>
          </w:p>
          <w:p w14:paraId="15A6F316" w14:textId="521E196A" w:rsidR="00053629" w:rsidRPr="00982FEC" w:rsidRDefault="00053629" w:rsidP="00611673">
            <w:pPr>
              <w:jc w:val="right"/>
              <w:rPr>
                <w:color w:val="FFFFFF" w:themeColor="background1"/>
                <w:szCs w:val="24"/>
              </w:rPr>
            </w:pPr>
            <w:r w:rsidRPr="00982FEC">
              <w:rPr>
                <w:color w:val="FFFFFF" w:themeColor="background1"/>
                <w:szCs w:val="24"/>
              </w:rPr>
              <w:t>£000</w:t>
            </w:r>
          </w:p>
        </w:tc>
        <w:tc>
          <w:tcPr>
            <w:tcW w:w="1417" w:type="dxa"/>
            <w:shd w:val="clear" w:color="auto" w:fill="BD2716"/>
            <w:vAlign w:val="center"/>
          </w:tcPr>
          <w:p w14:paraId="142C969E" w14:textId="77777777" w:rsidR="00053629" w:rsidRPr="00982FEC" w:rsidRDefault="00053629" w:rsidP="00611673">
            <w:pPr>
              <w:jc w:val="right"/>
              <w:rPr>
                <w:color w:val="FFFFFF" w:themeColor="background1"/>
                <w:szCs w:val="24"/>
              </w:rPr>
            </w:pPr>
            <w:r w:rsidRPr="00982FEC">
              <w:rPr>
                <w:color w:val="FFFFFF" w:themeColor="background1"/>
                <w:szCs w:val="24"/>
              </w:rPr>
              <w:t>31 March 2022</w:t>
            </w:r>
          </w:p>
          <w:p w14:paraId="40C861D1" w14:textId="0D9AD510" w:rsidR="00053629" w:rsidRPr="00982FEC" w:rsidRDefault="00053629" w:rsidP="00611673">
            <w:pPr>
              <w:jc w:val="right"/>
              <w:rPr>
                <w:color w:val="FFFFFF" w:themeColor="background1"/>
                <w:szCs w:val="24"/>
              </w:rPr>
            </w:pPr>
            <w:r w:rsidRPr="00982FEC">
              <w:rPr>
                <w:color w:val="FFFFFF" w:themeColor="background1"/>
                <w:szCs w:val="24"/>
              </w:rPr>
              <w:t>£000</w:t>
            </w:r>
          </w:p>
        </w:tc>
      </w:tr>
      <w:tr w:rsidR="00053629" w:rsidRPr="00C72A7E" w14:paraId="34D21FCD" w14:textId="77777777" w:rsidTr="00DD63D7">
        <w:trPr>
          <w:trHeight w:val="289"/>
        </w:trPr>
        <w:tc>
          <w:tcPr>
            <w:tcW w:w="4111" w:type="dxa"/>
          </w:tcPr>
          <w:p w14:paraId="78FD5494" w14:textId="77777777" w:rsidR="00053629" w:rsidRPr="00AC5949" w:rsidRDefault="00053629" w:rsidP="00053629">
            <w:pPr>
              <w:jc w:val="both"/>
              <w:rPr>
                <w:b/>
                <w:bCs/>
                <w:szCs w:val="24"/>
              </w:rPr>
            </w:pPr>
            <w:r w:rsidRPr="00AC5949">
              <w:rPr>
                <w:b/>
                <w:bCs/>
                <w:szCs w:val="24"/>
              </w:rPr>
              <w:t xml:space="preserve">Opening balance </w:t>
            </w:r>
            <w:proofErr w:type="gramStart"/>
            <w:r w:rsidRPr="00AC5949">
              <w:rPr>
                <w:b/>
                <w:bCs/>
                <w:szCs w:val="24"/>
              </w:rPr>
              <w:t>at</w:t>
            </w:r>
            <w:proofErr w:type="gramEnd"/>
            <w:r w:rsidRPr="00AC5949">
              <w:rPr>
                <w:b/>
                <w:bCs/>
                <w:szCs w:val="24"/>
              </w:rPr>
              <w:t xml:space="preserve"> 1 April</w:t>
            </w:r>
          </w:p>
        </w:tc>
        <w:tc>
          <w:tcPr>
            <w:tcW w:w="1275" w:type="dxa"/>
            <w:vAlign w:val="center"/>
          </w:tcPr>
          <w:p w14:paraId="29A2AC93" w14:textId="113399FC" w:rsidR="00053629" w:rsidRPr="00AC5949" w:rsidRDefault="00053629" w:rsidP="00DD63D7">
            <w:pPr>
              <w:tabs>
                <w:tab w:val="decimal" w:pos="888"/>
              </w:tabs>
              <w:jc w:val="right"/>
              <w:rPr>
                <w:b/>
                <w:bCs/>
                <w:szCs w:val="24"/>
              </w:rPr>
            </w:pPr>
            <w:r w:rsidRPr="00AC5949">
              <w:rPr>
                <w:b/>
                <w:bCs/>
                <w:szCs w:val="24"/>
              </w:rPr>
              <w:t>76,703</w:t>
            </w:r>
          </w:p>
        </w:tc>
        <w:tc>
          <w:tcPr>
            <w:tcW w:w="1418" w:type="dxa"/>
            <w:vAlign w:val="center"/>
          </w:tcPr>
          <w:p w14:paraId="60C35226" w14:textId="4122DC90" w:rsidR="00053629" w:rsidRPr="00AC5949" w:rsidRDefault="00053629" w:rsidP="00DD63D7">
            <w:pPr>
              <w:tabs>
                <w:tab w:val="decimal" w:pos="888"/>
              </w:tabs>
              <w:jc w:val="right"/>
              <w:rPr>
                <w:b/>
                <w:bCs/>
                <w:szCs w:val="24"/>
              </w:rPr>
            </w:pPr>
            <w:r w:rsidRPr="00AC5949">
              <w:rPr>
                <w:b/>
                <w:bCs/>
                <w:szCs w:val="24"/>
              </w:rPr>
              <w:t>68,314</w:t>
            </w:r>
          </w:p>
        </w:tc>
        <w:tc>
          <w:tcPr>
            <w:tcW w:w="1276" w:type="dxa"/>
            <w:shd w:val="clear" w:color="auto" w:fill="auto"/>
            <w:vAlign w:val="center"/>
          </w:tcPr>
          <w:p w14:paraId="40337856" w14:textId="77777777" w:rsidR="00053629" w:rsidRPr="00AC5949" w:rsidRDefault="00053629" w:rsidP="00DD63D7">
            <w:pPr>
              <w:tabs>
                <w:tab w:val="decimal" w:pos="888"/>
              </w:tabs>
              <w:jc w:val="right"/>
              <w:rPr>
                <w:b/>
                <w:bCs/>
                <w:szCs w:val="24"/>
              </w:rPr>
            </w:pPr>
            <w:r w:rsidRPr="00AC5949">
              <w:rPr>
                <w:b/>
                <w:bCs/>
                <w:szCs w:val="24"/>
              </w:rPr>
              <w:t>-</w:t>
            </w:r>
          </w:p>
        </w:tc>
        <w:tc>
          <w:tcPr>
            <w:tcW w:w="1417" w:type="dxa"/>
            <w:shd w:val="clear" w:color="auto" w:fill="auto"/>
            <w:vAlign w:val="center"/>
          </w:tcPr>
          <w:p w14:paraId="119C50BD" w14:textId="59008EB3" w:rsidR="00053629" w:rsidRPr="00AC5949" w:rsidRDefault="00053629" w:rsidP="00DD63D7">
            <w:pPr>
              <w:tabs>
                <w:tab w:val="decimal" w:pos="888"/>
              </w:tabs>
              <w:jc w:val="right"/>
              <w:rPr>
                <w:b/>
                <w:bCs/>
                <w:szCs w:val="24"/>
              </w:rPr>
            </w:pPr>
            <w:r w:rsidRPr="00AC5949">
              <w:rPr>
                <w:b/>
                <w:bCs/>
                <w:szCs w:val="24"/>
              </w:rPr>
              <w:t>-</w:t>
            </w:r>
          </w:p>
        </w:tc>
      </w:tr>
      <w:tr w:rsidR="00053629" w:rsidRPr="00AF3DCD" w14:paraId="769015FE" w14:textId="77777777" w:rsidTr="00DD63D7">
        <w:tc>
          <w:tcPr>
            <w:tcW w:w="4111" w:type="dxa"/>
          </w:tcPr>
          <w:p w14:paraId="7C1ADDB3" w14:textId="77777777" w:rsidR="00053629" w:rsidRPr="00AC5949" w:rsidRDefault="00053629" w:rsidP="00053629">
            <w:pPr>
              <w:jc w:val="both"/>
              <w:rPr>
                <w:szCs w:val="24"/>
              </w:rPr>
            </w:pPr>
            <w:r w:rsidRPr="00AC5949">
              <w:rPr>
                <w:szCs w:val="24"/>
              </w:rPr>
              <w:t>Interest on scheme assets</w:t>
            </w:r>
          </w:p>
        </w:tc>
        <w:tc>
          <w:tcPr>
            <w:tcW w:w="1275" w:type="dxa"/>
            <w:vAlign w:val="center"/>
          </w:tcPr>
          <w:p w14:paraId="2DB82140" w14:textId="3B9ED2AE" w:rsidR="00053629" w:rsidRPr="00AC5949" w:rsidRDefault="00053629" w:rsidP="00DD63D7">
            <w:pPr>
              <w:tabs>
                <w:tab w:val="decimal" w:pos="888"/>
              </w:tabs>
              <w:jc w:val="right"/>
              <w:rPr>
                <w:szCs w:val="24"/>
              </w:rPr>
            </w:pPr>
            <w:r w:rsidRPr="00AC5949">
              <w:rPr>
                <w:szCs w:val="24"/>
              </w:rPr>
              <w:t>2,137</w:t>
            </w:r>
          </w:p>
        </w:tc>
        <w:tc>
          <w:tcPr>
            <w:tcW w:w="1418" w:type="dxa"/>
            <w:vAlign w:val="center"/>
          </w:tcPr>
          <w:p w14:paraId="0BE06C98" w14:textId="1993663F" w:rsidR="00053629" w:rsidRPr="00AC5949" w:rsidRDefault="00053629" w:rsidP="00DD63D7">
            <w:pPr>
              <w:tabs>
                <w:tab w:val="decimal" w:pos="888"/>
              </w:tabs>
              <w:jc w:val="right"/>
              <w:rPr>
                <w:szCs w:val="24"/>
              </w:rPr>
            </w:pPr>
            <w:r w:rsidRPr="00AC5949">
              <w:rPr>
                <w:szCs w:val="24"/>
              </w:rPr>
              <w:t>1,425</w:t>
            </w:r>
          </w:p>
        </w:tc>
        <w:tc>
          <w:tcPr>
            <w:tcW w:w="1276" w:type="dxa"/>
            <w:shd w:val="clear" w:color="auto" w:fill="auto"/>
            <w:vAlign w:val="center"/>
          </w:tcPr>
          <w:p w14:paraId="3BB2BC9D" w14:textId="77777777" w:rsidR="00053629" w:rsidRPr="00AC5949" w:rsidRDefault="00053629" w:rsidP="00DD63D7">
            <w:pPr>
              <w:tabs>
                <w:tab w:val="decimal" w:pos="888"/>
              </w:tabs>
              <w:jc w:val="right"/>
              <w:rPr>
                <w:szCs w:val="24"/>
              </w:rPr>
            </w:pPr>
            <w:r w:rsidRPr="00AC5949">
              <w:rPr>
                <w:szCs w:val="24"/>
              </w:rPr>
              <w:t>-</w:t>
            </w:r>
          </w:p>
        </w:tc>
        <w:tc>
          <w:tcPr>
            <w:tcW w:w="1417" w:type="dxa"/>
            <w:shd w:val="clear" w:color="auto" w:fill="auto"/>
            <w:vAlign w:val="center"/>
          </w:tcPr>
          <w:p w14:paraId="52FAB21E" w14:textId="1C7B6140" w:rsidR="00053629" w:rsidRPr="00AC5949" w:rsidRDefault="00053629" w:rsidP="00DD63D7">
            <w:pPr>
              <w:tabs>
                <w:tab w:val="decimal" w:pos="888"/>
              </w:tabs>
              <w:jc w:val="right"/>
              <w:rPr>
                <w:szCs w:val="24"/>
              </w:rPr>
            </w:pPr>
            <w:r w:rsidRPr="00AC5949">
              <w:rPr>
                <w:szCs w:val="24"/>
              </w:rPr>
              <w:t>-</w:t>
            </w:r>
          </w:p>
        </w:tc>
      </w:tr>
      <w:tr w:rsidR="00053629" w:rsidRPr="00AF3DCD" w14:paraId="60C39BC4" w14:textId="77777777" w:rsidTr="00DD63D7">
        <w:tc>
          <w:tcPr>
            <w:tcW w:w="4111" w:type="dxa"/>
          </w:tcPr>
          <w:p w14:paraId="10A89D19" w14:textId="77777777" w:rsidR="00053629" w:rsidRPr="00AC5949" w:rsidRDefault="00053629" w:rsidP="00053629">
            <w:pPr>
              <w:jc w:val="both"/>
              <w:rPr>
                <w:szCs w:val="24"/>
              </w:rPr>
            </w:pPr>
            <w:r w:rsidRPr="00AC5949">
              <w:rPr>
                <w:szCs w:val="24"/>
              </w:rPr>
              <w:t>Remeasurements (assets)</w:t>
            </w:r>
          </w:p>
        </w:tc>
        <w:tc>
          <w:tcPr>
            <w:tcW w:w="1275" w:type="dxa"/>
            <w:vAlign w:val="center"/>
          </w:tcPr>
          <w:p w14:paraId="2F9F8A3F" w14:textId="7D3659D7" w:rsidR="00053629" w:rsidRPr="00AC5949" w:rsidRDefault="00053629" w:rsidP="00DD63D7">
            <w:pPr>
              <w:tabs>
                <w:tab w:val="decimal" w:pos="888"/>
              </w:tabs>
              <w:jc w:val="right"/>
              <w:rPr>
                <w:szCs w:val="24"/>
              </w:rPr>
            </w:pPr>
            <w:r w:rsidRPr="00AC5949">
              <w:rPr>
                <w:szCs w:val="24"/>
              </w:rPr>
              <w:t>354</w:t>
            </w:r>
          </w:p>
        </w:tc>
        <w:tc>
          <w:tcPr>
            <w:tcW w:w="1418" w:type="dxa"/>
            <w:vAlign w:val="center"/>
          </w:tcPr>
          <w:p w14:paraId="16875547" w14:textId="3CD1A818" w:rsidR="00053629" w:rsidRPr="00AC5949" w:rsidRDefault="00053629" w:rsidP="00DD63D7">
            <w:pPr>
              <w:tabs>
                <w:tab w:val="decimal" w:pos="888"/>
              </w:tabs>
              <w:jc w:val="right"/>
              <w:rPr>
                <w:szCs w:val="24"/>
              </w:rPr>
            </w:pPr>
            <w:r w:rsidRPr="00AC5949">
              <w:rPr>
                <w:szCs w:val="24"/>
              </w:rPr>
              <w:t>8,043</w:t>
            </w:r>
          </w:p>
        </w:tc>
        <w:tc>
          <w:tcPr>
            <w:tcW w:w="1276" w:type="dxa"/>
            <w:shd w:val="clear" w:color="auto" w:fill="auto"/>
            <w:vAlign w:val="center"/>
          </w:tcPr>
          <w:p w14:paraId="60DF35B8" w14:textId="77777777" w:rsidR="00053629" w:rsidRPr="00AC5949" w:rsidRDefault="00053629" w:rsidP="00DD63D7">
            <w:pPr>
              <w:tabs>
                <w:tab w:val="decimal" w:pos="888"/>
              </w:tabs>
              <w:jc w:val="right"/>
              <w:rPr>
                <w:szCs w:val="24"/>
              </w:rPr>
            </w:pPr>
            <w:r w:rsidRPr="00AC5949">
              <w:rPr>
                <w:szCs w:val="24"/>
              </w:rPr>
              <w:t>-</w:t>
            </w:r>
          </w:p>
        </w:tc>
        <w:tc>
          <w:tcPr>
            <w:tcW w:w="1417" w:type="dxa"/>
            <w:shd w:val="clear" w:color="auto" w:fill="auto"/>
            <w:vAlign w:val="center"/>
          </w:tcPr>
          <w:p w14:paraId="6E1CC522" w14:textId="131303BF" w:rsidR="00053629" w:rsidRPr="00AC5949" w:rsidRDefault="00053629" w:rsidP="00DD63D7">
            <w:pPr>
              <w:tabs>
                <w:tab w:val="decimal" w:pos="888"/>
              </w:tabs>
              <w:jc w:val="right"/>
              <w:rPr>
                <w:szCs w:val="24"/>
              </w:rPr>
            </w:pPr>
            <w:r w:rsidRPr="00AC5949">
              <w:rPr>
                <w:szCs w:val="24"/>
              </w:rPr>
              <w:t>-</w:t>
            </w:r>
          </w:p>
        </w:tc>
      </w:tr>
      <w:tr w:rsidR="00053629" w:rsidRPr="00AF3DCD" w14:paraId="28F41D9A" w14:textId="77777777" w:rsidTr="00DD63D7">
        <w:tc>
          <w:tcPr>
            <w:tcW w:w="4111" w:type="dxa"/>
          </w:tcPr>
          <w:p w14:paraId="4B3B9621" w14:textId="77777777" w:rsidR="00053629" w:rsidRPr="00AC5949" w:rsidRDefault="00053629" w:rsidP="00053629">
            <w:pPr>
              <w:jc w:val="both"/>
              <w:rPr>
                <w:szCs w:val="24"/>
              </w:rPr>
            </w:pPr>
            <w:r w:rsidRPr="00AC5949">
              <w:rPr>
                <w:szCs w:val="24"/>
              </w:rPr>
              <w:t>Administrative expenses</w:t>
            </w:r>
          </w:p>
        </w:tc>
        <w:tc>
          <w:tcPr>
            <w:tcW w:w="1275" w:type="dxa"/>
            <w:vAlign w:val="center"/>
          </w:tcPr>
          <w:p w14:paraId="47FB475B" w14:textId="56F7470E" w:rsidR="00053629" w:rsidRPr="00AC5949" w:rsidRDefault="00053629" w:rsidP="00DD63D7">
            <w:pPr>
              <w:tabs>
                <w:tab w:val="decimal" w:pos="888"/>
              </w:tabs>
              <w:jc w:val="right"/>
              <w:rPr>
                <w:szCs w:val="24"/>
              </w:rPr>
            </w:pPr>
            <w:r w:rsidRPr="00AC5949">
              <w:rPr>
                <w:szCs w:val="24"/>
              </w:rPr>
              <w:t>(41)</w:t>
            </w:r>
          </w:p>
        </w:tc>
        <w:tc>
          <w:tcPr>
            <w:tcW w:w="1418" w:type="dxa"/>
            <w:vAlign w:val="center"/>
          </w:tcPr>
          <w:p w14:paraId="0DED3FF5" w14:textId="43CC04B0" w:rsidR="00053629" w:rsidRPr="00AC5949" w:rsidRDefault="00053629" w:rsidP="00DD63D7">
            <w:pPr>
              <w:tabs>
                <w:tab w:val="decimal" w:pos="888"/>
              </w:tabs>
              <w:jc w:val="right"/>
              <w:rPr>
                <w:szCs w:val="24"/>
              </w:rPr>
            </w:pPr>
            <w:r w:rsidRPr="00AC5949">
              <w:rPr>
                <w:szCs w:val="24"/>
              </w:rPr>
              <w:t>(34)</w:t>
            </w:r>
          </w:p>
        </w:tc>
        <w:tc>
          <w:tcPr>
            <w:tcW w:w="1276" w:type="dxa"/>
            <w:shd w:val="clear" w:color="auto" w:fill="auto"/>
            <w:vAlign w:val="center"/>
          </w:tcPr>
          <w:p w14:paraId="61BB61EF" w14:textId="77777777" w:rsidR="00053629" w:rsidRPr="00AC5949" w:rsidRDefault="00053629" w:rsidP="00DD63D7">
            <w:pPr>
              <w:tabs>
                <w:tab w:val="decimal" w:pos="888"/>
              </w:tabs>
              <w:jc w:val="right"/>
              <w:rPr>
                <w:szCs w:val="24"/>
              </w:rPr>
            </w:pPr>
            <w:r w:rsidRPr="00AC5949">
              <w:rPr>
                <w:szCs w:val="24"/>
              </w:rPr>
              <w:t>-</w:t>
            </w:r>
          </w:p>
        </w:tc>
        <w:tc>
          <w:tcPr>
            <w:tcW w:w="1417" w:type="dxa"/>
            <w:shd w:val="clear" w:color="auto" w:fill="auto"/>
            <w:vAlign w:val="center"/>
          </w:tcPr>
          <w:p w14:paraId="6CA8F60C" w14:textId="5CC30679" w:rsidR="00053629" w:rsidRPr="00AC5949" w:rsidRDefault="00053629" w:rsidP="00DD63D7">
            <w:pPr>
              <w:tabs>
                <w:tab w:val="decimal" w:pos="888"/>
              </w:tabs>
              <w:jc w:val="right"/>
              <w:rPr>
                <w:szCs w:val="24"/>
              </w:rPr>
            </w:pPr>
            <w:r w:rsidRPr="00AC5949">
              <w:rPr>
                <w:szCs w:val="24"/>
              </w:rPr>
              <w:t>-</w:t>
            </w:r>
          </w:p>
        </w:tc>
      </w:tr>
      <w:tr w:rsidR="00053629" w:rsidRPr="00AF3DCD" w14:paraId="4ED6DB79" w14:textId="77777777" w:rsidTr="00DD63D7">
        <w:tc>
          <w:tcPr>
            <w:tcW w:w="4111" w:type="dxa"/>
          </w:tcPr>
          <w:p w14:paraId="38205E82" w14:textId="77777777" w:rsidR="00053629" w:rsidRPr="00AC5949" w:rsidRDefault="00053629" w:rsidP="00053629">
            <w:pPr>
              <w:jc w:val="both"/>
              <w:rPr>
                <w:szCs w:val="24"/>
              </w:rPr>
            </w:pPr>
            <w:r w:rsidRPr="00AC5949">
              <w:rPr>
                <w:szCs w:val="24"/>
              </w:rPr>
              <w:t>Employer contributions</w:t>
            </w:r>
          </w:p>
        </w:tc>
        <w:tc>
          <w:tcPr>
            <w:tcW w:w="1275" w:type="dxa"/>
            <w:vAlign w:val="center"/>
          </w:tcPr>
          <w:p w14:paraId="4CD67898" w14:textId="26E243A6" w:rsidR="00053629" w:rsidRPr="00AC5949" w:rsidRDefault="00053629" w:rsidP="00DD63D7">
            <w:pPr>
              <w:tabs>
                <w:tab w:val="decimal" w:pos="888"/>
              </w:tabs>
              <w:jc w:val="right"/>
              <w:rPr>
                <w:szCs w:val="24"/>
              </w:rPr>
            </w:pPr>
            <w:r w:rsidRPr="00AC5949">
              <w:rPr>
                <w:szCs w:val="24"/>
              </w:rPr>
              <w:t>348</w:t>
            </w:r>
          </w:p>
        </w:tc>
        <w:tc>
          <w:tcPr>
            <w:tcW w:w="1418" w:type="dxa"/>
            <w:vAlign w:val="center"/>
          </w:tcPr>
          <w:p w14:paraId="5ADD311D" w14:textId="226DACAC" w:rsidR="00053629" w:rsidRPr="00AC5949" w:rsidRDefault="00053629" w:rsidP="00DD63D7">
            <w:pPr>
              <w:tabs>
                <w:tab w:val="decimal" w:pos="888"/>
              </w:tabs>
              <w:jc w:val="right"/>
              <w:rPr>
                <w:szCs w:val="24"/>
              </w:rPr>
            </w:pPr>
            <w:r w:rsidRPr="00AC5949">
              <w:rPr>
                <w:szCs w:val="24"/>
              </w:rPr>
              <w:t>344</w:t>
            </w:r>
          </w:p>
        </w:tc>
        <w:tc>
          <w:tcPr>
            <w:tcW w:w="1276" w:type="dxa"/>
            <w:shd w:val="clear" w:color="auto" w:fill="auto"/>
            <w:vAlign w:val="center"/>
          </w:tcPr>
          <w:p w14:paraId="72B213D4" w14:textId="16525E21" w:rsidR="00053629" w:rsidRPr="00AC5949" w:rsidRDefault="00053629" w:rsidP="00DD63D7">
            <w:pPr>
              <w:tabs>
                <w:tab w:val="decimal" w:pos="888"/>
              </w:tabs>
              <w:jc w:val="right"/>
              <w:rPr>
                <w:szCs w:val="24"/>
              </w:rPr>
            </w:pPr>
            <w:r w:rsidRPr="00AC5949">
              <w:rPr>
                <w:szCs w:val="24"/>
              </w:rPr>
              <w:t>26,</w:t>
            </w:r>
            <w:r>
              <w:rPr>
                <w:szCs w:val="24"/>
              </w:rPr>
              <w:t>430</w:t>
            </w:r>
          </w:p>
        </w:tc>
        <w:tc>
          <w:tcPr>
            <w:tcW w:w="1417" w:type="dxa"/>
            <w:shd w:val="clear" w:color="auto" w:fill="auto"/>
            <w:vAlign w:val="center"/>
          </w:tcPr>
          <w:p w14:paraId="34AF943E" w14:textId="58FD0BA0" w:rsidR="00053629" w:rsidRPr="00AC5949" w:rsidRDefault="00053629" w:rsidP="00DD63D7">
            <w:pPr>
              <w:tabs>
                <w:tab w:val="decimal" w:pos="888"/>
              </w:tabs>
              <w:jc w:val="right"/>
              <w:rPr>
                <w:szCs w:val="24"/>
              </w:rPr>
            </w:pPr>
            <w:r w:rsidRPr="00AC5949">
              <w:rPr>
                <w:szCs w:val="24"/>
              </w:rPr>
              <w:t>26,510</w:t>
            </w:r>
          </w:p>
        </w:tc>
      </w:tr>
      <w:tr w:rsidR="00053629" w:rsidRPr="00AF3DCD" w14:paraId="1DFE0EB5" w14:textId="77777777" w:rsidTr="00DD63D7">
        <w:tc>
          <w:tcPr>
            <w:tcW w:w="4111" w:type="dxa"/>
          </w:tcPr>
          <w:p w14:paraId="23AE9FB4" w14:textId="77777777" w:rsidR="00053629" w:rsidRPr="00AC5949" w:rsidRDefault="00053629" w:rsidP="00053629">
            <w:pPr>
              <w:jc w:val="both"/>
              <w:rPr>
                <w:szCs w:val="24"/>
              </w:rPr>
            </w:pPr>
            <w:r w:rsidRPr="00AC5949">
              <w:rPr>
                <w:szCs w:val="24"/>
              </w:rPr>
              <w:t>Contributions by scheme participants</w:t>
            </w:r>
          </w:p>
        </w:tc>
        <w:tc>
          <w:tcPr>
            <w:tcW w:w="1275" w:type="dxa"/>
            <w:vAlign w:val="center"/>
          </w:tcPr>
          <w:p w14:paraId="7D3181B2" w14:textId="1E980B9C" w:rsidR="00053629" w:rsidRPr="00AC5949" w:rsidRDefault="00053629" w:rsidP="00DD63D7">
            <w:pPr>
              <w:tabs>
                <w:tab w:val="decimal" w:pos="888"/>
              </w:tabs>
              <w:jc w:val="right"/>
              <w:rPr>
                <w:szCs w:val="24"/>
              </w:rPr>
            </w:pPr>
            <w:r w:rsidRPr="00AC5949">
              <w:rPr>
                <w:szCs w:val="24"/>
              </w:rPr>
              <w:t>492</w:t>
            </w:r>
          </w:p>
        </w:tc>
        <w:tc>
          <w:tcPr>
            <w:tcW w:w="1418" w:type="dxa"/>
            <w:vAlign w:val="center"/>
          </w:tcPr>
          <w:p w14:paraId="6F498A8A" w14:textId="04D4920A" w:rsidR="00053629" w:rsidRPr="00AC5949" w:rsidRDefault="00053629" w:rsidP="00DD63D7">
            <w:pPr>
              <w:tabs>
                <w:tab w:val="decimal" w:pos="888"/>
              </w:tabs>
              <w:jc w:val="right"/>
              <w:rPr>
                <w:szCs w:val="24"/>
              </w:rPr>
            </w:pPr>
            <w:r w:rsidRPr="00AC5949">
              <w:rPr>
                <w:szCs w:val="24"/>
              </w:rPr>
              <w:t>412</w:t>
            </w:r>
          </w:p>
        </w:tc>
        <w:tc>
          <w:tcPr>
            <w:tcW w:w="1276" w:type="dxa"/>
            <w:shd w:val="clear" w:color="auto" w:fill="auto"/>
            <w:vAlign w:val="center"/>
          </w:tcPr>
          <w:p w14:paraId="7354BA27" w14:textId="5747A8ED" w:rsidR="00053629" w:rsidRPr="00AC5949" w:rsidRDefault="00053629" w:rsidP="00DD63D7">
            <w:pPr>
              <w:tabs>
                <w:tab w:val="decimal" w:pos="888"/>
              </w:tabs>
              <w:jc w:val="right"/>
              <w:rPr>
                <w:szCs w:val="24"/>
              </w:rPr>
            </w:pPr>
            <w:r w:rsidRPr="00AC5949">
              <w:rPr>
                <w:szCs w:val="24"/>
              </w:rPr>
              <w:t>3,</w:t>
            </w:r>
            <w:r>
              <w:rPr>
                <w:szCs w:val="24"/>
              </w:rPr>
              <w:t>56</w:t>
            </w:r>
            <w:r w:rsidRPr="00AC5949">
              <w:rPr>
                <w:szCs w:val="24"/>
              </w:rPr>
              <w:t>0</w:t>
            </w:r>
          </w:p>
        </w:tc>
        <w:tc>
          <w:tcPr>
            <w:tcW w:w="1417" w:type="dxa"/>
            <w:shd w:val="clear" w:color="auto" w:fill="auto"/>
            <w:vAlign w:val="center"/>
          </w:tcPr>
          <w:p w14:paraId="14766B46" w14:textId="55B6881F" w:rsidR="00053629" w:rsidRPr="00AC5949" w:rsidRDefault="00053629" w:rsidP="00DD63D7">
            <w:pPr>
              <w:tabs>
                <w:tab w:val="decimal" w:pos="888"/>
              </w:tabs>
              <w:jc w:val="right"/>
              <w:rPr>
                <w:szCs w:val="24"/>
              </w:rPr>
            </w:pPr>
            <w:r w:rsidRPr="00AC5949">
              <w:rPr>
                <w:szCs w:val="24"/>
              </w:rPr>
              <w:t>3,330</w:t>
            </w:r>
          </w:p>
        </w:tc>
      </w:tr>
      <w:tr w:rsidR="00053629" w:rsidRPr="00AF3DCD" w14:paraId="78CB136D" w14:textId="77777777" w:rsidTr="00DD63D7">
        <w:tc>
          <w:tcPr>
            <w:tcW w:w="4111" w:type="dxa"/>
          </w:tcPr>
          <w:p w14:paraId="36870B06" w14:textId="77777777" w:rsidR="00053629" w:rsidRPr="00AC5949" w:rsidRDefault="00053629" w:rsidP="00053629">
            <w:pPr>
              <w:jc w:val="both"/>
              <w:rPr>
                <w:szCs w:val="24"/>
              </w:rPr>
            </w:pPr>
            <w:r w:rsidRPr="00AC5949">
              <w:rPr>
                <w:szCs w:val="24"/>
              </w:rPr>
              <w:t>Benefits paid</w:t>
            </w:r>
          </w:p>
        </w:tc>
        <w:tc>
          <w:tcPr>
            <w:tcW w:w="1275" w:type="dxa"/>
            <w:vAlign w:val="center"/>
          </w:tcPr>
          <w:p w14:paraId="75BEB3C7" w14:textId="52F2B786" w:rsidR="00053629" w:rsidRPr="00AC5949" w:rsidRDefault="00053629" w:rsidP="00DD63D7">
            <w:pPr>
              <w:tabs>
                <w:tab w:val="decimal" w:pos="888"/>
              </w:tabs>
              <w:jc w:val="right"/>
              <w:rPr>
                <w:szCs w:val="24"/>
              </w:rPr>
            </w:pPr>
            <w:r w:rsidRPr="00AC5949">
              <w:rPr>
                <w:szCs w:val="24"/>
              </w:rPr>
              <w:t>(1,633)</w:t>
            </w:r>
          </w:p>
        </w:tc>
        <w:tc>
          <w:tcPr>
            <w:tcW w:w="1418" w:type="dxa"/>
            <w:vAlign w:val="center"/>
          </w:tcPr>
          <w:p w14:paraId="3003C7E3" w14:textId="33DDE873" w:rsidR="00053629" w:rsidRPr="00AC5949" w:rsidRDefault="00053629" w:rsidP="00DD63D7">
            <w:pPr>
              <w:tabs>
                <w:tab w:val="decimal" w:pos="888"/>
              </w:tabs>
              <w:jc w:val="right"/>
              <w:rPr>
                <w:szCs w:val="24"/>
              </w:rPr>
            </w:pPr>
            <w:r w:rsidRPr="00AC5949">
              <w:rPr>
                <w:szCs w:val="24"/>
              </w:rPr>
              <w:t>(1,801)</w:t>
            </w:r>
          </w:p>
        </w:tc>
        <w:tc>
          <w:tcPr>
            <w:tcW w:w="1276" w:type="dxa"/>
            <w:shd w:val="clear" w:color="auto" w:fill="auto"/>
            <w:vAlign w:val="center"/>
          </w:tcPr>
          <w:p w14:paraId="1C182D34" w14:textId="57F8FE94" w:rsidR="00053629" w:rsidRPr="00AC5949" w:rsidRDefault="00053629" w:rsidP="00DD63D7">
            <w:pPr>
              <w:tabs>
                <w:tab w:val="decimal" w:pos="888"/>
              </w:tabs>
              <w:jc w:val="right"/>
              <w:rPr>
                <w:szCs w:val="24"/>
              </w:rPr>
            </w:pPr>
            <w:r w:rsidRPr="00AC5949">
              <w:rPr>
                <w:szCs w:val="24"/>
              </w:rPr>
              <w:t>(29,</w:t>
            </w:r>
            <w:r>
              <w:rPr>
                <w:szCs w:val="24"/>
              </w:rPr>
              <w:t>99</w:t>
            </w:r>
            <w:r w:rsidRPr="00AC5949">
              <w:rPr>
                <w:szCs w:val="24"/>
              </w:rPr>
              <w:t>0)</w:t>
            </w:r>
          </w:p>
        </w:tc>
        <w:tc>
          <w:tcPr>
            <w:tcW w:w="1417" w:type="dxa"/>
            <w:shd w:val="clear" w:color="auto" w:fill="auto"/>
            <w:vAlign w:val="center"/>
          </w:tcPr>
          <w:p w14:paraId="668AE048" w14:textId="13C476AB" w:rsidR="00053629" w:rsidRPr="00AC5949" w:rsidRDefault="00053629" w:rsidP="00DD63D7">
            <w:pPr>
              <w:tabs>
                <w:tab w:val="decimal" w:pos="888"/>
              </w:tabs>
              <w:jc w:val="right"/>
              <w:rPr>
                <w:szCs w:val="24"/>
              </w:rPr>
            </w:pPr>
            <w:r w:rsidRPr="00AC5949">
              <w:rPr>
                <w:szCs w:val="24"/>
              </w:rPr>
              <w:t>(29,840)</w:t>
            </w:r>
          </w:p>
        </w:tc>
      </w:tr>
      <w:tr w:rsidR="00053629" w:rsidRPr="00C72A7E" w14:paraId="3D133BF7" w14:textId="77777777" w:rsidTr="00DD63D7">
        <w:tc>
          <w:tcPr>
            <w:tcW w:w="4111" w:type="dxa"/>
          </w:tcPr>
          <w:p w14:paraId="21B544AB" w14:textId="77777777" w:rsidR="00053629" w:rsidRPr="00AC5949" w:rsidRDefault="00053629" w:rsidP="00053629">
            <w:pPr>
              <w:jc w:val="both"/>
              <w:rPr>
                <w:b/>
                <w:bCs/>
                <w:szCs w:val="24"/>
              </w:rPr>
            </w:pPr>
            <w:r w:rsidRPr="00AC5949">
              <w:rPr>
                <w:b/>
                <w:bCs/>
                <w:szCs w:val="24"/>
              </w:rPr>
              <w:t xml:space="preserve">Closing balance </w:t>
            </w:r>
            <w:proofErr w:type="gramStart"/>
            <w:r w:rsidRPr="00AC5949">
              <w:rPr>
                <w:b/>
                <w:bCs/>
                <w:szCs w:val="24"/>
              </w:rPr>
              <w:t>at</w:t>
            </w:r>
            <w:proofErr w:type="gramEnd"/>
            <w:r w:rsidRPr="00AC5949">
              <w:rPr>
                <w:b/>
                <w:bCs/>
                <w:szCs w:val="24"/>
              </w:rPr>
              <w:t xml:space="preserve"> 31 March</w:t>
            </w:r>
          </w:p>
        </w:tc>
        <w:tc>
          <w:tcPr>
            <w:tcW w:w="1275" w:type="dxa"/>
            <w:vAlign w:val="center"/>
          </w:tcPr>
          <w:p w14:paraId="42182891" w14:textId="528686D3" w:rsidR="00053629" w:rsidRPr="00AC5949" w:rsidRDefault="00053629" w:rsidP="00DD63D7">
            <w:pPr>
              <w:tabs>
                <w:tab w:val="decimal" w:pos="888"/>
              </w:tabs>
              <w:jc w:val="right"/>
              <w:rPr>
                <w:b/>
                <w:bCs/>
                <w:szCs w:val="24"/>
              </w:rPr>
            </w:pPr>
            <w:r w:rsidRPr="00AC5949">
              <w:rPr>
                <w:b/>
                <w:bCs/>
                <w:szCs w:val="24"/>
              </w:rPr>
              <w:t>78,360</w:t>
            </w:r>
          </w:p>
        </w:tc>
        <w:tc>
          <w:tcPr>
            <w:tcW w:w="1418" w:type="dxa"/>
            <w:vAlign w:val="center"/>
          </w:tcPr>
          <w:p w14:paraId="33D9115A" w14:textId="0DE1F40B" w:rsidR="00053629" w:rsidRPr="00AC5949" w:rsidRDefault="00053629" w:rsidP="00DD63D7">
            <w:pPr>
              <w:tabs>
                <w:tab w:val="decimal" w:pos="888"/>
              </w:tabs>
              <w:jc w:val="right"/>
              <w:rPr>
                <w:b/>
                <w:bCs/>
                <w:szCs w:val="24"/>
              </w:rPr>
            </w:pPr>
            <w:r w:rsidRPr="00AC5949">
              <w:rPr>
                <w:b/>
                <w:bCs/>
                <w:szCs w:val="24"/>
              </w:rPr>
              <w:t>76,703</w:t>
            </w:r>
          </w:p>
        </w:tc>
        <w:tc>
          <w:tcPr>
            <w:tcW w:w="1276" w:type="dxa"/>
            <w:shd w:val="clear" w:color="auto" w:fill="auto"/>
            <w:vAlign w:val="center"/>
          </w:tcPr>
          <w:p w14:paraId="297B78E5" w14:textId="77777777" w:rsidR="00053629" w:rsidRPr="00AC5949" w:rsidRDefault="00053629" w:rsidP="00DD63D7">
            <w:pPr>
              <w:tabs>
                <w:tab w:val="decimal" w:pos="888"/>
              </w:tabs>
              <w:jc w:val="right"/>
              <w:rPr>
                <w:b/>
                <w:bCs/>
                <w:szCs w:val="24"/>
              </w:rPr>
            </w:pPr>
            <w:r w:rsidRPr="00AC5949">
              <w:rPr>
                <w:b/>
                <w:bCs/>
                <w:szCs w:val="24"/>
              </w:rPr>
              <w:t>-</w:t>
            </w:r>
          </w:p>
        </w:tc>
        <w:tc>
          <w:tcPr>
            <w:tcW w:w="1417" w:type="dxa"/>
            <w:shd w:val="clear" w:color="auto" w:fill="auto"/>
            <w:vAlign w:val="center"/>
          </w:tcPr>
          <w:p w14:paraId="00D9C2CF" w14:textId="4225533D" w:rsidR="00053629" w:rsidRPr="00AC5949" w:rsidRDefault="00053629" w:rsidP="00DD63D7">
            <w:pPr>
              <w:tabs>
                <w:tab w:val="decimal" w:pos="888"/>
              </w:tabs>
              <w:jc w:val="right"/>
              <w:rPr>
                <w:b/>
                <w:bCs/>
                <w:szCs w:val="24"/>
              </w:rPr>
            </w:pPr>
            <w:r w:rsidRPr="00AC5949">
              <w:rPr>
                <w:b/>
                <w:bCs/>
                <w:szCs w:val="24"/>
              </w:rPr>
              <w:t>-</w:t>
            </w:r>
          </w:p>
        </w:tc>
      </w:tr>
    </w:tbl>
    <w:p w14:paraId="25F0587C" w14:textId="77777777" w:rsidR="0084441F" w:rsidRPr="00AC5949" w:rsidRDefault="0084441F" w:rsidP="00AC5949">
      <w:pPr>
        <w:ind w:left="709"/>
        <w:rPr>
          <w:szCs w:val="24"/>
        </w:rPr>
      </w:pPr>
    </w:p>
    <w:p w14:paraId="3881E3F7" w14:textId="6BB5398C" w:rsidR="00D90216" w:rsidRPr="00AC5949" w:rsidRDefault="00D90216" w:rsidP="00AC5949">
      <w:pPr>
        <w:ind w:left="709"/>
        <w:rPr>
          <w:szCs w:val="24"/>
        </w:rPr>
      </w:pPr>
      <w:r w:rsidRPr="00AC5949">
        <w:rPr>
          <w:szCs w:val="24"/>
        </w:rPr>
        <w:t xml:space="preserve">The expected return on scheme assets is determined by considering the expected returns available on the assets underlying the current investment policy. Expected yields on fixed interest investments are based on gross redemption yields at the Balance Sheet date. </w:t>
      </w:r>
      <w:r w:rsidR="00607136">
        <w:rPr>
          <w:szCs w:val="24"/>
        </w:rPr>
        <w:t>E</w:t>
      </w:r>
      <w:r w:rsidRPr="00AC5949">
        <w:rPr>
          <w:szCs w:val="24"/>
        </w:rPr>
        <w:t>xpected returns on equity investments reflect long</w:t>
      </w:r>
      <w:r w:rsidR="00A16368" w:rsidRPr="00AC5949">
        <w:rPr>
          <w:szCs w:val="24"/>
        </w:rPr>
        <w:t>-</w:t>
      </w:r>
      <w:r w:rsidRPr="00AC5949">
        <w:rPr>
          <w:szCs w:val="24"/>
        </w:rPr>
        <w:t>term rates of return experienced in the respective markets.</w:t>
      </w:r>
      <w:r w:rsidR="00C72A7E" w:rsidRPr="00AC5949">
        <w:rPr>
          <w:szCs w:val="24"/>
        </w:rPr>
        <w:t xml:space="preserve"> </w:t>
      </w:r>
      <w:r w:rsidRPr="00AC5949">
        <w:rPr>
          <w:szCs w:val="24"/>
        </w:rPr>
        <w:t xml:space="preserve">The actual return on scheme assets in the year was </w:t>
      </w:r>
      <w:r w:rsidR="00C91669" w:rsidRPr="00AC5949">
        <w:rPr>
          <w:szCs w:val="24"/>
        </w:rPr>
        <w:t>a gain</w:t>
      </w:r>
      <w:r w:rsidR="006D7616" w:rsidRPr="00AC5949">
        <w:rPr>
          <w:szCs w:val="24"/>
        </w:rPr>
        <w:t xml:space="preserve"> of </w:t>
      </w:r>
      <w:r w:rsidR="00961EB1" w:rsidRPr="00AC5949">
        <w:rPr>
          <w:szCs w:val="24"/>
        </w:rPr>
        <w:t>£</w:t>
      </w:r>
      <w:r w:rsidR="00C72A7E" w:rsidRPr="00AC5949">
        <w:rPr>
          <w:szCs w:val="24"/>
        </w:rPr>
        <w:t>2.305</w:t>
      </w:r>
      <w:r w:rsidR="00961EB1" w:rsidRPr="00AC5949">
        <w:rPr>
          <w:szCs w:val="24"/>
        </w:rPr>
        <w:t xml:space="preserve">m </w:t>
      </w:r>
      <w:r w:rsidR="002A3016" w:rsidRPr="00AC5949">
        <w:rPr>
          <w:szCs w:val="24"/>
        </w:rPr>
        <w:t>(20</w:t>
      </w:r>
      <w:r w:rsidR="006B2155" w:rsidRPr="00AC5949">
        <w:rPr>
          <w:szCs w:val="24"/>
        </w:rPr>
        <w:t>2</w:t>
      </w:r>
      <w:r w:rsidR="00E66DE8" w:rsidRPr="00AC5949">
        <w:rPr>
          <w:szCs w:val="24"/>
        </w:rPr>
        <w:t>1</w:t>
      </w:r>
      <w:r w:rsidR="006B2155" w:rsidRPr="00AC5949">
        <w:rPr>
          <w:szCs w:val="24"/>
        </w:rPr>
        <w:t>/2</w:t>
      </w:r>
      <w:r w:rsidR="00E66DE8" w:rsidRPr="00AC5949">
        <w:rPr>
          <w:szCs w:val="24"/>
        </w:rPr>
        <w:t>2</w:t>
      </w:r>
      <w:r w:rsidR="00FF0080" w:rsidRPr="00AC5949">
        <w:rPr>
          <w:szCs w:val="24"/>
        </w:rPr>
        <w:t>:</w:t>
      </w:r>
      <w:r w:rsidRPr="00AC5949">
        <w:rPr>
          <w:szCs w:val="24"/>
        </w:rPr>
        <w:t xml:space="preserve"> gain of </w:t>
      </w:r>
      <w:r w:rsidR="00AA6508" w:rsidRPr="00AC5949">
        <w:rPr>
          <w:szCs w:val="24"/>
        </w:rPr>
        <w:t>£</w:t>
      </w:r>
      <w:r w:rsidR="00E66DE8" w:rsidRPr="00AC5949">
        <w:rPr>
          <w:szCs w:val="24"/>
        </w:rPr>
        <w:t>9.240m</w:t>
      </w:r>
      <w:r w:rsidRPr="00AC5949">
        <w:rPr>
          <w:szCs w:val="24"/>
        </w:rPr>
        <w:t>).</w:t>
      </w:r>
    </w:p>
    <w:p w14:paraId="6A134296" w14:textId="6AB0968E" w:rsidR="00FF0080" w:rsidRPr="00AC5949" w:rsidRDefault="00FF0080" w:rsidP="00AC5949">
      <w:pPr>
        <w:ind w:left="709"/>
        <w:rPr>
          <w:szCs w:val="24"/>
        </w:rPr>
      </w:pPr>
    </w:p>
    <w:p w14:paraId="46EB27C2" w14:textId="77777777" w:rsidR="00EB4B3B" w:rsidRPr="0020708E" w:rsidRDefault="00EB4B3B" w:rsidP="00EB4B3B">
      <w:pPr>
        <w:ind w:left="709"/>
        <w:rPr>
          <w:b/>
          <w:bCs/>
          <w:szCs w:val="24"/>
        </w:rPr>
      </w:pPr>
      <w:r>
        <w:rPr>
          <w:b/>
          <w:bCs/>
          <w:szCs w:val="24"/>
        </w:rPr>
        <w:t>Pension Asset Ceiling</w:t>
      </w:r>
    </w:p>
    <w:p w14:paraId="466119CA" w14:textId="77777777" w:rsidR="00EB4B3B" w:rsidRDefault="00EB4B3B" w:rsidP="00EB4B3B">
      <w:pPr>
        <w:ind w:left="709"/>
        <w:rPr>
          <w:szCs w:val="24"/>
        </w:rPr>
      </w:pPr>
    </w:p>
    <w:p w14:paraId="16272BD5" w14:textId="77777777" w:rsidR="00EB4B3B" w:rsidRPr="000F5BFB" w:rsidRDefault="00EB4B3B" w:rsidP="00EB4B3B">
      <w:pPr>
        <w:ind w:left="709"/>
        <w:rPr>
          <w:szCs w:val="24"/>
        </w:rPr>
      </w:pPr>
      <w:r w:rsidRPr="00494081">
        <w:rPr>
          <w:szCs w:val="24"/>
        </w:rPr>
        <w:t>An asset ceiling test limits the amount of the net pension asset that can be recogni</w:t>
      </w:r>
      <w:r>
        <w:rPr>
          <w:szCs w:val="24"/>
        </w:rPr>
        <w:t>s</w:t>
      </w:r>
      <w:r w:rsidRPr="00494081">
        <w:rPr>
          <w:szCs w:val="24"/>
        </w:rPr>
        <w:t>ed to the lower of the amount of the net pension asset or the present value of any economic benefits available in the form of refunds or reductions in future contributions to the plan.</w:t>
      </w:r>
    </w:p>
    <w:p w14:paraId="77C94EDC" w14:textId="77777777" w:rsidR="00EB4B3B" w:rsidRDefault="00EB4B3B" w:rsidP="00EB4B3B">
      <w:pPr>
        <w:ind w:left="709"/>
        <w:rPr>
          <w:szCs w:val="24"/>
        </w:rPr>
      </w:pPr>
    </w:p>
    <w:p w14:paraId="00E34EE1" w14:textId="77777777" w:rsidR="00EB4B3B" w:rsidRPr="0020708E" w:rsidRDefault="00EB4B3B" w:rsidP="00EB4B3B">
      <w:pPr>
        <w:ind w:left="709"/>
        <w:rPr>
          <w:szCs w:val="24"/>
        </w:rPr>
      </w:pPr>
      <w:r w:rsidRPr="0020708E">
        <w:rPr>
          <w:szCs w:val="24"/>
        </w:rPr>
        <w:t xml:space="preserve">The </w:t>
      </w:r>
      <w:r>
        <w:rPr>
          <w:szCs w:val="24"/>
        </w:rPr>
        <w:t xml:space="preserve">Authority’s LGPS </w:t>
      </w:r>
      <w:r w:rsidRPr="0020708E">
        <w:rPr>
          <w:szCs w:val="24"/>
        </w:rPr>
        <w:t xml:space="preserve">asset ceiling has been calculated using the present value of accounting service cost in perpetuity less the total of present value of primary contributions in perpetuity and present value of secondary contributions over the recovery period. </w:t>
      </w:r>
    </w:p>
    <w:p w14:paraId="2B55B215" w14:textId="77777777" w:rsidR="00EB4B3B" w:rsidRDefault="00EB4B3B" w:rsidP="00EB4B3B">
      <w:pPr>
        <w:ind w:left="709"/>
        <w:rPr>
          <w:szCs w:val="24"/>
        </w:rPr>
      </w:pPr>
    </w:p>
    <w:tbl>
      <w:tblPr>
        <w:tblStyle w:val="TableGrid"/>
        <w:tblW w:w="0" w:type="auto"/>
        <w:tblInd w:w="709" w:type="dxa"/>
        <w:tblLook w:val="04A0" w:firstRow="1" w:lastRow="0" w:firstColumn="1" w:lastColumn="0" w:noHBand="0" w:noVBand="1"/>
      </w:tblPr>
      <w:tblGrid>
        <w:gridCol w:w="5382"/>
        <w:gridCol w:w="1701"/>
        <w:gridCol w:w="1701"/>
      </w:tblGrid>
      <w:tr w:rsidR="00EB4B3B" w14:paraId="50C2BB3E" w14:textId="77777777" w:rsidTr="00611673">
        <w:trPr>
          <w:tblHeader/>
        </w:trPr>
        <w:tc>
          <w:tcPr>
            <w:tcW w:w="5382" w:type="dxa"/>
            <w:shd w:val="clear" w:color="auto" w:fill="BD2716"/>
          </w:tcPr>
          <w:p w14:paraId="119D86C8" w14:textId="07EC79FE" w:rsidR="00EB4B3B" w:rsidRPr="00982FEC" w:rsidRDefault="00EB4B3B" w:rsidP="00FF7FFC">
            <w:pPr>
              <w:rPr>
                <w:color w:val="FFFFFF" w:themeColor="background1"/>
                <w:szCs w:val="24"/>
              </w:rPr>
            </w:pPr>
          </w:p>
        </w:tc>
        <w:tc>
          <w:tcPr>
            <w:tcW w:w="1701" w:type="dxa"/>
            <w:shd w:val="clear" w:color="auto" w:fill="BD2716"/>
            <w:vAlign w:val="center"/>
          </w:tcPr>
          <w:p w14:paraId="1AE58B6A" w14:textId="77777777" w:rsidR="00EB4B3B" w:rsidRPr="00982FEC" w:rsidRDefault="00EB4B3B" w:rsidP="00611673">
            <w:pPr>
              <w:jc w:val="right"/>
              <w:rPr>
                <w:color w:val="FFFFFF" w:themeColor="background1"/>
                <w:szCs w:val="24"/>
              </w:rPr>
            </w:pPr>
            <w:r w:rsidRPr="00982FEC">
              <w:rPr>
                <w:color w:val="FFFFFF" w:themeColor="background1"/>
                <w:szCs w:val="24"/>
              </w:rPr>
              <w:t>2022/23</w:t>
            </w:r>
          </w:p>
          <w:p w14:paraId="634859A5" w14:textId="2968F8BA" w:rsidR="00053629" w:rsidRPr="00982FEC" w:rsidRDefault="00053629" w:rsidP="00611673">
            <w:pPr>
              <w:jc w:val="right"/>
              <w:rPr>
                <w:color w:val="FFFFFF" w:themeColor="background1"/>
                <w:szCs w:val="24"/>
              </w:rPr>
            </w:pPr>
            <w:r w:rsidRPr="00982FEC">
              <w:rPr>
                <w:color w:val="FFFFFF" w:themeColor="background1"/>
                <w:szCs w:val="24"/>
              </w:rPr>
              <w:t>£000</w:t>
            </w:r>
          </w:p>
        </w:tc>
        <w:tc>
          <w:tcPr>
            <w:tcW w:w="1701" w:type="dxa"/>
            <w:shd w:val="clear" w:color="auto" w:fill="BD2716"/>
            <w:vAlign w:val="center"/>
          </w:tcPr>
          <w:p w14:paraId="0E3E1220" w14:textId="77777777" w:rsidR="00EB4B3B" w:rsidRPr="00982FEC" w:rsidRDefault="00EB4B3B" w:rsidP="00611673">
            <w:pPr>
              <w:jc w:val="right"/>
              <w:rPr>
                <w:color w:val="FFFFFF" w:themeColor="background1"/>
                <w:szCs w:val="24"/>
              </w:rPr>
            </w:pPr>
            <w:r w:rsidRPr="00982FEC">
              <w:rPr>
                <w:color w:val="FFFFFF" w:themeColor="background1"/>
                <w:szCs w:val="24"/>
              </w:rPr>
              <w:t>2021/22</w:t>
            </w:r>
          </w:p>
          <w:p w14:paraId="69A3ECDD" w14:textId="0921E2D8" w:rsidR="00053629" w:rsidRPr="00982FEC" w:rsidRDefault="00053629" w:rsidP="00611673">
            <w:pPr>
              <w:jc w:val="right"/>
              <w:rPr>
                <w:color w:val="FFFFFF" w:themeColor="background1"/>
                <w:szCs w:val="24"/>
              </w:rPr>
            </w:pPr>
            <w:r w:rsidRPr="00982FEC">
              <w:rPr>
                <w:color w:val="FFFFFF" w:themeColor="background1"/>
                <w:szCs w:val="24"/>
              </w:rPr>
              <w:t>£000</w:t>
            </w:r>
          </w:p>
        </w:tc>
      </w:tr>
      <w:tr w:rsidR="00EB4B3B" w14:paraId="6D3FFEA4" w14:textId="77777777" w:rsidTr="00DD63D7">
        <w:tc>
          <w:tcPr>
            <w:tcW w:w="5382" w:type="dxa"/>
          </w:tcPr>
          <w:p w14:paraId="0999EA9E" w14:textId="77777777" w:rsidR="00EB4B3B" w:rsidRDefault="00EB4B3B" w:rsidP="00FF7FFC">
            <w:pPr>
              <w:rPr>
                <w:szCs w:val="24"/>
              </w:rPr>
            </w:pPr>
            <w:r>
              <w:rPr>
                <w:szCs w:val="24"/>
              </w:rPr>
              <w:t>Gross defined benefit asset/(liability)</w:t>
            </w:r>
          </w:p>
        </w:tc>
        <w:tc>
          <w:tcPr>
            <w:tcW w:w="1701" w:type="dxa"/>
            <w:vAlign w:val="center"/>
          </w:tcPr>
          <w:p w14:paraId="70CA5815" w14:textId="77777777" w:rsidR="00EB4B3B" w:rsidRDefault="00EB4B3B" w:rsidP="00DD63D7">
            <w:pPr>
              <w:jc w:val="right"/>
              <w:rPr>
                <w:szCs w:val="24"/>
              </w:rPr>
            </w:pPr>
            <w:r>
              <w:rPr>
                <w:szCs w:val="24"/>
              </w:rPr>
              <w:t>19,877</w:t>
            </w:r>
          </w:p>
        </w:tc>
        <w:tc>
          <w:tcPr>
            <w:tcW w:w="1701" w:type="dxa"/>
            <w:vAlign w:val="center"/>
          </w:tcPr>
          <w:p w14:paraId="1DA20FAC" w14:textId="77777777" w:rsidR="00EB4B3B" w:rsidRDefault="00EB4B3B" w:rsidP="00DD63D7">
            <w:pPr>
              <w:jc w:val="right"/>
              <w:rPr>
                <w:szCs w:val="24"/>
              </w:rPr>
            </w:pPr>
            <w:r>
              <w:rPr>
                <w:szCs w:val="24"/>
              </w:rPr>
              <w:t>(7,498)</w:t>
            </w:r>
          </w:p>
        </w:tc>
      </w:tr>
      <w:tr w:rsidR="00EB4B3B" w14:paraId="2C6F1C66" w14:textId="77777777" w:rsidTr="00DD63D7">
        <w:tc>
          <w:tcPr>
            <w:tcW w:w="5382" w:type="dxa"/>
          </w:tcPr>
          <w:p w14:paraId="4B18CC85" w14:textId="77777777" w:rsidR="00EB4B3B" w:rsidRDefault="00EB4B3B" w:rsidP="00FF7FFC">
            <w:pPr>
              <w:rPr>
                <w:szCs w:val="24"/>
              </w:rPr>
            </w:pPr>
            <w:r>
              <w:rPr>
                <w:szCs w:val="24"/>
              </w:rPr>
              <w:t>Authority’s asset ceiling</w:t>
            </w:r>
          </w:p>
        </w:tc>
        <w:tc>
          <w:tcPr>
            <w:tcW w:w="1701" w:type="dxa"/>
            <w:vAlign w:val="center"/>
          </w:tcPr>
          <w:p w14:paraId="116AD65F" w14:textId="77777777" w:rsidR="00EB4B3B" w:rsidRDefault="00EB4B3B" w:rsidP="00DD63D7">
            <w:pPr>
              <w:jc w:val="right"/>
              <w:rPr>
                <w:szCs w:val="24"/>
              </w:rPr>
            </w:pPr>
            <w:r>
              <w:rPr>
                <w:szCs w:val="24"/>
              </w:rPr>
              <w:t>-</w:t>
            </w:r>
          </w:p>
        </w:tc>
        <w:tc>
          <w:tcPr>
            <w:tcW w:w="1701" w:type="dxa"/>
            <w:vAlign w:val="center"/>
          </w:tcPr>
          <w:p w14:paraId="4AAEBC00" w14:textId="77777777" w:rsidR="00EB4B3B" w:rsidRDefault="00EB4B3B" w:rsidP="00DD63D7">
            <w:pPr>
              <w:jc w:val="right"/>
              <w:rPr>
                <w:szCs w:val="24"/>
              </w:rPr>
            </w:pPr>
            <w:r>
              <w:rPr>
                <w:szCs w:val="24"/>
              </w:rPr>
              <w:t>-</w:t>
            </w:r>
          </w:p>
        </w:tc>
      </w:tr>
      <w:tr w:rsidR="00EB4B3B" w14:paraId="2A81B3E2" w14:textId="77777777" w:rsidTr="00DD63D7">
        <w:tc>
          <w:tcPr>
            <w:tcW w:w="5382" w:type="dxa"/>
          </w:tcPr>
          <w:p w14:paraId="3DA14B13" w14:textId="77777777" w:rsidR="00EB4B3B" w:rsidRDefault="00EB4B3B" w:rsidP="00FF7FFC">
            <w:pPr>
              <w:rPr>
                <w:szCs w:val="24"/>
              </w:rPr>
            </w:pPr>
            <w:r>
              <w:rPr>
                <w:szCs w:val="24"/>
              </w:rPr>
              <w:t>Adjustment for asset ceiling</w:t>
            </w:r>
          </w:p>
        </w:tc>
        <w:tc>
          <w:tcPr>
            <w:tcW w:w="1701" w:type="dxa"/>
            <w:vAlign w:val="center"/>
          </w:tcPr>
          <w:p w14:paraId="6FC9DF75" w14:textId="77777777" w:rsidR="00EB4B3B" w:rsidRDefault="00EB4B3B" w:rsidP="00DD63D7">
            <w:pPr>
              <w:jc w:val="right"/>
              <w:rPr>
                <w:szCs w:val="24"/>
              </w:rPr>
            </w:pPr>
            <w:r>
              <w:rPr>
                <w:szCs w:val="24"/>
              </w:rPr>
              <w:t>(19,877)</w:t>
            </w:r>
          </w:p>
        </w:tc>
        <w:tc>
          <w:tcPr>
            <w:tcW w:w="1701" w:type="dxa"/>
            <w:vAlign w:val="center"/>
          </w:tcPr>
          <w:p w14:paraId="2E8E7741" w14:textId="77777777" w:rsidR="00EB4B3B" w:rsidRDefault="00EB4B3B" w:rsidP="00DD63D7">
            <w:pPr>
              <w:jc w:val="right"/>
              <w:rPr>
                <w:szCs w:val="24"/>
              </w:rPr>
            </w:pPr>
            <w:r>
              <w:rPr>
                <w:szCs w:val="24"/>
              </w:rPr>
              <w:t>-</w:t>
            </w:r>
          </w:p>
        </w:tc>
      </w:tr>
      <w:tr w:rsidR="00EB4B3B" w14:paraId="68268CD9" w14:textId="77777777" w:rsidTr="00DD63D7">
        <w:tc>
          <w:tcPr>
            <w:tcW w:w="5382" w:type="dxa"/>
          </w:tcPr>
          <w:p w14:paraId="4CDEB294" w14:textId="77777777" w:rsidR="00EB4B3B" w:rsidRDefault="00EB4B3B" w:rsidP="00FF7FFC">
            <w:pPr>
              <w:rPr>
                <w:szCs w:val="24"/>
              </w:rPr>
            </w:pPr>
            <w:r>
              <w:rPr>
                <w:szCs w:val="24"/>
              </w:rPr>
              <w:t>Net defined benefit asset/(liability)</w:t>
            </w:r>
          </w:p>
        </w:tc>
        <w:tc>
          <w:tcPr>
            <w:tcW w:w="1701" w:type="dxa"/>
            <w:vAlign w:val="center"/>
          </w:tcPr>
          <w:p w14:paraId="1675AA90" w14:textId="77777777" w:rsidR="00EB4B3B" w:rsidRDefault="00EB4B3B" w:rsidP="00DD63D7">
            <w:pPr>
              <w:jc w:val="right"/>
              <w:rPr>
                <w:szCs w:val="24"/>
              </w:rPr>
            </w:pPr>
            <w:r>
              <w:rPr>
                <w:szCs w:val="24"/>
              </w:rPr>
              <w:t>-</w:t>
            </w:r>
          </w:p>
        </w:tc>
        <w:tc>
          <w:tcPr>
            <w:tcW w:w="1701" w:type="dxa"/>
            <w:vAlign w:val="center"/>
          </w:tcPr>
          <w:p w14:paraId="3B1D2523" w14:textId="77777777" w:rsidR="00EB4B3B" w:rsidRDefault="00EB4B3B" w:rsidP="00DD63D7">
            <w:pPr>
              <w:jc w:val="right"/>
              <w:rPr>
                <w:szCs w:val="24"/>
              </w:rPr>
            </w:pPr>
            <w:r>
              <w:rPr>
                <w:szCs w:val="24"/>
              </w:rPr>
              <w:t>(7,498)</w:t>
            </w:r>
          </w:p>
        </w:tc>
      </w:tr>
    </w:tbl>
    <w:p w14:paraId="6DE8132A" w14:textId="7CDF4FB2" w:rsidR="007F5EEE" w:rsidRDefault="007F5EEE">
      <w:pPr>
        <w:rPr>
          <w:b/>
          <w:szCs w:val="24"/>
        </w:rPr>
      </w:pPr>
    </w:p>
    <w:p w14:paraId="7FEE6CC0" w14:textId="72B6E7D0" w:rsidR="00D90216" w:rsidRPr="00AC5949" w:rsidRDefault="00D90216" w:rsidP="00AC5949">
      <w:pPr>
        <w:ind w:left="709"/>
        <w:rPr>
          <w:b/>
          <w:szCs w:val="24"/>
        </w:rPr>
      </w:pPr>
      <w:r w:rsidRPr="00AC5949">
        <w:rPr>
          <w:b/>
          <w:szCs w:val="24"/>
        </w:rPr>
        <w:t xml:space="preserve">Scheme </w:t>
      </w:r>
      <w:proofErr w:type="gramStart"/>
      <w:r w:rsidRPr="00AC5949">
        <w:rPr>
          <w:b/>
          <w:szCs w:val="24"/>
        </w:rPr>
        <w:t>history</w:t>
      </w:r>
      <w:proofErr w:type="gramEnd"/>
    </w:p>
    <w:p w14:paraId="78CEF00B" w14:textId="77777777" w:rsidR="00D90216" w:rsidRPr="00AF3DCD" w:rsidRDefault="00D90216" w:rsidP="00D90216">
      <w:pPr>
        <w:ind w:left="709"/>
        <w:jc w:val="both"/>
        <w:rPr>
          <w:sz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378"/>
        <w:gridCol w:w="1470"/>
        <w:gridCol w:w="1296"/>
        <w:gridCol w:w="1276"/>
        <w:gridCol w:w="1276"/>
      </w:tblGrid>
      <w:tr w:rsidR="001F4E9F" w:rsidRPr="00AF3DCD" w14:paraId="33F95A02" w14:textId="77777777" w:rsidTr="00611673">
        <w:trPr>
          <w:trHeight w:val="80"/>
          <w:tblHeader/>
        </w:trPr>
        <w:tc>
          <w:tcPr>
            <w:tcW w:w="3119" w:type="dxa"/>
            <w:shd w:val="clear" w:color="auto" w:fill="BD2716"/>
          </w:tcPr>
          <w:p w14:paraId="35DBBE39" w14:textId="77777777" w:rsidR="001F4E9F" w:rsidRPr="00982FEC" w:rsidRDefault="001F4E9F" w:rsidP="001F4E9F">
            <w:pPr>
              <w:jc w:val="both"/>
              <w:rPr>
                <w:color w:val="FFFFFF" w:themeColor="background1"/>
                <w:szCs w:val="24"/>
              </w:rPr>
            </w:pPr>
          </w:p>
        </w:tc>
        <w:tc>
          <w:tcPr>
            <w:tcW w:w="1378" w:type="dxa"/>
            <w:shd w:val="clear" w:color="auto" w:fill="BD2716"/>
            <w:vAlign w:val="center"/>
          </w:tcPr>
          <w:p w14:paraId="7BACB080" w14:textId="77777777" w:rsidR="001F4E9F" w:rsidRPr="00982FEC" w:rsidRDefault="00670DBF" w:rsidP="00611673">
            <w:pPr>
              <w:jc w:val="right"/>
              <w:rPr>
                <w:color w:val="FFFFFF" w:themeColor="background1"/>
                <w:szCs w:val="24"/>
              </w:rPr>
            </w:pPr>
            <w:r w:rsidRPr="00982FEC">
              <w:rPr>
                <w:color w:val="FFFFFF" w:themeColor="background1"/>
                <w:szCs w:val="24"/>
              </w:rPr>
              <w:t>202</w:t>
            </w:r>
            <w:r w:rsidR="00D225B6" w:rsidRPr="00982FEC">
              <w:rPr>
                <w:color w:val="FFFFFF" w:themeColor="background1"/>
                <w:szCs w:val="24"/>
              </w:rPr>
              <w:t>2</w:t>
            </w:r>
            <w:r w:rsidRPr="00982FEC">
              <w:rPr>
                <w:color w:val="FFFFFF" w:themeColor="background1"/>
                <w:szCs w:val="24"/>
              </w:rPr>
              <w:t>/2</w:t>
            </w:r>
            <w:r w:rsidR="00D225B6" w:rsidRPr="00982FEC">
              <w:rPr>
                <w:color w:val="FFFFFF" w:themeColor="background1"/>
                <w:szCs w:val="24"/>
              </w:rPr>
              <w:t>3</w:t>
            </w:r>
          </w:p>
          <w:p w14:paraId="4A1D5DA8" w14:textId="72B40108" w:rsidR="00053629" w:rsidRPr="00982FEC" w:rsidRDefault="00053629" w:rsidP="00611673">
            <w:pPr>
              <w:jc w:val="right"/>
              <w:rPr>
                <w:color w:val="FFFFFF" w:themeColor="background1"/>
                <w:szCs w:val="24"/>
              </w:rPr>
            </w:pPr>
            <w:r w:rsidRPr="00982FEC">
              <w:rPr>
                <w:color w:val="FFFFFF" w:themeColor="background1"/>
                <w:szCs w:val="24"/>
              </w:rPr>
              <w:t>£000</w:t>
            </w:r>
          </w:p>
        </w:tc>
        <w:tc>
          <w:tcPr>
            <w:tcW w:w="1470" w:type="dxa"/>
            <w:shd w:val="clear" w:color="auto" w:fill="BD2716"/>
            <w:vAlign w:val="center"/>
          </w:tcPr>
          <w:p w14:paraId="3C4AE606" w14:textId="77777777" w:rsidR="001F4E9F" w:rsidRPr="00982FEC" w:rsidRDefault="001F4E9F" w:rsidP="00611673">
            <w:pPr>
              <w:jc w:val="right"/>
              <w:rPr>
                <w:color w:val="FFFFFF" w:themeColor="background1"/>
                <w:szCs w:val="24"/>
              </w:rPr>
            </w:pPr>
            <w:r w:rsidRPr="00982FEC">
              <w:rPr>
                <w:color w:val="FFFFFF" w:themeColor="background1"/>
                <w:szCs w:val="24"/>
              </w:rPr>
              <w:t>202</w:t>
            </w:r>
            <w:r w:rsidR="00D225B6" w:rsidRPr="00982FEC">
              <w:rPr>
                <w:color w:val="FFFFFF" w:themeColor="background1"/>
                <w:szCs w:val="24"/>
              </w:rPr>
              <w:t>1</w:t>
            </w:r>
            <w:r w:rsidRPr="00982FEC">
              <w:rPr>
                <w:color w:val="FFFFFF" w:themeColor="background1"/>
                <w:szCs w:val="24"/>
              </w:rPr>
              <w:t>/2</w:t>
            </w:r>
            <w:r w:rsidR="00D225B6" w:rsidRPr="00982FEC">
              <w:rPr>
                <w:color w:val="FFFFFF" w:themeColor="background1"/>
                <w:szCs w:val="24"/>
              </w:rPr>
              <w:t>2</w:t>
            </w:r>
          </w:p>
          <w:p w14:paraId="639EE4C6" w14:textId="1B767F99" w:rsidR="00053629" w:rsidRPr="00982FEC" w:rsidRDefault="00053629" w:rsidP="00611673">
            <w:pPr>
              <w:jc w:val="right"/>
              <w:rPr>
                <w:color w:val="FFFFFF" w:themeColor="background1"/>
                <w:szCs w:val="24"/>
              </w:rPr>
            </w:pPr>
            <w:r w:rsidRPr="00982FEC">
              <w:rPr>
                <w:color w:val="FFFFFF" w:themeColor="background1"/>
                <w:szCs w:val="24"/>
              </w:rPr>
              <w:t>£000</w:t>
            </w:r>
          </w:p>
        </w:tc>
        <w:tc>
          <w:tcPr>
            <w:tcW w:w="1296" w:type="dxa"/>
            <w:shd w:val="clear" w:color="auto" w:fill="BD2716"/>
            <w:vAlign w:val="center"/>
          </w:tcPr>
          <w:p w14:paraId="11D51588" w14:textId="77777777" w:rsidR="001F4E9F" w:rsidRPr="00982FEC" w:rsidRDefault="001F4E9F" w:rsidP="00611673">
            <w:pPr>
              <w:jc w:val="right"/>
              <w:rPr>
                <w:color w:val="FFFFFF" w:themeColor="background1"/>
                <w:szCs w:val="24"/>
              </w:rPr>
            </w:pPr>
            <w:r w:rsidRPr="00982FEC">
              <w:rPr>
                <w:color w:val="FFFFFF" w:themeColor="background1"/>
                <w:szCs w:val="24"/>
              </w:rPr>
              <w:t>20</w:t>
            </w:r>
            <w:r w:rsidR="00D225B6" w:rsidRPr="00982FEC">
              <w:rPr>
                <w:color w:val="FFFFFF" w:themeColor="background1"/>
                <w:szCs w:val="24"/>
              </w:rPr>
              <w:t>20</w:t>
            </w:r>
            <w:r w:rsidRPr="00982FEC">
              <w:rPr>
                <w:color w:val="FFFFFF" w:themeColor="background1"/>
                <w:szCs w:val="24"/>
              </w:rPr>
              <w:t>/2</w:t>
            </w:r>
            <w:r w:rsidR="00AC5949" w:rsidRPr="00982FEC">
              <w:rPr>
                <w:color w:val="FFFFFF" w:themeColor="background1"/>
                <w:szCs w:val="24"/>
              </w:rPr>
              <w:t>1</w:t>
            </w:r>
          </w:p>
          <w:p w14:paraId="61BB6B9A" w14:textId="7293A875" w:rsidR="00053629" w:rsidRPr="00982FEC" w:rsidRDefault="00053629" w:rsidP="00611673">
            <w:pPr>
              <w:jc w:val="right"/>
              <w:rPr>
                <w:color w:val="FFFFFF" w:themeColor="background1"/>
                <w:szCs w:val="24"/>
              </w:rPr>
            </w:pPr>
            <w:r w:rsidRPr="00982FEC">
              <w:rPr>
                <w:color w:val="FFFFFF" w:themeColor="background1"/>
                <w:szCs w:val="24"/>
              </w:rPr>
              <w:t>£000</w:t>
            </w:r>
          </w:p>
        </w:tc>
        <w:tc>
          <w:tcPr>
            <w:tcW w:w="1276" w:type="dxa"/>
            <w:shd w:val="clear" w:color="auto" w:fill="BD2716"/>
            <w:vAlign w:val="center"/>
          </w:tcPr>
          <w:p w14:paraId="4F4C3727" w14:textId="77777777" w:rsidR="001F4E9F" w:rsidRPr="00982FEC" w:rsidRDefault="001F4E9F" w:rsidP="00611673">
            <w:pPr>
              <w:jc w:val="right"/>
              <w:rPr>
                <w:color w:val="FFFFFF" w:themeColor="background1"/>
                <w:szCs w:val="24"/>
              </w:rPr>
            </w:pPr>
            <w:r w:rsidRPr="00982FEC">
              <w:rPr>
                <w:color w:val="FFFFFF" w:themeColor="background1"/>
                <w:szCs w:val="24"/>
              </w:rPr>
              <w:t>201</w:t>
            </w:r>
            <w:r w:rsidR="00D225B6" w:rsidRPr="00982FEC">
              <w:rPr>
                <w:color w:val="FFFFFF" w:themeColor="background1"/>
                <w:szCs w:val="24"/>
              </w:rPr>
              <w:t>9</w:t>
            </w:r>
            <w:r w:rsidRPr="00982FEC">
              <w:rPr>
                <w:color w:val="FFFFFF" w:themeColor="background1"/>
                <w:szCs w:val="24"/>
              </w:rPr>
              <w:t>/</w:t>
            </w:r>
            <w:r w:rsidR="00D225B6" w:rsidRPr="00982FEC">
              <w:rPr>
                <w:color w:val="FFFFFF" w:themeColor="background1"/>
                <w:szCs w:val="24"/>
              </w:rPr>
              <w:t>20</w:t>
            </w:r>
          </w:p>
          <w:p w14:paraId="3BA5EB87" w14:textId="5C8C9874" w:rsidR="00053629" w:rsidRPr="00982FEC" w:rsidRDefault="00053629" w:rsidP="00611673">
            <w:pPr>
              <w:jc w:val="right"/>
              <w:rPr>
                <w:color w:val="FFFFFF" w:themeColor="background1"/>
                <w:szCs w:val="24"/>
              </w:rPr>
            </w:pPr>
            <w:r w:rsidRPr="00982FEC">
              <w:rPr>
                <w:color w:val="FFFFFF" w:themeColor="background1"/>
                <w:szCs w:val="24"/>
              </w:rPr>
              <w:t>£000</w:t>
            </w:r>
          </w:p>
        </w:tc>
        <w:tc>
          <w:tcPr>
            <w:tcW w:w="1276" w:type="dxa"/>
            <w:shd w:val="clear" w:color="auto" w:fill="BD2716"/>
            <w:vAlign w:val="center"/>
          </w:tcPr>
          <w:p w14:paraId="53B8B141" w14:textId="77777777" w:rsidR="001F4E9F" w:rsidRPr="00982FEC" w:rsidRDefault="001F4E9F" w:rsidP="00611673">
            <w:pPr>
              <w:jc w:val="right"/>
              <w:rPr>
                <w:color w:val="FFFFFF" w:themeColor="background1"/>
                <w:szCs w:val="24"/>
              </w:rPr>
            </w:pPr>
            <w:r w:rsidRPr="00982FEC">
              <w:rPr>
                <w:color w:val="FFFFFF" w:themeColor="background1"/>
                <w:szCs w:val="24"/>
              </w:rPr>
              <w:t>201</w:t>
            </w:r>
            <w:r w:rsidR="00D225B6" w:rsidRPr="00982FEC">
              <w:rPr>
                <w:color w:val="FFFFFF" w:themeColor="background1"/>
                <w:szCs w:val="24"/>
              </w:rPr>
              <w:t>8</w:t>
            </w:r>
            <w:r w:rsidRPr="00982FEC">
              <w:rPr>
                <w:color w:val="FFFFFF" w:themeColor="background1"/>
                <w:szCs w:val="24"/>
              </w:rPr>
              <w:t>/1</w:t>
            </w:r>
            <w:r w:rsidR="00D225B6" w:rsidRPr="00982FEC">
              <w:rPr>
                <w:color w:val="FFFFFF" w:themeColor="background1"/>
                <w:szCs w:val="24"/>
              </w:rPr>
              <w:t>9</w:t>
            </w:r>
          </w:p>
          <w:p w14:paraId="0811F53A" w14:textId="72497ED7" w:rsidR="00053629" w:rsidRPr="00982FEC" w:rsidRDefault="00053629" w:rsidP="00611673">
            <w:pPr>
              <w:jc w:val="right"/>
              <w:rPr>
                <w:color w:val="FFFFFF" w:themeColor="background1"/>
                <w:szCs w:val="24"/>
              </w:rPr>
            </w:pPr>
            <w:r w:rsidRPr="00982FEC">
              <w:rPr>
                <w:color w:val="FFFFFF" w:themeColor="background1"/>
                <w:szCs w:val="24"/>
              </w:rPr>
              <w:t>£000</w:t>
            </w:r>
          </w:p>
        </w:tc>
      </w:tr>
      <w:tr w:rsidR="00AC5949" w:rsidRPr="00470E44" w14:paraId="457BBFD2" w14:textId="77777777" w:rsidTr="00982FEC">
        <w:tc>
          <w:tcPr>
            <w:tcW w:w="9815" w:type="dxa"/>
            <w:gridSpan w:val="6"/>
            <w:shd w:val="clear" w:color="auto" w:fill="D9D9D9" w:themeFill="background1" w:themeFillShade="D9"/>
          </w:tcPr>
          <w:p w14:paraId="284A4D14" w14:textId="7078F7F0" w:rsidR="00AC5949" w:rsidRPr="00BD79B2" w:rsidRDefault="00AC5949" w:rsidP="000C442C">
            <w:pPr>
              <w:rPr>
                <w:b/>
                <w:bCs/>
                <w:szCs w:val="24"/>
              </w:rPr>
            </w:pPr>
            <w:r w:rsidRPr="00BD79B2">
              <w:rPr>
                <w:b/>
                <w:bCs/>
                <w:szCs w:val="24"/>
              </w:rPr>
              <w:t>Present value of liabilities:</w:t>
            </w:r>
          </w:p>
        </w:tc>
      </w:tr>
      <w:tr w:rsidR="00D225B6" w:rsidRPr="00470E44" w14:paraId="187DED63" w14:textId="77777777" w:rsidTr="00DD63D7">
        <w:tc>
          <w:tcPr>
            <w:tcW w:w="3119" w:type="dxa"/>
            <w:shd w:val="clear" w:color="auto" w:fill="auto"/>
          </w:tcPr>
          <w:p w14:paraId="377AC709" w14:textId="77777777" w:rsidR="00D225B6" w:rsidRPr="00AC5949" w:rsidRDefault="00D225B6" w:rsidP="000C442C">
            <w:pPr>
              <w:rPr>
                <w:szCs w:val="24"/>
              </w:rPr>
            </w:pPr>
            <w:r w:rsidRPr="00AC5949">
              <w:rPr>
                <w:szCs w:val="24"/>
              </w:rPr>
              <w:t>Local Government Pension Scheme (LGPS)</w:t>
            </w:r>
          </w:p>
        </w:tc>
        <w:tc>
          <w:tcPr>
            <w:tcW w:w="1378" w:type="dxa"/>
            <w:shd w:val="clear" w:color="auto" w:fill="auto"/>
            <w:vAlign w:val="center"/>
          </w:tcPr>
          <w:p w14:paraId="7C3285BF" w14:textId="25CDE8F8" w:rsidR="00D225B6" w:rsidRPr="00AC5949" w:rsidRDefault="00D225B6" w:rsidP="00DD63D7">
            <w:pPr>
              <w:jc w:val="right"/>
              <w:rPr>
                <w:szCs w:val="24"/>
              </w:rPr>
            </w:pPr>
            <w:r w:rsidRPr="00AC5949">
              <w:rPr>
                <w:szCs w:val="24"/>
              </w:rPr>
              <w:t>(</w:t>
            </w:r>
            <w:r w:rsidR="00C72A7E" w:rsidRPr="00AC5949">
              <w:rPr>
                <w:szCs w:val="24"/>
              </w:rPr>
              <w:t>58,483</w:t>
            </w:r>
            <w:r w:rsidRPr="00AC5949">
              <w:rPr>
                <w:szCs w:val="24"/>
              </w:rPr>
              <w:t>)</w:t>
            </w:r>
          </w:p>
        </w:tc>
        <w:tc>
          <w:tcPr>
            <w:tcW w:w="1470" w:type="dxa"/>
            <w:shd w:val="clear" w:color="auto" w:fill="auto"/>
            <w:vAlign w:val="center"/>
          </w:tcPr>
          <w:p w14:paraId="3941FCA7" w14:textId="3BC88955" w:rsidR="00D225B6" w:rsidRPr="00AC5949" w:rsidRDefault="00D225B6" w:rsidP="00DD63D7">
            <w:pPr>
              <w:jc w:val="right"/>
              <w:rPr>
                <w:szCs w:val="24"/>
              </w:rPr>
            </w:pPr>
            <w:r w:rsidRPr="00AC5949">
              <w:rPr>
                <w:szCs w:val="24"/>
              </w:rPr>
              <w:t>(84,201)</w:t>
            </w:r>
          </w:p>
        </w:tc>
        <w:tc>
          <w:tcPr>
            <w:tcW w:w="1296" w:type="dxa"/>
            <w:shd w:val="clear" w:color="auto" w:fill="auto"/>
            <w:vAlign w:val="center"/>
          </w:tcPr>
          <w:p w14:paraId="33866DB5" w14:textId="33586E4A" w:rsidR="00D225B6" w:rsidRPr="00AC5949" w:rsidRDefault="00D225B6" w:rsidP="00DD63D7">
            <w:pPr>
              <w:jc w:val="right"/>
              <w:rPr>
                <w:szCs w:val="24"/>
              </w:rPr>
            </w:pPr>
            <w:r w:rsidRPr="00AC5949">
              <w:rPr>
                <w:szCs w:val="24"/>
              </w:rPr>
              <w:t>(83,631)</w:t>
            </w:r>
          </w:p>
        </w:tc>
        <w:tc>
          <w:tcPr>
            <w:tcW w:w="1276" w:type="dxa"/>
            <w:shd w:val="clear" w:color="auto" w:fill="auto"/>
            <w:vAlign w:val="center"/>
          </w:tcPr>
          <w:p w14:paraId="472B86D4" w14:textId="0924B34B" w:rsidR="00D225B6" w:rsidRPr="00AC5949" w:rsidRDefault="00D225B6" w:rsidP="00DD63D7">
            <w:pPr>
              <w:jc w:val="right"/>
              <w:rPr>
                <w:szCs w:val="24"/>
              </w:rPr>
            </w:pPr>
            <w:r w:rsidRPr="00AC5949">
              <w:rPr>
                <w:szCs w:val="24"/>
              </w:rPr>
              <w:t>(69,102)</w:t>
            </w:r>
          </w:p>
        </w:tc>
        <w:tc>
          <w:tcPr>
            <w:tcW w:w="1276" w:type="dxa"/>
            <w:shd w:val="clear" w:color="auto" w:fill="auto"/>
            <w:vAlign w:val="center"/>
          </w:tcPr>
          <w:p w14:paraId="6BE05731" w14:textId="340FE8FC" w:rsidR="00D225B6" w:rsidRPr="00AC5949" w:rsidRDefault="00D225B6" w:rsidP="00DD63D7">
            <w:pPr>
              <w:jc w:val="right"/>
              <w:rPr>
                <w:szCs w:val="24"/>
              </w:rPr>
            </w:pPr>
            <w:r w:rsidRPr="00AC5949">
              <w:rPr>
                <w:szCs w:val="24"/>
              </w:rPr>
              <w:t>(69,436)</w:t>
            </w:r>
          </w:p>
        </w:tc>
      </w:tr>
      <w:tr w:rsidR="00D225B6" w:rsidRPr="00470E44" w14:paraId="662AC241" w14:textId="77777777" w:rsidTr="00DD63D7">
        <w:tc>
          <w:tcPr>
            <w:tcW w:w="3119" w:type="dxa"/>
            <w:shd w:val="clear" w:color="auto" w:fill="auto"/>
          </w:tcPr>
          <w:p w14:paraId="3208A8BC" w14:textId="77777777" w:rsidR="00D225B6" w:rsidRPr="00AC5949" w:rsidRDefault="00D225B6" w:rsidP="000C442C">
            <w:pPr>
              <w:rPr>
                <w:szCs w:val="24"/>
              </w:rPr>
            </w:pPr>
            <w:r w:rsidRPr="00AC5949">
              <w:rPr>
                <w:szCs w:val="24"/>
              </w:rPr>
              <w:t>Firefighters Pension Scheme</w:t>
            </w:r>
          </w:p>
        </w:tc>
        <w:tc>
          <w:tcPr>
            <w:tcW w:w="1378" w:type="dxa"/>
            <w:shd w:val="clear" w:color="auto" w:fill="auto"/>
            <w:vAlign w:val="center"/>
          </w:tcPr>
          <w:p w14:paraId="113E0FDD" w14:textId="025208CC" w:rsidR="00D225B6" w:rsidRPr="00AC5949" w:rsidRDefault="00D225B6" w:rsidP="00DD63D7">
            <w:pPr>
              <w:jc w:val="right"/>
              <w:rPr>
                <w:szCs w:val="24"/>
              </w:rPr>
            </w:pPr>
            <w:r w:rsidRPr="00AC5949">
              <w:rPr>
                <w:szCs w:val="24"/>
              </w:rPr>
              <w:t>(</w:t>
            </w:r>
            <w:r w:rsidR="00793B97" w:rsidRPr="00AC5949">
              <w:rPr>
                <w:szCs w:val="24"/>
              </w:rPr>
              <w:t>6</w:t>
            </w:r>
            <w:r w:rsidR="008302A9">
              <w:rPr>
                <w:szCs w:val="24"/>
              </w:rPr>
              <w:t>51</w:t>
            </w:r>
            <w:r w:rsidR="00793B97" w:rsidRPr="00AC5949">
              <w:rPr>
                <w:szCs w:val="24"/>
              </w:rPr>
              <w:t>,</w:t>
            </w:r>
            <w:r w:rsidR="008302A9">
              <w:rPr>
                <w:szCs w:val="24"/>
              </w:rPr>
              <w:t>53</w:t>
            </w:r>
            <w:r w:rsidR="00016FF5" w:rsidRPr="00AC5949">
              <w:rPr>
                <w:szCs w:val="24"/>
              </w:rPr>
              <w:t>6</w:t>
            </w:r>
            <w:r w:rsidRPr="00AC5949">
              <w:rPr>
                <w:szCs w:val="24"/>
              </w:rPr>
              <w:t>)</w:t>
            </w:r>
          </w:p>
        </w:tc>
        <w:tc>
          <w:tcPr>
            <w:tcW w:w="1470" w:type="dxa"/>
            <w:shd w:val="clear" w:color="auto" w:fill="auto"/>
            <w:vAlign w:val="center"/>
          </w:tcPr>
          <w:p w14:paraId="14F3436A" w14:textId="73873C91" w:rsidR="00D225B6" w:rsidRPr="00AC5949" w:rsidRDefault="00D225B6" w:rsidP="00DD63D7">
            <w:pPr>
              <w:jc w:val="right"/>
              <w:rPr>
                <w:szCs w:val="24"/>
              </w:rPr>
            </w:pPr>
            <w:r w:rsidRPr="00AC5949">
              <w:rPr>
                <w:szCs w:val="24"/>
              </w:rPr>
              <w:t>(875,936)</w:t>
            </w:r>
          </w:p>
        </w:tc>
        <w:tc>
          <w:tcPr>
            <w:tcW w:w="1296" w:type="dxa"/>
            <w:shd w:val="clear" w:color="auto" w:fill="auto"/>
            <w:vAlign w:val="center"/>
          </w:tcPr>
          <w:p w14:paraId="536E00D7" w14:textId="2C5B762A" w:rsidR="00D225B6" w:rsidRPr="00AC5949" w:rsidRDefault="00D225B6" w:rsidP="00DD63D7">
            <w:pPr>
              <w:jc w:val="right"/>
              <w:rPr>
                <w:szCs w:val="24"/>
              </w:rPr>
            </w:pPr>
            <w:r w:rsidRPr="00AC5949">
              <w:rPr>
                <w:szCs w:val="24"/>
              </w:rPr>
              <w:t>(872,386)</w:t>
            </w:r>
          </w:p>
        </w:tc>
        <w:tc>
          <w:tcPr>
            <w:tcW w:w="1276" w:type="dxa"/>
            <w:shd w:val="clear" w:color="auto" w:fill="auto"/>
            <w:vAlign w:val="center"/>
          </w:tcPr>
          <w:p w14:paraId="3E230EF3" w14:textId="5460DB25" w:rsidR="00D225B6" w:rsidRPr="00AC5949" w:rsidRDefault="00D225B6" w:rsidP="00DD63D7">
            <w:pPr>
              <w:jc w:val="right"/>
              <w:rPr>
                <w:szCs w:val="24"/>
              </w:rPr>
            </w:pPr>
            <w:r w:rsidRPr="00AC5949">
              <w:rPr>
                <w:szCs w:val="24"/>
              </w:rPr>
              <w:t>(805,506)</w:t>
            </w:r>
          </w:p>
        </w:tc>
        <w:tc>
          <w:tcPr>
            <w:tcW w:w="1276" w:type="dxa"/>
            <w:shd w:val="clear" w:color="auto" w:fill="auto"/>
            <w:vAlign w:val="center"/>
          </w:tcPr>
          <w:p w14:paraId="620147C2" w14:textId="33E8974A" w:rsidR="00D225B6" w:rsidRPr="00AC5949" w:rsidRDefault="00D225B6" w:rsidP="00DD63D7">
            <w:pPr>
              <w:jc w:val="right"/>
              <w:rPr>
                <w:szCs w:val="24"/>
              </w:rPr>
            </w:pPr>
            <w:r w:rsidRPr="00AC5949">
              <w:rPr>
                <w:szCs w:val="24"/>
              </w:rPr>
              <w:t>(857,236)</w:t>
            </w:r>
          </w:p>
        </w:tc>
      </w:tr>
      <w:tr w:rsidR="00D225B6" w:rsidRPr="00470E44" w14:paraId="48BA3EB7" w14:textId="77777777" w:rsidTr="00DD63D7">
        <w:tc>
          <w:tcPr>
            <w:tcW w:w="3119" w:type="dxa"/>
            <w:shd w:val="clear" w:color="auto" w:fill="auto"/>
          </w:tcPr>
          <w:p w14:paraId="116B1D38" w14:textId="77777777" w:rsidR="00D225B6" w:rsidRPr="00AC5949" w:rsidRDefault="00D225B6" w:rsidP="000C442C">
            <w:pPr>
              <w:rPr>
                <w:szCs w:val="24"/>
              </w:rPr>
            </w:pPr>
            <w:r w:rsidRPr="00AC5949">
              <w:rPr>
                <w:szCs w:val="24"/>
              </w:rPr>
              <w:t>Fair value of assets in LGPS</w:t>
            </w:r>
          </w:p>
        </w:tc>
        <w:tc>
          <w:tcPr>
            <w:tcW w:w="1378" w:type="dxa"/>
            <w:shd w:val="clear" w:color="auto" w:fill="auto"/>
            <w:vAlign w:val="center"/>
          </w:tcPr>
          <w:p w14:paraId="554CAC82" w14:textId="0FD8E3F4" w:rsidR="00D225B6" w:rsidRPr="00AC5949" w:rsidRDefault="00D225B6" w:rsidP="00DD63D7">
            <w:pPr>
              <w:jc w:val="right"/>
              <w:rPr>
                <w:szCs w:val="24"/>
              </w:rPr>
            </w:pPr>
            <w:r w:rsidRPr="00AC5949">
              <w:rPr>
                <w:szCs w:val="24"/>
              </w:rPr>
              <w:t>7</w:t>
            </w:r>
            <w:r w:rsidR="00042ADF" w:rsidRPr="00AC5949">
              <w:rPr>
                <w:szCs w:val="24"/>
              </w:rPr>
              <w:t>8,3</w:t>
            </w:r>
            <w:r w:rsidR="007B3C87" w:rsidRPr="00AC5949">
              <w:rPr>
                <w:szCs w:val="24"/>
              </w:rPr>
              <w:t>60</w:t>
            </w:r>
          </w:p>
        </w:tc>
        <w:tc>
          <w:tcPr>
            <w:tcW w:w="1470" w:type="dxa"/>
            <w:shd w:val="clear" w:color="auto" w:fill="auto"/>
            <w:vAlign w:val="center"/>
          </w:tcPr>
          <w:p w14:paraId="7982D5C8" w14:textId="6C0DD813" w:rsidR="00D225B6" w:rsidRPr="00AC5949" w:rsidRDefault="00D225B6" w:rsidP="00DD63D7">
            <w:pPr>
              <w:jc w:val="right"/>
              <w:rPr>
                <w:szCs w:val="24"/>
              </w:rPr>
            </w:pPr>
            <w:r w:rsidRPr="00AC5949">
              <w:rPr>
                <w:szCs w:val="24"/>
              </w:rPr>
              <w:t>76,703</w:t>
            </w:r>
          </w:p>
        </w:tc>
        <w:tc>
          <w:tcPr>
            <w:tcW w:w="1296" w:type="dxa"/>
            <w:shd w:val="clear" w:color="auto" w:fill="auto"/>
            <w:vAlign w:val="center"/>
          </w:tcPr>
          <w:p w14:paraId="2B5062B4" w14:textId="2AE6D979" w:rsidR="00D225B6" w:rsidRPr="00AC5949" w:rsidRDefault="00D225B6" w:rsidP="00DD63D7">
            <w:pPr>
              <w:jc w:val="right"/>
              <w:rPr>
                <w:szCs w:val="24"/>
              </w:rPr>
            </w:pPr>
            <w:r w:rsidRPr="00AC5949">
              <w:rPr>
                <w:szCs w:val="24"/>
              </w:rPr>
              <w:t>68,314</w:t>
            </w:r>
          </w:p>
        </w:tc>
        <w:tc>
          <w:tcPr>
            <w:tcW w:w="1276" w:type="dxa"/>
            <w:shd w:val="clear" w:color="auto" w:fill="auto"/>
            <w:vAlign w:val="center"/>
          </w:tcPr>
          <w:p w14:paraId="45E74F68" w14:textId="52E99B0B" w:rsidR="00D225B6" w:rsidRPr="00AC5949" w:rsidRDefault="00D225B6" w:rsidP="00DD63D7">
            <w:pPr>
              <w:jc w:val="right"/>
              <w:rPr>
                <w:szCs w:val="24"/>
              </w:rPr>
            </w:pPr>
            <w:r w:rsidRPr="00AC5949">
              <w:rPr>
                <w:szCs w:val="24"/>
              </w:rPr>
              <w:t>61,932</w:t>
            </w:r>
          </w:p>
        </w:tc>
        <w:tc>
          <w:tcPr>
            <w:tcW w:w="1276" w:type="dxa"/>
            <w:shd w:val="clear" w:color="auto" w:fill="auto"/>
            <w:vAlign w:val="center"/>
          </w:tcPr>
          <w:p w14:paraId="55DE3593" w14:textId="1F66CE7B" w:rsidR="00D225B6" w:rsidRPr="00AC5949" w:rsidRDefault="00D225B6" w:rsidP="00DD63D7">
            <w:pPr>
              <w:jc w:val="right"/>
              <w:rPr>
                <w:szCs w:val="24"/>
              </w:rPr>
            </w:pPr>
            <w:r w:rsidRPr="00AC5949">
              <w:rPr>
                <w:szCs w:val="24"/>
              </w:rPr>
              <w:t>61,783</w:t>
            </w:r>
          </w:p>
        </w:tc>
      </w:tr>
    </w:tbl>
    <w:p w14:paraId="64F3650A" w14:textId="77777777" w:rsidR="001E71F1" w:rsidRDefault="001E71F1"/>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378"/>
        <w:gridCol w:w="1470"/>
        <w:gridCol w:w="1296"/>
        <w:gridCol w:w="1276"/>
        <w:gridCol w:w="1276"/>
      </w:tblGrid>
      <w:tr w:rsidR="00AC5949" w:rsidRPr="00470E44" w14:paraId="796A5A0C" w14:textId="77777777" w:rsidTr="00982FEC">
        <w:tc>
          <w:tcPr>
            <w:tcW w:w="9815" w:type="dxa"/>
            <w:gridSpan w:val="6"/>
            <w:shd w:val="clear" w:color="auto" w:fill="D9D9D9" w:themeFill="background1" w:themeFillShade="D9"/>
          </w:tcPr>
          <w:p w14:paraId="04BD9E30" w14:textId="0B79DB10" w:rsidR="00AC5949" w:rsidRPr="00BD79B2" w:rsidRDefault="00AC5949" w:rsidP="000C442C">
            <w:pPr>
              <w:rPr>
                <w:b/>
                <w:bCs/>
                <w:szCs w:val="24"/>
              </w:rPr>
            </w:pPr>
            <w:r w:rsidRPr="00BD79B2">
              <w:rPr>
                <w:b/>
                <w:bCs/>
                <w:szCs w:val="24"/>
              </w:rPr>
              <w:t>Surplus/(Deficit) in the scheme:</w:t>
            </w:r>
          </w:p>
        </w:tc>
      </w:tr>
      <w:tr w:rsidR="00D225B6" w:rsidRPr="00470E44" w14:paraId="1E660B70" w14:textId="77777777" w:rsidTr="00DD63D7">
        <w:tc>
          <w:tcPr>
            <w:tcW w:w="3119" w:type="dxa"/>
            <w:shd w:val="clear" w:color="auto" w:fill="auto"/>
          </w:tcPr>
          <w:p w14:paraId="000D6A8F" w14:textId="77777777" w:rsidR="00D225B6" w:rsidRPr="00AC5949" w:rsidRDefault="00D225B6" w:rsidP="000C442C">
            <w:pPr>
              <w:rPr>
                <w:szCs w:val="24"/>
              </w:rPr>
            </w:pPr>
            <w:r w:rsidRPr="00AC5949">
              <w:rPr>
                <w:szCs w:val="24"/>
              </w:rPr>
              <w:t>Local Government Pension Scheme (LGPS)</w:t>
            </w:r>
          </w:p>
        </w:tc>
        <w:tc>
          <w:tcPr>
            <w:tcW w:w="1378" w:type="dxa"/>
            <w:shd w:val="clear" w:color="auto" w:fill="auto"/>
            <w:vAlign w:val="center"/>
          </w:tcPr>
          <w:p w14:paraId="1DBDAE84" w14:textId="716CF82F" w:rsidR="00D225B6" w:rsidRPr="00AC5949" w:rsidRDefault="00525489" w:rsidP="00DD63D7">
            <w:pPr>
              <w:jc w:val="right"/>
              <w:rPr>
                <w:szCs w:val="24"/>
              </w:rPr>
            </w:pPr>
            <w:r>
              <w:rPr>
                <w:szCs w:val="24"/>
              </w:rPr>
              <w:t>19,877</w:t>
            </w:r>
          </w:p>
        </w:tc>
        <w:tc>
          <w:tcPr>
            <w:tcW w:w="1470" w:type="dxa"/>
            <w:shd w:val="clear" w:color="auto" w:fill="auto"/>
            <w:vAlign w:val="center"/>
          </w:tcPr>
          <w:p w14:paraId="10DCCB22" w14:textId="7D011CEF" w:rsidR="00D225B6" w:rsidRPr="00AC5949" w:rsidRDefault="00D225B6" w:rsidP="00DD63D7">
            <w:pPr>
              <w:jc w:val="right"/>
              <w:rPr>
                <w:szCs w:val="24"/>
              </w:rPr>
            </w:pPr>
            <w:r w:rsidRPr="00AC5949">
              <w:rPr>
                <w:szCs w:val="24"/>
              </w:rPr>
              <w:t>(7,498)</w:t>
            </w:r>
          </w:p>
        </w:tc>
        <w:tc>
          <w:tcPr>
            <w:tcW w:w="1296" w:type="dxa"/>
            <w:shd w:val="clear" w:color="auto" w:fill="auto"/>
            <w:vAlign w:val="center"/>
          </w:tcPr>
          <w:p w14:paraId="01699BEA" w14:textId="1171E750" w:rsidR="00D225B6" w:rsidRPr="00AC5949" w:rsidRDefault="00D225B6" w:rsidP="00DD63D7">
            <w:pPr>
              <w:jc w:val="right"/>
              <w:rPr>
                <w:szCs w:val="24"/>
              </w:rPr>
            </w:pPr>
            <w:r w:rsidRPr="00AC5949">
              <w:rPr>
                <w:szCs w:val="24"/>
              </w:rPr>
              <w:t>(15,318)</w:t>
            </w:r>
          </w:p>
        </w:tc>
        <w:tc>
          <w:tcPr>
            <w:tcW w:w="1276" w:type="dxa"/>
            <w:shd w:val="clear" w:color="auto" w:fill="auto"/>
            <w:vAlign w:val="center"/>
          </w:tcPr>
          <w:p w14:paraId="4B8F1B33" w14:textId="4C38D882" w:rsidR="00D225B6" w:rsidRPr="00AC5949" w:rsidRDefault="00D225B6" w:rsidP="00DD63D7">
            <w:pPr>
              <w:jc w:val="right"/>
              <w:rPr>
                <w:szCs w:val="24"/>
              </w:rPr>
            </w:pPr>
            <w:r w:rsidRPr="00AC5949">
              <w:rPr>
                <w:szCs w:val="24"/>
              </w:rPr>
              <w:t>(7,170)</w:t>
            </w:r>
          </w:p>
        </w:tc>
        <w:tc>
          <w:tcPr>
            <w:tcW w:w="1276" w:type="dxa"/>
            <w:shd w:val="clear" w:color="auto" w:fill="auto"/>
            <w:vAlign w:val="center"/>
          </w:tcPr>
          <w:p w14:paraId="4C136066" w14:textId="567AF4B3" w:rsidR="00D225B6" w:rsidRPr="00AC5949" w:rsidRDefault="00D225B6" w:rsidP="00DD63D7">
            <w:pPr>
              <w:jc w:val="right"/>
              <w:rPr>
                <w:szCs w:val="24"/>
              </w:rPr>
            </w:pPr>
            <w:r w:rsidRPr="00AC5949">
              <w:rPr>
                <w:szCs w:val="24"/>
              </w:rPr>
              <w:t>(7,653)</w:t>
            </w:r>
          </w:p>
        </w:tc>
      </w:tr>
      <w:tr w:rsidR="00D225B6" w:rsidRPr="00470E44" w14:paraId="5FAE166C" w14:textId="77777777" w:rsidTr="00DD63D7">
        <w:tc>
          <w:tcPr>
            <w:tcW w:w="3119" w:type="dxa"/>
            <w:shd w:val="clear" w:color="auto" w:fill="auto"/>
          </w:tcPr>
          <w:p w14:paraId="4BD18E1F" w14:textId="77777777" w:rsidR="00D225B6" w:rsidRPr="00AC5949" w:rsidRDefault="00D225B6" w:rsidP="000C442C">
            <w:pPr>
              <w:rPr>
                <w:szCs w:val="24"/>
              </w:rPr>
            </w:pPr>
            <w:r w:rsidRPr="00AC5949">
              <w:rPr>
                <w:szCs w:val="24"/>
              </w:rPr>
              <w:t>Firefighters Pension Scheme</w:t>
            </w:r>
          </w:p>
        </w:tc>
        <w:tc>
          <w:tcPr>
            <w:tcW w:w="1378" w:type="dxa"/>
            <w:shd w:val="clear" w:color="auto" w:fill="auto"/>
            <w:vAlign w:val="center"/>
          </w:tcPr>
          <w:p w14:paraId="41460B36" w14:textId="4EA5BCD1" w:rsidR="00D225B6" w:rsidRPr="00AC5949" w:rsidRDefault="00D225B6" w:rsidP="00DD63D7">
            <w:pPr>
              <w:jc w:val="right"/>
              <w:rPr>
                <w:szCs w:val="24"/>
              </w:rPr>
            </w:pPr>
            <w:r w:rsidRPr="00AC5949">
              <w:rPr>
                <w:szCs w:val="24"/>
              </w:rPr>
              <w:t>(</w:t>
            </w:r>
            <w:r w:rsidR="00793B97" w:rsidRPr="00AC5949">
              <w:rPr>
                <w:szCs w:val="24"/>
              </w:rPr>
              <w:t>6</w:t>
            </w:r>
            <w:r w:rsidR="008302A9">
              <w:rPr>
                <w:szCs w:val="24"/>
              </w:rPr>
              <w:t>51</w:t>
            </w:r>
            <w:r w:rsidR="00793B97" w:rsidRPr="00AC5949">
              <w:rPr>
                <w:szCs w:val="24"/>
              </w:rPr>
              <w:t>,</w:t>
            </w:r>
            <w:r w:rsidR="008302A9">
              <w:rPr>
                <w:szCs w:val="24"/>
              </w:rPr>
              <w:t>53</w:t>
            </w:r>
            <w:r w:rsidR="00016FF5" w:rsidRPr="00AC5949">
              <w:rPr>
                <w:szCs w:val="24"/>
              </w:rPr>
              <w:t>6</w:t>
            </w:r>
            <w:r w:rsidRPr="00AC5949">
              <w:rPr>
                <w:szCs w:val="24"/>
              </w:rPr>
              <w:t>)</w:t>
            </w:r>
          </w:p>
        </w:tc>
        <w:tc>
          <w:tcPr>
            <w:tcW w:w="1470" w:type="dxa"/>
            <w:shd w:val="clear" w:color="auto" w:fill="auto"/>
            <w:vAlign w:val="center"/>
          </w:tcPr>
          <w:p w14:paraId="3728E930" w14:textId="1726DE2F" w:rsidR="00D225B6" w:rsidRPr="00AC5949" w:rsidRDefault="00D225B6" w:rsidP="00DD63D7">
            <w:pPr>
              <w:jc w:val="right"/>
              <w:rPr>
                <w:szCs w:val="24"/>
              </w:rPr>
            </w:pPr>
            <w:r w:rsidRPr="00AC5949">
              <w:rPr>
                <w:szCs w:val="24"/>
              </w:rPr>
              <w:t>(875,936)</w:t>
            </w:r>
          </w:p>
        </w:tc>
        <w:tc>
          <w:tcPr>
            <w:tcW w:w="1296" w:type="dxa"/>
            <w:shd w:val="clear" w:color="auto" w:fill="auto"/>
            <w:vAlign w:val="center"/>
          </w:tcPr>
          <w:p w14:paraId="3786B6B9" w14:textId="416940D6" w:rsidR="00D225B6" w:rsidRPr="00AC5949" w:rsidRDefault="00D225B6" w:rsidP="00DD63D7">
            <w:pPr>
              <w:jc w:val="right"/>
              <w:rPr>
                <w:szCs w:val="24"/>
              </w:rPr>
            </w:pPr>
            <w:r w:rsidRPr="00AC5949">
              <w:rPr>
                <w:szCs w:val="24"/>
              </w:rPr>
              <w:t>(872,386)</w:t>
            </w:r>
          </w:p>
        </w:tc>
        <w:tc>
          <w:tcPr>
            <w:tcW w:w="1276" w:type="dxa"/>
            <w:shd w:val="clear" w:color="auto" w:fill="auto"/>
            <w:vAlign w:val="center"/>
          </w:tcPr>
          <w:p w14:paraId="461C9A58" w14:textId="3BE1A733" w:rsidR="00D225B6" w:rsidRPr="00AC5949" w:rsidRDefault="00D225B6" w:rsidP="00DD63D7">
            <w:pPr>
              <w:jc w:val="right"/>
              <w:rPr>
                <w:szCs w:val="24"/>
              </w:rPr>
            </w:pPr>
            <w:r w:rsidRPr="00AC5949">
              <w:rPr>
                <w:szCs w:val="24"/>
              </w:rPr>
              <w:t>(805,506)</w:t>
            </w:r>
          </w:p>
        </w:tc>
        <w:tc>
          <w:tcPr>
            <w:tcW w:w="1276" w:type="dxa"/>
            <w:shd w:val="clear" w:color="auto" w:fill="auto"/>
            <w:vAlign w:val="center"/>
          </w:tcPr>
          <w:p w14:paraId="5259F237" w14:textId="17B2C4F5" w:rsidR="00D225B6" w:rsidRPr="00AC5949" w:rsidRDefault="00D225B6" w:rsidP="00DD63D7">
            <w:pPr>
              <w:jc w:val="right"/>
              <w:rPr>
                <w:szCs w:val="24"/>
              </w:rPr>
            </w:pPr>
            <w:r w:rsidRPr="00AC5949">
              <w:rPr>
                <w:szCs w:val="24"/>
              </w:rPr>
              <w:t>(857,236)</w:t>
            </w:r>
          </w:p>
        </w:tc>
      </w:tr>
    </w:tbl>
    <w:p w14:paraId="68782FB6" w14:textId="77777777" w:rsidR="001E71F1" w:rsidRDefault="001E71F1"/>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378"/>
        <w:gridCol w:w="1470"/>
        <w:gridCol w:w="1296"/>
        <w:gridCol w:w="1276"/>
        <w:gridCol w:w="1276"/>
      </w:tblGrid>
      <w:tr w:rsidR="00EB4B3B" w:rsidRPr="00470E44" w14:paraId="63CF7922" w14:textId="77777777" w:rsidTr="00982FEC">
        <w:tc>
          <w:tcPr>
            <w:tcW w:w="9815" w:type="dxa"/>
            <w:gridSpan w:val="6"/>
            <w:shd w:val="clear" w:color="auto" w:fill="D9D9D9" w:themeFill="background1" w:themeFillShade="D9"/>
          </w:tcPr>
          <w:p w14:paraId="0FA5B9A4" w14:textId="47CBCE61" w:rsidR="00EB4B3B" w:rsidRPr="00BD79B2" w:rsidRDefault="00EB4B3B" w:rsidP="00EB4B3B">
            <w:pPr>
              <w:rPr>
                <w:b/>
                <w:bCs/>
                <w:szCs w:val="24"/>
              </w:rPr>
            </w:pPr>
            <w:r w:rsidRPr="00BD79B2">
              <w:rPr>
                <w:b/>
                <w:bCs/>
                <w:szCs w:val="24"/>
              </w:rPr>
              <w:t>Pension Asset Ceiling</w:t>
            </w:r>
            <w:r w:rsidR="00475B2F" w:rsidRPr="00BD79B2">
              <w:rPr>
                <w:b/>
                <w:bCs/>
                <w:szCs w:val="24"/>
              </w:rPr>
              <w:t xml:space="preserve"> Adjustment</w:t>
            </w:r>
            <w:r w:rsidRPr="00BD79B2">
              <w:rPr>
                <w:b/>
                <w:bCs/>
                <w:szCs w:val="24"/>
              </w:rPr>
              <w:t>:</w:t>
            </w:r>
          </w:p>
        </w:tc>
      </w:tr>
      <w:tr w:rsidR="00EB4B3B" w:rsidRPr="00470E44" w14:paraId="6794C4C1" w14:textId="77777777" w:rsidTr="00DD63D7">
        <w:tc>
          <w:tcPr>
            <w:tcW w:w="3119" w:type="dxa"/>
            <w:shd w:val="clear" w:color="auto" w:fill="auto"/>
          </w:tcPr>
          <w:p w14:paraId="00BCC40D" w14:textId="0F68DDE2" w:rsidR="00EB4B3B" w:rsidRPr="00AC5949" w:rsidRDefault="00EB4B3B" w:rsidP="00EB4B3B">
            <w:pPr>
              <w:rPr>
                <w:szCs w:val="24"/>
              </w:rPr>
            </w:pPr>
            <w:r w:rsidRPr="00AC5949">
              <w:rPr>
                <w:szCs w:val="24"/>
              </w:rPr>
              <w:t>Local Government Pension Scheme (LGPS)</w:t>
            </w:r>
          </w:p>
        </w:tc>
        <w:tc>
          <w:tcPr>
            <w:tcW w:w="1378" w:type="dxa"/>
            <w:shd w:val="clear" w:color="auto" w:fill="auto"/>
            <w:vAlign w:val="center"/>
          </w:tcPr>
          <w:p w14:paraId="64B9D660" w14:textId="681A9681" w:rsidR="00EB4B3B" w:rsidRPr="00AC5949" w:rsidRDefault="00EB4B3B" w:rsidP="00DD63D7">
            <w:pPr>
              <w:jc w:val="right"/>
              <w:rPr>
                <w:szCs w:val="24"/>
              </w:rPr>
            </w:pPr>
            <w:r>
              <w:rPr>
                <w:szCs w:val="24"/>
              </w:rPr>
              <w:t>(19,877)</w:t>
            </w:r>
          </w:p>
        </w:tc>
        <w:tc>
          <w:tcPr>
            <w:tcW w:w="1470" w:type="dxa"/>
            <w:shd w:val="clear" w:color="auto" w:fill="auto"/>
            <w:vAlign w:val="center"/>
          </w:tcPr>
          <w:p w14:paraId="48620ECC" w14:textId="5F0CBDC9" w:rsidR="00EB4B3B" w:rsidRPr="00AC5949" w:rsidRDefault="00EB4B3B" w:rsidP="00DD63D7">
            <w:pPr>
              <w:jc w:val="right"/>
              <w:rPr>
                <w:szCs w:val="24"/>
              </w:rPr>
            </w:pPr>
            <w:r>
              <w:rPr>
                <w:szCs w:val="24"/>
              </w:rPr>
              <w:t>-</w:t>
            </w:r>
          </w:p>
        </w:tc>
        <w:tc>
          <w:tcPr>
            <w:tcW w:w="1296" w:type="dxa"/>
            <w:shd w:val="clear" w:color="auto" w:fill="auto"/>
            <w:vAlign w:val="center"/>
          </w:tcPr>
          <w:p w14:paraId="74DE78F4" w14:textId="06D9A994" w:rsidR="00EB4B3B" w:rsidRPr="00AC5949" w:rsidRDefault="00EB4B3B" w:rsidP="00DD63D7">
            <w:pPr>
              <w:jc w:val="right"/>
              <w:rPr>
                <w:szCs w:val="24"/>
              </w:rPr>
            </w:pPr>
            <w:r>
              <w:rPr>
                <w:szCs w:val="24"/>
              </w:rPr>
              <w:t>-</w:t>
            </w:r>
          </w:p>
        </w:tc>
        <w:tc>
          <w:tcPr>
            <w:tcW w:w="1276" w:type="dxa"/>
            <w:shd w:val="clear" w:color="auto" w:fill="auto"/>
            <w:vAlign w:val="center"/>
          </w:tcPr>
          <w:p w14:paraId="15D32879" w14:textId="674B5945" w:rsidR="00EB4B3B" w:rsidRPr="00AC5949" w:rsidRDefault="00EB4B3B" w:rsidP="00DD63D7">
            <w:pPr>
              <w:jc w:val="right"/>
              <w:rPr>
                <w:szCs w:val="24"/>
              </w:rPr>
            </w:pPr>
            <w:r>
              <w:rPr>
                <w:szCs w:val="24"/>
              </w:rPr>
              <w:t>-</w:t>
            </w:r>
          </w:p>
        </w:tc>
        <w:tc>
          <w:tcPr>
            <w:tcW w:w="1276" w:type="dxa"/>
            <w:shd w:val="clear" w:color="auto" w:fill="auto"/>
            <w:vAlign w:val="center"/>
          </w:tcPr>
          <w:p w14:paraId="60C458EF" w14:textId="50ACA959" w:rsidR="00EB4B3B" w:rsidRPr="00AC5949" w:rsidRDefault="00EB4B3B" w:rsidP="00DD63D7">
            <w:pPr>
              <w:jc w:val="right"/>
              <w:rPr>
                <w:szCs w:val="24"/>
              </w:rPr>
            </w:pPr>
            <w:r>
              <w:rPr>
                <w:szCs w:val="24"/>
              </w:rPr>
              <w:t>-</w:t>
            </w:r>
          </w:p>
        </w:tc>
      </w:tr>
      <w:tr w:rsidR="00EB4B3B" w:rsidRPr="00470E44" w14:paraId="03D8BC30" w14:textId="77777777" w:rsidTr="00DD63D7">
        <w:tc>
          <w:tcPr>
            <w:tcW w:w="3119" w:type="dxa"/>
            <w:shd w:val="clear" w:color="auto" w:fill="auto"/>
          </w:tcPr>
          <w:p w14:paraId="1F577960" w14:textId="4514E85D" w:rsidR="00EB4B3B" w:rsidRPr="00AC5949" w:rsidRDefault="00EB4B3B" w:rsidP="00EB4B3B">
            <w:pPr>
              <w:rPr>
                <w:szCs w:val="24"/>
              </w:rPr>
            </w:pPr>
            <w:r w:rsidRPr="00AC5949">
              <w:rPr>
                <w:szCs w:val="24"/>
              </w:rPr>
              <w:t>Firefighters Pension Scheme</w:t>
            </w:r>
          </w:p>
        </w:tc>
        <w:tc>
          <w:tcPr>
            <w:tcW w:w="1378" w:type="dxa"/>
            <w:shd w:val="clear" w:color="auto" w:fill="auto"/>
            <w:vAlign w:val="center"/>
          </w:tcPr>
          <w:p w14:paraId="79D8196F" w14:textId="0AE989C9" w:rsidR="00EB4B3B" w:rsidRPr="00AC5949" w:rsidRDefault="00EB4B3B" w:rsidP="00DD63D7">
            <w:pPr>
              <w:jc w:val="right"/>
              <w:rPr>
                <w:szCs w:val="24"/>
              </w:rPr>
            </w:pPr>
            <w:r>
              <w:rPr>
                <w:szCs w:val="24"/>
              </w:rPr>
              <w:t>-</w:t>
            </w:r>
          </w:p>
        </w:tc>
        <w:tc>
          <w:tcPr>
            <w:tcW w:w="1470" w:type="dxa"/>
            <w:shd w:val="clear" w:color="auto" w:fill="auto"/>
            <w:vAlign w:val="center"/>
          </w:tcPr>
          <w:p w14:paraId="7254B50D" w14:textId="3C579E50" w:rsidR="00EB4B3B" w:rsidRPr="00AC5949" w:rsidRDefault="00EB4B3B" w:rsidP="00DD63D7">
            <w:pPr>
              <w:jc w:val="right"/>
              <w:rPr>
                <w:szCs w:val="24"/>
              </w:rPr>
            </w:pPr>
            <w:r>
              <w:rPr>
                <w:szCs w:val="24"/>
              </w:rPr>
              <w:t>-</w:t>
            </w:r>
          </w:p>
        </w:tc>
        <w:tc>
          <w:tcPr>
            <w:tcW w:w="1296" w:type="dxa"/>
            <w:shd w:val="clear" w:color="auto" w:fill="auto"/>
            <w:vAlign w:val="center"/>
          </w:tcPr>
          <w:p w14:paraId="36B2AC22" w14:textId="0861490B" w:rsidR="00EB4B3B" w:rsidRPr="00AC5949" w:rsidRDefault="00EB4B3B" w:rsidP="00DD63D7">
            <w:pPr>
              <w:jc w:val="right"/>
              <w:rPr>
                <w:szCs w:val="24"/>
              </w:rPr>
            </w:pPr>
            <w:r>
              <w:rPr>
                <w:szCs w:val="24"/>
              </w:rPr>
              <w:t>-</w:t>
            </w:r>
          </w:p>
        </w:tc>
        <w:tc>
          <w:tcPr>
            <w:tcW w:w="1276" w:type="dxa"/>
            <w:shd w:val="clear" w:color="auto" w:fill="auto"/>
            <w:vAlign w:val="center"/>
          </w:tcPr>
          <w:p w14:paraId="7F826A4A" w14:textId="173BE6A4" w:rsidR="00EB4B3B" w:rsidRPr="00AC5949" w:rsidRDefault="00EB4B3B" w:rsidP="00DD63D7">
            <w:pPr>
              <w:jc w:val="right"/>
              <w:rPr>
                <w:szCs w:val="24"/>
              </w:rPr>
            </w:pPr>
            <w:r>
              <w:rPr>
                <w:szCs w:val="24"/>
              </w:rPr>
              <w:t>-</w:t>
            </w:r>
          </w:p>
        </w:tc>
        <w:tc>
          <w:tcPr>
            <w:tcW w:w="1276" w:type="dxa"/>
            <w:shd w:val="clear" w:color="auto" w:fill="auto"/>
            <w:vAlign w:val="center"/>
          </w:tcPr>
          <w:p w14:paraId="4934A633" w14:textId="700BEB88" w:rsidR="00EB4B3B" w:rsidRPr="00AC5949" w:rsidRDefault="00EB4B3B" w:rsidP="00DD63D7">
            <w:pPr>
              <w:jc w:val="right"/>
              <w:rPr>
                <w:szCs w:val="24"/>
              </w:rPr>
            </w:pPr>
            <w:r>
              <w:rPr>
                <w:szCs w:val="24"/>
              </w:rPr>
              <w:t>-</w:t>
            </w:r>
          </w:p>
        </w:tc>
      </w:tr>
      <w:tr w:rsidR="00EB4B3B" w:rsidRPr="00470E44" w14:paraId="129CE37D" w14:textId="77777777" w:rsidTr="00DD63D7">
        <w:tc>
          <w:tcPr>
            <w:tcW w:w="3119" w:type="dxa"/>
            <w:shd w:val="clear" w:color="auto" w:fill="auto"/>
          </w:tcPr>
          <w:p w14:paraId="349F2366" w14:textId="77777777" w:rsidR="00EB4B3B" w:rsidRPr="00AC5949" w:rsidRDefault="00EB4B3B" w:rsidP="00EB4B3B">
            <w:pPr>
              <w:rPr>
                <w:szCs w:val="24"/>
              </w:rPr>
            </w:pPr>
            <w:r w:rsidRPr="00AC5949">
              <w:rPr>
                <w:szCs w:val="24"/>
              </w:rPr>
              <w:t>Total</w:t>
            </w:r>
          </w:p>
        </w:tc>
        <w:tc>
          <w:tcPr>
            <w:tcW w:w="1378" w:type="dxa"/>
            <w:shd w:val="clear" w:color="auto" w:fill="auto"/>
            <w:vAlign w:val="center"/>
          </w:tcPr>
          <w:p w14:paraId="581DC4B0" w14:textId="0F06B6CE" w:rsidR="00EB4B3B" w:rsidRPr="00AC5949" w:rsidRDefault="00EB4B3B" w:rsidP="00DD63D7">
            <w:pPr>
              <w:jc w:val="right"/>
              <w:rPr>
                <w:szCs w:val="24"/>
              </w:rPr>
            </w:pPr>
            <w:r w:rsidRPr="00AC5949">
              <w:rPr>
                <w:szCs w:val="24"/>
              </w:rPr>
              <w:t>(6</w:t>
            </w:r>
            <w:r>
              <w:rPr>
                <w:szCs w:val="24"/>
              </w:rPr>
              <w:t>51</w:t>
            </w:r>
            <w:r w:rsidRPr="00AC5949">
              <w:rPr>
                <w:szCs w:val="24"/>
              </w:rPr>
              <w:t>,</w:t>
            </w:r>
            <w:r>
              <w:rPr>
                <w:szCs w:val="24"/>
              </w:rPr>
              <w:t>536</w:t>
            </w:r>
            <w:r w:rsidRPr="00AC5949">
              <w:rPr>
                <w:szCs w:val="24"/>
              </w:rPr>
              <w:t>)</w:t>
            </w:r>
          </w:p>
        </w:tc>
        <w:tc>
          <w:tcPr>
            <w:tcW w:w="1470" w:type="dxa"/>
            <w:shd w:val="clear" w:color="auto" w:fill="auto"/>
            <w:vAlign w:val="center"/>
          </w:tcPr>
          <w:p w14:paraId="090F7C77" w14:textId="6516B6EA" w:rsidR="00EB4B3B" w:rsidRPr="00AC5949" w:rsidRDefault="00EB4B3B" w:rsidP="00DD63D7">
            <w:pPr>
              <w:jc w:val="right"/>
              <w:rPr>
                <w:szCs w:val="24"/>
              </w:rPr>
            </w:pPr>
            <w:r w:rsidRPr="00AC5949">
              <w:rPr>
                <w:szCs w:val="24"/>
              </w:rPr>
              <w:t>(883,434)</w:t>
            </w:r>
          </w:p>
        </w:tc>
        <w:tc>
          <w:tcPr>
            <w:tcW w:w="1296" w:type="dxa"/>
            <w:shd w:val="clear" w:color="auto" w:fill="auto"/>
            <w:vAlign w:val="center"/>
          </w:tcPr>
          <w:p w14:paraId="3226A39E" w14:textId="7772EB31" w:rsidR="00EB4B3B" w:rsidRPr="00AC5949" w:rsidRDefault="00EB4B3B" w:rsidP="00DD63D7">
            <w:pPr>
              <w:jc w:val="right"/>
              <w:rPr>
                <w:szCs w:val="24"/>
              </w:rPr>
            </w:pPr>
            <w:r w:rsidRPr="00AC5949">
              <w:rPr>
                <w:szCs w:val="24"/>
              </w:rPr>
              <w:t>(887,704)</w:t>
            </w:r>
          </w:p>
        </w:tc>
        <w:tc>
          <w:tcPr>
            <w:tcW w:w="1276" w:type="dxa"/>
            <w:shd w:val="clear" w:color="auto" w:fill="auto"/>
            <w:vAlign w:val="center"/>
          </w:tcPr>
          <w:p w14:paraId="0F5FBBB1" w14:textId="31A96D78" w:rsidR="00EB4B3B" w:rsidRPr="00AC5949" w:rsidRDefault="00EB4B3B" w:rsidP="00DD63D7">
            <w:pPr>
              <w:jc w:val="right"/>
              <w:rPr>
                <w:szCs w:val="24"/>
              </w:rPr>
            </w:pPr>
            <w:r w:rsidRPr="00AC5949">
              <w:rPr>
                <w:szCs w:val="24"/>
              </w:rPr>
              <w:t>(812,676)</w:t>
            </w:r>
          </w:p>
        </w:tc>
        <w:tc>
          <w:tcPr>
            <w:tcW w:w="1276" w:type="dxa"/>
            <w:shd w:val="clear" w:color="auto" w:fill="auto"/>
            <w:vAlign w:val="center"/>
          </w:tcPr>
          <w:p w14:paraId="66B0403A" w14:textId="25711440" w:rsidR="00EB4B3B" w:rsidRPr="00AC5949" w:rsidRDefault="00EB4B3B" w:rsidP="00DD63D7">
            <w:pPr>
              <w:jc w:val="right"/>
              <w:rPr>
                <w:szCs w:val="24"/>
              </w:rPr>
            </w:pPr>
            <w:r w:rsidRPr="00AC5949">
              <w:rPr>
                <w:szCs w:val="24"/>
              </w:rPr>
              <w:t>(864,889)</w:t>
            </w:r>
          </w:p>
        </w:tc>
      </w:tr>
    </w:tbl>
    <w:p w14:paraId="27CFF3E6" w14:textId="77777777" w:rsidR="00D90216" w:rsidRPr="00AF3DCD" w:rsidRDefault="00D90216" w:rsidP="00D90216">
      <w:pPr>
        <w:jc w:val="both"/>
        <w:rPr>
          <w:sz w:val="22"/>
        </w:rPr>
      </w:pPr>
    </w:p>
    <w:p w14:paraId="6FCC8EF3" w14:textId="0DAA5341" w:rsidR="00D90216" w:rsidRPr="00AC5949" w:rsidRDefault="00D90216" w:rsidP="00AC5949">
      <w:pPr>
        <w:ind w:left="709"/>
        <w:rPr>
          <w:szCs w:val="24"/>
        </w:rPr>
      </w:pPr>
      <w:r w:rsidRPr="00AC5949">
        <w:rPr>
          <w:szCs w:val="24"/>
        </w:rPr>
        <w:t>The liabilities show the underlying commitments that the Authority has in the long</w:t>
      </w:r>
      <w:r w:rsidRPr="00AC5949">
        <w:rPr>
          <w:szCs w:val="24"/>
        </w:rPr>
        <w:noBreakHyphen/>
        <w:t xml:space="preserve">term to pay </w:t>
      </w:r>
      <w:r w:rsidR="000C78DA" w:rsidRPr="00AC5949">
        <w:rPr>
          <w:szCs w:val="24"/>
        </w:rPr>
        <w:t>post-employment</w:t>
      </w:r>
      <w:r w:rsidRPr="00AC5949">
        <w:rPr>
          <w:szCs w:val="24"/>
        </w:rPr>
        <w:t xml:space="preserve"> benefits. The total liability of both schemes, £</w:t>
      </w:r>
      <w:r w:rsidR="00793B97" w:rsidRPr="00AC5949">
        <w:rPr>
          <w:szCs w:val="24"/>
        </w:rPr>
        <w:t>6</w:t>
      </w:r>
      <w:r w:rsidR="00D471C2">
        <w:rPr>
          <w:szCs w:val="24"/>
        </w:rPr>
        <w:t>51</w:t>
      </w:r>
      <w:r w:rsidR="00793B97" w:rsidRPr="00AC5949">
        <w:rPr>
          <w:szCs w:val="24"/>
        </w:rPr>
        <w:t>,</w:t>
      </w:r>
      <w:r w:rsidR="00D471C2">
        <w:rPr>
          <w:szCs w:val="24"/>
        </w:rPr>
        <w:t>536</w:t>
      </w:r>
      <w:r w:rsidR="002624B8" w:rsidRPr="00AC5949">
        <w:rPr>
          <w:szCs w:val="24"/>
        </w:rPr>
        <w:t>m</w:t>
      </w:r>
      <w:r w:rsidRPr="00AC5949">
        <w:rPr>
          <w:szCs w:val="24"/>
        </w:rPr>
        <w:t>, has a substantial impact on the net worth of the Authority, as recorded in the Balance Sheet</w:t>
      </w:r>
      <w:r w:rsidR="00793B97" w:rsidRPr="00AC5949">
        <w:rPr>
          <w:szCs w:val="24"/>
        </w:rPr>
        <w:t>.</w:t>
      </w:r>
      <w:r w:rsidRPr="00AC5949">
        <w:rPr>
          <w:szCs w:val="24"/>
        </w:rPr>
        <w:t xml:space="preserve"> However, statutory arrangements for funding the liability mean that the financial position of the Authority remains healthy:</w:t>
      </w:r>
    </w:p>
    <w:p w14:paraId="1594FCA9" w14:textId="77777777" w:rsidR="00D90216" w:rsidRPr="00AC5949" w:rsidRDefault="00D90216" w:rsidP="00AC5949">
      <w:pPr>
        <w:ind w:left="709"/>
        <w:rPr>
          <w:szCs w:val="24"/>
        </w:rPr>
      </w:pPr>
    </w:p>
    <w:p w14:paraId="1EEB03DC" w14:textId="39044CCA" w:rsidR="00B2607E" w:rsidRPr="006E3AF0" w:rsidRDefault="00B2607E" w:rsidP="006E3AF0">
      <w:pPr>
        <w:numPr>
          <w:ilvl w:val="0"/>
          <w:numId w:val="4"/>
        </w:numPr>
        <w:tabs>
          <w:tab w:val="clear" w:pos="360"/>
          <w:tab w:val="num" w:pos="1069"/>
        </w:tabs>
        <w:ind w:left="1069"/>
        <w:rPr>
          <w:szCs w:val="24"/>
        </w:rPr>
      </w:pPr>
      <w:r w:rsidRPr="00AC5949">
        <w:rPr>
          <w:szCs w:val="24"/>
        </w:rPr>
        <w:t>Whilst there is a surplus on the LGPS scheme a</w:t>
      </w:r>
      <w:r w:rsidR="002A33DC" w:rsidRPr="00AC5949">
        <w:rPr>
          <w:szCs w:val="24"/>
        </w:rPr>
        <w:t>ny</w:t>
      </w:r>
      <w:r w:rsidR="00D90216" w:rsidRPr="00AC5949">
        <w:rPr>
          <w:szCs w:val="24"/>
        </w:rPr>
        <w:t xml:space="preserve"> </w:t>
      </w:r>
      <w:r w:rsidRPr="00AC5949">
        <w:rPr>
          <w:szCs w:val="24"/>
        </w:rPr>
        <w:t xml:space="preserve">future </w:t>
      </w:r>
      <w:r w:rsidR="00B01A6F" w:rsidRPr="00AC5949">
        <w:rPr>
          <w:szCs w:val="24"/>
        </w:rPr>
        <w:t>deficit</w:t>
      </w:r>
      <w:r w:rsidRPr="00AC5949">
        <w:rPr>
          <w:szCs w:val="24"/>
        </w:rPr>
        <w:t>s</w:t>
      </w:r>
      <w:r w:rsidR="00D90216" w:rsidRPr="00AC5949">
        <w:rPr>
          <w:szCs w:val="24"/>
        </w:rPr>
        <w:t xml:space="preserve"> </w:t>
      </w:r>
      <w:r w:rsidRPr="00AC5949">
        <w:rPr>
          <w:szCs w:val="24"/>
        </w:rPr>
        <w:t xml:space="preserve">that may arise </w:t>
      </w:r>
      <w:r w:rsidR="00D90216" w:rsidRPr="00AC5949">
        <w:rPr>
          <w:szCs w:val="24"/>
        </w:rPr>
        <w:t xml:space="preserve">will </w:t>
      </w:r>
      <w:r w:rsidRPr="00AC5949">
        <w:rPr>
          <w:szCs w:val="24"/>
        </w:rPr>
        <w:t xml:space="preserve">sought to be </w:t>
      </w:r>
      <w:r w:rsidR="008853BC" w:rsidRPr="00AC5949">
        <w:rPr>
          <w:szCs w:val="24"/>
        </w:rPr>
        <w:t>recovered</w:t>
      </w:r>
      <w:r w:rsidR="00D90216" w:rsidRPr="00AC5949">
        <w:rPr>
          <w:szCs w:val="24"/>
        </w:rPr>
        <w:t xml:space="preserve"> by </w:t>
      </w:r>
      <w:r w:rsidR="008853BC" w:rsidRPr="00AC5949">
        <w:rPr>
          <w:szCs w:val="24"/>
        </w:rPr>
        <w:t>annual</w:t>
      </w:r>
      <w:r w:rsidR="00D82154" w:rsidRPr="00AC5949">
        <w:rPr>
          <w:szCs w:val="24"/>
        </w:rPr>
        <w:t xml:space="preserve"> </w:t>
      </w:r>
      <w:r w:rsidR="008853BC" w:rsidRPr="00AC5949">
        <w:rPr>
          <w:szCs w:val="24"/>
        </w:rPr>
        <w:t>repayments from</w:t>
      </w:r>
      <w:r w:rsidR="002A33DC" w:rsidRPr="00AC5949">
        <w:rPr>
          <w:szCs w:val="24"/>
        </w:rPr>
        <w:t>/to</w:t>
      </w:r>
      <w:r w:rsidR="008853BC" w:rsidRPr="00AC5949">
        <w:rPr>
          <w:szCs w:val="24"/>
        </w:rPr>
        <w:t xml:space="preserve"> the fund</w:t>
      </w:r>
      <w:r w:rsidR="00D82154" w:rsidRPr="00AC5949">
        <w:rPr>
          <w:szCs w:val="24"/>
        </w:rPr>
        <w:t>,</w:t>
      </w:r>
      <w:r w:rsidR="00D90216" w:rsidRPr="00AC5949">
        <w:rPr>
          <w:szCs w:val="24"/>
        </w:rPr>
        <w:t xml:space="preserve"> </w:t>
      </w:r>
      <w:r w:rsidR="00D82154" w:rsidRPr="00AC5949">
        <w:rPr>
          <w:szCs w:val="24"/>
        </w:rPr>
        <w:t xml:space="preserve">as assessed by the scheme actuary, throughout the agreed </w:t>
      </w:r>
      <w:r w:rsidR="008853BC" w:rsidRPr="00AC5949">
        <w:rPr>
          <w:szCs w:val="24"/>
        </w:rPr>
        <w:t>surplus</w:t>
      </w:r>
      <w:r w:rsidR="00D82154" w:rsidRPr="00AC5949">
        <w:rPr>
          <w:szCs w:val="24"/>
        </w:rPr>
        <w:t xml:space="preserve"> recovery period.</w:t>
      </w:r>
    </w:p>
    <w:p w14:paraId="13EAA407" w14:textId="77777777" w:rsidR="00D90216" w:rsidRPr="00AC5949" w:rsidRDefault="00D90216" w:rsidP="00AC5949">
      <w:pPr>
        <w:numPr>
          <w:ilvl w:val="0"/>
          <w:numId w:val="4"/>
        </w:numPr>
        <w:tabs>
          <w:tab w:val="clear" w:pos="360"/>
          <w:tab w:val="num" w:pos="1069"/>
        </w:tabs>
        <w:ind w:left="1069"/>
        <w:rPr>
          <w:szCs w:val="24"/>
        </w:rPr>
      </w:pPr>
      <w:r w:rsidRPr="00AC5949">
        <w:rPr>
          <w:szCs w:val="24"/>
        </w:rPr>
        <w:t>Finance is only required to be raised to cover fire fighter pensions when the pensions are actually paid.</w:t>
      </w:r>
    </w:p>
    <w:p w14:paraId="2BA35BAA" w14:textId="77777777" w:rsidR="00D90216" w:rsidRPr="00AC5949" w:rsidRDefault="00D90216" w:rsidP="00AC5949">
      <w:pPr>
        <w:ind w:left="709"/>
        <w:rPr>
          <w:szCs w:val="24"/>
        </w:rPr>
      </w:pPr>
    </w:p>
    <w:p w14:paraId="33CAD05D" w14:textId="77777777" w:rsidR="00DD63D7" w:rsidRDefault="00DD63D7">
      <w:pPr>
        <w:rPr>
          <w:szCs w:val="24"/>
        </w:rPr>
      </w:pPr>
      <w:r>
        <w:rPr>
          <w:szCs w:val="24"/>
        </w:rPr>
        <w:br w:type="page"/>
      </w:r>
    </w:p>
    <w:p w14:paraId="3500484C" w14:textId="1E01529B" w:rsidR="00D90216" w:rsidRDefault="00D90216" w:rsidP="00AC5949">
      <w:pPr>
        <w:ind w:left="709"/>
        <w:rPr>
          <w:szCs w:val="24"/>
        </w:rPr>
      </w:pPr>
      <w:r w:rsidRPr="00AC5949">
        <w:rPr>
          <w:szCs w:val="24"/>
        </w:rPr>
        <w:lastRenderedPageBreak/>
        <w:t>Estimated contributions expected to be paid by the Authority into each scheme during the next financial year:</w:t>
      </w:r>
    </w:p>
    <w:p w14:paraId="7FDCEAD3" w14:textId="77777777" w:rsidR="00DD63D7" w:rsidRPr="00AC5949" w:rsidRDefault="00DD63D7" w:rsidP="00AC5949">
      <w:pPr>
        <w:ind w:left="709"/>
        <w:rPr>
          <w:szCs w:val="24"/>
        </w:rPr>
      </w:pP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268"/>
        <w:gridCol w:w="2410"/>
        <w:gridCol w:w="2126"/>
      </w:tblGrid>
      <w:tr w:rsidR="00D90216" w:rsidRPr="00AF3DCD" w14:paraId="4FE7DC7D" w14:textId="77777777" w:rsidTr="00611673">
        <w:tc>
          <w:tcPr>
            <w:tcW w:w="2835" w:type="dxa"/>
            <w:shd w:val="clear" w:color="auto" w:fill="BD2716"/>
          </w:tcPr>
          <w:p w14:paraId="66E266A5" w14:textId="77777777" w:rsidR="00D90216" w:rsidRPr="00982FEC" w:rsidRDefault="00D90216" w:rsidP="00D72DD9">
            <w:pPr>
              <w:ind w:left="426" w:hanging="426"/>
              <w:rPr>
                <w:color w:val="FFFFFF" w:themeColor="background1"/>
                <w:szCs w:val="24"/>
              </w:rPr>
            </w:pPr>
          </w:p>
        </w:tc>
        <w:tc>
          <w:tcPr>
            <w:tcW w:w="2268" w:type="dxa"/>
            <w:shd w:val="clear" w:color="auto" w:fill="BD2716"/>
            <w:vAlign w:val="center"/>
          </w:tcPr>
          <w:p w14:paraId="3100097A" w14:textId="77777777" w:rsidR="00D90216" w:rsidRPr="00982FEC" w:rsidRDefault="00D90216" w:rsidP="00611673">
            <w:pPr>
              <w:jc w:val="right"/>
              <w:rPr>
                <w:color w:val="FFFFFF" w:themeColor="background1"/>
                <w:szCs w:val="24"/>
              </w:rPr>
            </w:pPr>
            <w:r w:rsidRPr="00982FEC">
              <w:rPr>
                <w:color w:val="FFFFFF" w:themeColor="background1"/>
                <w:szCs w:val="24"/>
              </w:rPr>
              <w:t>Local Government Pension Scheme</w:t>
            </w:r>
            <w:r w:rsidR="00210E84" w:rsidRPr="00982FEC">
              <w:rPr>
                <w:color w:val="FFFFFF" w:themeColor="background1"/>
                <w:szCs w:val="24"/>
              </w:rPr>
              <w:t>*</w:t>
            </w:r>
          </w:p>
          <w:p w14:paraId="1688BC62" w14:textId="7AA8483A" w:rsidR="00053629" w:rsidRPr="00982FEC" w:rsidRDefault="00053629" w:rsidP="00611673">
            <w:pPr>
              <w:jc w:val="right"/>
              <w:rPr>
                <w:color w:val="FFFFFF" w:themeColor="background1"/>
                <w:szCs w:val="24"/>
              </w:rPr>
            </w:pPr>
            <w:r w:rsidRPr="00982FEC">
              <w:rPr>
                <w:color w:val="FFFFFF" w:themeColor="background1"/>
                <w:szCs w:val="24"/>
              </w:rPr>
              <w:t>£000</w:t>
            </w:r>
          </w:p>
        </w:tc>
        <w:tc>
          <w:tcPr>
            <w:tcW w:w="2410" w:type="dxa"/>
            <w:shd w:val="clear" w:color="auto" w:fill="BD2716"/>
            <w:vAlign w:val="center"/>
          </w:tcPr>
          <w:p w14:paraId="6D9B4358" w14:textId="77777777" w:rsidR="00D90216" w:rsidRPr="00982FEC" w:rsidRDefault="00D90216" w:rsidP="00611673">
            <w:pPr>
              <w:jc w:val="right"/>
              <w:rPr>
                <w:color w:val="FFFFFF" w:themeColor="background1"/>
                <w:szCs w:val="24"/>
              </w:rPr>
            </w:pPr>
            <w:r w:rsidRPr="00982FEC">
              <w:rPr>
                <w:color w:val="FFFFFF" w:themeColor="background1"/>
                <w:szCs w:val="24"/>
              </w:rPr>
              <w:t>Firefighters’ Pension Scheme</w:t>
            </w:r>
            <w:r w:rsidR="00192E75" w:rsidRPr="00982FEC">
              <w:rPr>
                <w:color w:val="FFFFFF" w:themeColor="background1"/>
                <w:szCs w:val="24"/>
              </w:rPr>
              <w:t>**</w:t>
            </w:r>
          </w:p>
          <w:p w14:paraId="16AFB96C" w14:textId="23C0B98C" w:rsidR="00053629" w:rsidRPr="00982FEC" w:rsidRDefault="00053629" w:rsidP="00611673">
            <w:pPr>
              <w:jc w:val="right"/>
              <w:rPr>
                <w:color w:val="FFFFFF" w:themeColor="background1"/>
                <w:szCs w:val="24"/>
              </w:rPr>
            </w:pPr>
            <w:r w:rsidRPr="00982FEC">
              <w:rPr>
                <w:color w:val="FFFFFF" w:themeColor="background1"/>
                <w:szCs w:val="24"/>
              </w:rPr>
              <w:t>£000</w:t>
            </w:r>
          </w:p>
        </w:tc>
        <w:tc>
          <w:tcPr>
            <w:tcW w:w="2126" w:type="dxa"/>
            <w:shd w:val="clear" w:color="auto" w:fill="BD2716"/>
            <w:vAlign w:val="center"/>
          </w:tcPr>
          <w:p w14:paraId="5BE01002" w14:textId="77777777" w:rsidR="00D90216" w:rsidRPr="00982FEC" w:rsidRDefault="00D90216" w:rsidP="00611673">
            <w:pPr>
              <w:jc w:val="right"/>
              <w:rPr>
                <w:color w:val="FFFFFF" w:themeColor="background1"/>
                <w:szCs w:val="24"/>
              </w:rPr>
            </w:pPr>
            <w:r w:rsidRPr="00982FEC">
              <w:rPr>
                <w:color w:val="FFFFFF" w:themeColor="background1"/>
                <w:szCs w:val="24"/>
              </w:rPr>
              <w:t>Total</w:t>
            </w:r>
          </w:p>
          <w:p w14:paraId="6E691217" w14:textId="77E8834D" w:rsidR="00053629" w:rsidRPr="00982FEC" w:rsidRDefault="00053629" w:rsidP="00611673">
            <w:pPr>
              <w:jc w:val="right"/>
              <w:rPr>
                <w:color w:val="FFFFFF" w:themeColor="background1"/>
                <w:szCs w:val="24"/>
              </w:rPr>
            </w:pPr>
            <w:r w:rsidRPr="00982FEC">
              <w:rPr>
                <w:color w:val="FFFFFF" w:themeColor="background1"/>
                <w:szCs w:val="24"/>
              </w:rPr>
              <w:t>£000</w:t>
            </w:r>
          </w:p>
        </w:tc>
      </w:tr>
      <w:tr w:rsidR="00D90216" w:rsidRPr="00470E44" w14:paraId="1F709C57" w14:textId="77777777" w:rsidTr="00DD63D7">
        <w:trPr>
          <w:trHeight w:val="115"/>
        </w:trPr>
        <w:tc>
          <w:tcPr>
            <w:tcW w:w="2835" w:type="dxa"/>
            <w:shd w:val="clear" w:color="auto" w:fill="auto"/>
          </w:tcPr>
          <w:p w14:paraId="22AEE303" w14:textId="77777777" w:rsidR="00D90216" w:rsidRPr="00AC5949" w:rsidRDefault="00D90216" w:rsidP="00D72DD9">
            <w:pPr>
              <w:ind w:left="34"/>
              <w:rPr>
                <w:szCs w:val="24"/>
              </w:rPr>
            </w:pPr>
            <w:r w:rsidRPr="00AC5949">
              <w:rPr>
                <w:szCs w:val="24"/>
              </w:rPr>
              <w:t>Estimated contributions</w:t>
            </w:r>
          </w:p>
        </w:tc>
        <w:tc>
          <w:tcPr>
            <w:tcW w:w="2268" w:type="dxa"/>
            <w:shd w:val="clear" w:color="auto" w:fill="auto"/>
            <w:vAlign w:val="center"/>
          </w:tcPr>
          <w:p w14:paraId="2A47AB34" w14:textId="4783A33B" w:rsidR="00D90216" w:rsidRPr="00AC5949" w:rsidRDefault="00632382" w:rsidP="00DD63D7">
            <w:pPr>
              <w:jc w:val="right"/>
              <w:rPr>
                <w:szCs w:val="24"/>
              </w:rPr>
            </w:pPr>
            <w:r w:rsidRPr="00AC5949">
              <w:rPr>
                <w:szCs w:val="24"/>
              </w:rPr>
              <w:t>1,</w:t>
            </w:r>
            <w:r w:rsidR="008727DC" w:rsidRPr="00AC5949">
              <w:rPr>
                <w:szCs w:val="24"/>
              </w:rPr>
              <w:t>204</w:t>
            </w:r>
          </w:p>
        </w:tc>
        <w:tc>
          <w:tcPr>
            <w:tcW w:w="2410" w:type="dxa"/>
            <w:shd w:val="clear" w:color="auto" w:fill="auto"/>
            <w:vAlign w:val="center"/>
          </w:tcPr>
          <w:p w14:paraId="1A7FBDD0" w14:textId="24097D5E" w:rsidR="00D90216" w:rsidRPr="00AC5949" w:rsidRDefault="008727DC" w:rsidP="00DD63D7">
            <w:pPr>
              <w:jc w:val="right"/>
              <w:rPr>
                <w:szCs w:val="24"/>
              </w:rPr>
            </w:pPr>
            <w:r w:rsidRPr="00AC5949">
              <w:rPr>
                <w:szCs w:val="24"/>
              </w:rPr>
              <w:t>8,295</w:t>
            </w:r>
          </w:p>
        </w:tc>
        <w:tc>
          <w:tcPr>
            <w:tcW w:w="2126" w:type="dxa"/>
            <w:shd w:val="clear" w:color="auto" w:fill="auto"/>
            <w:vAlign w:val="center"/>
          </w:tcPr>
          <w:p w14:paraId="31A198D3" w14:textId="5BC82CBB" w:rsidR="00D90216" w:rsidRPr="00AC5949" w:rsidRDefault="00B64E9B" w:rsidP="00DD63D7">
            <w:pPr>
              <w:jc w:val="right"/>
              <w:rPr>
                <w:szCs w:val="24"/>
              </w:rPr>
            </w:pPr>
            <w:r w:rsidRPr="00AC5949">
              <w:rPr>
                <w:szCs w:val="24"/>
              </w:rPr>
              <w:t>8,</w:t>
            </w:r>
            <w:r w:rsidR="00632382" w:rsidRPr="00AC5949">
              <w:rPr>
                <w:szCs w:val="24"/>
              </w:rPr>
              <w:t>953</w:t>
            </w:r>
          </w:p>
        </w:tc>
      </w:tr>
    </w:tbl>
    <w:p w14:paraId="3E2A663C" w14:textId="77777777" w:rsidR="00210E84" w:rsidRPr="00470E44" w:rsidRDefault="00210E84" w:rsidP="00210E84">
      <w:pPr>
        <w:tabs>
          <w:tab w:val="num" w:pos="1069"/>
        </w:tabs>
        <w:ind w:left="709"/>
        <w:jc w:val="both"/>
        <w:rPr>
          <w:sz w:val="22"/>
        </w:rPr>
      </w:pPr>
    </w:p>
    <w:p w14:paraId="7BA0E136" w14:textId="7BB89323" w:rsidR="00D90216" w:rsidRPr="00AC5949" w:rsidRDefault="00210E84" w:rsidP="000C442C">
      <w:pPr>
        <w:pStyle w:val="ListParagraph"/>
        <w:rPr>
          <w:szCs w:val="24"/>
        </w:rPr>
      </w:pPr>
      <w:r w:rsidRPr="00AC5949">
        <w:rPr>
          <w:szCs w:val="24"/>
        </w:rPr>
        <w:t xml:space="preserve">*LGPS contributions shown are gross of </w:t>
      </w:r>
      <w:r w:rsidR="00765DED" w:rsidRPr="00AC5949">
        <w:rPr>
          <w:szCs w:val="24"/>
        </w:rPr>
        <w:t xml:space="preserve">both </w:t>
      </w:r>
      <w:r w:rsidRPr="00AC5949">
        <w:rPr>
          <w:szCs w:val="24"/>
        </w:rPr>
        <w:t>the surplus recovery</w:t>
      </w:r>
      <w:r w:rsidR="00765DED" w:rsidRPr="00AC5949">
        <w:rPr>
          <w:szCs w:val="24"/>
        </w:rPr>
        <w:t xml:space="preserve"> and prepayment</w:t>
      </w:r>
      <w:r w:rsidRPr="00AC5949">
        <w:rPr>
          <w:szCs w:val="24"/>
        </w:rPr>
        <w:t xml:space="preserve"> referred above.</w:t>
      </w:r>
    </w:p>
    <w:p w14:paraId="65ECD784" w14:textId="77777777" w:rsidR="00192E75" w:rsidRPr="00AC5949" w:rsidRDefault="00192E75" w:rsidP="000C442C">
      <w:pPr>
        <w:pStyle w:val="ListParagraph"/>
        <w:rPr>
          <w:szCs w:val="24"/>
        </w:rPr>
      </w:pPr>
      <w:r w:rsidRPr="00AC5949">
        <w:rPr>
          <w:szCs w:val="24"/>
        </w:rPr>
        <w:t>** Firefighters contributions are partly funded by £3.1m government grant</w:t>
      </w:r>
    </w:p>
    <w:p w14:paraId="3FCAAE8A" w14:textId="59299D08" w:rsidR="001E71F1" w:rsidRDefault="001E71F1">
      <w:pPr>
        <w:rPr>
          <w:b/>
          <w:szCs w:val="24"/>
        </w:rPr>
      </w:pPr>
    </w:p>
    <w:p w14:paraId="1A7E73B2" w14:textId="65CB355A" w:rsidR="00D90216" w:rsidRPr="00526A3B" w:rsidRDefault="00D90216" w:rsidP="000C442C">
      <w:pPr>
        <w:ind w:left="709"/>
        <w:rPr>
          <w:b/>
          <w:szCs w:val="24"/>
        </w:rPr>
      </w:pPr>
      <w:r w:rsidRPr="00526A3B">
        <w:rPr>
          <w:b/>
          <w:szCs w:val="24"/>
        </w:rPr>
        <w:t>Basis for Estimating Assets and Liabilities</w:t>
      </w:r>
    </w:p>
    <w:p w14:paraId="002924E5" w14:textId="77777777" w:rsidR="00D90216" w:rsidRPr="00526A3B" w:rsidRDefault="00D90216" w:rsidP="000C442C">
      <w:pPr>
        <w:ind w:left="709"/>
        <w:rPr>
          <w:szCs w:val="24"/>
        </w:rPr>
      </w:pPr>
    </w:p>
    <w:p w14:paraId="457925A1" w14:textId="289BCF56" w:rsidR="00B56986" w:rsidRPr="00526A3B" w:rsidRDefault="00D90216" w:rsidP="000C442C">
      <w:pPr>
        <w:ind w:left="709"/>
        <w:rPr>
          <w:szCs w:val="24"/>
        </w:rPr>
      </w:pPr>
      <w:r w:rsidRPr="00526A3B">
        <w:rPr>
          <w:szCs w:val="24"/>
        </w:rPr>
        <w:t>Liabilities have been assessed on an actuarial basis using the projected unit credit method, an estimate of the pensions that will be payable in future years dependent on assumptions about mortality rates, salary levels etc.</w:t>
      </w:r>
    </w:p>
    <w:p w14:paraId="53A5736C" w14:textId="77777777" w:rsidR="00B56986" w:rsidRPr="00526A3B" w:rsidRDefault="00B56986" w:rsidP="000C442C">
      <w:pPr>
        <w:ind w:left="709"/>
        <w:rPr>
          <w:szCs w:val="24"/>
        </w:rPr>
      </w:pPr>
    </w:p>
    <w:p w14:paraId="3226BD0F" w14:textId="0F8772BB" w:rsidR="002E4CBA" w:rsidRPr="00526A3B" w:rsidRDefault="00B56986" w:rsidP="00F12792">
      <w:pPr>
        <w:ind w:left="709"/>
        <w:rPr>
          <w:szCs w:val="24"/>
        </w:rPr>
      </w:pPr>
      <w:r w:rsidRPr="00526A3B">
        <w:rPr>
          <w:szCs w:val="24"/>
        </w:rPr>
        <w:t xml:space="preserve">The Firefighters’ Scheme has been assessed by GAD (the Government Actuarial Department), an independent firm of actuaries. Estimates for the Firefighters pension scheme </w:t>
      </w:r>
      <w:proofErr w:type="gramStart"/>
      <w:r w:rsidRPr="00526A3B">
        <w:rPr>
          <w:szCs w:val="24"/>
        </w:rPr>
        <w:t>are</w:t>
      </w:r>
      <w:proofErr w:type="gramEnd"/>
      <w:r w:rsidRPr="00526A3B">
        <w:rPr>
          <w:szCs w:val="24"/>
        </w:rPr>
        <w:t xml:space="preserve"> based on a ‘roll forward approach’ which updates the last full valuation on 31 March </w:t>
      </w:r>
      <w:r w:rsidR="00C34B46" w:rsidRPr="00526A3B">
        <w:rPr>
          <w:szCs w:val="24"/>
        </w:rPr>
        <w:t>2020</w:t>
      </w:r>
      <w:r w:rsidRPr="00526A3B">
        <w:rPr>
          <w:szCs w:val="24"/>
        </w:rPr>
        <w:t>, taking account of any significant changes since this. T</w:t>
      </w:r>
      <w:r w:rsidR="00D90216" w:rsidRPr="00526A3B">
        <w:rPr>
          <w:szCs w:val="24"/>
        </w:rPr>
        <w:t>he Local Government Fund liabilities have been assessed by Mercer Resource Consulting L</w:t>
      </w:r>
      <w:r w:rsidR="002B520D" w:rsidRPr="00526A3B">
        <w:rPr>
          <w:szCs w:val="24"/>
        </w:rPr>
        <w:t>imi</w:t>
      </w:r>
      <w:r w:rsidR="00D90216" w:rsidRPr="00526A3B">
        <w:rPr>
          <w:szCs w:val="24"/>
        </w:rPr>
        <w:t>t</w:t>
      </w:r>
      <w:r w:rsidR="002B520D" w:rsidRPr="00526A3B">
        <w:rPr>
          <w:szCs w:val="24"/>
        </w:rPr>
        <w:t>e</w:t>
      </w:r>
      <w:r w:rsidR="00D90216" w:rsidRPr="00526A3B">
        <w:rPr>
          <w:szCs w:val="24"/>
        </w:rPr>
        <w:t xml:space="preserve">d, an independent firm of actuaries. </w:t>
      </w:r>
      <w:r w:rsidR="00830971" w:rsidRPr="00526A3B">
        <w:rPr>
          <w:szCs w:val="24"/>
        </w:rPr>
        <w:t>T</w:t>
      </w:r>
      <w:r w:rsidR="00630EE2" w:rsidRPr="00526A3B">
        <w:rPr>
          <w:szCs w:val="24"/>
        </w:rPr>
        <w:t xml:space="preserve">he last </w:t>
      </w:r>
      <w:r w:rsidR="009B6E08" w:rsidRPr="00526A3B">
        <w:rPr>
          <w:szCs w:val="24"/>
        </w:rPr>
        <w:t xml:space="preserve">full valuation </w:t>
      </w:r>
      <w:r w:rsidR="00830971" w:rsidRPr="00526A3B">
        <w:rPr>
          <w:szCs w:val="24"/>
        </w:rPr>
        <w:t xml:space="preserve">was </w:t>
      </w:r>
      <w:r w:rsidR="009B6E08" w:rsidRPr="00526A3B">
        <w:rPr>
          <w:szCs w:val="24"/>
        </w:rPr>
        <w:t xml:space="preserve">as </w:t>
      </w:r>
      <w:proofErr w:type="gramStart"/>
      <w:r w:rsidR="009B6E08" w:rsidRPr="00526A3B">
        <w:rPr>
          <w:szCs w:val="24"/>
        </w:rPr>
        <w:t>at</w:t>
      </w:r>
      <w:proofErr w:type="gramEnd"/>
      <w:r w:rsidR="009B6E08" w:rsidRPr="00526A3B">
        <w:rPr>
          <w:szCs w:val="24"/>
        </w:rPr>
        <w:t xml:space="preserve"> 31 March </w:t>
      </w:r>
      <w:r w:rsidR="00DD380F" w:rsidRPr="00526A3B">
        <w:rPr>
          <w:szCs w:val="24"/>
        </w:rPr>
        <w:t>20</w:t>
      </w:r>
      <w:r w:rsidR="00830971" w:rsidRPr="00526A3B">
        <w:rPr>
          <w:szCs w:val="24"/>
        </w:rPr>
        <w:t>22</w:t>
      </w:r>
      <w:r w:rsidR="00630EE2" w:rsidRPr="00526A3B">
        <w:rPr>
          <w:szCs w:val="24"/>
        </w:rPr>
        <w:t>.</w:t>
      </w:r>
    </w:p>
    <w:p w14:paraId="17E94855" w14:textId="77777777" w:rsidR="007F5EEE" w:rsidRDefault="007F5EEE" w:rsidP="007F5EEE">
      <w:pPr>
        <w:rPr>
          <w:szCs w:val="24"/>
        </w:rPr>
      </w:pPr>
    </w:p>
    <w:p w14:paraId="132FC284" w14:textId="7B200EEB" w:rsidR="00D90216" w:rsidRPr="00526A3B" w:rsidRDefault="00D90216" w:rsidP="007F5EEE">
      <w:pPr>
        <w:ind w:firstLine="709"/>
        <w:rPr>
          <w:szCs w:val="24"/>
        </w:rPr>
      </w:pPr>
      <w:r w:rsidRPr="00526A3B">
        <w:rPr>
          <w:szCs w:val="24"/>
        </w:rPr>
        <w:t>The principal assumptions used by the actuary have been:</w:t>
      </w:r>
    </w:p>
    <w:p w14:paraId="2A46022B" w14:textId="77777777" w:rsidR="00D90216" w:rsidRPr="00AF3DCD" w:rsidRDefault="00D90216" w:rsidP="00D90216">
      <w:pPr>
        <w:ind w:left="709"/>
        <w:jc w:val="both"/>
        <w:rPr>
          <w:sz w:val="16"/>
          <w:szCs w:val="16"/>
        </w:rPr>
      </w:pPr>
    </w:p>
    <w:tbl>
      <w:tblPr>
        <w:tblW w:w="967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134"/>
        <w:gridCol w:w="1026"/>
        <w:gridCol w:w="1134"/>
        <w:gridCol w:w="993"/>
        <w:gridCol w:w="992"/>
        <w:gridCol w:w="1134"/>
      </w:tblGrid>
      <w:tr w:rsidR="00831B30" w:rsidRPr="001A0743" w14:paraId="33096203" w14:textId="77777777" w:rsidTr="00611673">
        <w:trPr>
          <w:tblHeader/>
        </w:trPr>
        <w:tc>
          <w:tcPr>
            <w:tcW w:w="3260" w:type="dxa"/>
            <w:shd w:val="clear" w:color="auto" w:fill="BD2716"/>
          </w:tcPr>
          <w:p w14:paraId="5ACDF8A5" w14:textId="77777777" w:rsidR="00831B30" w:rsidRPr="00982FEC" w:rsidRDefault="00831B30" w:rsidP="00CD62E6">
            <w:pPr>
              <w:jc w:val="both"/>
              <w:rPr>
                <w:color w:val="FFFFFF" w:themeColor="background1"/>
                <w:szCs w:val="24"/>
              </w:rPr>
            </w:pPr>
          </w:p>
        </w:tc>
        <w:tc>
          <w:tcPr>
            <w:tcW w:w="2160" w:type="dxa"/>
            <w:gridSpan w:val="2"/>
            <w:shd w:val="clear" w:color="auto" w:fill="BD2716"/>
            <w:vAlign w:val="center"/>
          </w:tcPr>
          <w:p w14:paraId="2AC8C7A8" w14:textId="77777777" w:rsidR="00831B30" w:rsidRPr="00982FEC" w:rsidRDefault="00831B30" w:rsidP="00611673">
            <w:pPr>
              <w:jc w:val="center"/>
              <w:rPr>
                <w:color w:val="FFFFFF" w:themeColor="background1"/>
                <w:szCs w:val="24"/>
              </w:rPr>
            </w:pPr>
            <w:r w:rsidRPr="00982FEC">
              <w:rPr>
                <w:color w:val="FFFFFF" w:themeColor="background1"/>
                <w:szCs w:val="24"/>
              </w:rPr>
              <w:t>NWFC Local Government Pension Scheme</w:t>
            </w:r>
          </w:p>
        </w:tc>
        <w:tc>
          <w:tcPr>
            <w:tcW w:w="2127" w:type="dxa"/>
            <w:gridSpan w:val="2"/>
            <w:shd w:val="clear" w:color="auto" w:fill="BD2716"/>
            <w:vAlign w:val="center"/>
          </w:tcPr>
          <w:p w14:paraId="73A03937" w14:textId="77777777" w:rsidR="00831B30" w:rsidRPr="00982FEC" w:rsidRDefault="00831B30" w:rsidP="00611673">
            <w:pPr>
              <w:jc w:val="center"/>
              <w:rPr>
                <w:color w:val="FFFFFF" w:themeColor="background1"/>
                <w:szCs w:val="24"/>
              </w:rPr>
            </w:pPr>
            <w:r w:rsidRPr="00982FEC">
              <w:rPr>
                <w:color w:val="FFFFFF" w:themeColor="background1"/>
                <w:szCs w:val="24"/>
              </w:rPr>
              <w:t>LCFA Local Government Pension Scheme</w:t>
            </w:r>
          </w:p>
        </w:tc>
        <w:tc>
          <w:tcPr>
            <w:tcW w:w="2126" w:type="dxa"/>
            <w:gridSpan w:val="2"/>
            <w:shd w:val="clear" w:color="auto" w:fill="BD2716"/>
            <w:vAlign w:val="center"/>
          </w:tcPr>
          <w:p w14:paraId="64BFF43B" w14:textId="77777777" w:rsidR="00831B30" w:rsidRPr="00982FEC" w:rsidRDefault="00831B30" w:rsidP="00611673">
            <w:pPr>
              <w:jc w:val="center"/>
              <w:rPr>
                <w:color w:val="FFFFFF" w:themeColor="background1"/>
                <w:szCs w:val="24"/>
              </w:rPr>
            </w:pPr>
            <w:r w:rsidRPr="00982FEC">
              <w:rPr>
                <w:color w:val="FFFFFF" w:themeColor="background1"/>
                <w:szCs w:val="24"/>
              </w:rPr>
              <w:t>Uniformed Firefighters’ Pension Scheme</w:t>
            </w:r>
          </w:p>
        </w:tc>
      </w:tr>
      <w:tr w:rsidR="00975A30" w:rsidRPr="001A0743" w14:paraId="33E30F14" w14:textId="77777777" w:rsidTr="00611673">
        <w:trPr>
          <w:tblHeader/>
        </w:trPr>
        <w:tc>
          <w:tcPr>
            <w:tcW w:w="3260" w:type="dxa"/>
            <w:shd w:val="clear" w:color="auto" w:fill="BD2716"/>
            <w:vAlign w:val="bottom"/>
          </w:tcPr>
          <w:p w14:paraId="0A01DA1F" w14:textId="6B548BA0" w:rsidR="00975A30" w:rsidRPr="00982FEC" w:rsidRDefault="00975A30" w:rsidP="00EF0ED9">
            <w:pPr>
              <w:rPr>
                <w:color w:val="FFFFFF" w:themeColor="background1"/>
                <w:szCs w:val="24"/>
              </w:rPr>
            </w:pPr>
          </w:p>
        </w:tc>
        <w:tc>
          <w:tcPr>
            <w:tcW w:w="1134" w:type="dxa"/>
            <w:shd w:val="clear" w:color="auto" w:fill="BD2716"/>
            <w:vAlign w:val="center"/>
          </w:tcPr>
          <w:p w14:paraId="04198040" w14:textId="4610D061" w:rsidR="00975A30" w:rsidRPr="00982FEC" w:rsidRDefault="00975A30" w:rsidP="00611673">
            <w:pPr>
              <w:jc w:val="right"/>
              <w:rPr>
                <w:color w:val="FFFFFF" w:themeColor="background1"/>
                <w:szCs w:val="24"/>
              </w:rPr>
            </w:pPr>
            <w:r w:rsidRPr="00982FEC">
              <w:rPr>
                <w:color w:val="FFFFFF" w:themeColor="background1"/>
                <w:szCs w:val="24"/>
              </w:rPr>
              <w:t>31 March 202</w:t>
            </w:r>
            <w:r w:rsidR="00EF2251" w:rsidRPr="00982FEC">
              <w:rPr>
                <w:color w:val="FFFFFF" w:themeColor="background1"/>
                <w:szCs w:val="24"/>
              </w:rPr>
              <w:t>3</w:t>
            </w:r>
          </w:p>
        </w:tc>
        <w:tc>
          <w:tcPr>
            <w:tcW w:w="1026" w:type="dxa"/>
            <w:shd w:val="clear" w:color="auto" w:fill="BD2716"/>
            <w:vAlign w:val="center"/>
          </w:tcPr>
          <w:p w14:paraId="6159D870" w14:textId="1FEE49A8" w:rsidR="00975A30" w:rsidRPr="00982FEC" w:rsidRDefault="00975A30" w:rsidP="00611673">
            <w:pPr>
              <w:jc w:val="right"/>
              <w:rPr>
                <w:color w:val="FFFFFF" w:themeColor="background1"/>
                <w:szCs w:val="24"/>
              </w:rPr>
            </w:pPr>
            <w:r w:rsidRPr="00982FEC">
              <w:rPr>
                <w:color w:val="FFFFFF" w:themeColor="background1"/>
                <w:szCs w:val="24"/>
              </w:rPr>
              <w:t>31 March 202</w:t>
            </w:r>
            <w:r w:rsidR="00EF2251" w:rsidRPr="00982FEC">
              <w:rPr>
                <w:color w:val="FFFFFF" w:themeColor="background1"/>
                <w:szCs w:val="24"/>
              </w:rPr>
              <w:t>2</w:t>
            </w:r>
          </w:p>
        </w:tc>
        <w:tc>
          <w:tcPr>
            <w:tcW w:w="1134" w:type="dxa"/>
            <w:shd w:val="clear" w:color="auto" w:fill="BD2716"/>
            <w:vAlign w:val="center"/>
          </w:tcPr>
          <w:p w14:paraId="4ED11B93" w14:textId="102CAF37" w:rsidR="00975A30" w:rsidRPr="00982FEC" w:rsidRDefault="00975A30" w:rsidP="00611673">
            <w:pPr>
              <w:jc w:val="right"/>
              <w:rPr>
                <w:color w:val="FFFFFF" w:themeColor="background1"/>
                <w:szCs w:val="24"/>
              </w:rPr>
            </w:pPr>
            <w:r w:rsidRPr="00982FEC">
              <w:rPr>
                <w:color w:val="FFFFFF" w:themeColor="background1"/>
                <w:szCs w:val="24"/>
              </w:rPr>
              <w:t>31 March 202</w:t>
            </w:r>
            <w:r w:rsidR="00EF2251" w:rsidRPr="00982FEC">
              <w:rPr>
                <w:color w:val="FFFFFF" w:themeColor="background1"/>
                <w:szCs w:val="24"/>
              </w:rPr>
              <w:t>3</w:t>
            </w:r>
          </w:p>
        </w:tc>
        <w:tc>
          <w:tcPr>
            <w:tcW w:w="993" w:type="dxa"/>
            <w:shd w:val="clear" w:color="auto" w:fill="BD2716"/>
            <w:vAlign w:val="center"/>
          </w:tcPr>
          <w:p w14:paraId="471BBCE7" w14:textId="4FFBE056" w:rsidR="00975A30" w:rsidRPr="00982FEC" w:rsidRDefault="00975A30" w:rsidP="00611673">
            <w:pPr>
              <w:jc w:val="right"/>
              <w:rPr>
                <w:color w:val="FFFFFF" w:themeColor="background1"/>
                <w:szCs w:val="24"/>
              </w:rPr>
            </w:pPr>
            <w:r w:rsidRPr="00982FEC">
              <w:rPr>
                <w:color w:val="FFFFFF" w:themeColor="background1"/>
                <w:szCs w:val="24"/>
              </w:rPr>
              <w:t>31 March 202</w:t>
            </w:r>
            <w:r w:rsidR="00EF2251" w:rsidRPr="00982FEC">
              <w:rPr>
                <w:color w:val="FFFFFF" w:themeColor="background1"/>
                <w:szCs w:val="24"/>
              </w:rPr>
              <w:t>2</w:t>
            </w:r>
          </w:p>
        </w:tc>
        <w:tc>
          <w:tcPr>
            <w:tcW w:w="992" w:type="dxa"/>
            <w:shd w:val="clear" w:color="auto" w:fill="BD2716"/>
            <w:vAlign w:val="center"/>
          </w:tcPr>
          <w:p w14:paraId="0E2AD658" w14:textId="2971BF95" w:rsidR="00975A30" w:rsidRPr="00982FEC" w:rsidRDefault="00975A30" w:rsidP="00611673">
            <w:pPr>
              <w:jc w:val="right"/>
              <w:rPr>
                <w:color w:val="FFFFFF" w:themeColor="background1"/>
                <w:szCs w:val="24"/>
              </w:rPr>
            </w:pPr>
            <w:r w:rsidRPr="00982FEC">
              <w:rPr>
                <w:color w:val="FFFFFF" w:themeColor="background1"/>
                <w:szCs w:val="24"/>
              </w:rPr>
              <w:t>31 March 202</w:t>
            </w:r>
            <w:r w:rsidR="00EF2251" w:rsidRPr="00982FEC">
              <w:rPr>
                <w:color w:val="FFFFFF" w:themeColor="background1"/>
                <w:szCs w:val="24"/>
              </w:rPr>
              <w:t>3</w:t>
            </w:r>
          </w:p>
        </w:tc>
        <w:tc>
          <w:tcPr>
            <w:tcW w:w="1134" w:type="dxa"/>
            <w:shd w:val="clear" w:color="auto" w:fill="BD2716"/>
            <w:vAlign w:val="center"/>
          </w:tcPr>
          <w:p w14:paraId="1C6D9B14" w14:textId="33E27850" w:rsidR="00975A30" w:rsidRPr="00982FEC" w:rsidRDefault="00975A30" w:rsidP="00611673">
            <w:pPr>
              <w:jc w:val="right"/>
              <w:rPr>
                <w:color w:val="FFFFFF" w:themeColor="background1"/>
                <w:szCs w:val="24"/>
              </w:rPr>
            </w:pPr>
            <w:r w:rsidRPr="00982FEC">
              <w:rPr>
                <w:color w:val="FFFFFF" w:themeColor="background1"/>
                <w:szCs w:val="24"/>
              </w:rPr>
              <w:t>31 March 202</w:t>
            </w:r>
            <w:r w:rsidR="00EF2251" w:rsidRPr="00982FEC">
              <w:rPr>
                <w:color w:val="FFFFFF" w:themeColor="background1"/>
                <w:szCs w:val="24"/>
              </w:rPr>
              <w:t>2</w:t>
            </w:r>
          </w:p>
        </w:tc>
      </w:tr>
      <w:tr w:rsidR="001E71F1" w:rsidRPr="001A0743" w14:paraId="64C0F372" w14:textId="77777777" w:rsidTr="00982FEC">
        <w:tc>
          <w:tcPr>
            <w:tcW w:w="9673" w:type="dxa"/>
            <w:gridSpan w:val="7"/>
            <w:shd w:val="clear" w:color="auto" w:fill="D9D9D9" w:themeFill="background1" w:themeFillShade="D9"/>
            <w:vAlign w:val="bottom"/>
          </w:tcPr>
          <w:p w14:paraId="5D782219" w14:textId="7010FDEE" w:rsidR="001E71F1" w:rsidRPr="00BD79B2" w:rsidRDefault="001E71F1" w:rsidP="001E71F1">
            <w:pPr>
              <w:rPr>
                <w:b/>
                <w:bCs/>
                <w:szCs w:val="24"/>
              </w:rPr>
            </w:pPr>
            <w:r w:rsidRPr="00BD79B2">
              <w:rPr>
                <w:b/>
                <w:bCs/>
                <w:szCs w:val="24"/>
              </w:rPr>
              <w:t>Mortality assumptions:</w:t>
            </w:r>
          </w:p>
        </w:tc>
      </w:tr>
      <w:tr w:rsidR="00526A3B" w:rsidRPr="001A0743" w14:paraId="26ECF4EF" w14:textId="77777777" w:rsidTr="001E71F1">
        <w:tc>
          <w:tcPr>
            <w:tcW w:w="9673" w:type="dxa"/>
            <w:gridSpan w:val="7"/>
          </w:tcPr>
          <w:p w14:paraId="26FF304E" w14:textId="7280375D" w:rsidR="00526A3B" w:rsidRPr="001A0743" w:rsidRDefault="00526A3B" w:rsidP="00EF0ED9">
            <w:pPr>
              <w:rPr>
                <w:snapToGrid w:val="0"/>
                <w:color w:val="000000"/>
                <w:szCs w:val="24"/>
              </w:rPr>
            </w:pPr>
            <w:r w:rsidRPr="001A0743">
              <w:rPr>
                <w:szCs w:val="24"/>
              </w:rPr>
              <w:t>Longevity at 65 for current pensioners:</w:t>
            </w:r>
          </w:p>
        </w:tc>
      </w:tr>
      <w:tr w:rsidR="00EF2251" w:rsidRPr="001A0743" w14:paraId="67CE7FC8" w14:textId="77777777" w:rsidTr="00DD63D7">
        <w:tc>
          <w:tcPr>
            <w:tcW w:w="3260" w:type="dxa"/>
          </w:tcPr>
          <w:p w14:paraId="6B7D2B12" w14:textId="77777777" w:rsidR="00EF2251" w:rsidRPr="001A0743" w:rsidRDefault="00EF2251" w:rsidP="00EF0ED9">
            <w:pPr>
              <w:ind w:left="601"/>
              <w:rPr>
                <w:szCs w:val="24"/>
              </w:rPr>
            </w:pPr>
            <w:r w:rsidRPr="001A0743">
              <w:rPr>
                <w:szCs w:val="24"/>
              </w:rPr>
              <w:t>Men</w:t>
            </w:r>
          </w:p>
        </w:tc>
        <w:tc>
          <w:tcPr>
            <w:tcW w:w="1134" w:type="dxa"/>
            <w:vAlign w:val="center"/>
          </w:tcPr>
          <w:p w14:paraId="3BEA3EDC" w14:textId="561228E6" w:rsidR="00EF2251" w:rsidRPr="001A0743" w:rsidRDefault="00EF2251" w:rsidP="00DD63D7">
            <w:pPr>
              <w:jc w:val="right"/>
              <w:rPr>
                <w:snapToGrid w:val="0"/>
                <w:color w:val="000000"/>
                <w:szCs w:val="24"/>
              </w:rPr>
            </w:pPr>
            <w:r w:rsidRPr="001A0743">
              <w:rPr>
                <w:snapToGrid w:val="0"/>
                <w:color w:val="000000"/>
                <w:szCs w:val="24"/>
              </w:rPr>
              <w:t>21.2</w:t>
            </w:r>
          </w:p>
        </w:tc>
        <w:tc>
          <w:tcPr>
            <w:tcW w:w="1026" w:type="dxa"/>
            <w:vAlign w:val="center"/>
          </w:tcPr>
          <w:p w14:paraId="247A585D" w14:textId="642E28DD" w:rsidR="00EF2251" w:rsidRPr="001A0743" w:rsidRDefault="00EF2251" w:rsidP="00DD63D7">
            <w:pPr>
              <w:jc w:val="right"/>
              <w:rPr>
                <w:snapToGrid w:val="0"/>
                <w:color w:val="000000"/>
                <w:szCs w:val="24"/>
              </w:rPr>
            </w:pPr>
            <w:r w:rsidRPr="001A0743">
              <w:rPr>
                <w:snapToGrid w:val="0"/>
                <w:color w:val="000000"/>
                <w:szCs w:val="24"/>
              </w:rPr>
              <w:t>21.2</w:t>
            </w:r>
          </w:p>
        </w:tc>
        <w:tc>
          <w:tcPr>
            <w:tcW w:w="1134" w:type="dxa"/>
            <w:vAlign w:val="center"/>
          </w:tcPr>
          <w:p w14:paraId="049CA47B" w14:textId="4659C853" w:rsidR="00EF2251" w:rsidRPr="001A0743" w:rsidRDefault="00EF2251" w:rsidP="00DD63D7">
            <w:pPr>
              <w:jc w:val="right"/>
              <w:rPr>
                <w:snapToGrid w:val="0"/>
                <w:color w:val="000000"/>
                <w:szCs w:val="24"/>
              </w:rPr>
            </w:pPr>
            <w:r w:rsidRPr="001A0743">
              <w:rPr>
                <w:snapToGrid w:val="0"/>
                <w:color w:val="000000"/>
                <w:szCs w:val="24"/>
              </w:rPr>
              <w:t>2</w:t>
            </w:r>
            <w:r w:rsidR="00830971" w:rsidRPr="001A0743">
              <w:rPr>
                <w:snapToGrid w:val="0"/>
                <w:color w:val="000000"/>
                <w:szCs w:val="24"/>
              </w:rPr>
              <w:t>1.5</w:t>
            </w:r>
          </w:p>
        </w:tc>
        <w:tc>
          <w:tcPr>
            <w:tcW w:w="993" w:type="dxa"/>
            <w:vAlign w:val="center"/>
          </w:tcPr>
          <w:p w14:paraId="085EBB1C" w14:textId="3D644E05" w:rsidR="00EF2251" w:rsidRPr="001A0743" w:rsidRDefault="00EF2251" w:rsidP="00DD63D7">
            <w:pPr>
              <w:jc w:val="right"/>
              <w:rPr>
                <w:snapToGrid w:val="0"/>
                <w:color w:val="000000"/>
                <w:szCs w:val="24"/>
              </w:rPr>
            </w:pPr>
            <w:r w:rsidRPr="001A0743">
              <w:rPr>
                <w:snapToGrid w:val="0"/>
                <w:color w:val="000000"/>
                <w:szCs w:val="24"/>
              </w:rPr>
              <w:t>22.3</w:t>
            </w:r>
          </w:p>
        </w:tc>
        <w:tc>
          <w:tcPr>
            <w:tcW w:w="992" w:type="dxa"/>
            <w:vAlign w:val="center"/>
          </w:tcPr>
          <w:p w14:paraId="353CCC08" w14:textId="578A7DDF" w:rsidR="00EF2251" w:rsidRPr="001A0743" w:rsidRDefault="00EF2251" w:rsidP="00DD63D7">
            <w:pPr>
              <w:jc w:val="right"/>
              <w:rPr>
                <w:snapToGrid w:val="0"/>
                <w:color w:val="000000"/>
                <w:szCs w:val="24"/>
              </w:rPr>
            </w:pPr>
            <w:r w:rsidRPr="001A0743">
              <w:rPr>
                <w:snapToGrid w:val="0"/>
                <w:color w:val="000000"/>
                <w:szCs w:val="24"/>
              </w:rPr>
              <w:t>21.</w:t>
            </w:r>
            <w:r w:rsidR="00EC4589" w:rsidRPr="001A0743">
              <w:rPr>
                <w:snapToGrid w:val="0"/>
                <w:color w:val="000000"/>
                <w:szCs w:val="24"/>
              </w:rPr>
              <w:t>2</w:t>
            </w:r>
          </w:p>
        </w:tc>
        <w:tc>
          <w:tcPr>
            <w:tcW w:w="1134" w:type="dxa"/>
            <w:vAlign w:val="center"/>
          </w:tcPr>
          <w:p w14:paraId="786C24D9" w14:textId="3400AE86" w:rsidR="00EF2251" w:rsidRPr="001A0743" w:rsidRDefault="00EF2251" w:rsidP="00DD63D7">
            <w:pPr>
              <w:jc w:val="right"/>
              <w:rPr>
                <w:snapToGrid w:val="0"/>
                <w:color w:val="000000"/>
                <w:szCs w:val="24"/>
              </w:rPr>
            </w:pPr>
            <w:r w:rsidRPr="001A0743">
              <w:rPr>
                <w:snapToGrid w:val="0"/>
                <w:color w:val="000000"/>
                <w:szCs w:val="24"/>
              </w:rPr>
              <w:t>21.5</w:t>
            </w:r>
          </w:p>
        </w:tc>
      </w:tr>
      <w:tr w:rsidR="00EF2251" w:rsidRPr="001A0743" w14:paraId="67DAF8E0" w14:textId="77777777" w:rsidTr="00DD63D7">
        <w:tc>
          <w:tcPr>
            <w:tcW w:w="3260" w:type="dxa"/>
          </w:tcPr>
          <w:p w14:paraId="78090BAC" w14:textId="77777777" w:rsidR="00EF2251" w:rsidRPr="001A0743" w:rsidRDefault="00EF2251" w:rsidP="00EF0ED9">
            <w:pPr>
              <w:ind w:left="601"/>
              <w:rPr>
                <w:szCs w:val="24"/>
              </w:rPr>
            </w:pPr>
            <w:r w:rsidRPr="001A0743">
              <w:rPr>
                <w:szCs w:val="24"/>
              </w:rPr>
              <w:t>Women</w:t>
            </w:r>
          </w:p>
        </w:tc>
        <w:tc>
          <w:tcPr>
            <w:tcW w:w="1134" w:type="dxa"/>
            <w:vAlign w:val="center"/>
          </w:tcPr>
          <w:p w14:paraId="0E11B488" w14:textId="2A5CD190" w:rsidR="00EF2251" w:rsidRPr="001A0743" w:rsidRDefault="00EF2251" w:rsidP="00DD63D7">
            <w:pPr>
              <w:jc w:val="right"/>
              <w:rPr>
                <w:snapToGrid w:val="0"/>
                <w:color w:val="000000"/>
                <w:szCs w:val="24"/>
              </w:rPr>
            </w:pPr>
            <w:r w:rsidRPr="001A0743">
              <w:rPr>
                <w:snapToGrid w:val="0"/>
                <w:color w:val="000000"/>
                <w:szCs w:val="24"/>
              </w:rPr>
              <w:t>23.8</w:t>
            </w:r>
          </w:p>
        </w:tc>
        <w:tc>
          <w:tcPr>
            <w:tcW w:w="1026" w:type="dxa"/>
            <w:vAlign w:val="center"/>
          </w:tcPr>
          <w:p w14:paraId="58478060" w14:textId="635CA625" w:rsidR="00EF2251" w:rsidRPr="001A0743" w:rsidRDefault="00EF2251" w:rsidP="00DD63D7">
            <w:pPr>
              <w:jc w:val="right"/>
              <w:rPr>
                <w:snapToGrid w:val="0"/>
                <w:color w:val="000000"/>
                <w:szCs w:val="24"/>
              </w:rPr>
            </w:pPr>
            <w:r w:rsidRPr="001A0743">
              <w:rPr>
                <w:snapToGrid w:val="0"/>
                <w:color w:val="000000"/>
                <w:szCs w:val="24"/>
              </w:rPr>
              <w:t>23.8</w:t>
            </w:r>
          </w:p>
        </w:tc>
        <w:tc>
          <w:tcPr>
            <w:tcW w:w="1134" w:type="dxa"/>
            <w:vAlign w:val="center"/>
          </w:tcPr>
          <w:p w14:paraId="4A14BAD7" w14:textId="01A67AB7" w:rsidR="00EF2251" w:rsidRPr="001A0743" w:rsidRDefault="00EF2251" w:rsidP="00DD63D7">
            <w:pPr>
              <w:jc w:val="right"/>
              <w:rPr>
                <w:snapToGrid w:val="0"/>
                <w:color w:val="000000"/>
                <w:szCs w:val="24"/>
              </w:rPr>
            </w:pPr>
            <w:r w:rsidRPr="001A0743">
              <w:rPr>
                <w:snapToGrid w:val="0"/>
                <w:color w:val="000000"/>
                <w:szCs w:val="24"/>
              </w:rPr>
              <w:t>2</w:t>
            </w:r>
            <w:r w:rsidR="00830971" w:rsidRPr="001A0743">
              <w:rPr>
                <w:snapToGrid w:val="0"/>
                <w:color w:val="000000"/>
                <w:szCs w:val="24"/>
              </w:rPr>
              <w:t>3.8</w:t>
            </w:r>
          </w:p>
        </w:tc>
        <w:tc>
          <w:tcPr>
            <w:tcW w:w="993" w:type="dxa"/>
            <w:vAlign w:val="center"/>
          </w:tcPr>
          <w:p w14:paraId="1850AD63" w14:textId="693D5984" w:rsidR="00EF2251" w:rsidRPr="001A0743" w:rsidRDefault="00EF2251" w:rsidP="00DD63D7">
            <w:pPr>
              <w:jc w:val="right"/>
              <w:rPr>
                <w:snapToGrid w:val="0"/>
                <w:color w:val="000000"/>
                <w:szCs w:val="24"/>
              </w:rPr>
            </w:pPr>
            <w:r w:rsidRPr="001A0743">
              <w:rPr>
                <w:snapToGrid w:val="0"/>
                <w:color w:val="000000"/>
                <w:szCs w:val="24"/>
              </w:rPr>
              <w:t>25.0</w:t>
            </w:r>
          </w:p>
        </w:tc>
        <w:tc>
          <w:tcPr>
            <w:tcW w:w="992" w:type="dxa"/>
            <w:vAlign w:val="center"/>
          </w:tcPr>
          <w:p w14:paraId="6A187C4A" w14:textId="1A0A487A" w:rsidR="00EF2251" w:rsidRPr="001A0743" w:rsidRDefault="00EF2251" w:rsidP="00DD63D7">
            <w:pPr>
              <w:jc w:val="right"/>
              <w:rPr>
                <w:snapToGrid w:val="0"/>
                <w:color w:val="000000"/>
                <w:szCs w:val="24"/>
              </w:rPr>
            </w:pPr>
            <w:r w:rsidRPr="001A0743">
              <w:rPr>
                <w:snapToGrid w:val="0"/>
                <w:color w:val="000000"/>
                <w:szCs w:val="24"/>
              </w:rPr>
              <w:t>21.</w:t>
            </w:r>
            <w:r w:rsidR="00EC4589" w:rsidRPr="001A0743">
              <w:rPr>
                <w:snapToGrid w:val="0"/>
                <w:color w:val="000000"/>
                <w:szCs w:val="24"/>
              </w:rPr>
              <w:t>2</w:t>
            </w:r>
          </w:p>
        </w:tc>
        <w:tc>
          <w:tcPr>
            <w:tcW w:w="1134" w:type="dxa"/>
            <w:vAlign w:val="center"/>
          </w:tcPr>
          <w:p w14:paraId="48650E1B" w14:textId="7E058F88" w:rsidR="00EF2251" w:rsidRPr="001A0743" w:rsidRDefault="00EF2251" w:rsidP="00DD63D7">
            <w:pPr>
              <w:jc w:val="right"/>
              <w:rPr>
                <w:snapToGrid w:val="0"/>
                <w:color w:val="000000"/>
                <w:szCs w:val="24"/>
              </w:rPr>
            </w:pPr>
            <w:r w:rsidRPr="001A0743">
              <w:rPr>
                <w:snapToGrid w:val="0"/>
                <w:color w:val="000000"/>
                <w:szCs w:val="24"/>
              </w:rPr>
              <w:t>21.5</w:t>
            </w:r>
          </w:p>
        </w:tc>
      </w:tr>
    </w:tbl>
    <w:p w14:paraId="24FCB1F6" w14:textId="77777777" w:rsidR="001E71F1" w:rsidRDefault="001E71F1"/>
    <w:tbl>
      <w:tblPr>
        <w:tblW w:w="967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134"/>
        <w:gridCol w:w="1026"/>
        <w:gridCol w:w="1134"/>
        <w:gridCol w:w="993"/>
        <w:gridCol w:w="992"/>
        <w:gridCol w:w="1134"/>
      </w:tblGrid>
      <w:tr w:rsidR="00526A3B" w:rsidRPr="001A0743" w14:paraId="145FE162" w14:textId="77777777" w:rsidTr="00982FEC">
        <w:tc>
          <w:tcPr>
            <w:tcW w:w="9673" w:type="dxa"/>
            <w:gridSpan w:val="7"/>
            <w:shd w:val="clear" w:color="auto" w:fill="D9D9D9" w:themeFill="background1" w:themeFillShade="D9"/>
          </w:tcPr>
          <w:p w14:paraId="024B0DDF" w14:textId="05A4923D" w:rsidR="00526A3B" w:rsidRPr="00BD79B2" w:rsidRDefault="00526A3B" w:rsidP="00EF0ED9">
            <w:pPr>
              <w:rPr>
                <w:b/>
                <w:bCs/>
                <w:snapToGrid w:val="0"/>
                <w:color w:val="000000"/>
                <w:szCs w:val="24"/>
              </w:rPr>
            </w:pPr>
            <w:r w:rsidRPr="00BD79B2">
              <w:rPr>
                <w:b/>
                <w:bCs/>
                <w:szCs w:val="24"/>
              </w:rPr>
              <w:t>Longevity at 65 for future pensioners:</w:t>
            </w:r>
          </w:p>
        </w:tc>
      </w:tr>
      <w:tr w:rsidR="00EF2251" w:rsidRPr="001A0743" w14:paraId="5360AEC5" w14:textId="77777777" w:rsidTr="00DD63D7">
        <w:tc>
          <w:tcPr>
            <w:tcW w:w="3260" w:type="dxa"/>
          </w:tcPr>
          <w:p w14:paraId="3D561704" w14:textId="77777777" w:rsidR="00EF2251" w:rsidRPr="001A0743" w:rsidRDefault="00EF2251" w:rsidP="00EF0ED9">
            <w:pPr>
              <w:ind w:left="601"/>
              <w:rPr>
                <w:szCs w:val="24"/>
              </w:rPr>
            </w:pPr>
            <w:r w:rsidRPr="001A0743">
              <w:rPr>
                <w:szCs w:val="24"/>
              </w:rPr>
              <w:t>Men</w:t>
            </w:r>
          </w:p>
        </w:tc>
        <w:tc>
          <w:tcPr>
            <w:tcW w:w="1134" w:type="dxa"/>
            <w:vAlign w:val="center"/>
          </w:tcPr>
          <w:p w14:paraId="2ABDB797" w14:textId="0F3517EF" w:rsidR="00EF2251" w:rsidRPr="001A0743" w:rsidRDefault="00EF2251" w:rsidP="00DD63D7">
            <w:pPr>
              <w:jc w:val="right"/>
              <w:rPr>
                <w:snapToGrid w:val="0"/>
                <w:color w:val="000000"/>
                <w:szCs w:val="24"/>
              </w:rPr>
            </w:pPr>
            <w:r w:rsidRPr="001A0743">
              <w:rPr>
                <w:snapToGrid w:val="0"/>
                <w:color w:val="000000"/>
                <w:szCs w:val="24"/>
              </w:rPr>
              <w:t>21.2</w:t>
            </w:r>
          </w:p>
        </w:tc>
        <w:tc>
          <w:tcPr>
            <w:tcW w:w="1026" w:type="dxa"/>
            <w:vAlign w:val="center"/>
          </w:tcPr>
          <w:p w14:paraId="4B38EC1A" w14:textId="746ED084" w:rsidR="00EF2251" w:rsidRPr="001A0743" w:rsidRDefault="00EF2251" w:rsidP="00DD63D7">
            <w:pPr>
              <w:jc w:val="right"/>
              <w:rPr>
                <w:snapToGrid w:val="0"/>
                <w:color w:val="000000"/>
                <w:szCs w:val="24"/>
              </w:rPr>
            </w:pPr>
            <w:r w:rsidRPr="001A0743">
              <w:rPr>
                <w:snapToGrid w:val="0"/>
                <w:color w:val="000000"/>
                <w:szCs w:val="24"/>
              </w:rPr>
              <w:t>21.2</w:t>
            </w:r>
          </w:p>
        </w:tc>
        <w:tc>
          <w:tcPr>
            <w:tcW w:w="1134" w:type="dxa"/>
            <w:vAlign w:val="center"/>
          </w:tcPr>
          <w:p w14:paraId="61C68FE3" w14:textId="4E2E1AF2" w:rsidR="00EF2251" w:rsidRPr="001A0743" w:rsidRDefault="00EF2251" w:rsidP="00DD63D7">
            <w:pPr>
              <w:jc w:val="right"/>
              <w:rPr>
                <w:snapToGrid w:val="0"/>
                <w:color w:val="000000"/>
                <w:szCs w:val="24"/>
              </w:rPr>
            </w:pPr>
            <w:r w:rsidRPr="001A0743">
              <w:rPr>
                <w:snapToGrid w:val="0"/>
                <w:color w:val="000000"/>
                <w:szCs w:val="24"/>
              </w:rPr>
              <w:t>2</w:t>
            </w:r>
            <w:r w:rsidR="00830971" w:rsidRPr="001A0743">
              <w:rPr>
                <w:snapToGrid w:val="0"/>
                <w:color w:val="000000"/>
                <w:szCs w:val="24"/>
              </w:rPr>
              <w:t>2.8</w:t>
            </w:r>
          </w:p>
        </w:tc>
        <w:tc>
          <w:tcPr>
            <w:tcW w:w="993" w:type="dxa"/>
            <w:vAlign w:val="center"/>
          </w:tcPr>
          <w:p w14:paraId="198AEDA1" w14:textId="25F8BFCD" w:rsidR="00EF2251" w:rsidRPr="001A0743" w:rsidRDefault="00EF2251" w:rsidP="00DD63D7">
            <w:pPr>
              <w:jc w:val="right"/>
              <w:rPr>
                <w:snapToGrid w:val="0"/>
                <w:color w:val="000000"/>
                <w:szCs w:val="24"/>
              </w:rPr>
            </w:pPr>
            <w:r w:rsidRPr="001A0743">
              <w:rPr>
                <w:snapToGrid w:val="0"/>
                <w:color w:val="000000"/>
                <w:szCs w:val="24"/>
              </w:rPr>
              <w:t>23.7</w:t>
            </w:r>
          </w:p>
        </w:tc>
        <w:tc>
          <w:tcPr>
            <w:tcW w:w="992" w:type="dxa"/>
            <w:vAlign w:val="center"/>
          </w:tcPr>
          <w:p w14:paraId="01CAFE20" w14:textId="42701148" w:rsidR="00EF2251" w:rsidRPr="001A0743" w:rsidRDefault="00EF2251" w:rsidP="00DD63D7">
            <w:pPr>
              <w:jc w:val="right"/>
              <w:rPr>
                <w:snapToGrid w:val="0"/>
                <w:color w:val="000000"/>
                <w:szCs w:val="24"/>
              </w:rPr>
            </w:pPr>
            <w:r w:rsidRPr="001A0743">
              <w:rPr>
                <w:snapToGrid w:val="0"/>
                <w:color w:val="000000"/>
                <w:szCs w:val="24"/>
              </w:rPr>
              <w:t>2</w:t>
            </w:r>
            <w:r w:rsidR="00EC4589" w:rsidRPr="001A0743">
              <w:rPr>
                <w:snapToGrid w:val="0"/>
                <w:color w:val="000000"/>
                <w:szCs w:val="24"/>
              </w:rPr>
              <w:t>1.2</w:t>
            </w:r>
          </w:p>
        </w:tc>
        <w:tc>
          <w:tcPr>
            <w:tcW w:w="1134" w:type="dxa"/>
            <w:vAlign w:val="center"/>
          </w:tcPr>
          <w:p w14:paraId="6383D3C9" w14:textId="27DA1F03" w:rsidR="00EF2251" w:rsidRPr="001A0743" w:rsidRDefault="00EF2251" w:rsidP="00DD63D7">
            <w:pPr>
              <w:jc w:val="right"/>
              <w:rPr>
                <w:snapToGrid w:val="0"/>
                <w:color w:val="000000"/>
                <w:szCs w:val="24"/>
              </w:rPr>
            </w:pPr>
            <w:r w:rsidRPr="001A0743">
              <w:rPr>
                <w:snapToGrid w:val="0"/>
                <w:color w:val="000000"/>
                <w:szCs w:val="24"/>
              </w:rPr>
              <w:t>23.2</w:t>
            </w:r>
          </w:p>
        </w:tc>
      </w:tr>
      <w:tr w:rsidR="00EF2251" w:rsidRPr="001A0743" w14:paraId="1D719DAF" w14:textId="77777777" w:rsidTr="00DD63D7">
        <w:tc>
          <w:tcPr>
            <w:tcW w:w="3260" w:type="dxa"/>
          </w:tcPr>
          <w:p w14:paraId="3F1DA9DC" w14:textId="77777777" w:rsidR="00EF2251" w:rsidRPr="001A0743" w:rsidRDefault="00EF2251" w:rsidP="00EF0ED9">
            <w:pPr>
              <w:ind w:left="601"/>
              <w:rPr>
                <w:szCs w:val="24"/>
              </w:rPr>
            </w:pPr>
            <w:r w:rsidRPr="001A0743">
              <w:rPr>
                <w:szCs w:val="24"/>
              </w:rPr>
              <w:t>Women</w:t>
            </w:r>
          </w:p>
        </w:tc>
        <w:tc>
          <w:tcPr>
            <w:tcW w:w="1134" w:type="dxa"/>
            <w:vAlign w:val="center"/>
          </w:tcPr>
          <w:p w14:paraId="700A4525" w14:textId="39B927B5" w:rsidR="00EF2251" w:rsidRPr="001A0743" w:rsidRDefault="00EF2251" w:rsidP="00DD63D7">
            <w:pPr>
              <w:jc w:val="right"/>
              <w:rPr>
                <w:snapToGrid w:val="0"/>
                <w:color w:val="000000"/>
                <w:szCs w:val="24"/>
              </w:rPr>
            </w:pPr>
            <w:r w:rsidRPr="001A0743">
              <w:rPr>
                <w:snapToGrid w:val="0"/>
                <w:color w:val="000000"/>
                <w:szCs w:val="24"/>
              </w:rPr>
              <w:t>25.5</w:t>
            </w:r>
          </w:p>
        </w:tc>
        <w:tc>
          <w:tcPr>
            <w:tcW w:w="1026" w:type="dxa"/>
            <w:vAlign w:val="center"/>
          </w:tcPr>
          <w:p w14:paraId="550B8FAE" w14:textId="3F67BAD4" w:rsidR="00EF2251" w:rsidRPr="001A0743" w:rsidRDefault="00EF2251" w:rsidP="00DD63D7">
            <w:pPr>
              <w:jc w:val="right"/>
              <w:rPr>
                <w:snapToGrid w:val="0"/>
                <w:color w:val="000000"/>
                <w:szCs w:val="24"/>
              </w:rPr>
            </w:pPr>
            <w:r w:rsidRPr="001A0743">
              <w:rPr>
                <w:snapToGrid w:val="0"/>
                <w:color w:val="000000"/>
                <w:szCs w:val="24"/>
              </w:rPr>
              <w:t>25.5</w:t>
            </w:r>
          </w:p>
        </w:tc>
        <w:tc>
          <w:tcPr>
            <w:tcW w:w="1134" w:type="dxa"/>
            <w:vAlign w:val="center"/>
          </w:tcPr>
          <w:p w14:paraId="3793EE23" w14:textId="37E30996" w:rsidR="00EF2251" w:rsidRPr="001A0743" w:rsidRDefault="00EF2251" w:rsidP="00DD63D7">
            <w:pPr>
              <w:jc w:val="right"/>
              <w:rPr>
                <w:snapToGrid w:val="0"/>
                <w:color w:val="000000"/>
                <w:szCs w:val="24"/>
              </w:rPr>
            </w:pPr>
            <w:r w:rsidRPr="001A0743">
              <w:rPr>
                <w:snapToGrid w:val="0"/>
                <w:color w:val="000000"/>
                <w:szCs w:val="24"/>
              </w:rPr>
              <w:t>2</w:t>
            </w:r>
            <w:r w:rsidR="00830971" w:rsidRPr="001A0743">
              <w:rPr>
                <w:snapToGrid w:val="0"/>
                <w:color w:val="000000"/>
                <w:szCs w:val="24"/>
              </w:rPr>
              <w:t>5.6</w:t>
            </w:r>
          </w:p>
        </w:tc>
        <w:tc>
          <w:tcPr>
            <w:tcW w:w="993" w:type="dxa"/>
            <w:vAlign w:val="center"/>
          </w:tcPr>
          <w:p w14:paraId="41238C15" w14:textId="64DBF2E9" w:rsidR="00EF2251" w:rsidRPr="001A0743" w:rsidRDefault="00EF2251" w:rsidP="00DD63D7">
            <w:pPr>
              <w:jc w:val="right"/>
              <w:rPr>
                <w:snapToGrid w:val="0"/>
                <w:color w:val="000000"/>
                <w:szCs w:val="24"/>
              </w:rPr>
            </w:pPr>
            <w:r w:rsidRPr="001A0743">
              <w:rPr>
                <w:snapToGrid w:val="0"/>
                <w:color w:val="000000"/>
                <w:szCs w:val="24"/>
              </w:rPr>
              <w:t>26.8</w:t>
            </w:r>
          </w:p>
        </w:tc>
        <w:tc>
          <w:tcPr>
            <w:tcW w:w="992" w:type="dxa"/>
            <w:vAlign w:val="center"/>
          </w:tcPr>
          <w:p w14:paraId="0BC1D387" w14:textId="254C0450" w:rsidR="00EF2251" w:rsidRPr="001A0743" w:rsidRDefault="00EF2251" w:rsidP="00DD63D7">
            <w:pPr>
              <w:jc w:val="right"/>
              <w:rPr>
                <w:snapToGrid w:val="0"/>
                <w:color w:val="000000"/>
                <w:szCs w:val="24"/>
              </w:rPr>
            </w:pPr>
            <w:r w:rsidRPr="001A0743">
              <w:rPr>
                <w:snapToGrid w:val="0"/>
                <w:color w:val="000000"/>
                <w:szCs w:val="24"/>
              </w:rPr>
              <w:t>2</w:t>
            </w:r>
            <w:r w:rsidR="00EC4589" w:rsidRPr="001A0743">
              <w:rPr>
                <w:snapToGrid w:val="0"/>
                <w:color w:val="000000"/>
                <w:szCs w:val="24"/>
              </w:rPr>
              <w:t>1.2</w:t>
            </w:r>
          </w:p>
        </w:tc>
        <w:tc>
          <w:tcPr>
            <w:tcW w:w="1134" w:type="dxa"/>
            <w:vAlign w:val="center"/>
          </w:tcPr>
          <w:p w14:paraId="25DCA9FA" w14:textId="57C3C50F" w:rsidR="00EF2251" w:rsidRPr="001A0743" w:rsidRDefault="00EF2251" w:rsidP="00DD63D7">
            <w:pPr>
              <w:jc w:val="right"/>
              <w:rPr>
                <w:snapToGrid w:val="0"/>
                <w:color w:val="000000"/>
                <w:szCs w:val="24"/>
              </w:rPr>
            </w:pPr>
            <w:r w:rsidRPr="001A0743">
              <w:rPr>
                <w:snapToGrid w:val="0"/>
                <w:color w:val="000000"/>
                <w:szCs w:val="24"/>
              </w:rPr>
              <w:t>23.2</w:t>
            </w:r>
          </w:p>
        </w:tc>
      </w:tr>
      <w:tr w:rsidR="00EF2251" w:rsidRPr="001A0743" w14:paraId="11E8A6B3" w14:textId="77777777" w:rsidTr="00DD63D7">
        <w:tc>
          <w:tcPr>
            <w:tcW w:w="3260" w:type="dxa"/>
          </w:tcPr>
          <w:p w14:paraId="2ABB0F74" w14:textId="77777777" w:rsidR="00EF2251" w:rsidRPr="001A0743" w:rsidRDefault="00EF2251" w:rsidP="00EF0ED9">
            <w:pPr>
              <w:rPr>
                <w:szCs w:val="24"/>
              </w:rPr>
            </w:pPr>
            <w:r w:rsidRPr="001A0743">
              <w:rPr>
                <w:szCs w:val="24"/>
              </w:rPr>
              <w:t>Rate of CPI inflation</w:t>
            </w:r>
          </w:p>
        </w:tc>
        <w:tc>
          <w:tcPr>
            <w:tcW w:w="1134" w:type="dxa"/>
            <w:vAlign w:val="center"/>
          </w:tcPr>
          <w:p w14:paraId="654C968D" w14:textId="39D1576D" w:rsidR="00EF2251" w:rsidRPr="001A0743" w:rsidRDefault="00EF2251" w:rsidP="00DD63D7">
            <w:pPr>
              <w:jc w:val="right"/>
              <w:rPr>
                <w:snapToGrid w:val="0"/>
                <w:color w:val="000000"/>
                <w:szCs w:val="24"/>
              </w:rPr>
            </w:pPr>
            <w:r w:rsidRPr="001A0743">
              <w:rPr>
                <w:snapToGrid w:val="0"/>
                <w:color w:val="000000"/>
                <w:szCs w:val="24"/>
              </w:rPr>
              <w:t>3.15%</w:t>
            </w:r>
          </w:p>
        </w:tc>
        <w:tc>
          <w:tcPr>
            <w:tcW w:w="1026" w:type="dxa"/>
            <w:vAlign w:val="center"/>
          </w:tcPr>
          <w:p w14:paraId="46388F04" w14:textId="3C97335C" w:rsidR="00EF2251" w:rsidRPr="001A0743" w:rsidRDefault="00EF2251" w:rsidP="00DD63D7">
            <w:pPr>
              <w:jc w:val="right"/>
              <w:rPr>
                <w:snapToGrid w:val="0"/>
                <w:color w:val="000000"/>
                <w:szCs w:val="24"/>
              </w:rPr>
            </w:pPr>
            <w:r w:rsidRPr="001A0743">
              <w:rPr>
                <w:snapToGrid w:val="0"/>
                <w:color w:val="000000"/>
                <w:szCs w:val="24"/>
              </w:rPr>
              <w:t>3.15%</w:t>
            </w:r>
          </w:p>
        </w:tc>
        <w:tc>
          <w:tcPr>
            <w:tcW w:w="1134" w:type="dxa"/>
            <w:vAlign w:val="center"/>
          </w:tcPr>
          <w:p w14:paraId="02D36699" w14:textId="0052AE6F" w:rsidR="00EF2251" w:rsidRPr="001A0743" w:rsidRDefault="00830971" w:rsidP="00DD63D7">
            <w:pPr>
              <w:jc w:val="right"/>
              <w:rPr>
                <w:snapToGrid w:val="0"/>
                <w:color w:val="000000"/>
                <w:szCs w:val="24"/>
              </w:rPr>
            </w:pPr>
            <w:r w:rsidRPr="001A0743">
              <w:rPr>
                <w:snapToGrid w:val="0"/>
                <w:color w:val="000000"/>
                <w:szCs w:val="24"/>
              </w:rPr>
              <w:t>2.70</w:t>
            </w:r>
            <w:r w:rsidR="00EF2251" w:rsidRPr="001A0743">
              <w:rPr>
                <w:snapToGrid w:val="0"/>
                <w:color w:val="000000"/>
                <w:szCs w:val="24"/>
              </w:rPr>
              <w:t>%</w:t>
            </w:r>
          </w:p>
        </w:tc>
        <w:tc>
          <w:tcPr>
            <w:tcW w:w="993" w:type="dxa"/>
            <w:vAlign w:val="center"/>
          </w:tcPr>
          <w:p w14:paraId="03139C68" w14:textId="341D4F03" w:rsidR="00EF2251" w:rsidRPr="001A0743" w:rsidRDefault="00EF2251" w:rsidP="00DD63D7">
            <w:pPr>
              <w:jc w:val="right"/>
              <w:rPr>
                <w:snapToGrid w:val="0"/>
                <w:color w:val="000000"/>
                <w:szCs w:val="24"/>
              </w:rPr>
            </w:pPr>
            <w:r w:rsidRPr="001A0743">
              <w:rPr>
                <w:snapToGrid w:val="0"/>
                <w:color w:val="000000"/>
                <w:szCs w:val="24"/>
              </w:rPr>
              <w:t>3.30%</w:t>
            </w:r>
          </w:p>
        </w:tc>
        <w:tc>
          <w:tcPr>
            <w:tcW w:w="992" w:type="dxa"/>
            <w:vAlign w:val="center"/>
          </w:tcPr>
          <w:p w14:paraId="2263E454" w14:textId="617B503C" w:rsidR="00EF2251" w:rsidRPr="001A0743" w:rsidRDefault="00EC4589" w:rsidP="00DD63D7">
            <w:pPr>
              <w:jc w:val="right"/>
              <w:rPr>
                <w:snapToGrid w:val="0"/>
                <w:color w:val="000000"/>
                <w:szCs w:val="24"/>
              </w:rPr>
            </w:pPr>
            <w:r w:rsidRPr="001A0743">
              <w:rPr>
                <w:snapToGrid w:val="0"/>
                <w:color w:val="000000"/>
                <w:szCs w:val="24"/>
              </w:rPr>
              <w:t>2.6</w:t>
            </w:r>
            <w:r w:rsidR="00EF2251" w:rsidRPr="001A0743">
              <w:rPr>
                <w:snapToGrid w:val="0"/>
                <w:color w:val="000000"/>
                <w:szCs w:val="24"/>
              </w:rPr>
              <w:t>0%</w:t>
            </w:r>
          </w:p>
        </w:tc>
        <w:tc>
          <w:tcPr>
            <w:tcW w:w="1134" w:type="dxa"/>
            <w:vAlign w:val="center"/>
          </w:tcPr>
          <w:p w14:paraId="6D3B2ADF" w14:textId="1DF43691" w:rsidR="00EF2251" w:rsidRPr="001A0743" w:rsidRDefault="00EF2251" w:rsidP="00DD63D7">
            <w:pPr>
              <w:jc w:val="right"/>
              <w:rPr>
                <w:snapToGrid w:val="0"/>
                <w:color w:val="000000"/>
                <w:szCs w:val="24"/>
              </w:rPr>
            </w:pPr>
            <w:r w:rsidRPr="001A0743">
              <w:rPr>
                <w:snapToGrid w:val="0"/>
                <w:color w:val="000000"/>
                <w:szCs w:val="24"/>
              </w:rPr>
              <w:t>3.00%</w:t>
            </w:r>
          </w:p>
        </w:tc>
      </w:tr>
      <w:tr w:rsidR="00EF2251" w:rsidRPr="001A0743" w14:paraId="119731DB" w14:textId="77777777" w:rsidTr="00DD63D7">
        <w:tc>
          <w:tcPr>
            <w:tcW w:w="3260" w:type="dxa"/>
          </w:tcPr>
          <w:p w14:paraId="254FD3E8" w14:textId="77777777" w:rsidR="00EF2251" w:rsidRPr="001A0743" w:rsidRDefault="00EF2251" w:rsidP="00EF0ED9">
            <w:pPr>
              <w:rPr>
                <w:szCs w:val="24"/>
              </w:rPr>
            </w:pPr>
            <w:r w:rsidRPr="001A0743">
              <w:rPr>
                <w:szCs w:val="24"/>
              </w:rPr>
              <w:t>Rate of increase in salaries</w:t>
            </w:r>
          </w:p>
        </w:tc>
        <w:tc>
          <w:tcPr>
            <w:tcW w:w="1134" w:type="dxa"/>
            <w:vAlign w:val="center"/>
          </w:tcPr>
          <w:p w14:paraId="02812B93" w14:textId="23729192" w:rsidR="00EF2251" w:rsidRPr="001A0743" w:rsidRDefault="00EF2251" w:rsidP="00DD63D7">
            <w:pPr>
              <w:jc w:val="right"/>
              <w:rPr>
                <w:snapToGrid w:val="0"/>
                <w:color w:val="000000"/>
                <w:szCs w:val="24"/>
              </w:rPr>
            </w:pPr>
            <w:r w:rsidRPr="001A0743">
              <w:rPr>
                <w:snapToGrid w:val="0"/>
                <w:color w:val="000000"/>
                <w:szCs w:val="24"/>
              </w:rPr>
              <w:t>3.85%</w:t>
            </w:r>
          </w:p>
        </w:tc>
        <w:tc>
          <w:tcPr>
            <w:tcW w:w="1026" w:type="dxa"/>
            <w:vAlign w:val="center"/>
          </w:tcPr>
          <w:p w14:paraId="30715409" w14:textId="28E0F7AD" w:rsidR="00EF2251" w:rsidRPr="001A0743" w:rsidRDefault="00EF2251" w:rsidP="00DD63D7">
            <w:pPr>
              <w:jc w:val="right"/>
              <w:rPr>
                <w:snapToGrid w:val="0"/>
                <w:color w:val="000000"/>
                <w:szCs w:val="24"/>
              </w:rPr>
            </w:pPr>
            <w:r w:rsidRPr="001A0743">
              <w:rPr>
                <w:snapToGrid w:val="0"/>
                <w:color w:val="000000"/>
                <w:szCs w:val="24"/>
              </w:rPr>
              <w:t>3.85%</w:t>
            </w:r>
          </w:p>
        </w:tc>
        <w:tc>
          <w:tcPr>
            <w:tcW w:w="1134" w:type="dxa"/>
            <w:vAlign w:val="center"/>
          </w:tcPr>
          <w:p w14:paraId="06B1A881" w14:textId="6E13FAA9" w:rsidR="00EF2251" w:rsidRPr="001A0743" w:rsidRDefault="00EF2251" w:rsidP="00DD63D7">
            <w:pPr>
              <w:jc w:val="right"/>
              <w:rPr>
                <w:snapToGrid w:val="0"/>
                <w:color w:val="000000"/>
                <w:szCs w:val="24"/>
              </w:rPr>
            </w:pPr>
            <w:r w:rsidRPr="001A0743">
              <w:rPr>
                <w:snapToGrid w:val="0"/>
                <w:color w:val="000000"/>
                <w:szCs w:val="24"/>
              </w:rPr>
              <w:t>4.</w:t>
            </w:r>
            <w:r w:rsidR="00830971" w:rsidRPr="001A0743">
              <w:rPr>
                <w:snapToGrid w:val="0"/>
                <w:color w:val="000000"/>
                <w:szCs w:val="24"/>
              </w:rPr>
              <w:t>2</w:t>
            </w:r>
            <w:r w:rsidRPr="001A0743">
              <w:rPr>
                <w:snapToGrid w:val="0"/>
                <w:color w:val="000000"/>
                <w:szCs w:val="24"/>
              </w:rPr>
              <w:t>0%</w:t>
            </w:r>
          </w:p>
        </w:tc>
        <w:tc>
          <w:tcPr>
            <w:tcW w:w="993" w:type="dxa"/>
            <w:vAlign w:val="center"/>
          </w:tcPr>
          <w:p w14:paraId="689A0F10" w14:textId="6558B983" w:rsidR="00EF2251" w:rsidRPr="001A0743" w:rsidRDefault="00EF2251" w:rsidP="00DD63D7">
            <w:pPr>
              <w:jc w:val="right"/>
              <w:rPr>
                <w:snapToGrid w:val="0"/>
                <w:color w:val="000000"/>
                <w:szCs w:val="24"/>
              </w:rPr>
            </w:pPr>
            <w:r w:rsidRPr="001A0743">
              <w:rPr>
                <w:snapToGrid w:val="0"/>
                <w:color w:val="000000"/>
                <w:szCs w:val="24"/>
              </w:rPr>
              <w:t>4.80%</w:t>
            </w:r>
          </w:p>
        </w:tc>
        <w:tc>
          <w:tcPr>
            <w:tcW w:w="992" w:type="dxa"/>
            <w:vAlign w:val="center"/>
          </w:tcPr>
          <w:p w14:paraId="7940CD79" w14:textId="484AD379" w:rsidR="00EF2251" w:rsidRPr="001A0743" w:rsidRDefault="00EC4589" w:rsidP="00DD63D7">
            <w:pPr>
              <w:jc w:val="right"/>
              <w:rPr>
                <w:snapToGrid w:val="0"/>
                <w:color w:val="000000"/>
                <w:szCs w:val="24"/>
              </w:rPr>
            </w:pPr>
            <w:r w:rsidRPr="001A0743">
              <w:rPr>
                <w:snapToGrid w:val="0"/>
                <w:color w:val="000000"/>
                <w:szCs w:val="24"/>
              </w:rPr>
              <w:t>3.85</w:t>
            </w:r>
            <w:r w:rsidR="00EF2251" w:rsidRPr="001A0743">
              <w:rPr>
                <w:snapToGrid w:val="0"/>
                <w:color w:val="000000"/>
                <w:szCs w:val="24"/>
              </w:rPr>
              <w:t>%</w:t>
            </w:r>
          </w:p>
        </w:tc>
        <w:tc>
          <w:tcPr>
            <w:tcW w:w="1134" w:type="dxa"/>
            <w:vAlign w:val="center"/>
          </w:tcPr>
          <w:p w14:paraId="4617940B" w14:textId="3225508F" w:rsidR="00EF2251" w:rsidRPr="001A0743" w:rsidRDefault="00EF2251" w:rsidP="00DD63D7">
            <w:pPr>
              <w:jc w:val="right"/>
              <w:rPr>
                <w:snapToGrid w:val="0"/>
                <w:color w:val="000000"/>
                <w:szCs w:val="24"/>
              </w:rPr>
            </w:pPr>
            <w:r w:rsidRPr="001A0743">
              <w:rPr>
                <w:snapToGrid w:val="0"/>
                <w:color w:val="000000"/>
                <w:szCs w:val="24"/>
              </w:rPr>
              <w:t>4.75%</w:t>
            </w:r>
          </w:p>
        </w:tc>
      </w:tr>
      <w:tr w:rsidR="00EF2251" w:rsidRPr="001A0743" w14:paraId="101DD171" w14:textId="77777777" w:rsidTr="00DD63D7">
        <w:tc>
          <w:tcPr>
            <w:tcW w:w="3260" w:type="dxa"/>
          </w:tcPr>
          <w:p w14:paraId="70605973" w14:textId="77777777" w:rsidR="00EF2251" w:rsidRPr="001A0743" w:rsidRDefault="00EF2251" w:rsidP="00EF0ED9">
            <w:pPr>
              <w:rPr>
                <w:szCs w:val="24"/>
              </w:rPr>
            </w:pPr>
            <w:r w:rsidRPr="001A0743">
              <w:rPr>
                <w:szCs w:val="24"/>
              </w:rPr>
              <w:t>Rate of increase in pensions</w:t>
            </w:r>
          </w:p>
        </w:tc>
        <w:tc>
          <w:tcPr>
            <w:tcW w:w="1134" w:type="dxa"/>
            <w:vAlign w:val="center"/>
          </w:tcPr>
          <w:p w14:paraId="3B548824" w14:textId="11B85E05" w:rsidR="00EF2251" w:rsidRPr="001A0743" w:rsidRDefault="00EF2251" w:rsidP="00DD63D7">
            <w:pPr>
              <w:jc w:val="right"/>
              <w:rPr>
                <w:snapToGrid w:val="0"/>
                <w:color w:val="000000"/>
                <w:szCs w:val="24"/>
              </w:rPr>
            </w:pPr>
            <w:r w:rsidRPr="001A0743">
              <w:rPr>
                <w:snapToGrid w:val="0"/>
                <w:color w:val="000000"/>
                <w:szCs w:val="24"/>
              </w:rPr>
              <w:t>3.15%</w:t>
            </w:r>
          </w:p>
        </w:tc>
        <w:tc>
          <w:tcPr>
            <w:tcW w:w="1026" w:type="dxa"/>
            <w:vAlign w:val="center"/>
          </w:tcPr>
          <w:p w14:paraId="34F78E31" w14:textId="3008C0D8" w:rsidR="00EF2251" w:rsidRPr="001A0743" w:rsidRDefault="00EF2251" w:rsidP="00DD63D7">
            <w:pPr>
              <w:jc w:val="right"/>
              <w:rPr>
                <w:snapToGrid w:val="0"/>
                <w:color w:val="000000"/>
                <w:szCs w:val="24"/>
              </w:rPr>
            </w:pPr>
            <w:r w:rsidRPr="001A0743">
              <w:rPr>
                <w:snapToGrid w:val="0"/>
                <w:color w:val="000000"/>
                <w:szCs w:val="24"/>
              </w:rPr>
              <w:t>3.15%</w:t>
            </w:r>
          </w:p>
        </w:tc>
        <w:tc>
          <w:tcPr>
            <w:tcW w:w="1134" w:type="dxa"/>
            <w:vAlign w:val="center"/>
          </w:tcPr>
          <w:p w14:paraId="1816C1B9" w14:textId="6908165A" w:rsidR="00EF2251" w:rsidRPr="001A0743" w:rsidRDefault="00830971" w:rsidP="00DD63D7">
            <w:pPr>
              <w:jc w:val="right"/>
              <w:rPr>
                <w:snapToGrid w:val="0"/>
                <w:color w:val="000000"/>
                <w:szCs w:val="24"/>
              </w:rPr>
            </w:pPr>
            <w:r w:rsidRPr="001A0743">
              <w:rPr>
                <w:snapToGrid w:val="0"/>
                <w:color w:val="000000"/>
                <w:szCs w:val="24"/>
              </w:rPr>
              <w:t>2.80</w:t>
            </w:r>
            <w:r w:rsidR="00EF2251" w:rsidRPr="001A0743">
              <w:rPr>
                <w:snapToGrid w:val="0"/>
                <w:color w:val="000000"/>
                <w:szCs w:val="24"/>
              </w:rPr>
              <w:t>%</w:t>
            </w:r>
          </w:p>
        </w:tc>
        <w:tc>
          <w:tcPr>
            <w:tcW w:w="993" w:type="dxa"/>
            <w:vAlign w:val="center"/>
          </w:tcPr>
          <w:p w14:paraId="3C129A78" w14:textId="679A41E2" w:rsidR="00EF2251" w:rsidRPr="001A0743" w:rsidRDefault="00EF2251" w:rsidP="00DD63D7">
            <w:pPr>
              <w:jc w:val="right"/>
              <w:rPr>
                <w:snapToGrid w:val="0"/>
                <w:color w:val="000000"/>
                <w:szCs w:val="24"/>
              </w:rPr>
            </w:pPr>
            <w:r w:rsidRPr="001A0743">
              <w:rPr>
                <w:snapToGrid w:val="0"/>
                <w:color w:val="000000"/>
                <w:szCs w:val="24"/>
              </w:rPr>
              <w:t>3.40%</w:t>
            </w:r>
          </w:p>
        </w:tc>
        <w:tc>
          <w:tcPr>
            <w:tcW w:w="992" w:type="dxa"/>
            <w:vAlign w:val="center"/>
          </w:tcPr>
          <w:p w14:paraId="30BCB347" w14:textId="21CF64F2" w:rsidR="00EF2251" w:rsidRPr="001A0743" w:rsidRDefault="00EC4589" w:rsidP="00DD63D7">
            <w:pPr>
              <w:jc w:val="right"/>
              <w:rPr>
                <w:snapToGrid w:val="0"/>
                <w:color w:val="000000"/>
                <w:szCs w:val="24"/>
              </w:rPr>
            </w:pPr>
            <w:r w:rsidRPr="001A0743">
              <w:rPr>
                <w:snapToGrid w:val="0"/>
                <w:color w:val="000000"/>
                <w:szCs w:val="24"/>
              </w:rPr>
              <w:t>2.60</w:t>
            </w:r>
            <w:r w:rsidR="00EF2251" w:rsidRPr="001A0743">
              <w:rPr>
                <w:snapToGrid w:val="0"/>
                <w:color w:val="000000"/>
                <w:szCs w:val="24"/>
              </w:rPr>
              <w:t>%</w:t>
            </w:r>
          </w:p>
        </w:tc>
        <w:tc>
          <w:tcPr>
            <w:tcW w:w="1134" w:type="dxa"/>
            <w:vAlign w:val="center"/>
          </w:tcPr>
          <w:p w14:paraId="523681C9" w14:textId="26F803E7" w:rsidR="00EF2251" w:rsidRPr="001A0743" w:rsidRDefault="00EF2251" w:rsidP="00DD63D7">
            <w:pPr>
              <w:jc w:val="right"/>
              <w:rPr>
                <w:snapToGrid w:val="0"/>
                <w:color w:val="000000"/>
                <w:szCs w:val="24"/>
              </w:rPr>
            </w:pPr>
            <w:r w:rsidRPr="001A0743">
              <w:rPr>
                <w:snapToGrid w:val="0"/>
                <w:color w:val="000000"/>
                <w:szCs w:val="24"/>
              </w:rPr>
              <w:t>3.00%</w:t>
            </w:r>
          </w:p>
        </w:tc>
      </w:tr>
      <w:tr w:rsidR="00EF2251" w:rsidRPr="001A0743" w14:paraId="23F3C53C" w14:textId="77777777" w:rsidTr="00DD63D7">
        <w:tc>
          <w:tcPr>
            <w:tcW w:w="3260" w:type="dxa"/>
          </w:tcPr>
          <w:p w14:paraId="62F89239" w14:textId="77777777" w:rsidR="00EF2251" w:rsidRPr="001A0743" w:rsidRDefault="00EF2251" w:rsidP="00EF0ED9">
            <w:pPr>
              <w:rPr>
                <w:szCs w:val="24"/>
              </w:rPr>
            </w:pPr>
            <w:r w:rsidRPr="001A0743">
              <w:rPr>
                <w:szCs w:val="24"/>
              </w:rPr>
              <w:t>Rate for discounting scheme liabilities</w:t>
            </w:r>
          </w:p>
        </w:tc>
        <w:tc>
          <w:tcPr>
            <w:tcW w:w="1134" w:type="dxa"/>
            <w:vAlign w:val="center"/>
          </w:tcPr>
          <w:p w14:paraId="750E7B0E" w14:textId="35244E89" w:rsidR="00EF2251" w:rsidRPr="001A0743" w:rsidRDefault="00EF2251" w:rsidP="00DD63D7">
            <w:pPr>
              <w:jc w:val="right"/>
              <w:rPr>
                <w:snapToGrid w:val="0"/>
                <w:color w:val="000000"/>
                <w:szCs w:val="24"/>
              </w:rPr>
            </w:pPr>
            <w:r w:rsidRPr="001A0743">
              <w:rPr>
                <w:snapToGrid w:val="0"/>
                <w:color w:val="000000"/>
                <w:szCs w:val="24"/>
              </w:rPr>
              <w:t>2.75%</w:t>
            </w:r>
          </w:p>
        </w:tc>
        <w:tc>
          <w:tcPr>
            <w:tcW w:w="1026" w:type="dxa"/>
            <w:vAlign w:val="center"/>
          </w:tcPr>
          <w:p w14:paraId="4793CCEF" w14:textId="1E3B1773" w:rsidR="00EF2251" w:rsidRPr="001A0743" w:rsidRDefault="00EF2251" w:rsidP="00DD63D7">
            <w:pPr>
              <w:jc w:val="right"/>
              <w:rPr>
                <w:snapToGrid w:val="0"/>
                <w:color w:val="000000"/>
                <w:szCs w:val="24"/>
              </w:rPr>
            </w:pPr>
            <w:r w:rsidRPr="001A0743">
              <w:rPr>
                <w:snapToGrid w:val="0"/>
                <w:color w:val="000000"/>
                <w:szCs w:val="24"/>
              </w:rPr>
              <w:t>2.75%</w:t>
            </w:r>
          </w:p>
        </w:tc>
        <w:tc>
          <w:tcPr>
            <w:tcW w:w="1134" w:type="dxa"/>
            <w:vAlign w:val="center"/>
          </w:tcPr>
          <w:p w14:paraId="0C29C89D" w14:textId="3B96FDAF" w:rsidR="00EF2251" w:rsidRPr="001A0743" w:rsidRDefault="00830971" w:rsidP="00DD63D7">
            <w:pPr>
              <w:jc w:val="right"/>
              <w:rPr>
                <w:snapToGrid w:val="0"/>
                <w:color w:val="000000"/>
                <w:szCs w:val="24"/>
              </w:rPr>
            </w:pPr>
            <w:r w:rsidRPr="001A0743">
              <w:rPr>
                <w:snapToGrid w:val="0"/>
                <w:color w:val="000000"/>
                <w:szCs w:val="24"/>
              </w:rPr>
              <w:t>4</w:t>
            </w:r>
            <w:r w:rsidR="00EF2251" w:rsidRPr="001A0743">
              <w:rPr>
                <w:snapToGrid w:val="0"/>
                <w:color w:val="000000"/>
                <w:szCs w:val="24"/>
              </w:rPr>
              <w:t>.80%</w:t>
            </w:r>
          </w:p>
        </w:tc>
        <w:tc>
          <w:tcPr>
            <w:tcW w:w="993" w:type="dxa"/>
            <w:vAlign w:val="center"/>
          </w:tcPr>
          <w:p w14:paraId="3A01F611" w14:textId="257E5B6E" w:rsidR="00EF2251" w:rsidRPr="001A0743" w:rsidRDefault="00EF2251" w:rsidP="00DD63D7">
            <w:pPr>
              <w:jc w:val="right"/>
              <w:rPr>
                <w:snapToGrid w:val="0"/>
                <w:color w:val="000000"/>
                <w:szCs w:val="24"/>
              </w:rPr>
            </w:pPr>
            <w:r w:rsidRPr="001A0743">
              <w:rPr>
                <w:snapToGrid w:val="0"/>
                <w:color w:val="000000"/>
                <w:szCs w:val="24"/>
              </w:rPr>
              <w:t>2.80%</w:t>
            </w:r>
          </w:p>
        </w:tc>
        <w:tc>
          <w:tcPr>
            <w:tcW w:w="992" w:type="dxa"/>
            <w:vAlign w:val="center"/>
          </w:tcPr>
          <w:p w14:paraId="7849CB81" w14:textId="078EF21B" w:rsidR="00EF2251" w:rsidRPr="001A0743" w:rsidRDefault="00EC4589" w:rsidP="00DD63D7">
            <w:pPr>
              <w:jc w:val="right"/>
              <w:rPr>
                <w:snapToGrid w:val="0"/>
                <w:color w:val="000000"/>
                <w:szCs w:val="24"/>
              </w:rPr>
            </w:pPr>
            <w:r w:rsidRPr="001A0743">
              <w:rPr>
                <w:snapToGrid w:val="0"/>
                <w:color w:val="000000"/>
                <w:szCs w:val="24"/>
              </w:rPr>
              <w:t>4</w:t>
            </w:r>
            <w:r w:rsidR="00EF2251" w:rsidRPr="001A0743">
              <w:rPr>
                <w:snapToGrid w:val="0"/>
                <w:color w:val="000000"/>
                <w:szCs w:val="24"/>
              </w:rPr>
              <w:t>.65%</w:t>
            </w:r>
          </w:p>
        </w:tc>
        <w:tc>
          <w:tcPr>
            <w:tcW w:w="1134" w:type="dxa"/>
            <w:vAlign w:val="center"/>
          </w:tcPr>
          <w:p w14:paraId="42111231" w14:textId="75EF8690" w:rsidR="00EF2251" w:rsidRPr="001A0743" w:rsidRDefault="00EF2251" w:rsidP="00DD63D7">
            <w:pPr>
              <w:jc w:val="right"/>
              <w:rPr>
                <w:snapToGrid w:val="0"/>
                <w:color w:val="000000"/>
                <w:szCs w:val="24"/>
              </w:rPr>
            </w:pPr>
            <w:r w:rsidRPr="001A0743">
              <w:rPr>
                <w:snapToGrid w:val="0"/>
                <w:color w:val="000000"/>
                <w:szCs w:val="24"/>
              </w:rPr>
              <w:t>2.65%</w:t>
            </w:r>
          </w:p>
        </w:tc>
      </w:tr>
      <w:tr w:rsidR="00EF2251" w:rsidRPr="001A0743" w14:paraId="7DDB7952" w14:textId="77777777" w:rsidTr="00DD63D7">
        <w:tc>
          <w:tcPr>
            <w:tcW w:w="3260" w:type="dxa"/>
          </w:tcPr>
          <w:p w14:paraId="59E243B2" w14:textId="77154830" w:rsidR="00EF2251" w:rsidRPr="001A0743" w:rsidRDefault="00EF2251" w:rsidP="00EF0ED9">
            <w:pPr>
              <w:rPr>
                <w:szCs w:val="24"/>
              </w:rPr>
            </w:pPr>
            <w:r w:rsidRPr="001A0743">
              <w:rPr>
                <w:szCs w:val="24"/>
              </w:rPr>
              <w:t>Take up of option to convert annual</w:t>
            </w:r>
            <w:r w:rsidR="00EF0ED9">
              <w:rPr>
                <w:szCs w:val="24"/>
              </w:rPr>
              <w:t xml:space="preserve"> </w:t>
            </w:r>
            <w:r w:rsidRPr="001A0743">
              <w:rPr>
                <w:szCs w:val="24"/>
              </w:rPr>
              <w:t>pension into retirement lump sum</w:t>
            </w:r>
          </w:p>
        </w:tc>
        <w:tc>
          <w:tcPr>
            <w:tcW w:w="1134" w:type="dxa"/>
            <w:vAlign w:val="center"/>
          </w:tcPr>
          <w:p w14:paraId="584BE6A5" w14:textId="5404C167" w:rsidR="00EF2251" w:rsidRPr="001A0743" w:rsidRDefault="00EF2251" w:rsidP="00DD63D7">
            <w:pPr>
              <w:jc w:val="right"/>
              <w:rPr>
                <w:snapToGrid w:val="0"/>
                <w:color w:val="000000"/>
                <w:szCs w:val="24"/>
              </w:rPr>
            </w:pPr>
            <w:r w:rsidRPr="001A0743">
              <w:rPr>
                <w:snapToGrid w:val="0"/>
                <w:color w:val="000000"/>
                <w:szCs w:val="24"/>
              </w:rPr>
              <w:t>50%</w:t>
            </w:r>
          </w:p>
        </w:tc>
        <w:tc>
          <w:tcPr>
            <w:tcW w:w="1026" w:type="dxa"/>
            <w:vAlign w:val="center"/>
          </w:tcPr>
          <w:p w14:paraId="72DC1FC1" w14:textId="6F206B22" w:rsidR="00EF2251" w:rsidRPr="001A0743" w:rsidRDefault="00EF2251" w:rsidP="00DD63D7">
            <w:pPr>
              <w:jc w:val="right"/>
              <w:rPr>
                <w:snapToGrid w:val="0"/>
                <w:color w:val="000000"/>
                <w:szCs w:val="24"/>
              </w:rPr>
            </w:pPr>
            <w:r w:rsidRPr="001A0743">
              <w:rPr>
                <w:snapToGrid w:val="0"/>
                <w:color w:val="000000"/>
                <w:szCs w:val="24"/>
              </w:rPr>
              <w:t>50%</w:t>
            </w:r>
          </w:p>
        </w:tc>
        <w:tc>
          <w:tcPr>
            <w:tcW w:w="1134" w:type="dxa"/>
            <w:vAlign w:val="center"/>
          </w:tcPr>
          <w:p w14:paraId="01BB2AD3" w14:textId="75B81FF9" w:rsidR="00EF2251" w:rsidRPr="001A0743" w:rsidRDefault="00EF2251" w:rsidP="00DD63D7">
            <w:pPr>
              <w:jc w:val="right"/>
              <w:rPr>
                <w:snapToGrid w:val="0"/>
                <w:color w:val="000000"/>
                <w:szCs w:val="24"/>
              </w:rPr>
            </w:pPr>
            <w:r w:rsidRPr="001A0743">
              <w:rPr>
                <w:snapToGrid w:val="0"/>
                <w:color w:val="000000"/>
                <w:szCs w:val="24"/>
              </w:rPr>
              <w:t>50%</w:t>
            </w:r>
          </w:p>
        </w:tc>
        <w:tc>
          <w:tcPr>
            <w:tcW w:w="993" w:type="dxa"/>
            <w:vAlign w:val="center"/>
          </w:tcPr>
          <w:p w14:paraId="04668FF0" w14:textId="695DD19D" w:rsidR="00EF2251" w:rsidRPr="001A0743" w:rsidRDefault="00EF2251" w:rsidP="00DD63D7">
            <w:pPr>
              <w:jc w:val="right"/>
              <w:rPr>
                <w:snapToGrid w:val="0"/>
                <w:color w:val="000000"/>
                <w:szCs w:val="24"/>
              </w:rPr>
            </w:pPr>
            <w:r w:rsidRPr="001A0743">
              <w:rPr>
                <w:snapToGrid w:val="0"/>
                <w:color w:val="000000"/>
                <w:szCs w:val="24"/>
              </w:rPr>
              <w:t>50%</w:t>
            </w:r>
          </w:p>
        </w:tc>
        <w:tc>
          <w:tcPr>
            <w:tcW w:w="992" w:type="dxa"/>
            <w:vAlign w:val="center"/>
          </w:tcPr>
          <w:p w14:paraId="6DAC8EE7" w14:textId="72B5F89C" w:rsidR="00EF2251" w:rsidRPr="001A0743" w:rsidRDefault="00EF2251" w:rsidP="00DD63D7">
            <w:pPr>
              <w:jc w:val="right"/>
              <w:rPr>
                <w:snapToGrid w:val="0"/>
                <w:color w:val="000000"/>
                <w:szCs w:val="24"/>
              </w:rPr>
            </w:pPr>
            <w:r w:rsidRPr="001A0743">
              <w:rPr>
                <w:snapToGrid w:val="0"/>
                <w:color w:val="000000"/>
                <w:szCs w:val="24"/>
              </w:rPr>
              <w:t>50%</w:t>
            </w:r>
          </w:p>
        </w:tc>
        <w:tc>
          <w:tcPr>
            <w:tcW w:w="1134" w:type="dxa"/>
            <w:vAlign w:val="center"/>
          </w:tcPr>
          <w:p w14:paraId="0FF324E7" w14:textId="7DA181FF" w:rsidR="00EF2251" w:rsidRPr="001A0743" w:rsidRDefault="00EF2251" w:rsidP="00DD63D7">
            <w:pPr>
              <w:jc w:val="right"/>
              <w:rPr>
                <w:snapToGrid w:val="0"/>
                <w:color w:val="000000"/>
                <w:szCs w:val="24"/>
              </w:rPr>
            </w:pPr>
            <w:r w:rsidRPr="001A0743">
              <w:rPr>
                <w:snapToGrid w:val="0"/>
                <w:color w:val="000000"/>
                <w:szCs w:val="24"/>
              </w:rPr>
              <w:t>50%</w:t>
            </w:r>
          </w:p>
        </w:tc>
      </w:tr>
    </w:tbl>
    <w:p w14:paraId="67CA42F6" w14:textId="77777777" w:rsidR="00D90216" w:rsidRPr="00AF3DCD" w:rsidRDefault="00D90216" w:rsidP="00D90216">
      <w:pPr>
        <w:jc w:val="both"/>
        <w:rPr>
          <w:sz w:val="22"/>
        </w:rPr>
      </w:pPr>
    </w:p>
    <w:p w14:paraId="691E27A4" w14:textId="77777777" w:rsidR="00EC3487" w:rsidRDefault="00EC3487">
      <w:pPr>
        <w:rPr>
          <w:szCs w:val="24"/>
        </w:rPr>
      </w:pPr>
      <w:r>
        <w:rPr>
          <w:szCs w:val="24"/>
        </w:rPr>
        <w:br w:type="page"/>
      </w:r>
    </w:p>
    <w:p w14:paraId="5577C117" w14:textId="66947A21" w:rsidR="00D90216" w:rsidRPr="001A0743" w:rsidRDefault="00D90216" w:rsidP="007F5EEE">
      <w:pPr>
        <w:ind w:left="720"/>
        <w:rPr>
          <w:szCs w:val="24"/>
        </w:rPr>
      </w:pPr>
      <w:r w:rsidRPr="001A0743">
        <w:rPr>
          <w:szCs w:val="24"/>
        </w:rPr>
        <w:lastRenderedPageBreak/>
        <w:t>The Firefighters’ Pension Scheme has no assets to cover its liabilities. The Local Government Pension Fund’s assets consist of the following categories, by proportion of the total assets held by the Fund:</w:t>
      </w:r>
    </w:p>
    <w:p w14:paraId="6E377482" w14:textId="77777777" w:rsidR="0050693C" w:rsidRPr="00AF3DCD" w:rsidRDefault="0050693C" w:rsidP="00D90216">
      <w:pPr>
        <w:ind w:left="709"/>
        <w:jc w:val="both"/>
        <w:rPr>
          <w:sz w:val="22"/>
        </w:rPr>
      </w:pPr>
    </w:p>
    <w:tbl>
      <w:tblPr>
        <w:tblW w:w="0" w:type="auto"/>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247"/>
        <w:gridCol w:w="1276"/>
        <w:gridCol w:w="1134"/>
        <w:gridCol w:w="1275"/>
        <w:gridCol w:w="1135"/>
      </w:tblGrid>
      <w:tr w:rsidR="00AD0137" w:rsidRPr="001A0743" w14:paraId="0182D760" w14:textId="77777777" w:rsidTr="00611673">
        <w:trPr>
          <w:tblHeader/>
        </w:trPr>
        <w:tc>
          <w:tcPr>
            <w:tcW w:w="1872" w:type="dxa"/>
            <w:shd w:val="clear" w:color="auto" w:fill="BD2716"/>
          </w:tcPr>
          <w:p w14:paraId="607D814E" w14:textId="77777777" w:rsidR="00AD0137" w:rsidRPr="00982FEC" w:rsidRDefault="00AD0137" w:rsidP="0035593C">
            <w:pPr>
              <w:pStyle w:val="00-Normal-BB"/>
              <w:rPr>
                <w:rFonts w:eastAsia="Times New Roman"/>
                <w:color w:val="FFFFFF" w:themeColor="background1"/>
                <w:sz w:val="24"/>
                <w:szCs w:val="24"/>
              </w:rPr>
            </w:pPr>
          </w:p>
        </w:tc>
        <w:tc>
          <w:tcPr>
            <w:tcW w:w="1247" w:type="dxa"/>
            <w:shd w:val="clear" w:color="auto" w:fill="BD2716"/>
          </w:tcPr>
          <w:p w14:paraId="49D684B2" w14:textId="23477CC1" w:rsidR="00AD0137" w:rsidRPr="00982FEC" w:rsidRDefault="00AD0137" w:rsidP="00CD62E6">
            <w:pPr>
              <w:jc w:val="center"/>
              <w:rPr>
                <w:color w:val="FFFFFF" w:themeColor="background1"/>
                <w:szCs w:val="24"/>
              </w:rPr>
            </w:pPr>
          </w:p>
        </w:tc>
        <w:tc>
          <w:tcPr>
            <w:tcW w:w="2410" w:type="dxa"/>
            <w:gridSpan w:val="2"/>
            <w:shd w:val="clear" w:color="auto" w:fill="BD2716"/>
            <w:vAlign w:val="center"/>
          </w:tcPr>
          <w:p w14:paraId="45AD8811" w14:textId="41F61236" w:rsidR="00AD0137" w:rsidRPr="00982FEC" w:rsidRDefault="00AD0137" w:rsidP="00611673">
            <w:pPr>
              <w:jc w:val="center"/>
              <w:rPr>
                <w:color w:val="FFFFFF" w:themeColor="background1"/>
                <w:szCs w:val="24"/>
              </w:rPr>
            </w:pPr>
            <w:r w:rsidRPr="00982FEC">
              <w:rPr>
                <w:color w:val="FFFFFF" w:themeColor="background1"/>
                <w:szCs w:val="24"/>
              </w:rPr>
              <w:t xml:space="preserve">Assets </w:t>
            </w:r>
            <w:proofErr w:type="gramStart"/>
            <w:r w:rsidRPr="00982FEC">
              <w:rPr>
                <w:color w:val="FFFFFF" w:themeColor="background1"/>
                <w:szCs w:val="24"/>
              </w:rPr>
              <w:t>at</w:t>
            </w:r>
            <w:proofErr w:type="gramEnd"/>
            <w:r w:rsidRPr="00982FEC">
              <w:rPr>
                <w:color w:val="FFFFFF" w:themeColor="background1"/>
                <w:szCs w:val="24"/>
              </w:rPr>
              <w:t xml:space="preserve"> 31 March 20</w:t>
            </w:r>
            <w:r w:rsidR="00061A8D" w:rsidRPr="00982FEC">
              <w:rPr>
                <w:color w:val="FFFFFF" w:themeColor="background1"/>
                <w:szCs w:val="24"/>
              </w:rPr>
              <w:t>2</w:t>
            </w:r>
            <w:r w:rsidR="00472A1B" w:rsidRPr="00982FEC">
              <w:rPr>
                <w:color w:val="FFFFFF" w:themeColor="background1"/>
                <w:szCs w:val="24"/>
              </w:rPr>
              <w:t>3</w:t>
            </w:r>
          </w:p>
        </w:tc>
        <w:tc>
          <w:tcPr>
            <w:tcW w:w="2410" w:type="dxa"/>
            <w:gridSpan w:val="2"/>
            <w:shd w:val="clear" w:color="auto" w:fill="BD2716"/>
            <w:vAlign w:val="center"/>
          </w:tcPr>
          <w:p w14:paraId="2D49C121" w14:textId="6EA26455" w:rsidR="00AD0137" w:rsidRPr="00982FEC" w:rsidRDefault="00AD0137" w:rsidP="00611673">
            <w:pPr>
              <w:jc w:val="center"/>
              <w:rPr>
                <w:color w:val="FFFFFF" w:themeColor="background1"/>
                <w:szCs w:val="24"/>
              </w:rPr>
            </w:pPr>
            <w:r w:rsidRPr="00982FEC">
              <w:rPr>
                <w:color w:val="FFFFFF" w:themeColor="background1"/>
                <w:szCs w:val="24"/>
              </w:rPr>
              <w:t xml:space="preserve">Assets </w:t>
            </w:r>
            <w:proofErr w:type="gramStart"/>
            <w:r w:rsidRPr="00982FEC">
              <w:rPr>
                <w:color w:val="FFFFFF" w:themeColor="background1"/>
                <w:szCs w:val="24"/>
              </w:rPr>
              <w:t>at</w:t>
            </w:r>
            <w:proofErr w:type="gramEnd"/>
            <w:r w:rsidRPr="00982FEC">
              <w:rPr>
                <w:color w:val="FFFFFF" w:themeColor="background1"/>
                <w:szCs w:val="24"/>
              </w:rPr>
              <w:t xml:space="preserve"> 31 March 20</w:t>
            </w:r>
            <w:r w:rsidR="00BC6AC5" w:rsidRPr="00982FEC">
              <w:rPr>
                <w:color w:val="FFFFFF" w:themeColor="background1"/>
                <w:szCs w:val="24"/>
              </w:rPr>
              <w:t>2</w:t>
            </w:r>
            <w:r w:rsidR="00472A1B" w:rsidRPr="00982FEC">
              <w:rPr>
                <w:color w:val="FFFFFF" w:themeColor="background1"/>
                <w:szCs w:val="24"/>
              </w:rPr>
              <w:t>2</w:t>
            </w:r>
          </w:p>
        </w:tc>
      </w:tr>
      <w:tr w:rsidR="00721F24" w:rsidRPr="001A0743" w14:paraId="1CD6A7CD" w14:textId="77777777" w:rsidTr="00611673">
        <w:trPr>
          <w:tblHeader/>
        </w:trPr>
        <w:tc>
          <w:tcPr>
            <w:tcW w:w="1872" w:type="dxa"/>
            <w:shd w:val="clear" w:color="auto" w:fill="BD2716"/>
          </w:tcPr>
          <w:p w14:paraId="138D1CD3" w14:textId="77777777" w:rsidR="00721F24" w:rsidRPr="00982FEC" w:rsidRDefault="00721F24" w:rsidP="00721F24">
            <w:pPr>
              <w:jc w:val="both"/>
              <w:rPr>
                <w:color w:val="FFFFFF" w:themeColor="background1"/>
                <w:szCs w:val="24"/>
              </w:rPr>
            </w:pPr>
          </w:p>
        </w:tc>
        <w:tc>
          <w:tcPr>
            <w:tcW w:w="1247" w:type="dxa"/>
            <w:shd w:val="clear" w:color="auto" w:fill="BD2716"/>
          </w:tcPr>
          <w:p w14:paraId="27977ECE" w14:textId="1C0FC00D" w:rsidR="00721F24" w:rsidRPr="00982FEC" w:rsidRDefault="00611673" w:rsidP="00721F24">
            <w:pPr>
              <w:tabs>
                <w:tab w:val="decimal" w:pos="681"/>
              </w:tabs>
              <w:rPr>
                <w:color w:val="FFFFFF" w:themeColor="background1"/>
                <w:szCs w:val="24"/>
              </w:rPr>
            </w:pPr>
            <w:r w:rsidRPr="00982FEC">
              <w:rPr>
                <w:color w:val="FFFFFF" w:themeColor="background1"/>
                <w:szCs w:val="24"/>
              </w:rPr>
              <w:t>Quoted in active market</w:t>
            </w:r>
          </w:p>
        </w:tc>
        <w:tc>
          <w:tcPr>
            <w:tcW w:w="1276" w:type="dxa"/>
            <w:shd w:val="clear" w:color="auto" w:fill="BD2716"/>
            <w:vAlign w:val="center"/>
          </w:tcPr>
          <w:p w14:paraId="5995FDFC" w14:textId="77777777" w:rsidR="00721F24" w:rsidRPr="00982FEC" w:rsidRDefault="00721F24" w:rsidP="00611673">
            <w:pPr>
              <w:tabs>
                <w:tab w:val="decimal" w:pos="681"/>
              </w:tabs>
              <w:jc w:val="right"/>
              <w:rPr>
                <w:color w:val="FFFFFF" w:themeColor="background1"/>
                <w:szCs w:val="24"/>
              </w:rPr>
            </w:pPr>
            <w:r w:rsidRPr="00982FEC">
              <w:rPr>
                <w:color w:val="FFFFFF" w:themeColor="background1"/>
                <w:szCs w:val="24"/>
              </w:rPr>
              <w:t>Fair Value</w:t>
            </w:r>
          </w:p>
          <w:p w14:paraId="79E873FF" w14:textId="25F957FA" w:rsidR="007A439F" w:rsidRPr="00982FEC" w:rsidRDefault="007A439F" w:rsidP="00611673">
            <w:pPr>
              <w:tabs>
                <w:tab w:val="decimal" w:pos="681"/>
              </w:tabs>
              <w:jc w:val="right"/>
              <w:rPr>
                <w:color w:val="FFFFFF" w:themeColor="background1"/>
                <w:szCs w:val="24"/>
              </w:rPr>
            </w:pPr>
            <w:r w:rsidRPr="00982FEC">
              <w:rPr>
                <w:color w:val="FFFFFF" w:themeColor="background1"/>
                <w:szCs w:val="24"/>
              </w:rPr>
              <w:t>£000</w:t>
            </w:r>
          </w:p>
        </w:tc>
        <w:tc>
          <w:tcPr>
            <w:tcW w:w="1134" w:type="dxa"/>
            <w:shd w:val="clear" w:color="auto" w:fill="BD2716"/>
            <w:vAlign w:val="center"/>
          </w:tcPr>
          <w:p w14:paraId="65B6E6F2" w14:textId="77777777" w:rsidR="00721F24" w:rsidRPr="00982FEC" w:rsidRDefault="00721F24" w:rsidP="00611673">
            <w:pPr>
              <w:jc w:val="right"/>
              <w:rPr>
                <w:color w:val="FFFFFF" w:themeColor="background1"/>
                <w:szCs w:val="24"/>
              </w:rPr>
            </w:pPr>
            <w:r w:rsidRPr="00982FEC">
              <w:rPr>
                <w:color w:val="FFFFFF" w:themeColor="background1"/>
                <w:szCs w:val="24"/>
              </w:rPr>
              <w:t>%</w:t>
            </w:r>
          </w:p>
        </w:tc>
        <w:tc>
          <w:tcPr>
            <w:tcW w:w="1275" w:type="dxa"/>
            <w:shd w:val="clear" w:color="auto" w:fill="BD2716"/>
            <w:vAlign w:val="center"/>
          </w:tcPr>
          <w:p w14:paraId="42872CFD" w14:textId="77777777" w:rsidR="00721F24" w:rsidRPr="00982FEC" w:rsidRDefault="00721F24" w:rsidP="00611673">
            <w:pPr>
              <w:tabs>
                <w:tab w:val="decimal" w:pos="681"/>
              </w:tabs>
              <w:jc w:val="right"/>
              <w:rPr>
                <w:color w:val="FFFFFF" w:themeColor="background1"/>
                <w:szCs w:val="24"/>
              </w:rPr>
            </w:pPr>
            <w:r w:rsidRPr="00982FEC">
              <w:rPr>
                <w:color w:val="FFFFFF" w:themeColor="background1"/>
                <w:szCs w:val="24"/>
              </w:rPr>
              <w:t>Fair Value</w:t>
            </w:r>
          </w:p>
          <w:p w14:paraId="34C6CA53" w14:textId="358433EB" w:rsidR="007A439F" w:rsidRPr="00982FEC" w:rsidRDefault="007A439F" w:rsidP="00611673">
            <w:pPr>
              <w:tabs>
                <w:tab w:val="decimal" w:pos="681"/>
              </w:tabs>
              <w:jc w:val="right"/>
              <w:rPr>
                <w:color w:val="FFFFFF" w:themeColor="background1"/>
                <w:szCs w:val="24"/>
              </w:rPr>
            </w:pPr>
            <w:r w:rsidRPr="00982FEC">
              <w:rPr>
                <w:color w:val="FFFFFF" w:themeColor="background1"/>
                <w:szCs w:val="24"/>
              </w:rPr>
              <w:t>£000</w:t>
            </w:r>
          </w:p>
        </w:tc>
        <w:tc>
          <w:tcPr>
            <w:tcW w:w="1135" w:type="dxa"/>
            <w:shd w:val="clear" w:color="auto" w:fill="BD2716"/>
            <w:vAlign w:val="center"/>
          </w:tcPr>
          <w:p w14:paraId="494CA805" w14:textId="3DF223B1" w:rsidR="00721F24" w:rsidRPr="00982FEC" w:rsidRDefault="00721F24" w:rsidP="00611673">
            <w:pPr>
              <w:ind w:right="99"/>
              <w:jc w:val="right"/>
              <w:rPr>
                <w:color w:val="FFFFFF" w:themeColor="background1"/>
                <w:szCs w:val="24"/>
              </w:rPr>
            </w:pPr>
            <w:r w:rsidRPr="00982FEC">
              <w:rPr>
                <w:color w:val="FFFFFF" w:themeColor="background1"/>
                <w:szCs w:val="24"/>
              </w:rPr>
              <w:t>%</w:t>
            </w:r>
          </w:p>
        </w:tc>
      </w:tr>
      <w:tr w:rsidR="00472A1B" w:rsidRPr="001A0743" w14:paraId="0813B342" w14:textId="77777777" w:rsidTr="00982FEC">
        <w:trPr>
          <w:trHeight w:hRule="exact" w:val="300"/>
        </w:trPr>
        <w:tc>
          <w:tcPr>
            <w:tcW w:w="1872" w:type="dxa"/>
          </w:tcPr>
          <w:p w14:paraId="3942774D" w14:textId="77777777" w:rsidR="00472A1B" w:rsidRPr="001A0743" w:rsidRDefault="00472A1B" w:rsidP="000C442C">
            <w:pPr>
              <w:rPr>
                <w:szCs w:val="24"/>
              </w:rPr>
            </w:pPr>
            <w:r w:rsidRPr="001A0743">
              <w:rPr>
                <w:szCs w:val="24"/>
              </w:rPr>
              <w:t>Equities</w:t>
            </w:r>
          </w:p>
        </w:tc>
        <w:tc>
          <w:tcPr>
            <w:tcW w:w="1247" w:type="dxa"/>
          </w:tcPr>
          <w:p w14:paraId="45E7930C" w14:textId="77777777" w:rsidR="00472A1B" w:rsidRPr="001A0743" w:rsidRDefault="00472A1B" w:rsidP="00472A1B">
            <w:pPr>
              <w:jc w:val="center"/>
              <w:rPr>
                <w:snapToGrid w:val="0"/>
                <w:color w:val="000000"/>
                <w:szCs w:val="24"/>
              </w:rPr>
            </w:pPr>
            <w:r w:rsidRPr="001A0743">
              <w:rPr>
                <w:snapToGrid w:val="0"/>
                <w:color w:val="000000"/>
                <w:szCs w:val="24"/>
              </w:rPr>
              <w:t>Y</w:t>
            </w:r>
          </w:p>
        </w:tc>
        <w:tc>
          <w:tcPr>
            <w:tcW w:w="1276" w:type="dxa"/>
            <w:vAlign w:val="center"/>
          </w:tcPr>
          <w:p w14:paraId="60011789" w14:textId="60370F54" w:rsidR="00472A1B" w:rsidRPr="00DD63D7" w:rsidRDefault="00472A1B" w:rsidP="00DD63D7">
            <w:pPr>
              <w:jc w:val="right"/>
              <w:rPr>
                <w:szCs w:val="24"/>
              </w:rPr>
            </w:pPr>
            <w:r w:rsidRPr="00DD63D7">
              <w:rPr>
                <w:szCs w:val="24"/>
              </w:rPr>
              <w:t>1,</w:t>
            </w:r>
            <w:r w:rsidR="00916460" w:rsidRPr="00DD63D7">
              <w:rPr>
                <w:szCs w:val="24"/>
              </w:rPr>
              <w:t>64</w:t>
            </w:r>
            <w:r w:rsidR="00D14519" w:rsidRPr="00DD63D7">
              <w:rPr>
                <w:szCs w:val="24"/>
              </w:rPr>
              <w:t>5</w:t>
            </w:r>
          </w:p>
        </w:tc>
        <w:tc>
          <w:tcPr>
            <w:tcW w:w="1134" w:type="dxa"/>
            <w:vAlign w:val="center"/>
          </w:tcPr>
          <w:p w14:paraId="24F0DD5B" w14:textId="6A2549DA" w:rsidR="00472A1B" w:rsidRPr="001A0743" w:rsidRDefault="00472A1B" w:rsidP="00DD63D7">
            <w:pPr>
              <w:tabs>
                <w:tab w:val="decimal" w:pos="600"/>
              </w:tabs>
              <w:ind w:right="34"/>
              <w:jc w:val="right"/>
              <w:rPr>
                <w:snapToGrid w:val="0"/>
                <w:color w:val="000000"/>
                <w:szCs w:val="24"/>
              </w:rPr>
            </w:pPr>
            <w:r w:rsidRPr="001A0743">
              <w:rPr>
                <w:snapToGrid w:val="0"/>
                <w:color w:val="000000"/>
                <w:szCs w:val="24"/>
              </w:rPr>
              <w:t>2.1</w:t>
            </w:r>
          </w:p>
        </w:tc>
        <w:tc>
          <w:tcPr>
            <w:tcW w:w="1275" w:type="dxa"/>
            <w:vAlign w:val="center"/>
          </w:tcPr>
          <w:p w14:paraId="4768A5D4" w14:textId="0289D0A4" w:rsidR="00472A1B" w:rsidRPr="00DD63D7" w:rsidRDefault="00472A1B" w:rsidP="00DD63D7">
            <w:pPr>
              <w:jc w:val="right"/>
              <w:rPr>
                <w:szCs w:val="24"/>
              </w:rPr>
            </w:pPr>
            <w:r w:rsidRPr="00DD63D7">
              <w:rPr>
                <w:szCs w:val="24"/>
              </w:rPr>
              <w:t>1,571</w:t>
            </w:r>
          </w:p>
        </w:tc>
        <w:tc>
          <w:tcPr>
            <w:tcW w:w="1135" w:type="dxa"/>
            <w:vAlign w:val="center"/>
          </w:tcPr>
          <w:p w14:paraId="14AE9195" w14:textId="6F29CBC3" w:rsidR="00472A1B" w:rsidRPr="001A0743" w:rsidRDefault="00472A1B" w:rsidP="00DD63D7">
            <w:pPr>
              <w:tabs>
                <w:tab w:val="decimal" w:pos="600"/>
              </w:tabs>
              <w:ind w:right="34"/>
              <w:jc w:val="right"/>
              <w:rPr>
                <w:snapToGrid w:val="0"/>
                <w:color w:val="000000"/>
                <w:szCs w:val="24"/>
              </w:rPr>
            </w:pPr>
            <w:r w:rsidRPr="001A0743">
              <w:rPr>
                <w:snapToGrid w:val="0"/>
                <w:color w:val="000000"/>
                <w:szCs w:val="24"/>
              </w:rPr>
              <w:t>2.1</w:t>
            </w:r>
          </w:p>
        </w:tc>
      </w:tr>
      <w:tr w:rsidR="00472A1B" w:rsidRPr="001A0743" w14:paraId="785081DF" w14:textId="77777777" w:rsidTr="00982FEC">
        <w:trPr>
          <w:trHeight w:hRule="exact" w:val="300"/>
        </w:trPr>
        <w:tc>
          <w:tcPr>
            <w:tcW w:w="1872" w:type="dxa"/>
          </w:tcPr>
          <w:p w14:paraId="76D0B24E" w14:textId="77777777" w:rsidR="00472A1B" w:rsidRPr="001A0743" w:rsidRDefault="00472A1B" w:rsidP="000C442C">
            <w:pPr>
              <w:rPr>
                <w:szCs w:val="24"/>
              </w:rPr>
            </w:pPr>
            <w:r w:rsidRPr="001A0743">
              <w:rPr>
                <w:szCs w:val="24"/>
              </w:rPr>
              <w:t>Bonds</w:t>
            </w:r>
          </w:p>
        </w:tc>
        <w:tc>
          <w:tcPr>
            <w:tcW w:w="1247" w:type="dxa"/>
          </w:tcPr>
          <w:p w14:paraId="3F55578B" w14:textId="77777777" w:rsidR="00472A1B" w:rsidRPr="001A0743" w:rsidRDefault="00472A1B" w:rsidP="00472A1B">
            <w:pPr>
              <w:jc w:val="center"/>
              <w:rPr>
                <w:snapToGrid w:val="0"/>
                <w:color w:val="000000"/>
                <w:szCs w:val="24"/>
              </w:rPr>
            </w:pPr>
            <w:r w:rsidRPr="001A0743">
              <w:rPr>
                <w:snapToGrid w:val="0"/>
                <w:color w:val="000000"/>
                <w:szCs w:val="24"/>
              </w:rPr>
              <w:t>Y</w:t>
            </w:r>
          </w:p>
        </w:tc>
        <w:tc>
          <w:tcPr>
            <w:tcW w:w="1276" w:type="dxa"/>
            <w:vAlign w:val="center"/>
          </w:tcPr>
          <w:p w14:paraId="480C370D" w14:textId="1C45EBBC" w:rsidR="00472A1B" w:rsidRPr="00DD63D7" w:rsidRDefault="00472A1B" w:rsidP="00DD63D7">
            <w:pPr>
              <w:jc w:val="right"/>
              <w:rPr>
                <w:szCs w:val="24"/>
              </w:rPr>
            </w:pPr>
            <w:r w:rsidRPr="00DD63D7">
              <w:rPr>
                <w:szCs w:val="24"/>
              </w:rPr>
              <w:t>1,</w:t>
            </w:r>
            <w:r w:rsidR="00916460" w:rsidRPr="00DD63D7">
              <w:rPr>
                <w:szCs w:val="24"/>
              </w:rPr>
              <w:t>32</w:t>
            </w:r>
            <w:r w:rsidR="00D14519" w:rsidRPr="00DD63D7">
              <w:rPr>
                <w:szCs w:val="24"/>
              </w:rPr>
              <w:t>5</w:t>
            </w:r>
          </w:p>
        </w:tc>
        <w:tc>
          <w:tcPr>
            <w:tcW w:w="1134" w:type="dxa"/>
            <w:vAlign w:val="center"/>
          </w:tcPr>
          <w:p w14:paraId="17A8D979" w14:textId="4DFF6E40" w:rsidR="00472A1B" w:rsidRPr="001A0743" w:rsidRDefault="00916460" w:rsidP="00DD63D7">
            <w:pPr>
              <w:tabs>
                <w:tab w:val="decimal" w:pos="600"/>
              </w:tabs>
              <w:ind w:right="34"/>
              <w:jc w:val="right"/>
              <w:rPr>
                <w:snapToGrid w:val="0"/>
                <w:color w:val="000000"/>
                <w:szCs w:val="24"/>
              </w:rPr>
            </w:pPr>
            <w:r w:rsidRPr="001A0743">
              <w:rPr>
                <w:snapToGrid w:val="0"/>
                <w:color w:val="000000"/>
                <w:szCs w:val="24"/>
              </w:rPr>
              <w:t>1.7</w:t>
            </w:r>
          </w:p>
        </w:tc>
        <w:tc>
          <w:tcPr>
            <w:tcW w:w="1275" w:type="dxa"/>
            <w:vAlign w:val="center"/>
          </w:tcPr>
          <w:p w14:paraId="43ABB213" w14:textId="5584D000" w:rsidR="00472A1B" w:rsidRPr="00DD63D7" w:rsidRDefault="00472A1B" w:rsidP="00DD63D7">
            <w:pPr>
              <w:jc w:val="right"/>
              <w:rPr>
                <w:szCs w:val="24"/>
              </w:rPr>
            </w:pPr>
            <w:r w:rsidRPr="00DD63D7">
              <w:rPr>
                <w:szCs w:val="24"/>
              </w:rPr>
              <w:t>1,861</w:t>
            </w:r>
          </w:p>
        </w:tc>
        <w:tc>
          <w:tcPr>
            <w:tcW w:w="1135" w:type="dxa"/>
            <w:vAlign w:val="center"/>
          </w:tcPr>
          <w:p w14:paraId="2CDB68CE" w14:textId="3C1B754D" w:rsidR="00472A1B" w:rsidRPr="001A0743" w:rsidRDefault="00472A1B" w:rsidP="00DD63D7">
            <w:pPr>
              <w:tabs>
                <w:tab w:val="decimal" w:pos="600"/>
              </w:tabs>
              <w:ind w:right="34"/>
              <w:jc w:val="right"/>
              <w:rPr>
                <w:snapToGrid w:val="0"/>
                <w:color w:val="000000"/>
                <w:szCs w:val="24"/>
              </w:rPr>
            </w:pPr>
            <w:r w:rsidRPr="001A0743">
              <w:rPr>
                <w:snapToGrid w:val="0"/>
                <w:color w:val="000000"/>
                <w:szCs w:val="24"/>
              </w:rPr>
              <w:t>2.4</w:t>
            </w:r>
          </w:p>
        </w:tc>
      </w:tr>
      <w:tr w:rsidR="00472A1B" w:rsidRPr="001A0743" w14:paraId="1BF86F9E" w14:textId="77777777" w:rsidTr="00982FEC">
        <w:trPr>
          <w:trHeight w:hRule="exact" w:val="300"/>
        </w:trPr>
        <w:tc>
          <w:tcPr>
            <w:tcW w:w="1872" w:type="dxa"/>
          </w:tcPr>
          <w:p w14:paraId="43933C73" w14:textId="77777777" w:rsidR="00472A1B" w:rsidRPr="001A0743" w:rsidRDefault="00472A1B" w:rsidP="000C442C">
            <w:pPr>
              <w:rPr>
                <w:szCs w:val="24"/>
              </w:rPr>
            </w:pPr>
            <w:r w:rsidRPr="001A0743">
              <w:rPr>
                <w:szCs w:val="24"/>
              </w:rPr>
              <w:t>Property</w:t>
            </w:r>
          </w:p>
        </w:tc>
        <w:tc>
          <w:tcPr>
            <w:tcW w:w="1247" w:type="dxa"/>
          </w:tcPr>
          <w:p w14:paraId="0282EC1C" w14:textId="77777777" w:rsidR="00472A1B" w:rsidRPr="001A0743" w:rsidRDefault="00472A1B" w:rsidP="00472A1B">
            <w:pPr>
              <w:jc w:val="center"/>
              <w:rPr>
                <w:snapToGrid w:val="0"/>
                <w:color w:val="000000"/>
                <w:szCs w:val="24"/>
              </w:rPr>
            </w:pPr>
            <w:r w:rsidRPr="001A0743">
              <w:rPr>
                <w:snapToGrid w:val="0"/>
                <w:color w:val="000000"/>
                <w:szCs w:val="24"/>
              </w:rPr>
              <w:t>N</w:t>
            </w:r>
          </w:p>
        </w:tc>
        <w:tc>
          <w:tcPr>
            <w:tcW w:w="1276" w:type="dxa"/>
            <w:vAlign w:val="center"/>
          </w:tcPr>
          <w:p w14:paraId="73A8A9F6" w14:textId="75435A62" w:rsidR="00472A1B" w:rsidRPr="00DD63D7" w:rsidRDefault="00472A1B" w:rsidP="00DD63D7">
            <w:pPr>
              <w:jc w:val="right"/>
              <w:rPr>
                <w:szCs w:val="24"/>
              </w:rPr>
            </w:pPr>
            <w:r w:rsidRPr="00DD63D7">
              <w:rPr>
                <w:szCs w:val="24"/>
              </w:rPr>
              <w:t>1,</w:t>
            </w:r>
            <w:r w:rsidR="00916460" w:rsidRPr="00DD63D7">
              <w:rPr>
                <w:szCs w:val="24"/>
              </w:rPr>
              <w:t>553</w:t>
            </w:r>
          </w:p>
        </w:tc>
        <w:tc>
          <w:tcPr>
            <w:tcW w:w="1134" w:type="dxa"/>
            <w:vAlign w:val="center"/>
          </w:tcPr>
          <w:p w14:paraId="288D40A0" w14:textId="74B6B40C" w:rsidR="00472A1B" w:rsidRPr="001A0743" w:rsidRDefault="00E20141" w:rsidP="00DD63D7">
            <w:pPr>
              <w:tabs>
                <w:tab w:val="decimal" w:pos="600"/>
              </w:tabs>
              <w:ind w:right="34"/>
              <w:jc w:val="right"/>
              <w:rPr>
                <w:snapToGrid w:val="0"/>
                <w:color w:val="000000"/>
                <w:szCs w:val="24"/>
              </w:rPr>
            </w:pPr>
            <w:r w:rsidRPr="001A0743">
              <w:rPr>
                <w:snapToGrid w:val="0"/>
                <w:color w:val="000000"/>
                <w:szCs w:val="24"/>
              </w:rPr>
              <w:t>2.0</w:t>
            </w:r>
          </w:p>
        </w:tc>
        <w:tc>
          <w:tcPr>
            <w:tcW w:w="1275" w:type="dxa"/>
            <w:vAlign w:val="center"/>
          </w:tcPr>
          <w:p w14:paraId="4DF50713" w14:textId="52A9FCBE" w:rsidR="00472A1B" w:rsidRPr="00DD63D7" w:rsidRDefault="00472A1B" w:rsidP="00DD63D7">
            <w:pPr>
              <w:jc w:val="right"/>
              <w:rPr>
                <w:szCs w:val="24"/>
              </w:rPr>
            </w:pPr>
            <w:r w:rsidRPr="00DD63D7">
              <w:rPr>
                <w:szCs w:val="24"/>
              </w:rPr>
              <w:t>1,491</w:t>
            </w:r>
          </w:p>
        </w:tc>
        <w:tc>
          <w:tcPr>
            <w:tcW w:w="1135" w:type="dxa"/>
            <w:vAlign w:val="center"/>
          </w:tcPr>
          <w:p w14:paraId="4C1D52A5" w14:textId="0907519F" w:rsidR="00472A1B" w:rsidRPr="001A0743" w:rsidRDefault="00472A1B" w:rsidP="00DD63D7">
            <w:pPr>
              <w:tabs>
                <w:tab w:val="decimal" w:pos="600"/>
              </w:tabs>
              <w:ind w:right="34"/>
              <w:jc w:val="right"/>
              <w:rPr>
                <w:snapToGrid w:val="0"/>
                <w:color w:val="000000"/>
                <w:szCs w:val="24"/>
              </w:rPr>
            </w:pPr>
            <w:r w:rsidRPr="001A0743">
              <w:rPr>
                <w:snapToGrid w:val="0"/>
                <w:color w:val="000000"/>
                <w:szCs w:val="24"/>
              </w:rPr>
              <w:t>1.9</w:t>
            </w:r>
          </w:p>
        </w:tc>
      </w:tr>
      <w:tr w:rsidR="00472A1B" w:rsidRPr="001A0743" w14:paraId="7ED35A95" w14:textId="77777777" w:rsidTr="00982FEC">
        <w:trPr>
          <w:trHeight w:hRule="exact" w:val="300"/>
        </w:trPr>
        <w:tc>
          <w:tcPr>
            <w:tcW w:w="1872" w:type="dxa"/>
          </w:tcPr>
          <w:p w14:paraId="24DEB48D" w14:textId="08B18A9E" w:rsidR="00472A1B" w:rsidRPr="001A0743" w:rsidRDefault="00472A1B" w:rsidP="000C442C">
            <w:pPr>
              <w:rPr>
                <w:szCs w:val="24"/>
              </w:rPr>
            </w:pPr>
            <w:r w:rsidRPr="001A0743">
              <w:rPr>
                <w:snapToGrid w:val="0"/>
                <w:color w:val="000000"/>
                <w:szCs w:val="24"/>
              </w:rPr>
              <w:t>Cash/Liquidit</w:t>
            </w:r>
            <w:r w:rsidR="00982FEC">
              <w:rPr>
                <w:snapToGrid w:val="0"/>
                <w:color w:val="000000"/>
                <w:szCs w:val="24"/>
              </w:rPr>
              <w:t>y</w:t>
            </w:r>
          </w:p>
        </w:tc>
        <w:tc>
          <w:tcPr>
            <w:tcW w:w="1247" w:type="dxa"/>
          </w:tcPr>
          <w:p w14:paraId="0EC148E3" w14:textId="77777777" w:rsidR="00472A1B" w:rsidRPr="001A0743" w:rsidRDefault="00472A1B" w:rsidP="00472A1B">
            <w:pPr>
              <w:jc w:val="center"/>
              <w:rPr>
                <w:snapToGrid w:val="0"/>
                <w:color w:val="000000"/>
                <w:szCs w:val="24"/>
              </w:rPr>
            </w:pPr>
            <w:r w:rsidRPr="001A0743">
              <w:rPr>
                <w:snapToGrid w:val="0"/>
                <w:color w:val="000000"/>
                <w:szCs w:val="24"/>
              </w:rPr>
              <w:t xml:space="preserve">N </w:t>
            </w:r>
          </w:p>
        </w:tc>
        <w:tc>
          <w:tcPr>
            <w:tcW w:w="1276" w:type="dxa"/>
            <w:vAlign w:val="center"/>
          </w:tcPr>
          <w:p w14:paraId="2815E0C4" w14:textId="68E13F6A" w:rsidR="00472A1B" w:rsidRPr="00DD63D7" w:rsidRDefault="00916460" w:rsidP="00DD63D7">
            <w:pPr>
              <w:jc w:val="right"/>
              <w:rPr>
                <w:szCs w:val="24"/>
              </w:rPr>
            </w:pPr>
            <w:r w:rsidRPr="00DD63D7">
              <w:rPr>
                <w:szCs w:val="24"/>
              </w:rPr>
              <w:t>69</w:t>
            </w:r>
            <w:r w:rsidR="00D14519" w:rsidRPr="00DD63D7">
              <w:rPr>
                <w:szCs w:val="24"/>
              </w:rPr>
              <w:t>5</w:t>
            </w:r>
          </w:p>
        </w:tc>
        <w:tc>
          <w:tcPr>
            <w:tcW w:w="1134" w:type="dxa"/>
            <w:vAlign w:val="center"/>
          </w:tcPr>
          <w:p w14:paraId="6A5C90CC" w14:textId="3DBF22FF" w:rsidR="00472A1B" w:rsidRPr="001A0743" w:rsidRDefault="00916460" w:rsidP="00DD63D7">
            <w:pPr>
              <w:tabs>
                <w:tab w:val="decimal" w:pos="600"/>
              </w:tabs>
              <w:ind w:right="34"/>
              <w:jc w:val="right"/>
              <w:rPr>
                <w:snapToGrid w:val="0"/>
                <w:color w:val="000000"/>
                <w:szCs w:val="24"/>
              </w:rPr>
            </w:pPr>
            <w:r w:rsidRPr="001A0743">
              <w:rPr>
                <w:snapToGrid w:val="0"/>
                <w:color w:val="000000"/>
                <w:szCs w:val="24"/>
              </w:rPr>
              <w:t>0.9</w:t>
            </w:r>
          </w:p>
        </w:tc>
        <w:tc>
          <w:tcPr>
            <w:tcW w:w="1275" w:type="dxa"/>
            <w:vAlign w:val="center"/>
          </w:tcPr>
          <w:p w14:paraId="7C2BDAE4" w14:textId="4ECE46E5" w:rsidR="00472A1B" w:rsidRPr="00DD63D7" w:rsidRDefault="00472A1B" w:rsidP="00DD63D7">
            <w:pPr>
              <w:jc w:val="right"/>
              <w:rPr>
                <w:szCs w:val="24"/>
              </w:rPr>
            </w:pPr>
            <w:r w:rsidRPr="00DD63D7">
              <w:rPr>
                <w:szCs w:val="24"/>
              </w:rPr>
              <w:t>1,971</w:t>
            </w:r>
          </w:p>
        </w:tc>
        <w:tc>
          <w:tcPr>
            <w:tcW w:w="1135" w:type="dxa"/>
            <w:vAlign w:val="center"/>
          </w:tcPr>
          <w:p w14:paraId="3979558A" w14:textId="5E49E42E" w:rsidR="00472A1B" w:rsidRPr="001A0743" w:rsidRDefault="00472A1B" w:rsidP="00DD63D7">
            <w:pPr>
              <w:tabs>
                <w:tab w:val="decimal" w:pos="600"/>
              </w:tabs>
              <w:ind w:right="34"/>
              <w:jc w:val="right"/>
              <w:rPr>
                <w:snapToGrid w:val="0"/>
                <w:color w:val="000000"/>
                <w:szCs w:val="24"/>
              </w:rPr>
            </w:pPr>
            <w:r w:rsidRPr="001A0743">
              <w:rPr>
                <w:snapToGrid w:val="0"/>
                <w:color w:val="000000"/>
                <w:szCs w:val="24"/>
              </w:rPr>
              <w:t>2.6</w:t>
            </w:r>
          </w:p>
        </w:tc>
      </w:tr>
      <w:tr w:rsidR="00472A1B" w:rsidRPr="001A0743" w14:paraId="27D015D1" w14:textId="77777777" w:rsidTr="00982FEC">
        <w:trPr>
          <w:trHeight w:hRule="exact" w:val="300"/>
        </w:trPr>
        <w:tc>
          <w:tcPr>
            <w:tcW w:w="1872" w:type="dxa"/>
          </w:tcPr>
          <w:p w14:paraId="0D4702F6" w14:textId="77777777" w:rsidR="00472A1B" w:rsidRPr="001A0743" w:rsidRDefault="00472A1B" w:rsidP="000C442C">
            <w:pPr>
              <w:rPr>
                <w:szCs w:val="24"/>
              </w:rPr>
            </w:pPr>
            <w:r w:rsidRPr="001A0743">
              <w:rPr>
                <w:szCs w:val="24"/>
              </w:rPr>
              <w:t>Other</w:t>
            </w:r>
          </w:p>
        </w:tc>
        <w:tc>
          <w:tcPr>
            <w:tcW w:w="1247" w:type="dxa"/>
          </w:tcPr>
          <w:p w14:paraId="78496284" w14:textId="77777777" w:rsidR="00472A1B" w:rsidRPr="001A0743" w:rsidRDefault="00472A1B" w:rsidP="00472A1B">
            <w:pPr>
              <w:jc w:val="center"/>
              <w:rPr>
                <w:snapToGrid w:val="0"/>
                <w:color w:val="000000"/>
                <w:szCs w:val="24"/>
              </w:rPr>
            </w:pPr>
            <w:r w:rsidRPr="001A0743">
              <w:rPr>
                <w:snapToGrid w:val="0"/>
                <w:color w:val="000000"/>
                <w:szCs w:val="24"/>
              </w:rPr>
              <w:t>N</w:t>
            </w:r>
          </w:p>
        </w:tc>
        <w:tc>
          <w:tcPr>
            <w:tcW w:w="1276" w:type="dxa"/>
            <w:vAlign w:val="center"/>
          </w:tcPr>
          <w:p w14:paraId="32556946" w14:textId="75E97388" w:rsidR="00472A1B" w:rsidRPr="00DD63D7" w:rsidRDefault="00916460" w:rsidP="00DD63D7">
            <w:pPr>
              <w:jc w:val="right"/>
              <w:rPr>
                <w:szCs w:val="24"/>
              </w:rPr>
            </w:pPr>
            <w:r w:rsidRPr="00DD63D7">
              <w:rPr>
                <w:szCs w:val="24"/>
              </w:rPr>
              <w:t>73,142</w:t>
            </w:r>
          </w:p>
        </w:tc>
        <w:tc>
          <w:tcPr>
            <w:tcW w:w="1134" w:type="dxa"/>
            <w:vAlign w:val="center"/>
          </w:tcPr>
          <w:p w14:paraId="11B47E12" w14:textId="742D558A" w:rsidR="00472A1B" w:rsidRPr="001A0743" w:rsidRDefault="00472A1B" w:rsidP="00DD63D7">
            <w:pPr>
              <w:tabs>
                <w:tab w:val="decimal" w:pos="600"/>
              </w:tabs>
              <w:ind w:right="34"/>
              <w:jc w:val="right"/>
              <w:rPr>
                <w:snapToGrid w:val="0"/>
                <w:color w:val="000000"/>
                <w:szCs w:val="24"/>
              </w:rPr>
            </w:pPr>
            <w:r w:rsidRPr="001A0743">
              <w:rPr>
                <w:snapToGrid w:val="0"/>
                <w:color w:val="000000"/>
                <w:szCs w:val="24"/>
              </w:rPr>
              <w:t>9</w:t>
            </w:r>
            <w:r w:rsidR="00916460" w:rsidRPr="001A0743">
              <w:rPr>
                <w:snapToGrid w:val="0"/>
                <w:color w:val="000000"/>
                <w:szCs w:val="24"/>
              </w:rPr>
              <w:t>3.</w:t>
            </w:r>
            <w:r w:rsidR="00E20141" w:rsidRPr="001A0743">
              <w:rPr>
                <w:snapToGrid w:val="0"/>
                <w:color w:val="000000"/>
                <w:szCs w:val="24"/>
              </w:rPr>
              <w:t>3</w:t>
            </w:r>
          </w:p>
        </w:tc>
        <w:tc>
          <w:tcPr>
            <w:tcW w:w="1275" w:type="dxa"/>
            <w:vAlign w:val="center"/>
          </w:tcPr>
          <w:p w14:paraId="545531A2" w14:textId="156EC822" w:rsidR="00472A1B" w:rsidRPr="00DD63D7" w:rsidRDefault="00472A1B" w:rsidP="00DD63D7">
            <w:pPr>
              <w:jc w:val="right"/>
              <w:rPr>
                <w:szCs w:val="24"/>
              </w:rPr>
            </w:pPr>
            <w:r w:rsidRPr="00DD63D7">
              <w:rPr>
                <w:szCs w:val="24"/>
              </w:rPr>
              <w:t>69,448</w:t>
            </w:r>
          </w:p>
        </w:tc>
        <w:tc>
          <w:tcPr>
            <w:tcW w:w="1135" w:type="dxa"/>
            <w:vAlign w:val="center"/>
          </w:tcPr>
          <w:p w14:paraId="635DFD6C" w14:textId="6B541315" w:rsidR="00472A1B" w:rsidRPr="001A0743" w:rsidRDefault="00472A1B" w:rsidP="00DD63D7">
            <w:pPr>
              <w:tabs>
                <w:tab w:val="decimal" w:pos="600"/>
              </w:tabs>
              <w:ind w:right="34"/>
              <w:jc w:val="right"/>
              <w:rPr>
                <w:snapToGrid w:val="0"/>
                <w:color w:val="000000"/>
                <w:szCs w:val="24"/>
              </w:rPr>
            </w:pPr>
            <w:r w:rsidRPr="001A0743">
              <w:rPr>
                <w:snapToGrid w:val="0"/>
                <w:color w:val="000000"/>
                <w:szCs w:val="24"/>
              </w:rPr>
              <w:t>91.0</w:t>
            </w:r>
          </w:p>
        </w:tc>
      </w:tr>
      <w:tr w:rsidR="00472A1B" w:rsidRPr="001A0743" w14:paraId="47A9C906" w14:textId="77777777" w:rsidTr="00982FEC">
        <w:trPr>
          <w:trHeight w:hRule="exact" w:val="300"/>
        </w:trPr>
        <w:tc>
          <w:tcPr>
            <w:tcW w:w="1872" w:type="dxa"/>
          </w:tcPr>
          <w:p w14:paraId="74E1B6E2" w14:textId="7623FAE9" w:rsidR="00472A1B" w:rsidRPr="001A0743" w:rsidRDefault="001A0743" w:rsidP="000C442C">
            <w:pPr>
              <w:rPr>
                <w:szCs w:val="24"/>
              </w:rPr>
            </w:pPr>
            <w:r w:rsidRPr="001A0743">
              <w:rPr>
                <w:szCs w:val="24"/>
              </w:rPr>
              <w:t>Total</w:t>
            </w:r>
          </w:p>
        </w:tc>
        <w:tc>
          <w:tcPr>
            <w:tcW w:w="1247" w:type="dxa"/>
          </w:tcPr>
          <w:p w14:paraId="1231F2A4" w14:textId="77777777" w:rsidR="00472A1B" w:rsidRPr="001A0743" w:rsidRDefault="00472A1B" w:rsidP="00472A1B">
            <w:pPr>
              <w:jc w:val="center"/>
              <w:rPr>
                <w:snapToGrid w:val="0"/>
                <w:color w:val="000000"/>
                <w:szCs w:val="24"/>
              </w:rPr>
            </w:pPr>
          </w:p>
        </w:tc>
        <w:tc>
          <w:tcPr>
            <w:tcW w:w="1276" w:type="dxa"/>
            <w:vAlign w:val="center"/>
          </w:tcPr>
          <w:p w14:paraId="21363ED8" w14:textId="3B34E9BA" w:rsidR="00472A1B" w:rsidRPr="00DD63D7" w:rsidRDefault="00472A1B" w:rsidP="00DD63D7">
            <w:pPr>
              <w:jc w:val="right"/>
              <w:rPr>
                <w:szCs w:val="24"/>
              </w:rPr>
            </w:pPr>
            <w:r w:rsidRPr="00DD63D7">
              <w:rPr>
                <w:szCs w:val="24"/>
              </w:rPr>
              <w:t>7</w:t>
            </w:r>
            <w:r w:rsidR="00D14519" w:rsidRPr="00DD63D7">
              <w:rPr>
                <w:szCs w:val="24"/>
              </w:rPr>
              <w:t>8,360</w:t>
            </w:r>
          </w:p>
        </w:tc>
        <w:tc>
          <w:tcPr>
            <w:tcW w:w="1134" w:type="dxa"/>
            <w:vAlign w:val="center"/>
          </w:tcPr>
          <w:p w14:paraId="39159FF6" w14:textId="0BC9926A" w:rsidR="00472A1B" w:rsidRPr="001A0743" w:rsidRDefault="00472A1B" w:rsidP="00DD63D7">
            <w:pPr>
              <w:tabs>
                <w:tab w:val="decimal" w:pos="600"/>
              </w:tabs>
              <w:ind w:right="34"/>
              <w:jc w:val="right"/>
              <w:rPr>
                <w:snapToGrid w:val="0"/>
                <w:color w:val="000000"/>
                <w:szCs w:val="24"/>
              </w:rPr>
            </w:pPr>
            <w:r w:rsidRPr="001A0743">
              <w:rPr>
                <w:snapToGrid w:val="0"/>
                <w:color w:val="000000"/>
                <w:szCs w:val="24"/>
              </w:rPr>
              <w:t>100.0</w:t>
            </w:r>
          </w:p>
        </w:tc>
        <w:tc>
          <w:tcPr>
            <w:tcW w:w="1275" w:type="dxa"/>
            <w:vAlign w:val="center"/>
          </w:tcPr>
          <w:p w14:paraId="0DA682C0" w14:textId="54DACF71" w:rsidR="00472A1B" w:rsidRPr="00DD63D7" w:rsidRDefault="00472A1B" w:rsidP="00DD63D7">
            <w:pPr>
              <w:jc w:val="right"/>
              <w:rPr>
                <w:szCs w:val="24"/>
              </w:rPr>
            </w:pPr>
            <w:r w:rsidRPr="00DD63D7">
              <w:rPr>
                <w:szCs w:val="24"/>
              </w:rPr>
              <w:t>76,342</w:t>
            </w:r>
          </w:p>
        </w:tc>
        <w:tc>
          <w:tcPr>
            <w:tcW w:w="1135" w:type="dxa"/>
            <w:vAlign w:val="center"/>
          </w:tcPr>
          <w:p w14:paraId="47F2C62F" w14:textId="7DF6B87C" w:rsidR="00472A1B" w:rsidRPr="001A0743" w:rsidRDefault="00472A1B" w:rsidP="00DD63D7">
            <w:pPr>
              <w:tabs>
                <w:tab w:val="decimal" w:pos="600"/>
              </w:tabs>
              <w:ind w:right="34"/>
              <w:jc w:val="right"/>
              <w:rPr>
                <w:snapToGrid w:val="0"/>
                <w:color w:val="000000"/>
                <w:szCs w:val="24"/>
              </w:rPr>
            </w:pPr>
            <w:r w:rsidRPr="001A0743">
              <w:rPr>
                <w:snapToGrid w:val="0"/>
                <w:color w:val="000000"/>
                <w:szCs w:val="24"/>
              </w:rPr>
              <w:t>100.0</w:t>
            </w:r>
          </w:p>
        </w:tc>
      </w:tr>
    </w:tbl>
    <w:p w14:paraId="5A3FE3F8" w14:textId="6D170DB0" w:rsidR="00F12792" w:rsidRDefault="00F12792">
      <w:pPr>
        <w:rPr>
          <w:b/>
          <w:szCs w:val="24"/>
        </w:rPr>
      </w:pPr>
    </w:p>
    <w:p w14:paraId="6BE1E772" w14:textId="4E5CD40D" w:rsidR="00D90216" w:rsidRPr="006563F1" w:rsidRDefault="001C592E" w:rsidP="006563F1">
      <w:pPr>
        <w:pStyle w:val="Heading2"/>
        <w:jc w:val="left"/>
        <w:rPr>
          <w:sz w:val="24"/>
          <w:szCs w:val="24"/>
        </w:rPr>
      </w:pPr>
      <w:bookmarkStart w:id="53" w:name="_Toc166761549"/>
      <w:r w:rsidRPr="006563F1">
        <w:rPr>
          <w:sz w:val="24"/>
          <w:szCs w:val="24"/>
        </w:rPr>
        <w:t>1</w:t>
      </w:r>
      <w:r w:rsidR="00BC6AC5" w:rsidRPr="006563F1">
        <w:rPr>
          <w:sz w:val="24"/>
          <w:szCs w:val="24"/>
        </w:rPr>
        <w:t>6</w:t>
      </w:r>
      <w:r w:rsidR="00D96A83" w:rsidRPr="006563F1">
        <w:rPr>
          <w:sz w:val="24"/>
          <w:szCs w:val="24"/>
        </w:rPr>
        <w:tab/>
      </w:r>
      <w:r w:rsidR="00D90216" w:rsidRPr="006563F1">
        <w:rPr>
          <w:sz w:val="24"/>
          <w:szCs w:val="24"/>
        </w:rPr>
        <w:t>Usable Reserves</w:t>
      </w:r>
      <w:bookmarkEnd w:id="53"/>
    </w:p>
    <w:p w14:paraId="5478EB09" w14:textId="77777777" w:rsidR="00D90216" w:rsidRPr="001A0743" w:rsidRDefault="00D90216" w:rsidP="00D90216">
      <w:pPr>
        <w:ind w:left="360"/>
        <w:rPr>
          <w:szCs w:val="24"/>
        </w:rPr>
      </w:pPr>
    </w:p>
    <w:p w14:paraId="3DDDA464" w14:textId="7710CC28" w:rsidR="00A45B68" w:rsidRDefault="00D90216" w:rsidP="000C442C">
      <w:pPr>
        <w:ind w:left="709"/>
        <w:rPr>
          <w:szCs w:val="24"/>
        </w:rPr>
      </w:pPr>
      <w:r w:rsidRPr="001A0743">
        <w:rPr>
          <w:szCs w:val="24"/>
        </w:rPr>
        <w:t>Movements in the Authority’s usable reserves are detailed in the Movement in Reserves Statement</w:t>
      </w:r>
      <w:r w:rsidR="00E2639F" w:rsidRPr="001A0743">
        <w:rPr>
          <w:szCs w:val="24"/>
        </w:rPr>
        <w:t>s</w:t>
      </w:r>
      <w:r w:rsidRPr="001A0743">
        <w:rPr>
          <w:szCs w:val="24"/>
        </w:rPr>
        <w:t xml:space="preserve">, </w:t>
      </w:r>
      <w:r w:rsidR="004545C4" w:rsidRPr="001A0743">
        <w:rPr>
          <w:szCs w:val="24"/>
        </w:rPr>
        <w:t>on page</w:t>
      </w:r>
      <w:r w:rsidR="00D96A83" w:rsidRPr="001A0743">
        <w:rPr>
          <w:szCs w:val="24"/>
        </w:rPr>
        <w:t>s</w:t>
      </w:r>
      <w:r w:rsidR="008B3EDE" w:rsidRPr="001A0743">
        <w:rPr>
          <w:szCs w:val="24"/>
        </w:rPr>
        <w:t xml:space="preserve"> </w:t>
      </w:r>
      <w:r w:rsidR="00DF4E87" w:rsidRPr="001A0743">
        <w:rPr>
          <w:szCs w:val="24"/>
        </w:rPr>
        <w:t xml:space="preserve">19 </w:t>
      </w:r>
      <w:r w:rsidR="00D96A83" w:rsidRPr="001A0743">
        <w:rPr>
          <w:szCs w:val="24"/>
        </w:rPr>
        <w:t xml:space="preserve">and </w:t>
      </w:r>
      <w:r w:rsidR="00853343" w:rsidRPr="001A0743">
        <w:rPr>
          <w:szCs w:val="24"/>
        </w:rPr>
        <w:t>2</w:t>
      </w:r>
      <w:r w:rsidR="00DF4E87" w:rsidRPr="001A0743">
        <w:rPr>
          <w:szCs w:val="24"/>
        </w:rPr>
        <w:t>0</w:t>
      </w:r>
      <w:r w:rsidRPr="001A0743">
        <w:rPr>
          <w:szCs w:val="24"/>
        </w:rPr>
        <w:t>.</w:t>
      </w:r>
    </w:p>
    <w:p w14:paraId="0E0F420B" w14:textId="77777777" w:rsidR="007A439F" w:rsidRPr="001A0743" w:rsidRDefault="007A439F" w:rsidP="000C442C">
      <w:pPr>
        <w:ind w:left="709"/>
        <w:rPr>
          <w:szCs w:val="24"/>
        </w:rPr>
      </w:pPr>
    </w:p>
    <w:tbl>
      <w:tblPr>
        <w:tblW w:w="88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2"/>
        <w:gridCol w:w="26"/>
        <w:gridCol w:w="1406"/>
        <w:gridCol w:w="1406"/>
        <w:gridCol w:w="1406"/>
        <w:gridCol w:w="1406"/>
      </w:tblGrid>
      <w:tr w:rsidR="007A439F" w:rsidRPr="00AF3DCD" w14:paraId="0F9D63D1" w14:textId="77777777" w:rsidTr="00611673">
        <w:trPr>
          <w:trHeight w:val="143"/>
          <w:tblHeader/>
        </w:trPr>
        <w:tc>
          <w:tcPr>
            <w:tcW w:w="3198" w:type="dxa"/>
            <w:gridSpan w:val="2"/>
            <w:shd w:val="clear" w:color="auto" w:fill="BD2716"/>
            <w:vAlign w:val="bottom"/>
          </w:tcPr>
          <w:p w14:paraId="2692079A" w14:textId="77777777" w:rsidR="007A439F" w:rsidRPr="00982FEC" w:rsidRDefault="007A439F" w:rsidP="007A439F">
            <w:pPr>
              <w:tabs>
                <w:tab w:val="decimal" w:pos="1220"/>
              </w:tabs>
              <w:rPr>
                <w:color w:val="FFFFFF" w:themeColor="background1"/>
                <w:szCs w:val="24"/>
              </w:rPr>
            </w:pPr>
          </w:p>
        </w:tc>
        <w:tc>
          <w:tcPr>
            <w:tcW w:w="1406" w:type="dxa"/>
            <w:shd w:val="clear" w:color="auto" w:fill="BD2716"/>
            <w:vAlign w:val="center"/>
          </w:tcPr>
          <w:p w14:paraId="55DDF51B" w14:textId="77777777" w:rsidR="007A439F" w:rsidRPr="00982FEC" w:rsidRDefault="007A439F" w:rsidP="00611673">
            <w:pPr>
              <w:jc w:val="right"/>
              <w:rPr>
                <w:color w:val="FFFFFF" w:themeColor="background1"/>
                <w:szCs w:val="24"/>
              </w:rPr>
            </w:pPr>
            <w:r w:rsidRPr="00982FEC">
              <w:rPr>
                <w:color w:val="FFFFFF" w:themeColor="background1"/>
                <w:szCs w:val="24"/>
              </w:rPr>
              <w:t>2022/23</w:t>
            </w:r>
          </w:p>
          <w:p w14:paraId="4B3A5F4F" w14:textId="11C88D35" w:rsidR="007A439F" w:rsidRPr="00982FEC" w:rsidRDefault="007A439F" w:rsidP="00611673">
            <w:pPr>
              <w:jc w:val="right"/>
              <w:rPr>
                <w:color w:val="FFFFFF" w:themeColor="background1"/>
                <w:szCs w:val="24"/>
              </w:rPr>
            </w:pPr>
            <w:r w:rsidRPr="00982FEC">
              <w:rPr>
                <w:color w:val="FFFFFF" w:themeColor="background1"/>
                <w:szCs w:val="24"/>
              </w:rPr>
              <w:t>£000</w:t>
            </w:r>
          </w:p>
        </w:tc>
        <w:tc>
          <w:tcPr>
            <w:tcW w:w="1406" w:type="dxa"/>
            <w:shd w:val="clear" w:color="auto" w:fill="BD2716"/>
            <w:vAlign w:val="center"/>
          </w:tcPr>
          <w:p w14:paraId="62DF6784" w14:textId="77777777" w:rsidR="007A439F" w:rsidRPr="00982FEC" w:rsidRDefault="007A439F" w:rsidP="00611673">
            <w:pPr>
              <w:jc w:val="right"/>
              <w:rPr>
                <w:color w:val="FFFFFF" w:themeColor="background1"/>
                <w:szCs w:val="24"/>
              </w:rPr>
            </w:pPr>
            <w:r w:rsidRPr="00982FEC">
              <w:rPr>
                <w:color w:val="FFFFFF" w:themeColor="background1"/>
                <w:szCs w:val="24"/>
              </w:rPr>
              <w:t>2022/23</w:t>
            </w:r>
          </w:p>
          <w:p w14:paraId="196734AA" w14:textId="0910C197" w:rsidR="007A439F" w:rsidRPr="00982FEC" w:rsidRDefault="007A439F" w:rsidP="00611673">
            <w:pPr>
              <w:jc w:val="right"/>
              <w:rPr>
                <w:color w:val="FFFFFF" w:themeColor="background1"/>
                <w:szCs w:val="24"/>
              </w:rPr>
            </w:pPr>
            <w:r w:rsidRPr="00982FEC">
              <w:rPr>
                <w:color w:val="FFFFFF" w:themeColor="background1"/>
                <w:szCs w:val="24"/>
              </w:rPr>
              <w:t>£000</w:t>
            </w:r>
          </w:p>
        </w:tc>
        <w:tc>
          <w:tcPr>
            <w:tcW w:w="1406" w:type="dxa"/>
            <w:shd w:val="clear" w:color="auto" w:fill="BD2716"/>
            <w:vAlign w:val="center"/>
          </w:tcPr>
          <w:p w14:paraId="5E342B5E" w14:textId="652DB772" w:rsidR="007A439F" w:rsidRPr="00982FEC" w:rsidRDefault="007A439F" w:rsidP="00611673">
            <w:pPr>
              <w:jc w:val="right"/>
              <w:rPr>
                <w:color w:val="FFFFFF" w:themeColor="background1"/>
                <w:szCs w:val="24"/>
              </w:rPr>
            </w:pPr>
            <w:r w:rsidRPr="00982FEC">
              <w:rPr>
                <w:color w:val="FFFFFF" w:themeColor="background1"/>
                <w:szCs w:val="24"/>
              </w:rPr>
              <w:t>2021/22</w:t>
            </w:r>
          </w:p>
          <w:p w14:paraId="275C24DE" w14:textId="48B83774" w:rsidR="007A439F" w:rsidRPr="00982FEC" w:rsidRDefault="007A439F" w:rsidP="00611673">
            <w:pPr>
              <w:jc w:val="right"/>
              <w:rPr>
                <w:color w:val="FFFFFF" w:themeColor="background1"/>
                <w:szCs w:val="24"/>
              </w:rPr>
            </w:pPr>
            <w:r w:rsidRPr="00982FEC">
              <w:rPr>
                <w:color w:val="FFFFFF" w:themeColor="background1"/>
                <w:szCs w:val="24"/>
              </w:rPr>
              <w:t>£000</w:t>
            </w:r>
          </w:p>
        </w:tc>
        <w:tc>
          <w:tcPr>
            <w:tcW w:w="1406" w:type="dxa"/>
            <w:shd w:val="clear" w:color="auto" w:fill="BD2716"/>
            <w:vAlign w:val="center"/>
          </w:tcPr>
          <w:p w14:paraId="0299ECFE" w14:textId="77777777" w:rsidR="007A439F" w:rsidRPr="00982FEC" w:rsidRDefault="007A439F" w:rsidP="00611673">
            <w:pPr>
              <w:jc w:val="right"/>
              <w:rPr>
                <w:color w:val="FFFFFF" w:themeColor="background1"/>
                <w:szCs w:val="24"/>
              </w:rPr>
            </w:pPr>
            <w:r w:rsidRPr="00982FEC">
              <w:rPr>
                <w:color w:val="FFFFFF" w:themeColor="background1"/>
                <w:szCs w:val="24"/>
              </w:rPr>
              <w:t>2021/22</w:t>
            </w:r>
          </w:p>
          <w:p w14:paraId="1C0F3CD4" w14:textId="06DDB5F3" w:rsidR="007A439F" w:rsidRPr="00982FEC" w:rsidRDefault="007A439F" w:rsidP="00611673">
            <w:pPr>
              <w:jc w:val="right"/>
              <w:rPr>
                <w:color w:val="FFFFFF" w:themeColor="background1"/>
                <w:szCs w:val="24"/>
              </w:rPr>
            </w:pPr>
            <w:r w:rsidRPr="00982FEC">
              <w:rPr>
                <w:color w:val="FFFFFF" w:themeColor="background1"/>
                <w:szCs w:val="24"/>
              </w:rPr>
              <w:t>£000</w:t>
            </w:r>
          </w:p>
        </w:tc>
      </w:tr>
      <w:tr w:rsidR="000C442C" w:rsidRPr="00AF3DCD" w14:paraId="4B3215D1" w14:textId="77777777" w:rsidTr="00982FEC">
        <w:trPr>
          <w:trHeight w:val="143"/>
        </w:trPr>
        <w:tc>
          <w:tcPr>
            <w:tcW w:w="8822" w:type="dxa"/>
            <w:gridSpan w:val="6"/>
            <w:shd w:val="clear" w:color="auto" w:fill="D9D9D9" w:themeFill="background1" w:themeFillShade="D9"/>
          </w:tcPr>
          <w:p w14:paraId="6AB209E2" w14:textId="26961627" w:rsidR="000C442C" w:rsidRPr="00BD79B2" w:rsidRDefault="000C442C" w:rsidP="000C442C">
            <w:pPr>
              <w:tabs>
                <w:tab w:val="decimal" w:pos="1220"/>
              </w:tabs>
              <w:rPr>
                <w:b/>
                <w:bCs/>
                <w:szCs w:val="24"/>
              </w:rPr>
            </w:pPr>
            <w:r w:rsidRPr="00BD79B2">
              <w:rPr>
                <w:b/>
                <w:bCs/>
                <w:szCs w:val="24"/>
              </w:rPr>
              <w:t>Revenue Reserves:</w:t>
            </w:r>
          </w:p>
        </w:tc>
      </w:tr>
      <w:tr w:rsidR="00472A1B" w:rsidRPr="00AF3DCD" w14:paraId="3556BF10" w14:textId="77777777" w:rsidTr="00DD63D7">
        <w:tc>
          <w:tcPr>
            <w:tcW w:w="3172" w:type="dxa"/>
            <w:shd w:val="clear" w:color="auto" w:fill="auto"/>
          </w:tcPr>
          <w:p w14:paraId="5B7BD049" w14:textId="77777777" w:rsidR="00472A1B" w:rsidRPr="001A0743" w:rsidRDefault="00472A1B" w:rsidP="000C442C">
            <w:pPr>
              <w:rPr>
                <w:szCs w:val="24"/>
              </w:rPr>
            </w:pPr>
            <w:r w:rsidRPr="001A0743">
              <w:rPr>
                <w:szCs w:val="24"/>
              </w:rPr>
              <w:t>General Fund</w:t>
            </w:r>
          </w:p>
        </w:tc>
        <w:tc>
          <w:tcPr>
            <w:tcW w:w="1432" w:type="dxa"/>
            <w:gridSpan w:val="2"/>
            <w:shd w:val="clear" w:color="auto" w:fill="auto"/>
            <w:vAlign w:val="center"/>
          </w:tcPr>
          <w:p w14:paraId="37F266CC" w14:textId="77777777" w:rsidR="00472A1B" w:rsidRPr="001A0743" w:rsidRDefault="00472A1B" w:rsidP="00DD63D7">
            <w:pPr>
              <w:jc w:val="right"/>
              <w:rPr>
                <w:szCs w:val="24"/>
              </w:rPr>
            </w:pPr>
          </w:p>
        </w:tc>
        <w:tc>
          <w:tcPr>
            <w:tcW w:w="1406" w:type="dxa"/>
            <w:shd w:val="clear" w:color="auto" w:fill="auto"/>
            <w:vAlign w:val="center"/>
          </w:tcPr>
          <w:p w14:paraId="695E77A0" w14:textId="5D8E77D8" w:rsidR="00472A1B" w:rsidRPr="001A0743" w:rsidRDefault="00472A1B" w:rsidP="00DD63D7">
            <w:pPr>
              <w:jc w:val="right"/>
              <w:rPr>
                <w:szCs w:val="24"/>
              </w:rPr>
            </w:pPr>
            <w:r w:rsidRPr="001A0743">
              <w:rPr>
                <w:szCs w:val="24"/>
              </w:rPr>
              <w:t>(</w:t>
            </w:r>
            <w:r w:rsidR="003A39A4" w:rsidRPr="001A0743">
              <w:rPr>
                <w:szCs w:val="24"/>
              </w:rPr>
              <w:t>4,</w:t>
            </w:r>
            <w:r w:rsidR="00B5657D" w:rsidRPr="001A0743">
              <w:rPr>
                <w:szCs w:val="24"/>
              </w:rPr>
              <w:t>887</w:t>
            </w:r>
            <w:r w:rsidRPr="001A0743">
              <w:rPr>
                <w:szCs w:val="24"/>
              </w:rPr>
              <w:t>)</w:t>
            </w:r>
          </w:p>
        </w:tc>
        <w:tc>
          <w:tcPr>
            <w:tcW w:w="1406" w:type="dxa"/>
            <w:shd w:val="clear" w:color="auto" w:fill="auto"/>
            <w:vAlign w:val="center"/>
          </w:tcPr>
          <w:p w14:paraId="682014F5" w14:textId="77777777" w:rsidR="00472A1B" w:rsidRPr="001A0743" w:rsidRDefault="00472A1B" w:rsidP="00DD63D7">
            <w:pPr>
              <w:jc w:val="right"/>
              <w:rPr>
                <w:szCs w:val="24"/>
              </w:rPr>
            </w:pPr>
          </w:p>
        </w:tc>
        <w:tc>
          <w:tcPr>
            <w:tcW w:w="1406" w:type="dxa"/>
            <w:shd w:val="clear" w:color="auto" w:fill="auto"/>
            <w:vAlign w:val="center"/>
          </w:tcPr>
          <w:p w14:paraId="31D0E10F" w14:textId="14CF5A8D" w:rsidR="00472A1B" w:rsidRPr="001A0743" w:rsidRDefault="00472A1B" w:rsidP="00DD63D7">
            <w:pPr>
              <w:jc w:val="right"/>
              <w:rPr>
                <w:szCs w:val="24"/>
              </w:rPr>
            </w:pPr>
            <w:r w:rsidRPr="001A0743">
              <w:rPr>
                <w:szCs w:val="24"/>
              </w:rPr>
              <w:t>(6,536)</w:t>
            </w:r>
          </w:p>
        </w:tc>
      </w:tr>
      <w:tr w:rsidR="00472A1B" w:rsidRPr="00AF3DCD" w14:paraId="559DBAC7" w14:textId="77777777" w:rsidTr="00DD63D7">
        <w:tc>
          <w:tcPr>
            <w:tcW w:w="3172" w:type="dxa"/>
            <w:shd w:val="clear" w:color="auto" w:fill="auto"/>
          </w:tcPr>
          <w:p w14:paraId="20353151" w14:textId="77777777" w:rsidR="00472A1B" w:rsidRPr="001A0743" w:rsidRDefault="00472A1B" w:rsidP="000C442C">
            <w:pPr>
              <w:rPr>
                <w:szCs w:val="24"/>
              </w:rPr>
            </w:pPr>
            <w:r w:rsidRPr="001A0743">
              <w:rPr>
                <w:szCs w:val="24"/>
              </w:rPr>
              <w:t>Earmarked Reserves</w:t>
            </w:r>
          </w:p>
        </w:tc>
        <w:tc>
          <w:tcPr>
            <w:tcW w:w="1432" w:type="dxa"/>
            <w:gridSpan w:val="2"/>
            <w:shd w:val="clear" w:color="auto" w:fill="auto"/>
            <w:vAlign w:val="center"/>
          </w:tcPr>
          <w:p w14:paraId="33B1B3A3" w14:textId="0B17736D" w:rsidR="00472A1B" w:rsidRPr="001A0743" w:rsidRDefault="00472A1B" w:rsidP="00DD63D7">
            <w:pPr>
              <w:jc w:val="right"/>
              <w:rPr>
                <w:szCs w:val="24"/>
              </w:rPr>
            </w:pPr>
            <w:r w:rsidRPr="001A0743">
              <w:rPr>
                <w:szCs w:val="24"/>
              </w:rPr>
              <w:t>(4,</w:t>
            </w:r>
            <w:r w:rsidR="003A39A4" w:rsidRPr="001A0743">
              <w:rPr>
                <w:szCs w:val="24"/>
              </w:rPr>
              <w:t>101</w:t>
            </w:r>
            <w:r w:rsidRPr="001A0743">
              <w:rPr>
                <w:szCs w:val="24"/>
              </w:rPr>
              <w:t>)</w:t>
            </w:r>
          </w:p>
        </w:tc>
        <w:tc>
          <w:tcPr>
            <w:tcW w:w="1406" w:type="dxa"/>
            <w:shd w:val="clear" w:color="auto" w:fill="auto"/>
            <w:vAlign w:val="center"/>
          </w:tcPr>
          <w:p w14:paraId="43454B6E" w14:textId="77777777" w:rsidR="00472A1B" w:rsidRPr="001A0743" w:rsidRDefault="00472A1B" w:rsidP="00DD63D7">
            <w:pPr>
              <w:jc w:val="right"/>
              <w:rPr>
                <w:szCs w:val="24"/>
              </w:rPr>
            </w:pPr>
          </w:p>
        </w:tc>
        <w:tc>
          <w:tcPr>
            <w:tcW w:w="1406" w:type="dxa"/>
            <w:shd w:val="clear" w:color="auto" w:fill="auto"/>
            <w:vAlign w:val="center"/>
          </w:tcPr>
          <w:p w14:paraId="546BA549" w14:textId="0E79CF15" w:rsidR="00472A1B" w:rsidRPr="001A0743" w:rsidRDefault="00472A1B" w:rsidP="00DD63D7">
            <w:pPr>
              <w:jc w:val="right"/>
              <w:rPr>
                <w:szCs w:val="24"/>
              </w:rPr>
            </w:pPr>
            <w:r w:rsidRPr="001A0743">
              <w:rPr>
                <w:szCs w:val="24"/>
              </w:rPr>
              <w:t>(4,675)</w:t>
            </w:r>
          </w:p>
        </w:tc>
        <w:tc>
          <w:tcPr>
            <w:tcW w:w="1406" w:type="dxa"/>
            <w:shd w:val="clear" w:color="auto" w:fill="auto"/>
            <w:vAlign w:val="center"/>
          </w:tcPr>
          <w:p w14:paraId="40B0B1B1" w14:textId="77777777" w:rsidR="00472A1B" w:rsidRPr="001A0743" w:rsidRDefault="00472A1B" w:rsidP="00DD63D7">
            <w:pPr>
              <w:jc w:val="right"/>
              <w:rPr>
                <w:szCs w:val="24"/>
              </w:rPr>
            </w:pPr>
          </w:p>
        </w:tc>
      </w:tr>
      <w:tr w:rsidR="00472A1B" w:rsidRPr="00AF3DCD" w14:paraId="495DACBE" w14:textId="77777777" w:rsidTr="00DD63D7">
        <w:tc>
          <w:tcPr>
            <w:tcW w:w="3172" w:type="dxa"/>
            <w:shd w:val="clear" w:color="auto" w:fill="auto"/>
          </w:tcPr>
          <w:p w14:paraId="1F133837" w14:textId="77777777" w:rsidR="00472A1B" w:rsidRPr="001A0743" w:rsidRDefault="00472A1B" w:rsidP="000C442C">
            <w:pPr>
              <w:rPr>
                <w:szCs w:val="24"/>
              </w:rPr>
            </w:pPr>
            <w:r w:rsidRPr="001A0743">
              <w:rPr>
                <w:szCs w:val="24"/>
              </w:rPr>
              <w:t>PFI Equalisation Reserve</w:t>
            </w:r>
          </w:p>
        </w:tc>
        <w:tc>
          <w:tcPr>
            <w:tcW w:w="1432" w:type="dxa"/>
            <w:gridSpan w:val="2"/>
            <w:shd w:val="clear" w:color="auto" w:fill="auto"/>
            <w:vAlign w:val="center"/>
          </w:tcPr>
          <w:p w14:paraId="3F605A3E" w14:textId="07E0FA6C" w:rsidR="00472A1B" w:rsidRPr="001A0743" w:rsidRDefault="00472A1B" w:rsidP="00DD63D7">
            <w:pPr>
              <w:jc w:val="right"/>
              <w:rPr>
                <w:szCs w:val="24"/>
              </w:rPr>
            </w:pPr>
            <w:r w:rsidRPr="001A0743">
              <w:rPr>
                <w:szCs w:val="24"/>
              </w:rPr>
              <w:t>(5,</w:t>
            </w:r>
            <w:r w:rsidR="003A39A4" w:rsidRPr="001A0743">
              <w:rPr>
                <w:szCs w:val="24"/>
              </w:rPr>
              <w:t>15</w:t>
            </w:r>
            <w:r w:rsidRPr="001A0743">
              <w:rPr>
                <w:szCs w:val="24"/>
              </w:rPr>
              <w:t>7)</w:t>
            </w:r>
          </w:p>
        </w:tc>
        <w:tc>
          <w:tcPr>
            <w:tcW w:w="1406" w:type="dxa"/>
            <w:shd w:val="clear" w:color="auto" w:fill="auto"/>
            <w:vAlign w:val="center"/>
          </w:tcPr>
          <w:p w14:paraId="6E72C234" w14:textId="77777777" w:rsidR="00472A1B" w:rsidRPr="001A0743" w:rsidRDefault="00472A1B" w:rsidP="00DD63D7">
            <w:pPr>
              <w:jc w:val="right"/>
              <w:rPr>
                <w:szCs w:val="24"/>
              </w:rPr>
            </w:pPr>
          </w:p>
        </w:tc>
        <w:tc>
          <w:tcPr>
            <w:tcW w:w="1406" w:type="dxa"/>
            <w:shd w:val="clear" w:color="auto" w:fill="auto"/>
            <w:vAlign w:val="center"/>
          </w:tcPr>
          <w:p w14:paraId="4391423F" w14:textId="06683A85" w:rsidR="00472A1B" w:rsidRPr="001A0743" w:rsidRDefault="00472A1B" w:rsidP="00DD63D7">
            <w:pPr>
              <w:jc w:val="right"/>
              <w:rPr>
                <w:szCs w:val="24"/>
              </w:rPr>
            </w:pPr>
            <w:r w:rsidRPr="001A0743">
              <w:rPr>
                <w:szCs w:val="24"/>
              </w:rPr>
              <w:t>(5,067)</w:t>
            </w:r>
          </w:p>
        </w:tc>
        <w:tc>
          <w:tcPr>
            <w:tcW w:w="1406" w:type="dxa"/>
            <w:shd w:val="clear" w:color="auto" w:fill="auto"/>
            <w:vAlign w:val="center"/>
          </w:tcPr>
          <w:p w14:paraId="36A74061" w14:textId="77777777" w:rsidR="00472A1B" w:rsidRPr="001A0743" w:rsidRDefault="00472A1B" w:rsidP="00DD63D7">
            <w:pPr>
              <w:jc w:val="right"/>
              <w:rPr>
                <w:szCs w:val="24"/>
              </w:rPr>
            </w:pPr>
          </w:p>
        </w:tc>
      </w:tr>
      <w:tr w:rsidR="00670DBF" w:rsidRPr="00AF3DCD" w14:paraId="19510920" w14:textId="77777777" w:rsidTr="00DD63D7">
        <w:tc>
          <w:tcPr>
            <w:tcW w:w="3172" w:type="dxa"/>
            <w:shd w:val="clear" w:color="auto" w:fill="auto"/>
          </w:tcPr>
          <w:p w14:paraId="29B8D742" w14:textId="77777777" w:rsidR="00670DBF" w:rsidRPr="001A0743" w:rsidRDefault="00670DBF" w:rsidP="000C442C">
            <w:pPr>
              <w:rPr>
                <w:szCs w:val="24"/>
              </w:rPr>
            </w:pPr>
            <w:r w:rsidRPr="001A0743">
              <w:rPr>
                <w:szCs w:val="24"/>
              </w:rPr>
              <w:t>Total Earmarked Reserves</w:t>
            </w:r>
          </w:p>
        </w:tc>
        <w:tc>
          <w:tcPr>
            <w:tcW w:w="1432" w:type="dxa"/>
            <w:gridSpan w:val="2"/>
            <w:shd w:val="clear" w:color="auto" w:fill="auto"/>
            <w:vAlign w:val="center"/>
          </w:tcPr>
          <w:p w14:paraId="3326B779" w14:textId="77777777" w:rsidR="00670DBF" w:rsidRPr="001A0743" w:rsidRDefault="00670DBF" w:rsidP="00DD63D7">
            <w:pPr>
              <w:jc w:val="right"/>
              <w:rPr>
                <w:szCs w:val="24"/>
              </w:rPr>
            </w:pPr>
          </w:p>
        </w:tc>
        <w:tc>
          <w:tcPr>
            <w:tcW w:w="1406" w:type="dxa"/>
            <w:shd w:val="clear" w:color="auto" w:fill="auto"/>
            <w:vAlign w:val="center"/>
          </w:tcPr>
          <w:p w14:paraId="6F597525" w14:textId="43C28C42" w:rsidR="00670DBF" w:rsidRPr="001A0743" w:rsidRDefault="00670DBF" w:rsidP="00DD63D7">
            <w:pPr>
              <w:jc w:val="right"/>
              <w:rPr>
                <w:szCs w:val="24"/>
              </w:rPr>
            </w:pPr>
            <w:r w:rsidRPr="001A0743">
              <w:rPr>
                <w:szCs w:val="24"/>
              </w:rPr>
              <w:t>(</w:t>
            </w:r>
            <w:r w:rsidR="0055538E" w:rsidRPr="001A0743">
              <w:rPr>
                <w:szCs w:val="24"/>
              </w:rPr>
              <w:t>9</w:t>
            </w:r>
            <w:r w:rsidRPr="001A0743">
              <w:rPr>
                <w:szCs w:val="24"/>
              </w:rPr>
              <w:t>,</w:t>
            </w:r>
            <w:r w:rsidR="003A39A4" w:rsidRPr="001A0743">
              <w:rPr>
                <w:szCs w:val="24"/>
              </w:rPr>
              <w:t>258</w:t>
            </w:r>
            <w:r w:rsidRPr="001A0743">
              <w:rPr>
                <w:szCs w:val="24"/>
              </w:rPr>
              <w:t>)</w:t>
            </w:r>
          </w:p>
        </w:tc>
        <w:tc>
          <w:tcPr>
            <w:tcW w:w="1406" w:type="dxa"/>
            <w:shd w:val="clear" w:color="auto" w:fill="auto"/>
            <w:vAlign w:val="center"/>
          </w:tcPr>
          <w:p w14:paraId="55F004A0" w14:textId="5D3D365F" w:rsidR="00670DBF" w:rsidRPr="001A0743" w:rsidRDefault="00670DBF" w:rsidP="00DD63D7">
            <w:pPr>
              <w:jc w:val="right"/>
              <w:rPr>
                <w:szCs w:val="24"/>
              </w:rPr>
            </w:pPr>
          </w:p>
        </w:tc>
        <w:tc>
          <w:tcPr>
            <w:tcW w:w="1406" w:type="dxa"/>
            <w:shd w:val="clear" w:color="auto" w:fill="auto"/>
            <w:vAlign w:val="center"/>
          </w:tcPr>
          <w:p w14:paraId="73EE5573" w14:textId="77CFB5E6" w:rsidR="00670DBF" w:rsidRPr="001A0743" w:rsidRDefault="00472A1B" w:rsidP="00DD63D7">
            <w:pPr>
              <w:jc w:val="right"/>
              <w:rPr>
                <w:szCs w:val="24"/>
              </w:rPr>
            </w:pPr>
            <w:r w:rsidRPr="001A0743">
              <w:rPr>
                <w:szCs w:val="24"/>
              </w:rPr>
              <w:t>(9,742)</w:t>
            </w:r>
          </w:p>
        </w:tc>
      </w:tr>
      <w:tr w:rsidR="00472A1B" w:rsidRPr="00AF3DCD" w14:paraId="7E8269B5" w14:textId="77777777" w:rsidTr="00DD63D7">
        <w:tc>
          <w:tcPr>
            <w:tcW w:w="3172" w:type="dxa"/>
            <w:shd w:val="clear" w:color="auto" w:fill="auto"/>
          </w:tcPr>
          <w:p w14:paraId="6C44D2E2" w14:textId="77777777" w:rsidR="00472A1B" w:rsidRPr="001A0743" w:rsidRDefault="00472A1B" w:rsidP="000C442C">
            <w:pPr>
              <w:rPr>
                <w:szCs w:val="24"/>
              </w:rPr>
            </w:pPr>
            <w:r w:rsidRPr="001A0743">
              <w:rPr>
                <w:szCs w:val="24"/>
              </w:rPr>
              <w:t>Total Revenue Reserves</w:t>
            </w:r>
          </w:p>
        </w:tc>
        <w:tc>
          <w:tcPr>
            <w:tcW w:w="1432" w:type="dxa"/>
            <w:gridSpan w:val="2"/>
            <w:shd w:val="clear" w:color="auto" w:fill="auto"/>
            <w:vAlign w:val="center"/>
          </w:tcPr>
          <w:p w14:paraId="275B1712" w14:textId="77777777" w:rsidR="00472A1B" w:rsidRPr="001A0743" w:rsidRDefault="00472A1B" w:rsidP="00DD63D7">
            <w:pPr>
              <w:jc w:val="right"/>
              <w:rPr>
                <w:szCs w:val="24"/>
              </w:rPr>
            </w:pPr>
          </w:p>
        </w:tc>
        <w:tc>
          <w:tcPr>
            <w:tcW w:w="1406" w:type="dxa"/>
            <w:shd w:val="clear" w:color="auto" w:fill="auto"/>
            <w:vAlign w:val="center"/>
          </w:tcPr>
          <w:p w14:paraId="6C90E7D3" w14:textId="7BF7A404" w:rsidR="00472A1B" w:rsidRPr="001A0743" w:rsidRDefault="00472A1B" w:rsidP="00DD63D7">
            <w:pPr>
              <w:jc w:val="right"/>
              <w:rPr>
                <w:szCs w:val="24"/>
              </w:rPr>
            </w:pPr>
            <w:r w:rsidRPr="001A0743">
              <w:rPr>
                <w:szCs w:val="24"/>
              </w:rPr>
              <w:t>(1</w:t>
            </w:r>
            <w:r w:rsidR="00B5657D" w:rsidRPr="001A0743">
              <w:rPr>
                <w:szCs w:val="24"/>
              </w:rPr>
              <w:t>4,145</w:t>
            </w:r>
            <w:r w:rsidRPr="001A0743">
              <w:rPr>
                <w:szCs w:val="24"/>
              </w:rPr>
              <w:t>)</w:t>
            </w:r>
          </w:p>
        </w:tc>
        <w:tc>
          <w:tcPr>
            <w:tcW w:w="1406" w:type="dxa"/>
            <w:shd w:val="clear" w:color="auto" w:fill="auto"/>
            <w:vAlign w:val="center"/>
          </w:tcPr>
          <w:p w14:paraId="0E1A8523" w14:textId="77777777" w:rsidR="00472A1B" w:rsidRPr="001A0743" w:rsidRDefault="00472A1B" w:rsidP="00DD63D7">
            <w:pPr>
              <w:jc w:val="right"/>
              <w:rPr>
                <w:szCs w:val="24"/>
              </w:rPr>
            </w:pPr>
          </w:p>
        </w:tc>
        <w:tc>
          <w:tcPr>
            <w:tcW w:w="1406" w:type="dxa"/>
            <w:shd w:val="clear" w:color="auto" w:fill="auto"/>
            <w:vAlign w:val="center"/>
          </w:tcPr>
          <w:p w14:paraId="2A725061" w14:textId="51EE6450" w:rsidR="00472A1B" w:rsidRPr="001A0743" w:rsidRDefault="00472A1B" w:rsidP="00DD63D7">
            <w:pPr>
              <w:jc w:val="right"/>
              <w:rPr>
                <w:szCs w:val="24"/>
              </w:rPr>
            </w:pPr>
            <w:r w:rsidRPr="001A0743">
              <w:rPr>
                <w:szCs w:val="24"/>
              </w:rPr>
              <w:t>(16,278)</w:t>
            </w:r>
          </w:p>
        </w:tc>
      </w:tr>
    </w:tbl>
    <w:p w14:paraId="2C66ED73" w14:textId="77777777" w:rsidR="00EC3487" w:rsidRDefault="00EC3487"/>
    <w:tbl>
      <w:tblPr>
        <w:tblW w:w="88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2"/>
        <w:gridCol w:w="1432"/>
        <w:gridCol w:w="1406"/>
        <w:gridCol w:w="1406"/>
        <w:gridCol w:w="1406"/>
      </w:tblGrid>
      <w:tr w:rsidR="000C442C" w:rsidRPr="00AF3DCD" w14:paraId="126CA6A5" w14:textId="77777777" w:rsidTr="00982FEC">
        <w:tc>
          <w:tcPr>
            <w:tcW w:w="8822" w:type="dxa"/>
            <w:gridSpan w:val="5"/>
            <w:shd w:val="clear" w:color="auto" w:fill="D9D9D9" w:themeFill="background1" w:themeFillShade="D9"/>
          </w:tcPr>
          <w:p w14:paraId="2F9F6EDB" w14:textId="1B14C03E" w:rsidR="000C442C" w:rsidRPr="00BD79B2" w:rsidRDefault="000C442C" w:rsidP="000C442C">
            <w:pPr>
              <w:tabs>
                <w:tab w:val="decimal" w:pos="830"/>
              </w:tabs>
              <w:ind w:right="176"/>
              <w:rPr>
                <w:b/>
                <w:bCs/>
                <w:szCs w:val="24"/>
              </w:rPr>
            </w:pPr>
            <w:r w:rsidRPr="00BD79B2">
              <w:rPr>
                <w:b/>
                <w:bCs/>
                <w:szCs w:val="24"/>
              </w:rPr>
              <w:t>Capital Reserves:</w:t>
            </w:r>
          </w:p>
        </w:tc>
      </w:tr>
      <w:tr w:rsidR="00472A1B" w:rsidRPr="00AF3DCD" w14:paraId="0888863A" w14:textId="77777777" w:rsidTr="00EC3487">
        <w:tc>
          <w:tcPr>
            <w:tcW w:w="3172" w:type="dxa"/>
            <w:shd w:val="clear" w:color="auto" w:fill="auto"/>
          </w:tcPr>
          <w:p w14:paraId="6D41CEAC" w14:textId="77777777" w:rsidR="00472A1B" w:rsidRPr="001A0743" w:rsidRDefault="00472A1B" w:rsidP="000C442C">
            <w:pPr>
              <w:rPr>
                <w:szCs w:val="24"/>
              </w:rPr>
            </w:pPr>
            <w:r w:rsidRPr="001A0743">
              <w:rPr>
                <w:szCs w:val="24"/>
              </w:rPr>
              <w:t>Capital Funding Reserve</w:t>
            </w:r>
          </w:p>
        </w:tc>
        <w:tc>
          <w:tcPr>
            <w:tcW w:w="1432" w:type="dxa"/>
            <w:shd w:val="clear" w:color="auto" w:fill="auto"/>
          </w:tcPr>
          <w:p w14:paraId="10A2884F" w14:textId="77777777" w:rsidR="00472A1B" w:rsidRPr="001A0743" w:rsidRDefault="00472A1B" w:rsidP="00DD63D7">
            <w:pPr>
              <w:jc w:val="right"/>
              <w:rPr>
                <w:szCs w:val="24"/>
              </w:rPr>
            </w:pPr>
          </w:p>
        </w:tc>
        <w:tc>
          <w:tcPr>
            <w:tcW w:w="1406" w:type="dxa"/>
            <w:shd w:val="clear" w:color="auto" w:fill="auto"/>
          </w:tcPr>
          <w:p w14:paraId="465400DC" w14:textId="1FC54DAA" w:rsidR="00472A1B" w:rsidRPr="001A0743" w:rsidRDefault="00472A1B" w:rsidP="00DD63D7">
            <w:pPr>
              <w:jc w:val="right"/>
              <w:rPr>
                <w:szCs w:val="24"/>
              </w:rPr>
            </w:pPr>
            <w:r w:rsidRPr="001A0743">
              <w:rPr>
                <w:szCs w:val="24"/>
              </w:rPr>
              <w:t>(</w:t>
            </w:r>
            <w:r w:rsidR="003A39A4" w:rsidRPr="001A0743">
              <w:rPr>
                <w:szCs w:val="24"/>
              </w:rPr>
              <w:t>20,344</w:t>
            </w:r>
            <w:r w:rsidRPr="001A0743">
              <w:rPr>
                <w:szCs w:val="24"/>
              </w:rPr>
              <w:t>)</w:t>
            </w:r>
          </w:p>
        </w:tc>
        <w:tc>
          <w:tcPr>
            <w:tcW w:w="1406" w:type="dxa"/>
            <w:shd w:val="clear" w:color="auto" w:fill="auto"/>
          </w:tcPr>
          <w:p w14:paraId="1FB1E0AD" w14:textId="77777777" w:rsidR="00472A1B" w:rsidRPr="001A0743" w:rsidRDefault="00472A1B" w:rsidP="00DD63D7">
            <w:pPr>
              <w:jc w:val="right"/>
              <w:rPr>
                <w:szCs w:val="24"/>
              </w:rPr>
            </w:pPr>
          </w:p>
        </w:tc>
        <w:tc>
          <w:tcPr>
            <w:tcW w:w="1406" w:type="dxa"/>
            <w:shd w:val="clear" w:color="auto" w:fill="auto"/>
          </w:tcPr>
          <w:p w14:paraId="0604FDC8" w14:textId="139AAA5A" w:rsidR="00472A1B" w:rsidRPr="001A0743" w:rsidRDefault="00472A1B" w:rsidP="00DD63D7">
            <w:pPr>
              <w:jc w:val="right"/>
              <w:rPr>
                <w:szCs w:val="24"/>
              </w:rPr>
            </w:pPr>
            <w:r w:rsidRPr="001A0743">
              <w:rPr>
                <w:szCs w:val="24"/>
              </w:rPr>
              <w:t>(17,672)</w:t>
            </w:r>
          </w:p>
        </w:tc>
      </w:tr>
      <w:tr w:rsidR="00472A1B" w:rsidRPr="00AF3DCD" w14:paraId="66767A3C" w14:textId="77777777" w:rsidTr="00EC3487">
        <w:tc>
          <w:tcPr>
            <w:tcW w:w="3172" w:type="dxa"/>
            <w:shd w:val="clear" w:color="auto" w:fill="auto"/>
          </w:tcPr>
          <w:p w14:paraId="789204C2" w14:textId="77777777" w:rsidR="00472A1B" w:rsidRPr="001A0743" w:rsidRDefault="00472A1B" w:rsidP="000C442C">
            <w:pPr>
              <w:rPr>
                <w:szCs w:val="24"/>
              </w:rPr>
            </w:pPr>
            <w:r w:rsidRPr="001A0743">
              <w:rPr>
                <w:szCs w:val="24"/>
              </w:rPr>
              <w:t>Capital Grants Unapplied</w:t>
            </w:r>
          </w:p>
        </w:tc>
        <w:tc>
          <w:tcPr>
            <w:tcW w:w="1432" w:type="dxa"/>
            <w:shd w:val="clear" w:color="auto" w:fill="auto"/>
          </w:tcPr>
          <w:p w14:paraId="14CD6E55" w14:textId="77777777" w:rsidR="00472A1B" w:rsidRPr="001A0743" w:rsidRDefault="00472A1B" w:rsidP="00DD63D7">
            <w:pPr>
              <w:jc w:val="right"/>
              <w:rPr>
                <w:szCs w:val="24"/>
              </w:rPr>
            </w:pPr>
          </w:p>
        </w:tc>
        <w:tc>
          <w:tcPr>
            <w:tcW w:w="1406" w:type="dxa"/>
            <w:shd w:val="clear" w:color="auto" w:fill="auto"/>
          </w:tcPr>
          <w:p w14:paraId="280E5D11" w14:textId="41930D93" w:rsidR="00472A1B" w:rsidRPr="001A0743" w:rsidRDefault="003A39A4" w:rsidP="00DD63D7">
            <w:pPr>
              <w:jc w:val="right"/>
              <w:rPr>
                <w:szCs w:val="24"/>
              </w:rPr>
            </w:pPr>
            <w:r w:rsidRPr="001A0743">
              <w:rPr>
                <w:szCs w:val="24"/>
              </w:rPr>
              <w:t>(27)</w:t>
            </w:r>
          </w:p>
        </w:tc>
        <w:tc>
          <w:tcPr>
            <w:tcW w:w="1406" w:type="dxa"/>
            <w:shd w:val="clear" w:color="auto" w:fill="auto"/>
          </w:tcPr>
          <w:p w14:paraId="4A1512C4" w14:textId="77777777" w:rsidR="00472A1B" w:rsidRPr="001A0743" w:rsidRDefault="00472A1B" w:rsidP="00DD63D7">
            <w:pPr>
              <w:jc w:val="right"/>
              <w:rPr>
                <w:szCs w:val="24"/>
              </w:rPr>
            </w:pPr>
          </w:p>
        </w:tc>
        <w:tc>
          <w:tcPr>
            <w:tcW w:w="1406" w:type="dxa"/>
            <w:shd w:val="clear" w:color="auto" w:fill="auto"/>
          </w:tcPr>
          <w:p w14:paraId="257DCEE2" w14:textId="40801578" w:rsidR="00472A1B" w:rsidRPr="001A0743" w:rsidRDefault="00472A1B" w:rsidP="00DD63D7">
            <w:pPr>
              <w:jc w:val="right"/>
              <w:rPr>
                <w:szCs w:val="24"/>
              </w:rPr>
            </w:pPr>
            <w:r w:rsidRPr="001A0743">
              <w:rPr>
                <w:szCs w:val="24"/>
              </w:rPr>
              <w:t>(40)</w:t>
            </w:r>
          </w:p>
        </w:tc>
      </w:tr>
      <w:tr w:rsidR="00472A1B" w:rsidRPr="00AF3DCD" w14:paraId="589E4C3B" w14:textId="77777777" w:rsidTr="00EC3487">
        <w:tc>
          <w:tcPr>
            <w:tcW w:w="3172" w:type="dxa"/>
            <w:shd w:val="clear" w:color="auto" w:fill="auto"/>
          </w:tcPr>
          <w:p w14:paraId="6A3C2A3C" w14:textId="77777777" w:rsidR="00472A1B" w:rsidRPr="001A0743" w:rsidRDefault="00472A1B" w:rsidP="000C442C">
            <w:pPr>
              <w:rPr>
                <w:szCs w:val="24"/>
              </w:rPr>
            </w:pPr>
            <w:r w:rsidRPr="001A0743">
              <w:rPr>
                <w:szCs w:val="24"/>
              </w:rPr>
              <w:t>Usable Capital Receipts</w:t>
            </w:r>
          </w:p>
        </w:tc>
        <w:tc>
          <w:tcPr>
            <w:tcW w:w="1432" w:type="dxa"/>
            <w:shd w:val="clear" w:color="auto" w:fill="auto"/>
          </w:tcPr>
          <w:p w14:paraId="212D22DB" w14:textId="77777777" w:rsidR="00472A1B" w:rsidRPr="001A0743" w:rsidRDefault="00472A1B" w:rsidP="00DD63D7">
            <w:pPr>
              <w:jc w:val="right"/>
              <w:rPr>
                <w:szCs w:val="24"/>
              </w:rPr>
            </w:pPr>
          </w:p>
        </w:tc>
        <w:tc>
          <w:tcPr>
            <w:tcW w:w="1406" w:type="dxa"/>
            <w:shd w:val="clear" w:color="auto" w:fill="auto"/>
          </w:tcPr>
          <w:p w14:paraId="5B9EE3FA" w14:textId="6F2CF6D2" w:rsidR="00472A1B" w:rsidRPr="001A0743" w:rsidRDefault="00472A1B" w:rsidP="00DD63D7">
            <w:pPr>
              <w:jc w:val="right"/>
              <w:rPr>
                <w:szCs w:val="24"/>
              </w:rPr>
            </w:pPr>
            <w:r w:rsidRPr="001A0743">
              <w:rPr>
                <w:szCs w:val="24"/>
              </w:rPr>
              <w:t>(</w:t>
            </w:r>
            <w:r w:rsidR="003A39A4" w:rsidRPr="001A0743">
              <w:rPr>
                <w:szCs w:val="24"/>
              </w:rPr>
              <w:t>1,692</w:t>
            </w:r>
            <w:r w:rsidRPr="001A0743">
              <w:rPr>
                <w:szCs w:val="24"/>
              </w:rPr>
              <w:t>)</w:t>
            </w:r>
          </w:p>
        </w:tc>
        <w:tc>
          <w:tcPr>
            <w:tcW w:w="1406" w:type="dxa"/>
            <w:shd w:val="clear" w:color="auto" w:fill="auto"/>
          </w:tcPr>
          <w:p w14:paraId="799CE567" w14:textId="77777777" w:rsidR="00472A1B" w:rsidRPr="001A0743" w:rsidRDefault="00472A1B" w:rsidP="00DD63D7">
            <w:pPr>
              <w:jc w:val="right"/>
              <w:rPr>
                <w:szCs w:val="24"/>
              </w:rPr>
            </w:pPr>
          </w:p>
        </w:tc>
        <w:tc>
          <w:tcPr>
            <w:tcW w:w="1406" w:type="dxa"/>
            <w:shd w:val="clear" w:color="auto" w:fill="auto"/>
          </w:tcPr>
          <w:p w14:paraId="13199CBA" w14:textId="6514F39E" w:rsidR="00472A1B" w:rsidRPr="001A0743" w:rsidRDefault="00472A1B" w:rsidP="00DD63D7">
            <w:pPr>
              <w:jc w:val="right"/>
              <w:rPr>
                <w:szCs w:val="24"/>
              </w:rPr>
            </w:pPr>
            <w:r w:rsidRPr="001A0743">
              <w:rPr>
                <w:szCs w:val="24"/>
              </w:rPr>
              <w:t>(1,683)</w:t>
            </w:r>
          </w:p>
        </w:tc>
      </w:tr>
      <w:tr w:rsidR="00472A1B" w:rsidRPr="00AF3DCD" w14:paraId="61572B2C" w14:textId="77777777" w:rsidTr="00EC3487">
        <w:tc>
          <w:tcPr>
            <w:tcW w:w="3172" w:type="dxa"/>
            <w:shd w:val="clear" w:color="auto" w:fill="auto"/>
          </w:tcPr>
          <w:p w14:paraId="6F6D59BF" w14:textId="77777777" w:rsidR="00472A1B" w:rsidRPr="001A0743" w:rsidRDefault="00472A1B" w:rsidP="000C442C">
            <w:pPr>
              <w:rPr>
                <w:szCs w:val="24"/>
              </w:rPr>
            </w:pPr>
            <w:r w:rsidRPr="001A0743">
              <w:rPr>
                <w:szCs w:val="24"/>
              </w:rPr>
              <w:t>Total Usable Reserves</w:t>
            </w:r>
          </w:p>
        </w:tc>
        <w:tc>
          <w:tcPr>
            <w:tcW w:w="1432" w:type="dxa"/>
            <w:shd w:val="clear" w:color="auto" w:fill="auto"/>
          </w:tcPr>
          <w:p w14:paraId="5118D797" w14:textId="77777777" w:rsidR="00472A1B" w:rsidRPr="001A0743" w:rsidRDefault="00472A1B" w:rsidP="00DD63D7">
            <w:pPr>
              <w:jc w:val="right"/>
              <w:rPr>
                <w:szCs w:val="24"/>
              </w:rPr>
            </w:pPr>
          </w:p>
        </w:tc>
        <w:tc>
          <w:tcPr>
            <w:tcW w:w="1406" w:type="dxa"/>
            <w:shd w:val="clear" w:color="auto" w:fill="auto"/>
          </w:tcPr>
          <w:p w14:paraId="4113A894" w14:textId="55FF3512" w:rsidR="00472A1B" w:rsidRPr="001A0743" w:rsidRDefault="00472A1B" w:rsidP="00DD63D7">
            <w:pPr>
              <w:jc w:val="right"/>
              <w:rPr>
                <w:szCs w:val="24"/>
              </w:rPr>
            </w:pPr>
            <w:r w:rsidRPr="001A0743">
              <w:rPr>
                <w:szCs w:val="24"/>
              </w:rPr>
              <w:t>(3</w:t>
            </w:r>
            <w:r w:rsidR="003A39A4" w:rsidRPr="001A0743">
              <w:rPr>
                <w:szCs w:val="24"/>
              </w:rPr>
              <w:t>6,</w:t>
            </w:r>
            <w:r w:rsidR="00B5657D" w:rsidRPr="001A0743">
              <w:rPr>
                <w:szCs w:val="24"/>
              </w:rPr>
              <w:t>20</w:t>
            </w:r>
            <w:r w:rsidR="008A4BF4" w:rsidRPr="001A0743">
              <w:rPr>
                <w:szCs w:val="24"/>
              </w:rPr>
              <w:t>8</w:t>
            </w:r>
            <w:r w:rsidRPr="001A0743">
              <w:rPr>
                <w:szCs w:val="24"/>
              </w:rPr>
              <w:t>)</w:t>
            </w:r>
          </w:p>
        </w:tc>
        <w:tc>
          <w:tcPr>
            <w:tcW w:w="1406" w:type="dxa"/>
            <w:shd w:val="clear" w:color="auto" w:fill="auto"/>
          </w:tcPr>
          <w:p w14:paraId="2A36FEBF" w14:textId="77777777" w:rsidR="00472A1B" w:rsidRPr="001A0743" w:rsidRDefault="00472A1B" w:rsidP="00DD63D7">
            <w:pPr>
              <w:jc w:val="right"/>
              <w:rPr>
                <w:szCs w:val="24"/>
              </w:rPr>
            </w:pPr>
          </w:p>
        </w:tc>
        <w:tc>
          <w:tcPr>
            <w:tcW w:w="1406" w:type="dxa"/>
            <w:shd w:val="clear" w:color="auto" w:fill="auto"/>
          </w:tcPr>
          <w:p w14:paraId="1AD7BC15" w14:textId="0A85CF0D" w:rsidR="00472A1B" w:rsidRPr="001A0743" w:rsidRDefault="00472A1B" w:rsidP="00DD63D7">
            <w:pPr>
              <w:jc w:val="right"/>
              <w:rPr>
                <w:szCs w:val="24"/>
              </w:rPr>
            </w:pPr>
            <w:r w:rsidRPr="001A0743">
              <w:rPr>
                <w:szCs w:val="24"/>
              </w:rPr>
              <w:t>(35,673)</w:t>
            </w:r>
          </w:p>
        </w:tc>
      </w:tr>
    </w:tbl>
    <w:p w14:paraId="6C4ED80F" w14:textId="6B73B894" w:rsidR="000C442C" w:rsidRDefault="000C442C">
      <w:pPr>
        <w:rPr>
          <w:b/>
          <w:szCs w:val="24"/>
        </w:rPr>
      </w:pPr>
    </w:p>
    <w:p w14:paraId="47EAA2DA" w14:textId="77777777" w:rsidR="000C442C" w:rsidRDefault="000C442C" w:rsidP="001429DE">
      <w:pPr>
        <w:rPr>
          <w:b/>
          <w:szCs w:val="24"/>
        </w:rPr>
        <w:sectPr w:rsidR="000C442C" w:rsidSect="0050229D">
          <w:pgSz w:w="11907" w:h="16840" w:code="9"/>
          <w:pgMar w:top="454" w:right="567" w:bottom="397" w:left="567" w:header="720" w:footer="720" w:gutter="0"/>
          <w:cols w:space="720"/>
          <w:docGrid w:linePitch="326"/>
        </w:sectPr>
      </w:pPr>
    </w:p>
    <w:p w14:paraId="34121F38" w14:textId="389FFA37" w:rsidR="00AF3C89" w:rsidRPr="006563F1" w:rsidRDefault="001C592E" w:rsidP="006563F1">
      <w:pPr>
        <w:pStyle w:val="Heading2"/>
        <w:jc w:val="left"/>
        <w:rPr>
          <w:sz w:val="24"/>
          <w:szCs w:val="24"/>
        </w:rPr>
      </w:pPr>
      <w:bookmarkStart w:id="54" w:name="_Toc166761550"/>
      <w:r w:rsidRPr="006563F1">
        <w:rPr>
          <w:sz w:val="24"/>
          <w:szCs w:val="24"/>
        </w:rPr>
        <w:lastRenderedPageBreak/>
        <w:t>1</w:t>
      </w:r>
      <w:r w:rsidR="00116670" w:rsidRPr="006563F1">
        <w:rPr>
          <w:sz w:val="24"/>
          <w:szCs w:val="24"/>
        </w:rPr>
        <w:t>7</w:t>
      </w:r>
      <w:r w:rsidR="001429DE" w:rsidRPr="006563F1">
        <w:rPr>
          <w:sz w:val="24"/>
          <w:szCs w:val="24"/>
        </w:rPr>
        <w:tab/>
      </w:r>
      <w:r w:rsidR="00AF3C89" w:rsidRPr="006563F1">
        <w:rPr>
          <w:sz w:val="24"/>
          <w:szCs w:val="24"/>
        </w:rPr>
        <w:t>Transfers (to)/from Earmarked Reserves</w:t>
      </w:r>
      <w:bookmarkEnd w:id="54"/>
    </w:p>
    <w:p w14:paraId="36446D8D" w14:textId="77777777" w:rsidR="00D90216" w:rsidRPr="001A0743" w:rsidRDefault="00D90216" w:rsidP="00D90216">
      <w:pPr>
        <w:ind w:left="709"/>
        <w:rPr>
          <w:szCs w:val="24"/>
        </w:rPr>
      </w:pPr>
    </w:p>
    <w:tbl>
      <w:tblPr>
        <w:tblW w:w="152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1701"/>
        <w:gridCol w:w="1701"/>
        <w:gridCol w:w="1701"/>
        <w:gridCol w:w="1701"/>
        <w:gridCol w:w="1701"/>
        <w:gridCol w:w="1701"/>
        <w:gridCol w:w="1701"/>
      </w:tblGrid>
      <w:tr w:rsidR="00FE55C0" w:rsidRPr="001A0743" w14:paraId="3B976A56" w14:textId="77777777" w:rsidTr="00611673">
        <w:trPr>
          <w:tblHeader/>
        </w:trPr>
        <w:tc>
          <w:tcPr>
            <w:tcW w:w="3294" w:type="dxa"/>
            <w:shd w:val="clear" w:color="auto" w:fill="BD2716"/>
          </w:tcPr>
          <w:p w14:paraId="1509FD0B" w14:textId="77777777" w:rsidR="00FE55C0" w:rsidRPr="00982FEC" w:rsidRDefault="00FE55C0" w:rsidP="00FE55C0">
            <w:pPr>
              <w:rPr>
                <w:color w:val="FFFFFF" w:themeColor="background1"/>
                <w:szCs w:val="24"/>
              </w:rPr>
            </w:pPr>
          </w:p>
        </w:tc>
        <w:tc>
          <w:tcPr>
            <w:tcW w:w="1701" w:type="dxa"/>
            <w:shd w:val="clear" w:color="auto" w:fill="BD2716"/>
            <w:vAlign w:val="center"/>
          </w:tcPr>
          <w:p w14:paraId="79368DED" w14:textId="33E5ED91" w:rsidR="00FE55C0" w:rsidRPr="00982FEC" w:rsidRDefault="00FE55C0" w:rsidP="00611673">
            <w:pPr>
              <w:jc w:val="right"/>
              <w:rPr>
                <w:color w:val="FFFFFF" w:themeColor="background1"/>
                <w:szCs w:val="24"/>
              </w:rPr>
            </w:pPr>
            <w:r w:rsidRPr="00982FEC">
              <w:rPr>
                <w:color w:val="FFFFFF" w:themeColor="background1"/>
                <w:szCs w:val="24"/>
              </w:rPr>
              <w:t xml:space="preserve">Balance </w:t>
            </w:r>
            <w:proofErr w:type="gramStart"/>
            <w:r w:rsidRPr="00982FEC">
              <w:rPr>
                <w:color w:val="FFFFFF" w:themeColor="background1"/>
                <w:szCs w:val="24"/>
              </w:rPr>
              <w:t>at</w:t>
            </w:r>
            <w:proofErr w:type="gramEnd"/>
            <w:r w:rsidRPr="00982FEC">
              <w:rPr>
                <w:color w:val="FFFFFF" w:themeColor="background1"/>
                <w:szCs w:val="24"/>
              </w:rPr>
              <w:t xml:space="preserve"> 31</w:t>
            </w:r>
            <w:r w:rsidR="00611673">
              <w:rPr>
                <w:color w:val="FFFFFF" w:themeColor="background1"/>
                <w:szCs w:val="24"/>
              </w:rPr>
              <w:t xml:space="preserve"> March 2021</w:t>
            </w:r>
          </w:p>
          <w:p w14:paraId="3B3D5CEC" w14:textId="6E324BE4" w:rsidR="00FE55C0" w:rsidRPr="00982FEC" w:rsidRDefault="00FE55C0" w:rsidP="00611673">
            <w:pPr>
              <w:jc w:val="right"/>
              <w:rPr>
                <w:color w:val="FFFFFF" w:themeColor="background1"/>
                <w:szCs w:val="24"/>
              </w:rPr>
            </w:pPr>
            <w:r w:rsidRPr="00982FEC">
              <w:rPr>
                <w:color w:val="FFFFFF" w:themeColor="background1"/>
                <w:szCs w:val="24"/>
              </w:rPr>
              <w:t>£000</w:t>
            </w:r>
          </w:p>
        </w:tc>
        <w:tc>
          <w:tcPr>
            <w:tcW w:w="1701" w:type="dxa"/>
            <w:shd w:val="clear" w:color="auto" w:fill="BD2716"/>
            <w:vAlign w:val="center"/>
          </w:tcPr>
          <w:p w14:paraId="6FF53978" w14:textId="412D4D3A" w:rsidR="00FE55C0" w:rsidRPr="00982FEC" w:rsidRDefault="00FE55C0" w:rsidP="00611673">
            <w:pPr>
              <w:jc w:val="right"/>
              <w:rPr>
                <w:color w:val="FFFFFF" w:themeColor="background1"/>
                <w:szCs w:val="24"/>
              </w:rPr>
            </w:pPr>
            <w:r w:rsidRPr="00982FEC">
              <w:rPr>
                <w:color w:val="FFFFFF" w:themeColor="background1"/>
                <w:szCs w:val="24"/>
              </w:rPr>
              <w:t>Transfers in 2021/22</w:t>
            </w:r>
          </w:p>
          <w:p w14:paraId="3C229FFA" w14:textId="12B5CA2C" w:rsidR="00FE55C0" w:rsidRPr="00982FEC" w:rsidRDefault="00FE55C0" w:rsidP="00611673">
            <w:pPr>
              <w:jc w:val="right"/>
              <w:rPr>
                <w:color w:val="FFFFFF" w:themeColor="background1"/>
                <w:szCs w:val="24"/>
              </w:rPr>
            </w:pPr>
            <w:r w:rsidRPr="00982FEC">
              <w:rPr>
                <w:color w:val="FFFFFF" w:themeColor="background1"/>
                <w:szCs w:val="24"/>
              </w:rPr>
              <w:t>£000</w:t>
            </w:r>
          </w:p>
        </w:tc>
        <w:tc>
          <w:tcPr>
            <w:tcW w:w="1701" w:type="dxa"/>
            <w:shd w:val="clear" w:color="auto" w:fill="BD2716"/>
            <w:vAlign w:val="center"/>
          </w:tcPr>
          <w:p w14:paraId="2D8B1135" w14:textId="77777777" w:rsidR="00FE55C0" w:rsidRPr="00982FEC" w:rsidRDefault="00FE55C0" w:rsidP="00611673">
            <w:pPr>
              <w:jc w:val="right"/>
              <w:rPr>
                <w:color w:val="FFFFFF" w:themeColor="background1"/>
                <w:szCs w:val="24"/>
              </w:rPr>
            </w:pPr>
            <w:r w:rsidRPr="00982FEC">
              <w:rPr>
                <w:color w:val="FFFFFF" w:themeColor="background1"/>
                <w:szCs w:val="24"/>
              </w:rPr>
              <w:t xml:space="preserve">Transfers out </w:t>
            </w:r>
            <w:proofErr w:type="gramStart"/>
            <w:r w:rsidRPr="00982FEC">
              <w:rPr>
                <w:color w:val="FFFFFF" w:themeColor="background1"/>
                <w:szCs w:val="24"/>
              </w:rPr>
              <w:t>2021/22</w:t>
            </w:r>
            <w:proofErr w:type="gramEnd"/>
          </w:p>
          <w:p w14:paraId="17601649" w14:textId="645E7D4D" w:rsidR="00FE55C0" w:rsidRPr="00982FEC" w:rsidRDefault="00FE55C0" w:rsidP="00611673">
            <w:pPr>
              <w:jc w:val="right"/>
              <w:rPr>
                <w:color w:val="FFFFFF" w:themeColor="background1"/>
                <w:szCs w:val="24"/>
              </w:rPr>
            </w:pPr>
            <w:r w:rsidRPr="00982FEC">
              <w:rPr>
                <w:color w:val="FFFFFF" w:themeColor="background1"/>
                <w:szCs w:val="24"/>
              </w:rPr>
              <w:t>£000</w:t>
            </w:r>
          </w:p>
        </w:tc>
        <w:tc>
          <w:tcPr>
            <w:tcW w:w="1701" w:type="dxa"/>
            <w:shd w:val="clear" w:color="auto" w:fill="BD2716"/>
            <w:vAlign w:val="center"/>
          </w:tcPr>
          <w:p w14:paraId="70C03135" w14:textId="0E405FDD" w:rsidR="00FE55C0" w:rsidRPr="00982FEC" w:rsidRDefault="00FE55C0" w:rsidP="00611673">
            <w:pPr>
              <w:jc w:val="right"/>
              <w:rPr>
                <w:color w:val="FFFFFF" w:themeColor="background1"/>
                <w:szCs w:val="24"/>
              </w:rPr>
            </w:pPr>
            <w:r w:rsidRPr="00982FEC">
              <w:rPr>
                <w:color w:val="FFFFFF" w:themeColor="background1"/>
                <w:szCs w:val="24"/>
              </w:rPr>
              <w:t xml:space="preserve">Balance </w:t>
            </w:r>
            <w:proofErr w:type="gramStart"/>
            <w:r w:rsidRPr="00982FEC">
              <w:rPr>
                <w:color w:val="FFFFFF" w:themeColor="background1"/>
                <w:szCs w:val="24"/>
              </w:rPr>
              <w:t>at</w:t>
            </w:r>
            <w:proofErr w:type="gramEnd"/>
            <w:r w:rsidRPr="00982FEC">
              <w:rPr>
                <w:color w:val="FFFFFF" w:themeColor="background1"/>
                <w:szCs w:val="24"/>
              </w:rPr>
              <w:t xml:space="preserve"> 31</w:t>
            </w:r>
            <w:r w:rsidR="00611673">
              <w:rPr>
                <w:color w:val="FFFFFF" w:themeColor="background1"/>
                <w:szCs w:val="24"/>
              </w:rPr>
              <w:t xml:space="preserve"> March 2022</w:t>
            </w:r>
          </w:p>
          <w:p w14:paraId="5C43A78A" w14:textId="0E2FAEE1" w:rsidR="00FE55C0" w:rsidRPr="00982FEC" w:rsidRDefault="00FE55C0" w:rsidP="00611673">
            <w:pPr>
              <w:jc w:val="right"/>
              <w:rPr>
                <w:color w:val="FFFFFF" w:themeColor="background1"/>
                <w:szCs w:val="24"/>
              </w:rPr>
            </w:pPr>
            <w:r w:rsidRPr="00982FEC">
              <w:rPr>
                <w:color w:val="FFFFFF" w:themeColor="background1"/>
                <w:szCs w:val="24"/>
              </w:rPr>
              <w:t>£000</w:t>
            </w:r>
          </w:p>
        </w:tc>
        <w:tc>
          <w:tcPr>
            <w:tcW w:w="1701" w:type="dxa"/>
            <w:shd w:val="clear" w:color="auto" w:fill="BD2716"/>
            <w:vAlign w:val="center"/>
          </w:tcPr>
          <w:p w14:paraId="5A0245FB" w14:textId="449E4312" w:rsidR="00FE55C0" w:rsidRPr="00982FEC" w:rsidRDefault="00FE55C0" w:rsidP="00611673">
            <w:pPr>
              <w:jc w:val="right"/>
              <w:rPr>
                <w:color w:val="FFFFFF" w:themeColor="background1"/>
                <w:szCs w:val="24"/>
              </w:rPr>
            </w:pPr>
            <w:r w:rsidRPr="00982FEC">
              <w:rPr>
                <w:color w:val="FFFFFF" w:themeColor="background1"/>
                <w:szCs w:val="24"/>
              </w:rPr>
              <w:t>Transfers in 2022/23</w:t>
            </w:r>
          </w:p>
          <w:p w14:paraId="2A7F3BBD" w14:textId="24439B22" w:rsidR="00FE55C0" w:rsidRPr="00982FEC" w:rsidRDefault="00FE55C0" w:rsidP="00611673">
            <w:pPr>
              <w:jc w:val="right"/>
              <w:rPr>
                <w:color w:val="FFFFFF" w:themeColor="background1"/>
                <w:szCs w:val="24"/>
              </w:rPr>
            </w:pPr>
            <w:r w:rsidRPr="00982FEC">
              <w:rPr>
                <w:color w:val="FFFFFF" w:themeColor="background1"/>
                <w:szCs w:val="24"/>
              </w:rPr>
              <w:t>£000</w:t>
            </w:r>
          </w:p>
        </w:tc>
        <w:tc>
          <w:tcPr>
            <w:tcW w:w="1701" w:type="dxa"/>
            <w:shd w:val="clear" w:color="auto" w:fill="BD2716"/>
            <w:vAlign w:val="center"/>
          </w:tcPr>
          <w:p w14:paraId="1CE441B5" w14:textId="76DECE94" w:rsidR="00FE55C0" w:rsidRPr="00982FEC" w:rsidRDefault="00FE55C0" w:rsidP="00611673">
            <w:pPr>
              <w:jc w:val="right"/>
              <w:rPr>
                <w:color w:val="FFFFFF" w:themeColor="background1"/>
                <w:szCs w:val="24"/>
              </w:rPr>
            </w:pPr>
            <w:r w:rsidRPr="00982FEC">
              <w:rPr>
                <w:color w:val="FFFFFF" w:themeColor="background1"/>
                <w:szCs w:val="24"/>
              </w:rPr>
              <w:t xml:space="preserve">Transfers out </w:t>
            </w:r>
            <w:proofErr w:type="gramStart"/>
            <w:r w:rsidRPr="00982FEC">
              <w:rPr>
                <w:color w:val="FFFFFF" w:themeColor="background1"/>
                <w:szCs w:val="24"/>
              </w:rPr>
              <w:t>2022/23</w:t>
            </w:r>
            <w:proofErr w:type="gramEnd"/>
          </w:p>
          <w:p w14:paraId="6E239CFF" w14:textId="7BB9776B" w:rsidR="00FE55C0" w:rsidRPr="00982FEC" w:rsidRDefault="00FE55C0" w:rsidP="00611673">
            <w:pPr>
              <w:jc w:val="right"/>
              <w:rPr>
                <w:color w:val="FFFFFF" w:themeColor="background1"/>
                <w:szCs w:val="24"/>
              </w:rPr>
            </w:pPr>
            <w:r w:rsidRPr="00982FEC">
              <w:rPr>
                <w:color w:val="FFFFFF" w:themeColor="background1"/>
                <w:szCs w:val="24"/>
              </w:rPr>
              <w:t>£000</w:t>
            </w:r>
          </w:p>
        </w:tc>
        <w:tc>
          <w:tcPr>
            <w:tcW w:w="1701" w:type="dxa"/>
            <w:shd w:val="clear" w:color="auto" w:fill="BD2716"/>
            <w:vAlign w:val="center"/>
          </w:tcPr>
          <w:p w14:paraId="54B63E7E" w14:textId="44F0DDE1" w:rsidR="00FE55C0" w:rsidRPr="00982FEC" w:rsidRDefault="00FE55C0" w:rsidP="00611673">
            <w:pPr>
              <w:jc w:val="right"/>
              <w:rPr>
                <w:color w:val="FFFFFF" w:themeColor="background1"/>
                <w:szCs w:val="24"/>
              </w:rPr>
            </w:pPr>
            <w:r w:rsidRPr="00982FEC">
              <w:rPr>
                <w:color w:val="FFFFFF" w:themeColor="background1"/>
                <w:szCs w:val="24"/>
              </w:rPr>
              <w:t xml:space="preserve">Balance </w:t>
            </w:r>
            <w:proofErr w:type="gramStart"/>
            <w:r w:rsidRPr="00982FEC">
              <w:rPr>
                <w:color w:val="FFFFFF" w:themeColor="background1"/>
                <w:szCs w:val="24"/>
              </w:rPr>
              <w:t>at</w:t>
            </w:r>
            <w:proofErr w:type="gramEnd"/>
            <w:r w:rsidRPr="00982FEC">
              <w:rPr>
                <w:color w:val="FFFFFF" w:themeColor="background1"/>
                <w:szCs w:val="24"/>
              </w:rPr>
              <w:t xml:space="preserve"> 31</w:t>
            </w:r>
            <w:r w:rsidR="00611673">
              <w:rPr>
                <w:color w:val="FFFFFF" w:themeColor="background1"/>
                <w:szCs w:val="24"/>
              </w:rPr>
              <w:t xml:space="preserve"> March 20</w:t>
            </w:r>
            <w:r w:rsidRPr="00982FEC">
              <w:rPr>
                <w:color w:val="FFFFFF" w:themeColor="background1"/>
                <w:szCs w:val="24"/>
              </w:rPr>
              <w:t>23</w:t>
            </w:r>
          </w:p>
          <w:p w14:paraId="674ACC95" w14:textId="30B3E72C" w:rsidR="00FE55C0" w:rsidRPr="00982FEC" w:rsidRDefault="00FE55C0" w:rsidP="00611673">
            <w:pPr>
              <w:jc w:val="right"/>
              <w:rPr>
                <w:color w:val="FFFFFF" w:themeColor="background1"/>
                <w:szCs w:val="24"/>
              </w:rPr>
            </w:pPr>
            <w:r w:rsidRPr="00982FEC">
              <w:rPr>
                <w:color w:val="FFFFFF" w:themeColor="background1"/>
                <w:szCs w:val="24"/>
              </w:rPr>
              <w:t>£000</w:t>
            </w:r>
          </w:p>
        </w:tc>
      </w:tr>
      <w:tr w:rsidR="00FE55C0" w:rsidRPr="001A0743" w14:paraId="6DECA476" w14:textId="77777777" w:rsidTr="00611673">
        <w:tc>
          <w:tcPr>
            <w:tcW w:w="3294" w:type="dxa"/>
            <w:shd w:val="clear" w:color="auto" w:fill="auto"/>
          </w:tcPr>
          <w:p w14:paraId="60CD808B" w14:textId="77777777" w:rsidR="00FE55C0" w:rsidRPr="001A0743" w:rsidRDefault="00FE55C0" w:rsidP="00FE55C0">
            <w:pPr>
              <w:rPr>
                <w:szCs w:val="24"/>
              </w:rPr>
            </w:pPr>
            <w:r w:rsidRPr="001A0743">
              <w:rPr>
                <w:szCs w:val="24"/>
              </w:rPr>
              <w:t>General fund</w:t>
            </w:r>
          </w:p>
        </w:tc>
        <w:tc>
          <w:tcPr>
            <w:tcW w:w="1701" w:type="dxa"/>
            <w:shd w:val="clear" w:color="auto" w:fill="auto"/>
            <w:vAlign w:val="center"/>
          </w:tcPr>
          <w:p w14:paraId="46C9323B" w14:textId="5714A15A" w:rsidR="00FE55C0" w:rsidRPr="001A0743" w:rsidRDefault="00FE55C0" w:rsidP="00DD63D7">
            <w:pPr>
              <w:tabs>
                <w:tab w:val="decimal" w:pos="884"/>
              </w:tabs>
              <w:jc w:val="right"/>
              <w:rPr>
                <w:szCs w:val="24"/>
              </w:rPr>
            </w:pPr>
            <w:r w:rsidRPr="001A0743">
              <w:rPr>
                <w:szCs w:val="24"/>
              </w:rPr>
              <w:t>(6,463)</w:t>
            </w:r>
          </w:p>
        </w:tc>
        <w:tc>
          <w:tcPr>
            <w:tcW w:w="1701" w:type="dxa"/>
            <w:shd w:val="clear" w:color="auto" w:fill="auto"/>
            <w:vAlign w:val="center"/>
          </w:tcPr>
          <w:p w14:paraId="2F98E431" w14:textId="192676AC" w:rsidR="00FE55C0" w:rsidRPr="001A0743" w:rsidRDefault="00FE55C0" w:rsidP="00DD63D7">
            <w:pPr>
              <w:tabs>
                <w:tab w:val="decimal" w:pos="884"/>
              </w:tabs>
              <w:jc w:val="right"/>
              <w:rPr>
                <w:szCs w:val="24"/>
              </w:rPr>
            </w:pPr>
            <w:r w:rsidRPr="001A0743">
              <w:rPr>
                <w:szCs w:val="24"/>
              </w:rPr>
              <w:t>(404)</w:t>
            </w:r>
          </w:p>
        </w:tc>
        <w:tc>
          <w:tcPr>
            <w:tcW w:w="1701" w:type="dxa"/>
            <w:shd w:val="clear" w:color="auto" w:fill="auto"/>
            <w:vAlign w:val="center"/>
          </w:tcPr>
          <w:p w14:paraId="1776EEB7" w14:textId="5E1E96C5" w:rsidR="00FE55C0" w:rsidRPr="001A0743" w:rsidRDefault="00FE55C0" w:rsidP="00DD63D7">
            <w:pPr>
              <w:tabs>
                <w:tab w:val="decimal" w:pos="884"/>
              </w:tabs>
              <w:jc w:val="right"/>
              <w:rPr>
                <w:szCs w:val="24"/>
              </w:rPr>
            </w:pPr>
            <w:r w:rsidRPr="001A0743">
              <w:rPr>
                <w:szCs w:val="24"/>
              </w:rPr>
              <w:t>331</w:t>
            </w:r>
          </w:p>
        </w:tc>
        <w:tc>
          <w:tcPr>
            <w:tcW w:w="1701" w:type="dxa"/>
            <w:shd w:val="clear" w:color="auto" w:fill="auto"/>
            <w:vAlign w:val="center"/>
          </w:tcPr>
          <w:p w14:paraId="48B09DD3" w14:textId="2845B17D" w:rsidR="00FE55C0" w:rsidRPr="001A0743" w:rsidRDefault="00FE55C0" w:rsidP="00DD63D7">
            <w:pPr>
              <w:tabs>
                <w:tab w:val="decimal" w:pos="884"/>
              </w:tabs>
              <w:jc w:val="right"/>
              <w:rPr>
                <w:szCs w:val="24"/>
              </w:rPr>
            </w:pPr>
            <w:r w:rsidRPr="001A0743">
              <w:rPr>
                <w:szCs w:val="24"/>
              </w:rPr>
              <w:t>(6,536)</w:t>
            </w:r>
          </w:p>
        </w:tc>
        <w:tc>
          <w:tcPr>
            <w:tcW w:w="1701" w:type="dxa"/>
            <w:shd w:val="clear" w:color="auto" w:fill="auto"/>
            <w:vAlign w:val="center"/>
          </w:tcPr>
          <w:p w14:paraId="3AA37C19" w14:textId="32067C0B" w:rsidR="00FE55C0" w:rsidRPr="001A0743" w:rsidRDefault="00FE55C0" w:rsidP="00DD63D7">
            <w:pPr>
              <w:tabs>
                <w:tab w:val="decimal" w:pos="884"/>
              </w:tabs>
              <w:jc w:val="right"/>
              <w:rPr>
                <w:szCs w:val="24"/>
              </w:rPr>
            </w:pPr>
            <w:r w:rsidRPr="001A0743">
              <w:rPr>
                <w:szCs w:val="24"/>
              </w:rPr>
              <w:t>(24)</w:t>
            </w:r>
          </w:p>
        </w:tc>
        <w:tc>
          <w:tcPr>
            <w:tcW w:w="1701" w:type="dxa"/>
            <w:shd w:val="clear" w:color="auto" w:fill="auto"/>
            <w:vAlign w:val="center"/>
          </w:tcPr>
          <w:p w14:paraId="2CDC99C2" w14:textId="07FB64A7" w:rsidR="00FE55C0" w:rsidRPr="001A0743" w:rsidRDefault="00FE55C0" w:rsidP="00DD63D7">
            <w:pPr>
              <w:tabs>
                <w:tab w:val="decimal" w:pos="884"/>
              </w:tabs>
              <w:jc w:val="right"/>
              <w:rPr>
                <w:szCs w:val="24"/>
              </w:rPr>
            </w:pPr>
            <w:r w:rsidRPr="001A0743">
              <w:rPr>
                <w:szCs w:val="24"/>
              </w:rPr>
              <w:t>1673</w:t>
            </w:r>
          </w:p>
        </w:tc>
        <w:tc>
          <w:tcPr>
            <w:tcW w:w="1701" w:type="dxa"/>
            <w:shd w:val="clear" w:color="auto" w:fill="auto"/>
            <w:vAlign w:val="center"/>
          </w:tcPr>
          <w:p w14:paraId="260376AD" w14:textId="4E2E4716" w:rsidR="00FE55C0" w:rsidRPr="001A0743" w:rsidRDefault="00FE55C0" w:rsidP="00DD63D7">
            <w:pPr>
              <w:tabs>
                <w:tab w:val="decimal" w:pos="884"/>
              </w:tabs>
              <w:jc w:val="right"/>
              <w:rPr>
                <w:szCs w:val="24"/>
              </w:rPr>
            </w:pPr>
            <w:r w:rsidRPr="001A0743">
              <w:rPr>
                <w:szCs w:val="24"/>
              </w:rPr>
              <w:t>(4,887)</w:t>
            </w:r>
          </w:p>
        </w:tc>
      </w:tr>
      <w:tr w:rsidR="00FE55C0" w:rsidRPr="001A0743" w14:paraId="7761974B" w14:textId="77777777" w:rsidTr="00611673">
        <w:tc>
          <w:tcPr>
            <w:tcW w:w="3294" w:type="dxa"/>
            <w:shd w:val="clear" w:color="auto" w:fill="auto"/>
          </w:tcPr>
          <w:p w14:paraId="4E48C1CE" w14:textId="77777777" w:rsidR="00FE55C0" w:rsidRPr="001A0743" w:rsidRDefault="00FE55C0" w:rsidP="00FE55C0">
            <w:pPr>
              <w:rPr>
                <w:szCs w:val="24"/>
              </w:rPr>
            </w:pPr>
            <w:r w:rsidRPr="001A0743">
              <w:rPr>
                <w:szCs w:val="24"/>
              </w:rPr>
              <w:t>Earmarked Reserves</w:t>
            </w:r>
          </w:p>
        </w:tc>
        <w:tc>
          <w:tcPr>
            <w:tcW w:w="1701" w:type="dxa"/>
            <w:shd w:val="clear" w:color="auto" w:fill="auto"/>
            <w:vAlign w:val="center"/>
          </w:tcPr>
          <w:p w14:paraId="221AD4DC" w14:textId="12C12DA8" w:rsidR="00FE55C0" w:rsidRPr="001A0743" w:rsidRDefault="00FE55C0" w:rsidP="00DD63D7">
            <w:pPr>
              <w:tabs>
                <w:tab w:val="decimal" w:pos="884"/>
              </w:tabs>
              <w:jc w:val="right"/>
              <w:rPr>
                <w:szCs w:val="24"/>
              </w:rPr>
            </w:pPr>
            <w:r w:rsidRPr="001A0743">
              <w:rPr>
                <w:szCs w:val="24"/>
              </w:rPr>
              <w:t>(6,175)</w:t>
            </w:r>
          </w:p>
        </w:tc>
        <w:tc>
          <w:tcPr>
            <w:tcW w:w="1701" w:type="dxa"/>
            <w:shd w:val="clear" w:color="auto" w:fill="auto"/>
            <w:vAlign w:val="center"/>
          </w:tcPr>
          <w:p w14:paraId="07C2DE87" w14:textId="512A078D" w:rsidR="00FE55C0" w:rsidRPr="001A0743" w:rsidRDefault="00FE55C0" w:rsidP="00DD63D7">
            <w:pPr>
              <w:tabs>
                <w:tab w:val="decimal" w:pos="884"/>
              </w:tabs>
              <w:jc w:val="right"/>
              <w:rPr>
                <w:szCs w:val="24"/>
              </w:rPr>
            </w:pPr>
            <w:r w:rsidRPr="001A0743">
              <w:rPr>
                <w:szCs w:val="24"/>
              </w:rPr>
              <w:t>(2,035)</w:t>
            </w:r>
          </w:p>
        </w:tc>
        <w:tc>
          <w:tcPr>
            <w:tcW w:w="1701" w:type="dxa"/>
            <w:shd w:val="clear" w:color="auto" w:fill="auto"/>
            <w:vAlign w:val="center"/>
          </w:tcPr>
          <w:p w14:paraId="700F9278" w14:textId="419ED6A8" w:rsidR="00FE55C0" w:rsidRPr="001A0743" w:rsidRDefault="00FE55C0" w:rsidP="00DD63D7">
            <w:pPr>
              <w:tabs>
                <w:tab w:val="decimal" w:pos="884"/>
              </w:tabs>
              <w:jc w:val="right"/>
              <w:rPr>
                <w:szCs w:val="24"/>
              </w:rPr>
            </w:pPr>
            <w:r w:rsidRPr="001A0743">
              <w:rPr>
                <w:szCs w:val="24"/>
              </w:rPr>
              <w:t>3,535</w:t>
            </w:r>
          </w:p>
        </w:tc>
        <w:tc>
          <w:tcPr>
            <w:tcW w:w="1701" w:type="dxa"/>
            <w:shd w:val="clear" w:color="auto" w:fill="auto"/>
            <w:vAlign w:val="center"/>
          </w:tcPr>
          <w:p w14:paraId="77CEF38F" w14:textId="7A3B8B17" w:rsidR="00FE55C0" w:rsidRPr="001A0743" w:rsidRDefault="00FE55C0" w:rsidP="00DD63D7">
            <w:pPr>
              <w:tabs>
                <w:tab w:val="decimal" w:pos="884"/>
              </w:tabs>
              <w:jc w:val="right"/>
              <w:rPr>
                <w:szCs w:val="24"/>
              </w:rPr>
            </w:pPr>
            <w:r w:rsidRPr="001A0743">
              <w:rPr>
                <w:szCs w:val="24"/>
              </w:rPr>
              <w:t>(4,675)</w:t>
            </w:r>
          </w:p>
        </w:tc>
        <w:tc>
          <w:tcPr>
            <w:tcW w:w="1701" w:type="dxa"/>
            <w:shd w:val="clear" w:color="auto" w:fill="auto"/>
            <w:vAlign w:val="center"/>
          </w:tcPr>
          <w:p w14:paraId="5962B8D2" w14:textId="77FAB31F" w:rsidR="00FE55C0" w:rsidRPr="001A0743" w:rsidRDefault="00FE55C0" w:rsidP="00DD63D7">
            <w:pPr>
              <w:tabs>
                <w:tab w:val="decimal" w:pos="884"/>
              </w:tabs>
              <w:jc w:val="right"/>
              <w:rPr>
                <w:szCs w:val="24"/>
              </w:rPr>
            </w:pPr>
            <w:r w:rsidRPr="001A0743">
              <w:rPr>
                <w:szCs w:val="24"/>
              </w:rPr>
              <w:t>(1,207)</w:t>
            </w:r>
          </w:p>
        </w:tc>
        <w:tc>
          <w:tcPr>
            <w:tcW w:w="1701" w:type="dxa"/>
            <w:shd w:val="clear" w:color="auto" w:fill="auto"/>
            <w:vAlign w:val="center"/>
          </w:tcPr>
          <w:p w14:paraId="3B594481" w14:textId="2438A3D3" w:rsidR="00FE55C0" w:rsidRPr="001A0743" w:rsidRDefault="00FE55C0" w:rsidP="00DD63D7">
            <w:pPr>
              <w:tabs>
                <w:tab w:val="decimal" w:pos="884"/>
              </w:tabs>
              <w:jc w:val="right"/>
              <w:rPr>
                <w:szCs w:val="24"/>
              </w:rPr>
            </w:pPr>
            <w:r w:rsidRPr="001A0743">
              <w:rPr>
                <w:szCs w:val="24"/>
              </w:rPr>
              <w:t>1,781</w:t>
            </w:r>
          </w:p>
        </w:tc>
        <w:tc>
          <w:tcPr>
            <w:tcW w:w="1701" w:type="dxa"/>
            <w:shd w:val="clear" w:color="auto" w:fill="auto"/>
            <w:vAlign w:val="center"/>
          </w:tcPr>
          <w:p w14:paraId="6AA5D823" w14:textId="249E33A3" w:rsidR="00FE55C0" w:rsidRPr="001A0743" w:rsidRDefault="00FE55C0" w:rsidP="00DD63D7">
            <w:pPr>
              <w:tabs>
                <w:tab w:val="decimal" w:pos="884"/>
              </w:tabs>
              <w:jc w:val="right"/>
              <w:rPr>
                <w:szCs w:val="24"/>
              </w:rPr>
            </w:pPr>
            <w:r w:rsidRPr="001A0743">
              <w:rPr>
                <w:szCs w:val="24"/>
              </w:rPr>
              <w:t>(4,101)</w:t>
            </w:r>
          </w:p>
        </w:tc>
      </w:tr>
      <w:tr w:rsidR="00FE55C0" w:rsidRPr="001A0743" w14:paraId="22BF20AF" w14:textId="77777777" w:rsidTr="00611673">
        <w:tc>
          <w:tcPr>
            <w:tcW w:w="3294" w:type="dxa"/>
            <w:shd w:val="clear" w:color="auto" w:fill="auto"/>
          </w:tcPr>
          <w:p w14:paraId="75F61D9E" w14:textId="77777777" w:rsidR="00FE55C0" w:rsidRPr="001A0743" w:rsidRDefault="00FE55C0" w:rsidP="00FE55C0">
            <w:pPr>
              <w:rPr>
                <w:szCs w:val="24"/>
              </w:rPr>
            </w:pPr>
            <w:r w:rsidRPr="001A0743">
              <w:rPr>
                <w:szCs w:val="24"/>
              </w:rPr>
              <w:t>PFI Equalisation Reserves</w:t>
            </w:r>
          </w:p>
        </w:tc>
        <w:tc>
          <w:tcPr>
            <w:tcW w:w="1701" w:type="dxa"/>
            <w:shd w:val="clear" w:color="auto" w:fill="auto"/>
            <w:vAlign w:val="center"/>
          </w:tcPr>
          <w:p w14:paraId="59E230B2" w14:textId="3853CCB8" w:rsidR="00FE55C0" w:rsidRPr="001A0743" w:rsidRDefault="00FE55C0" w:rsidP="00DD63D7">
            <w:pPr>
              <w:tabs>
                <w:tab w:val="decimal" w:pos="884"/>
              </w:tabs>
              <w:jc w:val="right"/>
              <w:rPr>
                <w:szCs w:val="24"/>
              </w:rPr>
            </w:pPr>
            <w:r w:rsidRPr="001A0743">
              <w:rPr>
                <w:szCs w:val="24"/>
              </w:rPr>
              <w:t>(4,594)</w:t>
            </w:r>
          </w:p>
        </w:tc>
        <w:tc>
          <w:tcPr>
            <w:tcW w:w="1701" w:type="dxa"/>
            <w:shd w:val="clear" w:color="auto" w:fill="auto"/>
            <w:vAlign w:val="center"/>
          </w:tcPr>
          <w:p w14:paraId="3997DFCF" w14:textId="62BF2A54" w:rsidR="00FE55C0" w:rsidRPr="001A0743" w:rsidRDefault="00FE55C0" w:rsidP="00DD63D7">
            <w:pPr>
              <w:tabs>
                <w:tab w:val="decimal" w:pos="884"/>
              </w:tabs>
              <w:jc w:val="right"/>
              <w:rPr>
                <w:szCs w:val="24"/>
              </w:rPr>
            </w:pPr>
            <w:r w:rsidRPr="001A0743">
              <w:rPr>
                <w:szCs w:val="24"/>
              </w:rPr>
              <w:t>(632)</w:t>
            </w:r>
          </w:p>
        </w:tc>
        <w:tc>
          <w:tcPr>
            <w:tcW w:w="1701" w:type="dxa"/>
            <w:shd w:val="clear" w:color="auto" w:fill="auto"/>
            <w:vAlign w:val="center"/>
          </w:tcPr>
          <w:p w14:paraId="32FCCDB5" w14:textId="38877751" w:rsidR="00FE55C0" w:rsidRPr="001A0743" w:rsidRDefault="00FE55C0" w:rsidP="00DD63D7">
            <w:pPr>
              <w:tabs>
                <w:tab w:val="decimal" w:pos="884"/>
              </w:tabs>
              <w:jc w:val="right"/>
              <w:rPr>
                <w:szCs w:val="24"/>
              </w:rPr>
            </w:pPr>
            <w:r w:rsidRPr="001A0743">
              <w:rPr>
                <w:szCs w:val="24"/>
              </w:rPr>
              <w:t>159</w:t>
            </w:r>
          </w:p>
        </w:tc>
        <w:tc>
          <w:tcPr>
            <w:tcW w:w="1701" w:type="dxa"/>
            <w:shd w:val="clear" w:color="auto" w:fill="auto"/>
            <w:vAlign w:val="center"/>
          </w:tcPr>
          <w:p w14:paraId="03F11FDD" w14:textId="252ABB22" w:rsidR="00FE55C0" w:rsidRPr="001A0743" w:rsidRDefault="00FE55C0" w:rsidP="00DD63D7">
            <w:pPr>
              <w:tabs>
                <w:tab w:val="decimal" w:pos="884"/>
              </w:tabs>
              <w:jc w:val="right"/>
              <w:rPr>
                <w:szCs w:val="24"/>
              </w:rPr>
            </w:pPr>
            <w:r w:rsidRPr="001A0743">
              <w:rPr>
                <w:szCs w:val="24"/>
              </w:rPr>
              <w:t>(5,067)</w:t>
            </w:r>
          </w:p>
        </w:tc>
        <w:tc>
          <w:tcPr>
            <w:tcW w:w="1701" w:type="dxa"/>
            <w:shd w:val="clear" w:color="auto" w:fill="auto"/>
            <w:vAlign w:val="center"/>
          </w:tcPr>
          <w:p w14:paraId="546016B5" w14:textId="42D0CFE7" w:rsidR="00FE55C0" w:rsidRPr="001A0743" w:rsidRDefault="00FE55C0" w:rsidP="00DD63D7">
            <w:pPr>
              <w:tabs>
                <w:tab w:val="decimal" w:pos="884"/>
              </w:tabs>
              <w:jc w:val="right"/>
              <w:rPr>
                <w:szCs w:val="24"/>
              </w:rPr>
            </w:pPr>
            <w:r w:rsidRPr="001A0743">
              <w:rPr>
                <w:szCs w:val="24"/>
              </w:rPr>
              <w:t>(90)</w:t>
            </w:r>
          </w:p>
        </w:tc>
        <w:tc>
          <w:tcPr>
            <w:tcW w:w="1701" w:type="dxa"/>
            <w:shd w:val="clear" w:color="auto" w:fill="auto"/>
            <w:vAlign w:val="center"/>
          </w:tcPr>
          <w:p w14:paraId="05540B27" w14:textId="38A34339" w:rsidR="00FE55C0" w:rsidRPr="001A0743" w:rsidRDefault="00FE55C0" w:rsidP="00DD63D7">
            <w:pPr>
              <w:tabs>
                <w:tab w:val="decimal" w:pos="884"/>
              </w:tabs>
              <w:jc w:val="right"/>
              <w:rPr>
                <w:szCs w:val="24"/>
              </w:rPr>
            </w:pPr>
            <w:r w:rsidRPr="001A0743">
              <w:rPr>
                <w:szCs w:val="24"/>
              </w:rPr>
              <w:t>-</w:t>
            </w:r>
          </w:p>
        </w:tc>
        <w:tc>
          <w:tcPr>
            <w:tcW w:w="1701" w:type="dxa"/>
            <w:shd w:val="clear" w:color="auto" w:fill="auto"/>
            <w:vAlign w:val="center"/>
          </w:tcPr>
          <w:p w14:paraId="043C9224" w14:textId="2AEDAAA9" w:rsidR="00FE55C0" w:rsidRPr="001A0743" w:rsidRDefault="00FE55C0" w:rsidP="00DD63D7">
            <w:pPr>
              <w:tabs>
                <w:tab w:val="decimal" w:pos="884"/>
              </w:tabs>
              <w:jc w:val="right"/>
              <w:rPr>
                <w:szCs w:val="24"/>
              </w:rPr>
            </w:pPr>
            <w:r w:rsidRPr="001A0743">
              <w:rPr>
                <w:szCs w:val="24"/>
              </w:rPr>
              <w:t>(5,157)</w:t>
            </w:r>
          </w:p>
        </w:tc>
      </w:tr>
      <w:tr w:rsidR="00FE55C0" w:rsidRPr="001A0743" w14:paraId="42FD74F7" w14:textId="77777777" w:rsidTr="00611673">
        <w:tc>
          <w:tcPr>
            <w:tcW w:w="3294" w:type="dxa"/>
            <w:shd w:val="clear" w:color="auto" w:fill="auto"/>
          </w:tcPr>
          <w:p w14:paraId="1955967E" w14:textId="77777777" w:rsidR="00FE55C0" w:rsidRPr="001A0743" w:rsidRDefault="00FE55C0" w:rsidP="00FE55C0">
            <w:pPr>
              <w:rPr>
                <w:szCs w:val="24"/>
              </w:rPr>
            </w:pPr>
            <w:r w:rsidRPr="001A0743">
              <w:rPr>
                <w:szCs w:val="24"/>
              </w:rPr>
              <w:t>Total Earmarked Reserves</w:t>
            </w:r>
          </w:p>
        </w:tc>
        <w:tc>
          <w:tcPr>
            <w:tcW w:w="1701" w:type="dxa"/>
            <w:shd w:val="clear" w:color="auto" w:fill="auto"/>
            <w:vAlign w:val="center"/>
          </w:tcPr>
          <w:p w14:paraId="277E034E" w14:textId="7529FCBB" w:rsidR="00FE55C0" w:rsidRPr="001A0743" w:rsidRDefault="00FE55C0" w:rsidP="00DD63D7">
            <w:pPr>
              <w:tabs>
                <w:tab w:val="decimal" w:pos="884"/>
              </w:tabs>
              <w:jc w:val="right"/>
              <w:rPr>
                <w:szCs w:val="24"/>
              </w:rPr>
            </w:pPr>
            <w:r w:rsidRPr="001A0743">
              <w:rPr>
                <w:szCs w:val="24"/>
              </w:rPr>
              <w:t>(10,769)</w:t>
            </w:r>
          </w:p>
        </w:tc>
        <w:tc>
          <w:tcPr>
            <w:tcW w:w="1701" w:type="dxa"/>
            <w:shd w:val="clear" w:color="auto" w:fill="auto"/>
            <w:vAlign w:val="center"/>
          </w:tcPr>
          <w:p w14:paraId="5E36B1CE" w14:textId="20699C82" w:rsidR="00FE55C0" w:rsidRPr="001A0743" w:rsidRDefault="00FE55C0" w:rsidP="00DD63D7">
            <w:pPr>
              <w:tabs>
                <w:tab w:val="decimal" w:pos="884"/>
              </w:tabs>
              <w:jc w:val="right"/>
              <w:rPr>
                <w:szCs w:val="24"/>
              </w:rPr>
            </w:pPr>
            <w:r w:rsidRPr="001A0743">
              <w:rPr>
                <w:szCs w:val="24"/>
              </w:rPr>
              <w:t>(2,667)</w:t>
            </w:r>
          </w:p>
        </w:tc>
        <w:tc>
          <w:tcPr>
            <w:tcW w:w="1701" w:type="dxa"/>
            <w:shd w:val="clear" w:color="auto" w:fill="auto"/>
            <w:vAlign w:val="center"/>
          </w:tcPr>
          <w:p w14:paraId="5FBFF1FA" w14:textId="25495450" w:rsidR="00FE55C0" w:rsidRPr="001A0743" w:rsidRDefault="00FE55C0" w:rsidP="00DD63D7">
            <w:pPr>
              <w:tabs>
                <w:tab w:val="decimal" w:pos="884"/>
              </w:tabs>
              <w:jc w:val="right"/>
              <w:rPr>
                <w:szCs w:val="24"/>
              </w:rPr>
            </w:pPr>
            <w:r w:rsidRPr="001A0743">
              <w:rPr>
                <w:szCs w:val="24"/>
              </w:rPr>
              <w:t>3,694</w:t>
            </w:r>
          </w:p>
        </w:tc>
        <w:tc>
          <w:tcPr>
            <w:tcW w:w="1701" w:type="dxa"/>
            <w:shd w:val="clear" w:color="auto" w:fill="auto"/>
            <w:vAlign w:val="center"/>
          </w:tcPr>
          <w:p w14:paraId="261C6C00" w14:textId="72D216AA" w:rsidR="00FE55C0" w:rsidRPr="001A0743" w:rsidRDefault="00FE55C0" w:rsidP="00DD63D7">
            <w:pPr>
              <w:tabs>
                <w:tab w:val="decimal" w:pos="884"/>
              </w:tabs>
              <w:jc w:val="right"/>
              <w:rPr>
                <w:szCs w:val="24"/>
              </w:rPr>
            </w:pPr>
            <w:r w:rsidRPr="001A0743">
              <w:rPr>
                <w:szCs w:val="24"/>
              </w:rPr>
              <w:t>(9,742)</w:t>
            </w:r>
          </w:p>
        </w:tc>
        <w:tc>
          <w:tcPr>
            <w:tcW w:w="1701" w:type="dxa"/>
            <w:shd w:val="clear" w:color="auto" w:fill="auto"/>
            <w:vAlign w:val="center"/>
          </w:tcPr>
          <w:p w14:paraId="2B67F9D1" w14:textId="082B2429" w:rsidR="00FE55C0" w:rsidRPr="001A0743" w:rsidRDefault="00FE55C0" w:rsidP="00DD63D7">
            <w:pPr>
              <w:tabs>
                <w:tab w:val="decimal" w:pos="884"/>
              </w:tabs>
              <w:jc w:val="right"/>
              <w:rPr>
                <w:szCs w:val="24"/>
              </w:rPr>
            </w:pPr>
            <w:r w:rsidRPr="001A0743">
              <w:rPr>
                <w:szCs w:val="24"/>
              </w:rPr>
              <w:t>(1,297)</w:t>
            </w:r>
          </w:p>
        </w:tc>
        <w:tc>
          <w:tcPr>
            <w:tcW w:w="1701" w:type="dxa"/>
            <w:shd w:val="clear" w:color="auto" w:fill="auto"/>
            <w:vAlign w:val="center"/>
          </w:tcPr>
          <w:p w14:paraId="4EE79B25" w14:textId="7C4AF2ED" w:rsidR="00FE55C0" w:rsidRPr="001A0743" w:rsidRDefault="00FE55C0" w:rsidP="00DD63D7">
            <w:pPr>
              <w:tabs>
                <w:tab w:val="decimal" w:pos="884"/>
              </w:tabs>
              <w:jc w:val="right"/>
              <w:rPr>
                <w:szCs w:val="24"/>
              </w:rPr>
            </w:pPr>
            <w:r w:rsidRPr="001A0743">
              <w:rPr>
                <w:szCs w:val="24"/>
              </w:rPr>
              <w:t>1,781</w:t>
            </w:r>
          </w:p>
        </w:tc>
        <w:tc>
          <w:tcPr>
            <w:tcW w:w="1701" w:type="dxa"/>
            <w:shd w:val="clear" w:color="auto" w:fill="auto"/>
            <w:vAlign w:val="center"/>
          </w:tcPr>
          <w:p w14:paraId="2637BA94" w14:textId="34467272" w:rsidR="00FE55C0" w:rsidRPr="001A0743" w:rsidRDefault="00FE55C0" w:rsidP="00DD63D7">
            <w:pPr>
              <w:tabs>
                <w:tab w:val="decimal" w:pos="884"/>
              </w:tabs>
              <w:jc w:val="right"/>
              <w:rPr>
                <w:szCs w:val="24"/>
              </w:rPr>
            </w:pPr>
            <w:r w:rsidRPr="001A0743">
              <w:rPr>
                <w:szCs w:val="24"/>
              </w:rPr>
              <w:t>(9,258)</w:t>
            </w:r>
          </w:p>
        </w:tc>
      </w:tr>
      <w:tr w:rsidR="00FE55C0" w:rsidRPr="001A0743" w14:paraId="0A37ED9E" w14:textId="77777777" w:rsidTr="00611673">
        <w:tc>
          <w:tcPr>
            <w:tcW w:w="3294" w:type="dxa"/>
            <w:shd w:val="clear" w:color="auto" w:fill="auto"/>
          </w:tcPr>
          <w:p w14:paraId="1DAED24D" w14:textId="77777777" w:rsidR="00FE55C0" w:rsidRPr="001A0743" w:rsidRDefault="00FE55C0" w:rsidP="00FE55C0">
            <w:pPr>
              <w:rPr>
                <w:szCs w:val="24"/>
              </w:rPr>
            </w:pPr>
            <w:r w:rsidRPr="001A0743">
              <w:rPr>
                <w:szCs w:val="24"/>
              </w:rPr>
              <w:t>Capital funding reserve</w:t>
            </w:r>
          </w:p>
        </w:tc>
        <w:tc>
          <w:tcPr>
            <w:tcW w:w="1701" w:type="dxa"/>
            <w:shd w:val="clear" w:color="auto" w:fill="auto"/>
            <w:vAlign w:val="center"/>
          </w:tcPr>
          <w:p w14:paraId="1B21631D" w14:textId="18693AF3" w:rsidR="00FE55C0" w:rsidRPr="001A0743" w:rsidRDefault="00FE55C0" w:rsidP="00DD63D7">
            <w:pPr>
              <w:tabs>
                <w:tab w:val="decimal" w:pos="884"/>
              </w:tabs>
              <w:jc w:val="right"/>
              <w:rPr>
                <w:szCs w:val="24"/>
              </w:rPr>
            </w:pPr>
            <w:r w:rsidRPr="001A0743">
              <w:rPr>
                <w:szCs w:val="24"/>
              </w:rPr>
              <w:t>(17,967)</w:t>
            </w:r>
          </w:p>
        </w:tc>
        <w:tc>
          <w:tcPr>
            <w:tcW w:w="1701" w:type="dxa"/>
            <w:shd w:val="clear" w:color="auto" w:fill="auto"/>
            <w:vAlign w:val="center"/>
          </w:tcPr>
          <w:p w14:paraId="49D86A4D" w14:textId="29F84CF9" w:rsidR="00FE55C0" w:rsidRPr="001A0743" w:rsidRDefault="00FE55C0" w:rsidP="00DD63D7">
            <w:pPr>
              <w:tabs>
                <w:tab w:val="decimal" w:pos="884"/>
              </w:tabs>
              <w:jc w:val="right"/>
              <w:rPr>
                <w:szCs w:val="24"/>
              </w:rPr>
            </w:pPr>
            <w:r w:rsidRPr="001A0743">
              <w:rPr>
                <w:szCs w:val="24"/>
              </w:rPr>
              <w:t>(3,055)</w:t>
            </w:r>
          </w:p>
        </w:tc>
        <w:tc>
          <w:tcPr>
            <w:tcW w:w="1701" w:type="dxa"/>
            <w:shd w:val="clear" w:color="auto" w:fill="auto"/>
            <w:vAlign w:val="center"/>
          </w:tcPr>
          <w:p w14:paraId="6BB5CDE7" w14:textId="08A7F43A" w:rsidR="00FE55C0" w:rsidRPr="001A0743" w:rsidRDefault="00FE55C0" w:rsidP="00DD63D7">
            <w:pPr>
              <w:tabs>
                <w:tab w:val="decimal" w:pos="884"/>
              </w:tabs>
              <w:jc w:val="right"/>
              <w:rPr>
                <w:szCs w:val="24"/>
              </w:rPr>
            </w:pPr>
            <w:r w:rsidRPr="001A0743">
              <w:rPr>
                <w:szCs w:val="24"/>
              </w:rPr>
              <w:t>3,350</w:t>
            </w:r>
          </w:p>
        </w:tc>
        <w:tc>
          <w:tcPr>
            <w:tcW w:w="1701" w:type="dxa"/>
            <w:shd w:val="clear" w:color="auto" w:fill="auto"/>
            <w:vAlign w:val="center"/>
          </w:tcPr>
          <w:p w14:paraId="44EC8B6E" w14:textId="257BDA2F" w:rsidR="00FE55C0" w:rsidRPr="001A0743" w:rsidRDefault="00FE55C0" w:rsidP="00DD63D7">
            <w:pPr>
              <w:tabs>
                <w:tab w:val="decimal" w:pos="884"/>
              </w:tabs>
              <w:jc w:val="right"/>
              <w:rPr>
                <w:szCs w:val="24"/>
              </w:rPr>
            </w:pPr>
            <w:r w:rsidRPr="001A0743">
              <w:rPr>
                <w:szCs w:val="24"/>
              </w:rPr>
              <w:t>(17,672)</w:t>
            </w:r>
          </w:p>
        </w:tc>
        <w:tc>
          <w:tcPr>
            <w:tcW w:w="1701" w:type="dxa"/>
            <w:shd w:val="clear" w:color="auto" w:fill="auto"/>
            <w:vAlign w:val="center"/>
          </w:tcPr>
          <w:p w14:paraId="41ADCFA1" w14:textId="766291BD" w:rsidR="00FE55C0" w:rsidRPr="001A0743" w:rsidRDefault="00FE55C0" w:rsidP="00DD63D7">
            <w:pPr>
              <w:tabs>
                <w:tab w:val="decimal" w:pos="884"/>
              </w:tabs>
              <w:jc w:val="right"/>
              <w:rPr>
                <w:szCs w:val="24"/>
              </w:rPr>
            </w:pPr>
            <w:r w:rsidRPr="001A0743">
              <w:rPr>
                <w:szCs w:val="24"/>
              </w:rPr>
              <w:t>(4,300)</w:t>
            </w:r>
          </w:p>
        </w:tc>
        <w:tc>
          <w:tcPr>
            <w:tcW w:w="1701" w:type="dxa"/>
            <w:shd w:val="clear" w:color="auto" w:fill="auto"/>
            <w:vAlign w:val="center"/>
          </w:tcPr>
          <w:p w14:paraId="44033711" w14:textId="59467837" w:rsidR="00FE55C0" w:rsidRPr="001A0743" w:rsidRDefault="00FE55C0" w:rsidP="00DD63D7">
            <w:pPr>
              <w:tabs>
                <w:tab w:val="decimal" w:pos="884"/>
              </w:tabs>
              <w:jc w:val="right"/>
              <w:rPr>
                <w:szCs w:val="24"/>
              </w:rPr>
            </w:pPr>
            <w:r w:rsidRPr="001A0743">
              <w:rPr>
                <w:szCs w:val="24"/>
              </w:rPr>
              <w:t>1,628</w:t>
            </w:r>
          </w:p>
        </w:tc>
        <w:tc>
          <w:tcPr>
            <w:tcW w:w="1701" w:type="dxa"/>
            <w:shd w:val="clear" w:color="auto" w:fill="auto"/>
            <w:vAlign w:val="center"/>
          </w:tcPr>
          <w:p w14:paraId="4A647060" w14:textId="25ED211D" w:rsidR="00FE55C0" w:rsidRPr="001A0743" w:rsidRDefault="00FE55C0" w:rsidP="00DD63D7">
            <w:pPr>
              <w:tabs>
                <w:tab w:val="decimal" w:pos="884"/>
              </w:tabs>
              <w:jc w:val="right"/>
              <w:rPr>
                <w:szCs w:val="24"/>
              </w:rPr>
            </w:pPr>
            <w:r w:rsidRPr="001A0743">
              <w:rPr>
                <w:szCs w:val="24"/>
              </w:rPr>
              <w:t>(20,344)</w:t>
            </w:r>
          </w:p>
        </w:tc>
      </w:tr>
      <w:tr w:rsidR="00FE55C0" w:rsidRPr="001A0743" w14:paraId="405F2482" w14:textId="77777777" w:rsidTr="00611673">
        <w:tc>
          <w:tcPr>
            <w:tcW w:w="3294" w:type="dxa"/>
            <w:shd w:val="clear" w:color="auto" w:fill="auto"/>
          </w:tcPr>
          <w:p w14:paraId="1EA3789A" w14:textId="77777777" w:rsidR="00FE55C0" w:rsidRPr="001A0743" w:rsidRDefault="00FE55C0" w:rsidP="00FE55C0">
            <w:pPr>
              <w:rPr>
                <w:szCs w:val="24"/>
              </w:rPr>
            </w:pPr>
            <w:r w:rsidRPr="001A0743">
              <w:rPr>
                <w:szCs w:val="24"/>
              </w:rPr>
              <w:t>Capital grants unapplied</w:t>
            </w:r>
          </w:p>
        </w:tc>
        <w:tc>
          <w:tcPr>
            <w:tcW w:w="1701" w:type="dxa"/>
            <w:shd w:val="clear" w:color="auto" w:fill="auto"/>
            <w:vAlign w:val="center"/>
          </w:tcPr>
          <w:p w14:paraId="109C959C" w14:textId="00D8F447" w:rsidR="00FE55C0" w:rsidRPr="001A0743" w:rsidRDefault="00FE55C0" w:rsidP="00DD63D7">
            <w:pPr>
              <w:tabs>
                <w:tab w:val="decimal" w:pos="884"/>
              </w:tabs>
              <w:jc w:val="right"/>
              <w:rPr>
                <w:szCs w:val="24"/>
              </w:rPr>
            </w:pPr>
            <w:r w:rsidRPr="001A0743">
              <w:rPr>
                <w:szCs w:val="24"/>
              </w:rPr>
              <w:t>(101)</w:t>
            </w:r>
          </w:p>
        </w:tc>
        <w:tc>
          <w:tcPr>
            <w:tcW w:w="1701" w:type="dxa"/>
            <w:shd w:val="clear" w:color="auto" w:fill="auto"/>
            <w:vAlign w:val="center"/>
          </w:tcPr>
          <w:p w14:paraId="2525AFAB" w14:textId="49FD1BEE" w:rsidR="00FE55C0" w:rsidRPr="001A0743" w:rsidRDefault="00FE55C0" w:rsidP="00DD63D7">
            <w:pPr>
              <w:tabs>
                <w:tab w:val="decimal" w:pos="884"/>
              </w:tabs>
              <w:jc w:val="right"/>
              <w:rPr>
                <w:szCs w:val="24"/>
              </w:rPr>
            </w:pPr>
            <w:r w:rsidRPr="001A0743">
              <w:rPr>
                <w:szCs w:val="24"/>
              </w:rPr>
              <w:t>-</w:t>
            </w:r>
          </w:p>
        </w:tc>
        <w:tc>
          <w:tcPr>
            <w:tcW w:w="1701" w:type="dxa"/>
            <w:shd w:val="clear" w:color="auto" w:fill="auto"/>
            <w:vAlign w:val="center"/>
          </w:tcPr>
          <w:p w14:paraId="3B0DB4FF" w14:textId="63DE1FEA" w:rsidR="00FE55C0" w:rsidRPr="001A0743" w:rsidRDefault="00FE55C0" w:rsidP="00DD63D7">
            <w:pPr>
              <w:tabs>
                <w:tab w:val="decimal" w:pos="884"/>
              </w:tabs>
              <w:jc w:val="right"/>
              <w:rPr>
                <w:szCs w:val="24"/>
              </w:rPr>
            </w:pPr>
            <w:r w:rsidRPr="001A0743">
              <w:rPr>
                <w:szCs w:val="24"/>
              </w:rPr>
              <w:t>61</w:t>
            </w:r>
          </w:p>
        </w:tc>
        <w:tc>
          <w:tcPr>
            <w:tcW w:w="1701" w:type="dxa"/>
            <w:shd w:val="clear" w:color="auto" w:fill="auto"/>
            <w:vAlign w:val="center"/>
          </w:tcPr>
          <w:p w14:paraId="5A308CCA" w14:textId="6ABF7918" w:rsidR="00FE55C0" w:rsidRPr="001A0743" w:rsidRDefault="00FE55C0" w:rsidP="00DD63D7">
            <w:pPr>
              <w:tabs>
                <w:tab w:val="decimal" w:pos="884"/>
              </w:tabs>
              <w:jc w:val="right"/>
              <w:rPr>
                <w:szCs w:val="24"/>
              </w:rPr>
            </w:pPr>
            <w:r w:rsidRPr="001A0743">
              <w:rPr>
                <w:szCs w:val="24"/>
              </w:rPr>
              <w:t>(40)</w:t>
            </w:r>
          </w:p>
        </w:tc>
        <w:tc>
          <w:tcPr>
            <w:tcW w:w="1701" w:type="dxa"/>
            <w:shd w:val="clear" w:color="auto" w:fill="auto"/>
            <w:vAlign w:val="center"/>
          </w:tcPr>
          <w:p w14:paraId="13961620" w14:textId="4ECD265C" w:rsidR="00FE55C0" w:rsidRPr="001A0743" w:rsidRDefault="00FE55C0" w:rsidP="00DD63D7">
            <w:pPr>
              <w:tabs>
                <w:tab w:val="decimal" w:pos="884"/>
              </w:tabs>
              <w:jc w:val="right"/>
              <w:rPr>
                <w:szCs w:val="24"/>
              </w:rPr>
            </w:pPr>
            <w:r w:rsidRPr="001A0743">
              <w:rPr>
                <w:szCs w:val="24"/>
              </w:rPr>
              <w:t>-</w:t>
            </w:r>
          </w:p>
        </w:tc>
        <w:tc>
          <w:tcPr>
            <w:tcW w:w="1701" w:type="dxa"/>
            <w:shd w:val="clear" w:color="auto" w:fill="auto"/>
            <w:vAlign w:val="center"/>
          </w:tcPr>
          <w:p w14:paraId="7FDB7CF3" w14:textId="2C95B665" w:rsidR="00FE55C0" w:rsidRPr="001A0743" w:rsidRDefault="00FE55C0" w:rsidP="00DD63D7">
            <w:pPr>
              <w:tabs>
                <w:tab w:val="decimal" w:pos="884"/>
              </w:tabs>
              <w:jc w:val="right"/>
              <w:rPr>
                <w:szCs w:val="24"/>
              </w:rPr>
            </w:pPr>
            <w:r w:rsidRPr="001A0743">
              <w:rPr>
                <w:szCs w:val="24"/>
              </w:rPr>
              <w:t>13</w:t>
            </w:r>
          </w:p>
        </w:tc>
        <w:tc>
          <w:tcPr>
            <w:tcW w:w="1701" w:type="dxa"/>
            <w:shd w:val="clear" w:color="auto" w:fill="auto"/>
            <w:vAlign w:val="center"/>
          </w:tcPr>
          <w:p w14:paraId="22556061" w14:textId="2B73F0DE" w:rsidR="00FE55C0" w:rsidRPr="001A0743" w:rsidRDefault="00FE55C0" w:rsidP="00DD63D7">
            <w:pPr>
              <w:tabs>
                <w:tab w:val="decimal" w:pos="884"/>
              </w:tabs>
              <w:jc w:val="right"/>
              <w:rPr>
                <w:szCs w:val="24"/>
              </w:rPr>
            </w:pPr>
            <w:r w:rsidRPr="001A0743">
              <w:rPr>
                <w:szCs w:val="24"/>
              </w:rPr>
              <w:t>(27)</w:t>
            </w:r>
          </w:p>
        </w:tc>
      </w:tr>
      <w:tr w:rsidR="00FE55C0" w:rsidRPr="001A0743" w14:paraId="5F0C74C2" w14:textId="77777777" w:rsidTr="00611673">
        <w:tc>
          <w:tcPr>
            <w:tcW w:w="3294" w:type="dxa"/>
            <w:shd w:val="clear" w:color="auto" w:fill="auto"/>
          </w:tcPr>
          <w:p w14:paraId="1D085CB4" w14:textId="77777777" w:rsidR="00FE55C0" w:rsidRPr="001A0743" w:rsidRDefault="00FE55C0" w:rsidP="00FE55C0">
            <w:pPr>
              <w:rPr>
                <w:szCs w:val="24"/>
              </w:rPr>
            </w:pPr>
            <w:r w:rsidRPr="001A0743">
              <w:rPr>
                <w:szCs w:val="24"/>
              </w:rPr>
              <w:t>Usable capital receipts</w:t>
            </w:r>
          </w:p>
        </w:tc>
        <w:tc>
          <w:tcPr>
            <w:tcW w:w="1701" w:type="dxa"/>
            <w:shd w:val="clear" w:color="auto" w:fill="auto"/>
            <w:vAlign w:val="center"/>
          </w:tcPr>
          <w:p w14:paraId="7C4D5842" w14:textId="05BCB159" w:rsidR="00FE55C0" w:rsidRPr="001A0743" w:rsidRDefault="00FE55C0" w:rsidP="00DD63D7">
            <w:pPr>
              <w:tabs>
                <w:tab w:val="decimal" w:pos="884"/>
              </w:tabs>
              <w:jc w:val="right"/>
              <w:rPr>
                <w:szCs w:val="24"/>
              </w:rPr>
            </w:pPr>
            <w:r w:rsidRPr="001A0743">
              <w:rPr>
                <w:szCs w:val="24"/>
              </w:rPr>
              <w:t>(1,680)</w:t>
            </w:r>
          </w:p>
        </w:tc>
        <w:tc>
          <w:tcPr>
            <w:tcW w:w="1701" w:type="dxa"/>
            <w:shd w:val="clear" w:color="auto" w:fill="auto"/>
            <w:vAlign w:val="center"/>
          </w:tcPr>
          <w:p w14:paraId="336D1CC5" w14:textId="3A6CCE37" w:rsidR="00FE55C0" w:rsidRPr="001A0743" w:rsidRDefault="00FE55C0" w:rsidP="00DD63D7">
            <w:pPr>
              <w:tabs>
                <w:tab w:val="decimal" w:pos="884"/>
              </w:tabs>
              <w:jc w:val="right"/>
              <w:rPr>
                <w:szCs w:val="24"/>
              </w:rPr>
            </w:pPr>
            <w:r w:rsidRPr="001A0743">
              <w:rPr>
                <w:szCs w:val="24"/>
              </w:rPr>
              <w:t>(3)</w:t>
            </w:r>
          </w:p>
        </w:tc>
        <w:tc>
          <w:tcPr>
            <w:tcW w:w="1701" w:type="dxa"/>
            <w:shd w:val="clear" w:color="auto" w:fill="auto"/>
            <w:vAlign w:val="center"/>
          </w:tcPr>
          <w:p w14:paraId="12BEAB50" w14:textId="499790D8" w:rsidR="00FE55C0" w:rsidRPr="001A0743" w:rsidRDefault="00FE55C0" w:rsidP="00DD63D7">
            <w:pPr>
              <w:tabs>
                <w:tab w:val="decimal" w:pos="884"/>
              </w:tabs>
              <w:jc w:val="right"/>
              <w:rPr>
                <w:szCs w:val="24"/>
              </w:rPr>
            </w:pPr>
            <w:r w:rsidRPr="001A0743">
              <w:rPr>
                <w:szCs w:val="24"/>
              </w:rPr>
              <w:t>-</w:t>
            </w:r>
          </w:p>
        </w:tc>
        <w:tc>
          <w:tcPr>
            <w:tcW w:w="1701" w:type="dxa"/>
            <w:shd w:val="clear" w:color="auto" w:fill="auto"/>
            <w:vAlign w:val="center"/>
          </w:tcPr>
          <w:p w14:paraId="31A7CAB7" w14:textId="75B7B2A8" w:rsidR="00FE55C0" w:rsidRPr="001A0743" w:rsidRDefault="00FE55C0" w:rsidP="00DD63D7">
            <w:pPr>
              <w:tabs>
                <w:tab w:val="decimal" w:pos="884"/>
              </w:tabs>
              <w:jc w:val="right"/>
              <w:rPr>
                <w:szCs w:val="24"/>
              </w:rPr>
            </w:pPr>
            <w:r w:rsidRPr="001A0743">
              <w:rPr>
                <w:szCs w:val="24"/>
              </w:rPr>
              <w:t>(1,683)</w:t>
            </w:r>
          </w:p>
        </w:tc>
        <w:tc>
          <w:tcPr>
            <w:tcW w:w="1701" w:type="dxa"/>
            <w:shd w:val="clear" w:color="auto" w:fill="auto"/>
            <w:vAlign w:val="center"/>
          </w:tcPr>
          <w:p w14:paraId="0D189C56" w14:textId="15DD0D81" w:rsidR="00FE55C0" w:rsidRPr="001A0743" w:rsidRDefault="00FE55C0" w:rsidP="00DD63D7">
            <w:pPr>
              <w:tabs>
                <w:tab w:val="decimal" w:pos="884"/>
              </w:tabs>
              <w:jc w:val="right"/>
              <w:rPr>
                <w:szCs w:val="24"/>
              </w:rPr>
            </w:pPr>
            <w:r w:rsidRPr="001A0743">
              <w:rPr>
                <w:szCs w:val="24"/>
              </w:rPr>
              <w:t>(9)</w:t>
            </w:r>
          </w:p>
        </w:tc>
        <w:tc>
          <w:tcPr>
            <w:tcW w:w="1701" w:type="dxa"/>
            <w:shd w:val="clear" w:color="auto" w:fill="auto"/>
            <w:vAlign w:val="center"/>
          </w:tcPr>
          <w:p w14:paraId="04323828" w14:textId="60468E5F" w:rsidR="00FE55C0" w:rsidRPr="001A0743" w:rsidRDefault="00FE55C0" w:rsidP="00DD63D7">
            <w:pPr>
              <w:tabs>
                <w:tab w:val="decimal" w:pos="884"/>
              </w:tabs>
              <w:jc w:val="right"/>
              <w:rPr>
                <w:szCs w:val="24"/>
              </w:rPr>
            </w:pPr>
            <w:r w:rsidRPr="001A0743">
              <w:rPr>
                <w:szCs w:val="24"/>
              </w:rPr>
              <w:t>-</w:t>
            </w:r>
          </w:p>
        </w:tc>
        <w:tc>
          <w:tcPr>
            <w:tcW w:w="1701" w:type="dxa"/>
            <w:shd w:val="clear" w:color="auto" w:fill="auto"/>
            <w:vAlign w:val="center"/>
          </w:tcPr>
          <w:p w14:paraId="15A110C1" w14:textId="39B4B16A" w:rsidR="00FE55C0" w:rsidRPr="001A0743" w:rsidRDefault="00FE55C0" w:rsidP="00DD63D7">
            <w:pPr>
              <w:tabs>
                <w:tab w:val="decimal" w:pos="884"/>
              </w:tabs>
              <w:jc w:val="right"/>
              <w:rPr>
                <w:szCs w:val="24"/>
              </w:rPr>
            </w:pPr>
            <w:r w:rsidRPr="001A0743">
              <w:rPr>
                <w:szCs w:val="24"/>
              </w:rPr>
              <w:t>(1,692)</w:t>
            </w:r>
          </w:p>
        </w:tc>
      </w:tr>
      <w:tr w:rsidR="00FE55C0" w:rsidRPr="001A0743" w14:paraId="36ECB758" w14:textId="77777777" w:rsidTr="00611673">
        <w:tc>
          <w:tcPr>
            <w:tcW w:w="3294" w:type="dxa"/>
            <w:shd w:val="clear" w:color="auto" w:fill="auto"/>
          </w:tcPr>
          <w:p w14:paraId="0047BC0B" w14:textId="77777777" w:rsidR="00FE55C0" w:rsidRPr="001A0743" w:rsidRDefault="00FE55C0" w:rsidP="00FE55C0">
            <w:pPr>
              <w:rPr>
                <w:szCs w:val="24"/>
              </w:rPr>
            </w:pPr>
            <w:r w:rsidRPr="001A0743">
              <w:rPr>
                <w:szCs w:val="24"/>
              </w:rPr>
              <w:t>Total Usable Reserves</w:t>
            </w:r>
          </w:p>
        </w:tc>
        <w:tc>
          <w:tcPr>
            <w:tcW w:w="1701" w:type="dxa"/>
            <w:shd w:val="clear" w:color="auto" w:fill="auto"/>
            <w:vAlign w:val="center"/>
          </w:tcPr>
          <w:p w14:paraId="0430D30C" w14:textId="7B6029AC" w:rsidR="00FE55C0" w:rsidRPr="001A0743" w:rsidRDefault="00FE55C0" w:rsidP="00DD63D7">
            <w:pPr>
              <w:tabs>
                <w:tab w:val="decimal" w:pos="884"/>
              </w:tabs>
              <w:jc w:val="right"/>
              <w:rPr>
                <w:szCs w:val="24"/>
              </w:rPr>
            </w:pPr>
            <w:r w:rsidRPr="001A0743">
              <w:rPr>
                <w:szCs w:val="24"/>
              </w:rPr>
              <w:t>(36,980)</w:t>
            </w:r>
          </w:p>
        </w:tc>
        <w:tc>
          <w:tcPr>
            <w:tcW w:w="1701" w:type="dxa"/>
            <w:shd w:val="clear" w:color="auto" w:fill="auto"/>
            <w:vAlign w:val="center"/>
          </w:tcPr>
          <w:p w14:paraId="57FD81B5" w14:textId="0A63D62E" w:rsidR="00FE55C0" w:rsidRPr="001A0743" w:rsidRDefault="00FE55C0" w:rsidP="00DD63D7">
            <w:pPr>
              <w:tabs>
                <w:tab w:val="decimal" w:pos="884"/>
              </w:tabs>
              <w:jc w:val="right"/>
              <w:rPr>
                <w:szCs w:val="24"/>
              </w:rPr>
            </w:pPr>
            <w:r w:rsidRPr="001A0743">
              <w:rPr>
                <w:szCs w:val="24"/>
              </w:rPr>
              <w:t>(6,129)</w:t>
            </w:r>
          </w:p>
        </w:tc>
        <w:tc>
          <w:tcPr>
            <w:tcW w:w="1701" w:type="dxa"/>
            <w:shd w:val="clear" w:color="auto" w:fill="auto"/>
            <w:vAlign w:val="center"/>
          </w:tcPr>
          <w:p w14:paraId="67E8B43B" w14:textId="0A62B8CB" w:rsidR="00FE55C0" w:rsidRPr="001A0743" w:rsidRDefault="00FE55C0" w:rsidP="00DD63D7">
            <w:pPr>
              <w:tabs>
                <w:tab w:val="decimal" w:pos="884"/>
              </w:tabs>
              <w:jc w:val="right"/>
              <w:rPr>
                <w:szCs w:val="24"/>
              </w:rPr>
            </w:pPr>
            <w:r w:rsidRPr="001A0743">
              <w:rPr>
                <w:szCs w:val="24"/>
              </w:rPr>
              <w:t>7,436</w:t>
            </w:r>
          </w:p>
        </w:tc>
        <w:tc>
          <w:tcPr>
            <w:tcW w:w="1701" w:type="dxa"/>
            <w:shd w:val="clear" w:color="auto" w:fill="auto"/>
            <w:vAlign w:val="center"/>
          </w:tcPr>
          <w:p w14:paraId="59FD22E9" w14:textId="17F961AE" w:rsidR="00FE55C0" w:rsidRPr="001A0743" w:rsidRDefault="00FE55C0" w:rsidP="00DD63D7">
            <w:pPr>
              <w:tabs>
                <w:tab w:val="decimal" w:pos="884"/>
              </w:tabs>
              <w:jc w:val="right"/>
              <w:rPr>
                <w:szCs w:val="24"/>
              </w:rPr>
            </w:pPr>
            <w:r w:rsidRPr="001A0743">
              <w:rPr>
                <w:szCs w:val="24"/>
              </w:rPr>
              <w:t>(35,673)</w:t>
            </w:r>
          </w:p>
        </w:tc>
        <w:tc>
          <w:tcPr>
            <w:tcW w:w="1701" w:type="dxa"/>
            <w:shd w:val="clear" w:color="auto" w:fill="auto"/>
            <w:vAlign w:val="center"/>
          </w:tcPr>
          <w:p w14:paraId="5F311FAE" w14:textId="2FEA416B" w:rsidR="00FE55C0" w:rsidRPr="001A0743" w:rsidRDefault="00FE55C0" w:rsidP="00DD63D7">
            <w:pPr>
              <w:tabs>
                <w:tab w:val="decimal" w:pos="884"/>
              </w:tabs>
              <w:jc w:val="right"/>
              <w:rPr>
                <w:szCs w:val="24"/>
              </w:rPr>
            </w:pPr>
            <w:r w:rsidRPr="001A0743">
              <w:rPr>
                <w:szCs w:val="24"/>
              </w:rPr>
              <w:t>(5,630)</w:t>
            </w:r>
          </w:p>
        </w:tc>
        <w:tc>
          <w:tcPr>
            <w:tcW w:w="1701" w:type="dxa"/>
            <w:shd w:val="clear" w:color="auto" w:fill="auto"/>
            <w:vAlign w:val="center"/>
          </w:tcPr>
          <w:p w14:paraId="7A994AA5" w14:textId="02E991E4" w:rsidR="00FE55C0" w:rsidRPr="001A0743" w:rsidRDefault="00FE55C0" w:rsidP="00DD63D7">
            <w:pPr>
              <w:tabs>
                <w:tab w:val="decimal" w:pos="884"/>
              </w:tabs>
              <w:jc w:val="right"/>
              <w:rPr>
                <w:szCs w:val="24"/>
              </w:rPr>
            </w:pPr>
            <w:r w:rsidRPr="001A0743">
              <w:rPr>
                <w:szCs w:val="24"/>
              </w:rPr>
              <w:t>5,095</w:t>
            </w:r>
          </w:p>
        </w:tc>
        <w:tc>
          <w:tcPr>
            <w:tcW w:w="1701" w:type="dxa"/>
            <w:shd w:val="clear" w:color="auto" w:fill="auto"/>
            <w:vAlign w:val="center"/>
          </w:tcPr>
          <w:p w14:paraId="65D1A67B" w14:textId="3CE4C78D" w:rsidR="00FE55C0" w:rsidRPr="001A0743" w:rsidRDefault="00FE55C0" w:rsidP="00DD63D7">
            <w:pPr>
              <w:tabs>
                <w:tab w:val="decimal" w:pos="884"/>
              </w:tabs>
              <w:jc w:val="right"/>
              <w:rPr>
                <w:szCs w:val="24"/>
              </w:rPr>
            </w:pPr>
            <w:r w:rsidRPr="001A0743">
              <w:rPr>
                <w:szCs w:val="24"/>
              </w:rPr>
              <w:t>(36,208)</w:t>
            </w:r>
          </w:p>
        </w:tc>
      </w:tr>
    </w:tbl>
    <w:p w14:paraId="49E6BC6D" w14:textId="77777777" w:rsidR="000C442C" w:rsidRDefault="000C442C" w:rsidP="000C442C">
      <w:pPr>
        <w:ind w:left="709" w:hanging="709"/>
        <w:rPr>
          <w:b/>
          <w:szCs w:val="24"/>
        </w:rPr>
        <w:sectPr w:rsidR="000C442C" w:rsidSect="000C442C">
          <w:pgSz w:w="16840" w:h="11907" w:orient="landscape" w:code="9"/>
          <w:pgMar w:top="567" w:right="454" w:bottom="567" w:left="397" w:header="720" w:footer="720" w:gutter="0"/>
          <w:cols w:space="720"/>
          <w:docGrid w:linePitch="326"/>
        </w:sectPr>
      </w:pPr>
    </w:p>
    <w:p w14:paraId="392AD632" w14:textId="0F7656A5" w:rsidR="00D90216" w:rsidRPr="006563F1" w:rsidRDefault="001C592E" w:rsidP="006563F1">
      <w:pPr>
        <w:pStyle w:val="Heading2"/>
        <w:jc w:val="left"/>
        <w:rPr>
          <w:sz w:val="24"/>
          <w:szCs w:val="24"/>
        </w:rPr>
      </w:pPr>
      <w:bookmarkStart w:id="55" w:name="_Toc166761551"/>
      <w:r w:rsidRPr="006563F1">
        <w:rPr>
          <w:sz w:val="24"/>
          <w:szCs w:val="24"/>
        </w:rPr>
        <w:lastRenderedPageBreak/>
        <w:t>1</w:t>
      </w:r>
      <w:r w:rsidR="008F213A" w:rsidRPr="006563F1">
        <w:rPr>
          <w:sz w:val="24"/>
          <w:szCs w:val="24"/>
        </w:rPr>
        <w:t>8</w:t>
      </w:r>
      <w:r w:rsidR="00D90216" w:rsidRPr="006563F1">
        <w:rPr>
          <w:sz w:val="24"/>
          <w:szCs w:val="24"/>
        </w:rPr>
        <w:tab/>
      </w:r>
      <w:bookmarkStart w:id="56" w:name="N18"/>
      <w:bookmarkEnd w:id="56"/>
      <w:r w:rsidR="00D90216" w:rsidRPr="006563F1">
        <w:rPr>
          <w:sz w:val="24"/>
          <w:szCs w:val="24"/>
        </w:rPr>
        <w:t>Unusable Reserves</w:t>
      </w:r>
      <w:bookmarkEnd w:id="55"/>
    </w:p>
    <w:p w14:paraId="3B681508" w14:textId="77777777" w:rsidR="00D90216" w:rsidRPr="001A0743" w:rsidRDefault="00D90216" w:rsidP="000C442C">
      <w:pPr>
        <w:ind w:left="360"/>
        <w:rPr>
          <w:szCs w:val="24"/>
        </w:rPr>
      </w:pPr>
    </w:p>
    <w:p w14:paraId="22FB97B8" w14:textId="2473A193" w:rsidR="00D90216" w:rsidRPr="001A0743" w:rsidRDefault="00D90216" w:rsidP="000C442C">
      <w:pPr>
        <w:ind w:left="709"/>
        <w:rPr>
          <w:szCs w:val="24"/>
        </w:rPr>
      </w:pPr>
      <w:r w:rsidRPr="001A0743">
        <w:rPr>
          <w:szCs w:val="24"/>
        </w:rPr>
        <w:t>The total Unusable Reserves are shown in the Movement in Reserves Statement, and details of each reserve and the movements are shown in the following tables:</w:t>
      </w:r>
    </w:p>
    <w:p w14:paraId="28F83015" w14:textId="77777777" w:rsidR="00D90216" w:rsidRPr="001A0743" w:rsidRDefault="00D90216" w:rsidP="00D90216">
      <w:pPr>
        <w:ind w:left="360"/>
        <w:rPr>
          <w:szCs w:val="24"/>
        </w:rPr>
      </w:pPr>
    </w:p>
    <w:tbl>
      <w:tblPr>
        <w:tblW w:w="834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1559"/>
        <w:gridCol w:w="1536"/>
      </w:tblGrid>
      <w:tr w:rsidR="00670DBF" w:rsidRPr="001A0743" w14:paraId="05553C57" w14:textId="77777777" w:rsidTr="00611673">
        <w:trPr>
          <w:tblHeader/>
        </w:trPr>
        <w:tc>
          <w:tcPr>
            <w:tcW w:w="5245" w:type="dxa"/>
            <w:shd w:val="clear" w:color="auto" w:fill="BD2716"/>
          </w:tcPr>
          <w:p w14:paraId="54595EFC" w14:textId="77777777" w:rsidR="00670DBF" w:rsidRPr="00982FEC" w:rsidRDefault="00670DBF" w:rsidP="00670DBF">
            <w:pPr>
              <w:rPr>
                <w:color w:val="FFFFFF" w:themeColor="background1"/>
                <w:szCs w:val="24"/>
              </w:rPr>
            </w:pPr>
          </w:p>
        </w:tc>
        <w:tc>
          <w:tcPr>
            <w:tcW w:w="1559" w:type="dxa"/>
            <w:shd w:val="clear" w:color="auto" w:fill="BD2716"/>
            <w:vAlign w:val="center"/>
          </w:tcPr>
          <w:p w14:paraId="396997DF" w14:textId="77777777" w:rsidR="00670DBF" w:rsidRPr="00982FEC" w:rsidRDefault="00670DBF" w:rsidP="00611673">
            <w:pPr>
              <w:jc w:val="right"/>
              <w:rPr>
                <w:color w:val="FFFFFF" w:themeColor="background1"/>
                <w:szCs w:val="24"/>
              </w:rPr>
            </w:pPr>
            <w:r w:rsidRPr="00982FEC">
              <w:rPr>
                <w:color w:val="FFFFFF" w:themeColor="background1"/>
                <w:szCs w:val="24"/>
              </w:rPr>
              <w:t>202</w:t>
            </w:r>
            <w:r w:rsidR="00DA2AF3" w:rsidRPr="00982FEC">
              <w:rPr>
                <w:color w:val="FFFFFF" w:themeColor="background1"/>
                <w:szCs w:val="24"/>
              </w:rPr>
              <w:t>2</w:t>
            </w:r>
            <w:r w:rsidRPr="00982FEC">
              <w:rPr>
                <w:color w:val="FFFFFF" w:themeColor="background1"/>
                <w:szCs w:val="24"/>
              </w:rPr>
              <w:t>/2</w:t>
            </w:r>
            <w:r w:rsidR="00DA2AF3" w:rsidRPr="00982FEC">
              <w:rPr>
                <w:color w:val="FFFFFF" w:themeColor="background1"/>
                <w:szCs w:val="24"/>
              </w:rPr>
              <w:t>3</w:t>
            </w:r>
          </w:p>
          <w:p w14:paraId="039DBCB9" w14:textId="419E768B" w:rsidR="00FE55C0" w:rsidRPr="00982FEC" w:rsidRDefault="00FE55C0" w:rsidP="00611673">
            <w:pPr>
              <w:jc w:val="right"/>
              <w:rPr>
                <w:color w:val="FFFFFF" w:themeColor="background1"/>
                <w:szCs w:val="24"/>
              </w:rPr>
            </w:pPr>
            <w:r w:rsidRPr="00982FEC">
              <w:rPr>
                <w:color w:val="FFFFFF" w:themeColor="background1"/>
                <w:szCs w:val="24"/>
              </w:rPr>
              <w:t>£000</w:t>
            </w:r>
          </w:p>
        </w:tc>
        <w:tc>
          <w:tcPr>
            <w:tcW w:w="1536" w:type="dxa"/>
            <w:shd w:val="clear" w:color="auto" w:fill="BD2716"/>
            <w:vAlign w:val="center"/>
          </w:tcPr>
          <w:p w14:paraId="044ABE8E" w14:textId="77777777" w:rsidR="00670DBF" w:rsidRPr="00982FEC" w:rsidRDefault="00670DBF" w:rsidP="00611673">
            <w:pPr>
              <w:jc w:val="right"/>
              <w:rPr>
                <w:color w:val="FFFFFF" w:themeColor="background1"/>
                <w:szCs w:val="24"/>
              </w:rPr>
            </w:pPr>
            <w:r w:rsidRPr="00982FEC">
              <w:rPr>
                <w:color w:val="FFFFFF" w:themeColor="background1"/>
                <w:szCs w:val="24"/>
              </w:rPr>
              <w:t>202</w:t>
            </w:r>
            <w:r w:rsidR="00DA2AF3" w:rsidRPr="00982FEC">
              <w:rPr>
                <w:color w:val="FFFFFF" w:themeColor="background1"/>
                <w:szCs w:val="24"/>
              </w:rPr>
              <w:t>1</w:t>
            </w:r>
            <w:r w:rsidRPr="00982FEC">
              <w:rPr>
                <w:color w:val="FFFFFF" w:themeColor="background1"/>
                <w:szCs w:val="24"/>
              </w:rPr>
              <w:t>/2</w:t>
            </w:r>
            <w:r w:rsidR="00DA2AF3" w:rsidRPr="00982FEC">
              <w:rPr>
                <w:color w:val="FFFFFF" w:themeColor="background1"/>
                <w:szCs w:val="24"/>
              </w:rPr>
              <w:t>2</w:t>
            </w:r>
          </w:p>
          <w:p w14:paraId="66D5847E" w14:textId="2B182557" w:rsidR="00FE55C0" w:rsidRPr="00982FEC" w:rsidRDefault="00FE55C0" w:rsidP="00611673">
            <w:pPr>
              <w:jc w:val="right"/>
              <w:rPr>
                <w:color w:val="FFFFFF" w:themeColor="background1"/>
                <w:szCs w:val="24"/>
              </w:rPr>
            </w:pPr>
            <w:r w:rsidRPr="00982FEC">
              <w:rPr>
                <w:color w:val="FFFFFF" w:themeColor="background1"/>
                <w:szCs w:val="24"/>
              </w:rPr>
              <w:t>£000</w:t>
            </w:r>
          </w:p>
        </w:tc>
      </w:tr>
      <w:tr w:rsidR="00DA2AF3" w:rsidRPr="001A0743" w14:paraId="6471EE77" w14:textId="77777777" w:rsidTr="00DD63D7">
        <w:tc>
          <w:tcPr>
            <w:tcW w:w="5245" w:type="dxa"/>
            <w:shd w:val="clear" w:color="auto" w:fill="auto"/>
          </w:tcPr>
          <w:p w14:paraId="6260B46C" w14:textId="77777777" w:rsidR="00DA2AF3" w:rsidRPr="001A0743" w:rsidRDefault="00DA2AF3" w:rsidP="00DA2AF3">
            <w:pPr>
              <w:pStyle w:val="Footer"/>
              <w:tabs>
                <w:tab w:val="clear" w:pos="4153"/>
                <w:tab w:val="clear" w:pos="8306"/>
                <w:tab w:val="left" w:pos="720"/>
                <w:tab w:val="center" w:pos="6930"/>
              </w:tabs>
              <w:ind w:left="-108"/>
              <w:rPr>
                <w:szCs w:val="24"/>
              </w:rPr>
            </w:pPr>
            <w:r w:rsidRPr="001A0743">
              <w:rPr>
                <w:szCs w:val="24"/>
              </w:rPr>
              <w:t>Revaluation Reserve</w:t>
            </w:r>
          </w:p>
        </w:tc>
        <w:tc>
          <w:tcPr>
            <w:tcW w:w="1559" w:type="dxa"/>
            <w:shd w:val="clear" w:color="auto" w:fill="auto"/>
            <w:vAlign w:val="center"/>
          </w:tcPr>
          <w:p w14:paraId="32F67218" w14:textId="24A6B990" w:rsidR="00DA2AF3" w:rsidRPr="001A0743" w:rsidRDefault="00DA2AF3" w:rsidP="00DD63D7">
            <w:pPr>
              <w:tabs>
                <w:tab w:val="decimal" w:pos="1220"/>
              </w:tabs>
              <w:jc w:val="right"/>
              <w:rPr>
                <w:szCs w:val="24"/>
              </w:rPr>
            </w:pPr>
            <w:r w:rsidRPr="001A0743">
              <w:rPr>
                <w:szCs w:val="24"/>
              </w:rPr>
              <w:t>(</w:t>
            </w:r>
            <w:r w:rsidR="00411B56" w:rsidRPr="001A0743">
              <w:rPr>
                <w:szCs w:val="24"/>
              </w:rPr>
              <w:t>75,306</w:t>
            </w:r>
            <w:r w:rsidRPr="001A0743">
              <w:rPr>
                <w:szCs w:val="24"/>
              </w:rPr>
              <w:t>)</w:t>
            </w:r>
          </w:p>
        </w:tc>
        <w:tc>
          <w:tcPr>
            <w:tcW w:w="1536" w:type="dxa"/>
            <w:shd w:val="clear" w:color="auto" w:fill="auto"/>
            <w:vAlign w:val="center"/>
          </w:tcPr>
          <w:p w14:paraId="211D2B66" w14:textId="222C3923" w:rsidR="00DA2AF3" w:rsidRPr="001A0743" w:rsidRDefault="00DA2AF3" w:rsidP="00DD63D7">
            <w:pPr>
              <w:tabs>
                <w:tab w:val="decimal" w:pos="1220"/>
              </w:tabs>
              <w:jc w:val="right"/>
              <w:rPr>
                <w:szCs w:val="24"/>
              </w:rPr>
            </w:pPr>
            <w:r w:rsidRPr="001A0743">
              <w:rPr>
                <w:szCs w:val="24"/>
              </w:rPr>
              <w:t>(56,221)</w:t>
            </w:r>
          </w:p>
        </w:tc>
      </w:tr>
      <w:tr w:rsidR="00DA2AF3" w:rsidRPr="001A0743" w14:paraId="63D08073" w14:textId="77777777" w:rsidTr="00DD63D7">
        <w:tc>
          <w:tcPr>
            <w:tcW w:w="5245" w:type="dxa"/>
            <w:shd w:val="clear" w:color="auto" w:fill="auto"/>
          </w:tcPr>
          <w:p w14:paraId="01D63290" w14:textId="77777777" w:rsidR="00DA2AF3" w:rsidRPr="001A0743" w:rsidRDefault="00DA2AF3" w:rsidP="00DA2AF3">
            <w:pPr>
              <w:pStyle w:val="Footer"/>
              <w:tabs>
                <w:tab w:val="clear" w:pos="4153"/>
                <w:tab w:val="clear" w:pos="8306"/>
                <w:tab w:val="left" w:pos="720"/>
                <w:tab w:val="center" w:pos="6930"/>
              </w:tabs>
              <w:ind w:left="-108"/>
              <w:rPr>
                <w:szCs w:val="24"/>
              </w:rPr>
            </w:pPr>
            <w:r w:rsidRPr="001A0743">
              <w:rPr>
                <w:szCs w:val="24"/>
              </w:rPr>
              <w:t>Capital Adjustment Account</w:t>
            </w:r>
          </w:p>
        </w:tc>
        <w:tc>
          <w:tcPr>
            <w:tcW w:w="1559" w:type="dxa"/>
            <w:shd w:val="clear" w:color="auto" w:fill="auto"/>
            <w:vAlign w:val="center"/>
          </w:tcPr>
          <w:p w14:paraId="115E5DEF" w14:textId="6D2BE9AD" w:rsidR="00DA2AF3" w:rsidRPr="001A0743" w:rsidRDefault="00DA2AF3" w:rsidP="00DD63D7">
            <w:pPr>
              <w:tabs>
                <w:tab w:val="decimal" w:pos="1220"/>
              </w:tabs>
              <w:jc w:val="right"/>
              <w:rPr>
                <w:szCs w:val="24"/>
              </w:rPr>
            </w:pPr>
            <w:r w:rsidRPr="001A0743">
              <w:rPr>
                <w:szCs w:val="24"/>
              </w:rPr>
              <w:t>(3</w:t>
            </w:r>
            <w:r w:rsidR="0041440B" w:rsidRPr="001A0743">
              <w:rPr>
                <w:szCs w:val="24"/>
              </w:rPr>
              <w:t>8,281</w:t>
            </w:r>
            <w:r w:rsidRPr="001A0743">
              <w:rPr>
                <w:szCs w:val="24"/>
              </w:rPr>
              <w:t>)</w:t>
            </w:r>
          </w:p>
        </w:tc>
        <w:tc>
          <w:tcPr>
            <w:tcW w:w="1536" w:type="dxa"/>
            <w:shd w:val="clear" w:color="auto" w:fill="auto"/>
            <w:vAlign w:val="center"/>
          </w:tcPr>
          <w:p w14:paraId="3B536B51" w14:textId="1EB9F8CD" w:rsidR="00DA2AF3" w:rsidRPr="001A0743" w:rsidRDefault="00DA2AF3" w:rsidP="00DD63D7">
            <w:pPr>
              <w:tabs>
                <w:tab w:val="decimal" w:pos="1220"/>
              </w:tabs>
              <w:jc w:val="right"/>
              <w:rPr>
                <w:szCs w:val="24"/>
              </w:rPr>
            </w:pPr>
            <w:r w:rsidRPr="001A0743">
              <w:rPr>
                <w:szCs w:val="24"/>
              </w:rPr>
              <w:t>(39,469)</w:t>
            </w:r>
          </w:p>
        </w:tc>
      </w:tr>
      <w:tr w:rsidR="00DA2AF3" w:rsidRPr="001A0743" w14:paraId="3E25F287" w14:textId="77777777" w:rsidTr="00DD63D7">
        <w:tc>
          <w:tcPr>
            <w:tcW w:w="5245" w:type="dxa"/>
            <w:shd w:val="clear" w:color="auto" w:fill="auto"/>
          </w:tcPr>
          <w:p w14:paraId="50DCB72F" w14:textId="77777777" w:rsidR="00DA2AF3" w:rsidRPr="001A0743" w:rsidRDefault="00DA2AF3" w:rsidP="00DA2AF3">
            <w:pPr>
              <w:pStyle w:val="Footer"/>
              <w:tabs>
                <w:tab w:val="clear" w:pos="4153"/>
                <w:tab w:val="clear" w:pos="8306"/>
                <w:tab w:val="left" w:pos="720"/>
                <w:tab w:val="center" w:pos="6930"/>
              </w:tabs>
              <w:ind w:left="-108"/>
              <w:rPr>
                <w:szCs w:val="24"/>
              </w:rPr>
            </w:pPr>
            <w:r w:rsidRPr="001A0743">
              <w:rPr>
                <w:szCs w:val="24"/>
              </w:rPr>
              <w:t>Pensions Reserve</w:t>
            </w:r>
          </w:p>
        </w:tc>
        <w:tc>
          <w:tcPr>
            <w:tcW w:w="1559" w:type="dxa"/>
            <w:shd w:val="clear" w:color="auto" w:fill="auto"/>
            <w:vAlign w:val="center"/>
          </w:tcPr>
          <w:p w14:paraId="3E6C6622" w14:textId="581A178A" w:rsidR="00DA2AF3" w:rsidRPr="001A0743" w:rsidRDefault="001C2721" w:rsidP="00DD63D7">
            <w:pPr>
              <w:tabs>
                <w:tab w:val="decimal" w:pos="1220"/>
              </w:tabs>
              <w:jc w:val="right"/>
              <w:rPr>
                <w:szCs w:val="24"/>
              </w:rPr>
            </w:pPr>
            <w:r w:rsidRPr="001A0743">
              <w:rPr>
                <w:szCs w:val="24"/>
              </w:rPr>
              <w:t>6</w:t>
            </w:r>
            <w:r w:rsidR="008302A9">
              <w:rPr>
                <w:szCs w:val="24"/>
              </w:rPr>
              <w:t>51</w:t>
            </w:r>
            <w:r w:rsidRPr="001A0743">
              <w:rPr>
                <w:szCs w:val="24"/>
              </w:rPr>
              <w:t>,</w:t>
            </w:r>
            <w:r w:rsidR="008302A9">
              <w:rPr>
                <w:szCs w:val="24"/>
              </w:rPr>
              <w:t>53</w:t>
            </w:r>
            <w:r w:rsidR="004532EC">
              <w:rPr>
                <w:szCs w:val="24"/>
              </w:rPr>
              <w:t>6</w:t>
            </w:r>
          </w:p>
        </w:tc>
        <w:tc>
          <w:tcPr>
            <w:tcW w:w="1536" w:type="dxa"/>
            <w:shd w:val="clear" w:color="auto" w:fill="auto"/>
            <w:vAlign w:val="center"/>
          </w:tcPr>
          <w:p w14:paraId="28B568B0" w14:textId="5FF4D2F3" w:rsidR="00DA2AF3" w:rsidRPr="001A0743" w:rsidRDefault="00DA2AF3" w:rsidP="00DD63D7">
            <w:pPr>
              <w:tabs>
                <w:tab w:val="decimal" w:pos="1220"/>
              </w:tabs>
              <w:jc w:val="right"/>
              <w:rPr>
                <w:szCs w:val="24"/>
              </w:rPr>
            </w:pPr>
            <w:r w:rsidRPr="001A0743">
              <w:rPr>
                <w:szCs w:val="24"/>
              </w:rPr>
              <w:t>883,434</w:t>
            </w:r>
          </w:p>
        </w:tc>
      </w:tr>
      <w:tr w:rsidR="00DA2AF3" w:rsidRPr="001A0743" w14:paraId="06A2D2EC" w14:textId="77777777" w:rsidTr="00DD63D7">
        <w:tc>
          <w:tcPr>
            <w:tcW w:w="5245" w:type="dxa"/>
            <w:shd w:val="clear" w:color="auto" w:fill="auto"/>
          </w:tcPr>
          <w:p w14:paraId="50D5EC00" w14:textId="77777777" w:rsidR="00DA2AF3" w:rsidRPr="001A0743" w:rsidRDefault="00DA2AF3" w:rsidP="00DA2AF3">
            <w:pPr>
              <w:pStyle w:val="Footer"/>
              <w:tabs>
                <w:tab w:val="clear" w:pos="4153"/>
                <w:tab w:val="clear" w:pos="8306"/>
                <w:tab w:val="left" w:pos="720"/>
                <w:tab w:val="center" w:pos="6930"/>
              </w:tabs>
              <w:ind w:left="-108"/>
              <w:rPr>
                <w:szCs w:val="24"/>
              </w:rPr>
            </w:pPr>
            <w:r w:rsidRPr="001A0743">
              <w:rPr>
                <w:szCs w:val="24"/>
              </w:rPr>
              <w:t>Collection Fund Adjustment Account</w:t>
            </w:r>
          </w:p>
        </w:tc>
        <w:tc>
          <w:tcPr>
            <w:tcW w:w="1559" w:type="dxa"/>
            <w:shd w:val="clear" w:color="auto" w:fill="auto"/>
            <w:vAlign w:val="center"/>
          </w:tcPr>
          <w:p w14:paraId="39CB965D" w14:textId="4A6A5B7D" w:rsidR="00DA2AF3" w:rsidRPr="001A0743" w:rsidRDefault="00721432" w:rsidP="00DD63D7">
            <w:pPr>
              <w:tabs>
                <w:tab w:val="decimal" w:pos="1220"/>
              </w:tabs>
              <w:jc w:val="right"/>
              <w:rPr>
                <w:szCs w:val="24"/>
              </w:rPr>
            </w:pPr>
            <w:r w:rsidRPr="001A0743">
              <w:rPr>
                <w:szCs w:val="24"/>
              </w:rPr>
              <w:t>(207)</w:t>
            </w:r>
          </w:p>
        </w:tc>
        <w:tc>
          <w:tcPr>
            <w:tcW w:w="1536" w:type="dxa"/>
            <w:shd w:val="clear" w:color="auto" w:fill="auto"/>
            <w:vAlign w:val="center"/>
          </w:tcPr>
          <w:p w14:paraId="42D871DA" w14:textId="1040A759" w:rsidR="00DA2AF3" w:rsidRPr="001A0743" w:rsidRDefault="00DA2AF3" w:rsidP="00DD63D7">
            <w:pPr>
              <w:tabs>
                <w:tab w:val="decimal" w:pos="1220"/>
              </w:tabs>
              <w:jc w:val="right"/>
              <w:rPr>
                <w:szCs w:val="24"/>
              </w:rPr>
            </w:pPr>
            <w:r w:rsidRPr="001A0743">
              <w:rPr>
                <w:szCs w:val="24"/>
              </w:rPr>
              <w:t>776</w:t>
            </w:r>
          </w:p>
        </w:tc>
      </w:tr>
      <w:tr w:rsidR="00DA2AF3" w:rsidRPr="001A0743" w14:paraId="44B79B53" w14:textId="77777777" w:rsidTr="00DD63D7">
        <w:tc>
          <w:tcPr>
            <w:tcW w:w="5245" w:type="dxa"/>
            <w:shd w:val="clear" w:color="auto" w:fill="auto"/>
          </w:tcPr>
          <w:p w14:paraId="2F825238" w14:textId="77777777" w:rsidR="00DA2AF3" w:rsidRPr="001A0743" w:rsidRDefault="00DA2AF3" w:rsidP="00DA2AF3">
            <w:pPr>
              <w:pStyle w:val="Footer"/>
              <w:tabs>
                <w:tab w:val="clear" w:pos="4153"/>
                <w:tab w:val="clear" w:pos="8306"/>
                <w:tab w:val="left" w:pos="720"/>
                <w:tab w:val="center" w:pos="6930"/>
              </w:tabs>
              <w:ind w:left="-108"/>
              <w:rPr>
                <w:szCs w:val="24"/>
              </w:rPr>
            </w:pPr>
            <w:r w:rsidRPr="001A0743">
              <w:rPr>
                <w:szCs w:val="24"/>
              </w:rPr>
              <w:t>Accumulated Absences Adjustment Account</w:t>
            </w:r>
          </w:p>
        </w:tc>
        <w:tc>
          <w:tcPr>
            <w:tcW w:w="1559" w:type="dxa"/>
            <w:shd w:val="clear" w:color="auto" w:fill="auto"/>
            <w:vAlign w:val="center"/>
          </w:tcPr>
          <w:p w14:paraId="359907CF" w14:textId="61132D3A" w:rsidR="00DA2AF3" w:rsidRPr="001A0743" w:rsidRDefault="008A677B" w:rsidP="00DD63D7">
            <w:pPr>
              <w:tabs>
                <w:tab w:val="decimal" w:pos="1220"/>
              </w:tabs>
              <w:jc w:val="right"/>
              <w:rPr>
                <w:szCs w:val="24"/>
              </w:rPr>
            </w:pPr>
            <w:r w:rsidRPr="001A0743">
              <w:rPr>
                <w:szCs w:val="24"/>
              </w:rPr>
              <w:t>957</w:t>
            </w:r>
          </w:p>
        </w:tc>
        <w:tc>
          <w:tcPr>
            <w:tcW w:w="1536" w:type="dxa"/>
            <w:shd w:val="clear" w:color="auto" w:fill="auto"/>
            <w:vAlign w:val="center"/>
          </w:tcPr>
          <w:p w14:paraId="505D4FD7" w14:textId="6BA890F8" w:rsidR="00DA2AF3" w:rsidRPr="001A0743" w:rsidRDefault="00DA2AF3" w:rsidP="00DD63D7">
            <w:pPr>
              <w:tabs>
                <w:tab w:val="decimal" w:pos="1220"/>
              </w:tabs>
              <w:jc w:val="right"/>
              <w:rPr>
                <w:szCs w:val="24"/>
              </w:rPr>
            </w:pPr>
            <w:r w:rsidRPr="001A0743">
              <w:rPr>
                <w:szCs w:val="24"/>
              </w:rPr>
              <w:t>839</w:t>
            </w:r>
          </w:p>
        </w:tc>
      </w:tr>
      <w:tr w:rsidR="00DA2AF3" w:rsidRPr="001A0743" w14:paraId="4C138615" w14:textId="77777777" w:rsidTr="00DD63D7">
        <w:tc>
          <w:tcPr>
            <w:tcW w:w="5245" w:type="dxa"/>
            <w:shd w:val="clear" w:color="auto" w:fill="auto"/>
          </w:tcPr>
          <w:p w14:paraId="2035F9A6" w14:textId="77777777" w:rsidR="00DA2AF3" w:rsidRPr="001A0743" w:rsidRDefault="00DA2AF3" w:rsidP="00DA2AF3">
            <w:pPr>
              <w:pStyle w:val="Footer"/>
              <w:tabs>
                <w:tab w:val="clear" w:pos="4153"/>
                <w:tab w:val="clear" w:pos="8306"/>
                <w:tab w:val="left" w:pos="720"/>
                <w:tab w:val="center" w:pos="6930"/>
              </w:tabs>
              <w:ind w:left="-108"/>
              <w:rPr>
                <w:szCs w:val="24"/>
              </w:rPr>
            </w:pPr>
            <w:r w:rsidRPr="001A0743">
              <w:rPr>
                <w:szCs w:val="24"/>
              </w:rPr>
              <w:t>Total Unusable Reserves</w:t>
            </w:r>
          </w:p>
        </w:tc>
        <w:tc>
          <w:tcPr>
            <w:tcW w:w="1559" w:type="dxa"/>
            <w:shd w:val="clear" w:color="auto" w:fill="auto"/>
            <w:vAlign w:val="center"/>
          </w:tcPr>
          <w:p w14:paraId="51B714FE" w14:textId="564C5A8C" w:rsidR="00DA2AF3" w:rsidRPr="001A0743" w:rsidRDefault="00721432" w:rsidP="00DD63D7">
            <w:pPr>
              <w:tabs>
                <w:tab w:val="decimal" w:pos="1220"/>
              </w:tabs>
              <w:jc w:val="right"/>
              <w:rPr>
                <w:szCs w:val="24"/>
              </w:rPr>
            </w:pPr>
            <w:r w:rsidRPr="001A0743">
              <w:rPr>
                <w:szCs w:val="24"/>
              </w:rPr>
              <w:t>5</w:t>
            </w:r>
            <w:r w:rsidR="008302A9">
              <w:rPr>
                <w:szCs w:val="24"/>
              </w:rPr>
              <w:t>38</w:t>
            </w:r>
            <w:r w:rsidRPr="001A0743">
              <w:rPr>
                <w:szCs w:val="24"/>
              </w:rPr>
              <w:t>,</w:t>
            </w:r>
            <w:r w:rsidR="00D94CE5">
              <w:rPr>
                <w:szCs w:val="24"/>
              </w:rPr>
              <w:t>6</w:t>
            </w:r>
            <w:r w:rsidR="008302A9">
              <w:rPr>
                <w:szCs w:val="24"/>
              </w:rPr>
              <w:t>9</w:t>
            </w:r>
            <w:r w:rsidR="00D94CE5">
              <w:rPr>
                <w:szCs w:val="24"/>
              </w:rPr>
              <w:t>9</w:t>
            </w:r>
          </w:p>
        </w:tc>
        <w:tc>
          <w:tcPr>
            <w:tcW w:w="1536" w:type="dxa"/>
            <w:shd w:val="clear" w:color="auto" w:fill="auto"/>
            <w:vAlign w:val="center"/>
          </w:tcPr>
          <w:p w14:paraId="6E2D66CB" w14:textId="5384FD6A" w:rsidR="00DA2AF3" w:rsidRPr="001A0743" w:rsidRDefault="00DA2AF3" w:rsidP="00DD63D7">
            <w:pPr>
              <w:tabs>
                <w:tab w:val="decimal" w:pos="1220"/>
              </w:tabs>
              <w:jc w:val="right"/>
              <w:rPr>
                <w:szCs w:val="24"/>
              </w:rPr>
            </w:pPr>
            <w:r w:rsidRPr="001A0743">
              <w:rPr>
                <w:szCs w:val="24"/>
              </w:rPr>
              <w:t>789,359</w:t>
            </w:r>
          </w:p>
        </w:tc>
      </w:tr>
    </w:tbl>
    <w:p w14:paraId="240BB88F" w14:textId="77777777" w:rsidR="00D90216" w:rsidRPr="001A0743" w:rsidRDefault="00D90216" w:rsidP="00D90216">
      <w:pPr>
        <w:rPr>
          <w:szCs w:val="24"/>
        </w:rPr>
      </w:pPr>
    </w:p>
    <w:p w14:paraId="70B4131F" w14:textId="77777777" w:rsidR="00D90216" w:rsidRPr="001A0743" w:rsidRDefault="00D90216" w:rsidP="00D90216">
      <w:pPr>
        <w:ind w:left="709"/>
        <w:rPr>
          <w:b/>
          <w:szCs w:val="24"/>
        </w:rPr>
      </w:pPr>
      <w:r w:rsidRPr="001A0743">
        <w:rPr>
          <w:b/>
          <w:szCs w:val="24"/>
        </w:rPr>
        <w:t>Revaluation Reserve</w:t>
      </w:r>
    </w:p>
    <w:p w14:paraId="474E8FE9" w14:textId="77777777" w:rsidR="00D90216" w:rsidRPr="001A0743" w:rsidRDefault="00D90216" w:rsidP="00D90216">
      <w:pPr>
        <w:pStyle w:val="Footer"/>
        <w:tabs>
          <w:tab w:val="clear" w:pos="4153"/>
          <w:tab w:val="clear" w:pos="8306"/>
        </w:tabs>
        <w:ind w:left="720"/>
        <w:rPr>
          <w:szCs w:val="24"/>
        </w:rPr>
      </w:pPr>
    </w:p>
    <w:tbl>
      <w:tblPr>
        <w:tblW w:w="84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2"/>
        <w:gridCol w:w="1559"/>
        <w:gridCol w:w="1559"/>
      </w:tblGrid>
      <w:tr w:rsidR="00670DBF" w:rsidRPr="001A0743" w14:paraId="188BE008" w14:textId="77777777" w:rsidTr="00611673">
        <w:trPr>
          <w:trHeight w:hRule="exact" w:val="610"/>
        </w:trPr>
        <w:tc>
          <w:tcPr>
            <w:tcW w:w="5342" w:type="dxa"/>
            <w:shd w:val="clear" w:color="auto" w:fill="BD2716"/>
          </w:tcPr>
          <w:p w14:paraId="2BF3BD08" w14:textId="77777777" w:rsidR="00670DBF" w:rsidRPr="00982FEC" w:rsidRDefault="00670DBF" w:rsidP="00670DBF">
            <w:pPr>
              <w:tabs>
                <w:tab w:val="left" w:pos="720"/>
                <w:tab w:val="center" w:pos="6930"/>
              </w:tabs>
              <w:rPr>
                <w:color w:val="FFFFFF" w:themeColor="background1"/>
                <w:szCs w:val="24"/>
              </w:rPr>
            </w:pPr>
          </w:p>
        </w:tc>
        <w:tc>
          <w:tcPr>
            <w:tcW w:w="1559" w:type="dxa"/>
            <w:shd w:val="clear" w:color="auto" w:fill="BD2716"/>
            <w:vAlign w:val="center"/>
          </w:tcPr>
          <w:p w14:paraId="0A6A258B" w14:textId="77777777" w:rsidR="00670DBF" w:rsidRPr="00982FEC" w:rsidRDefault="00670DBF" w:rsidP="00611673">
            <w:pPr>
              <w:jc w:val="right"/>
              <w:rPr>
                <w:color w:val="FFFFFF" w:themeColor="background1"/>
                <w:szCs w:val="24"/>
              </w:rPr>
            </w:pPr>
            <w:r w:rsidRPr="00982FEC">
              <w:rPr>
                <w:color w:val="FFFFFF" w:themeColor="background1"/>
                <w:szCs w:val="24"/>
              </w:rPr>
              <w:t>202</w:t>
            </w:r>
            <w:r w:rsidR="00DA2AF3" w:rsidRPr="00982FEC">
              <w:rPr>
                <w:color w:val="FFFFFF" w:themeColor="background1"/>
                <w:szCs w:val="24"/>
              </w:rPr>
              <w:t>2</w:t>
            </w:r>
            <w:r w:rsidRPr="00982FEC">
              <w:rPr>
                <w:color w:val="FFFFFF" w:themeColor="background1"/>
                <w:szCs w:val="24"/>
              </w:rPr>
              <w:t>/2</w:t>
            </w:r>
            <w:r w:rsidR="00DA2AF3" w:rsidRPr="00982FEC">
              <w:rPr>
                <w:color w:val="FFFFFF" w:themeColor="background1"/>
                <w:szCs w:val="24"/>
              </w:rPr>
              <w:t>3</w:t>
            </w:r>
          </w:p>
          <w:p w14:paraId="40A79826" w14:textId="38B4B8D5" w:rsidR="00FE55C0" w:rsidRPr="00982FEC" w:rsidRDefault="00FE55C0" w:rsidP="00611673">
            <w:pPr>
              <w:jc w:val="right"/>
              <w:rPr>
                <w:color w:val="FFFFFF" w:themeColor="background1"/>
                <w:szCs w:val="24"/>
              </w:rPr>
            </w:pPr>
            <w:r w:rsidRPr="00982FEC">
              <w:rPr>
                <w:color w:val="FFFFFF" w:themeColor="background1"/>
                <w:szCs w:val="24"/>
              </w:rPr>
              <w:t>£000</w:t>
            </w:r>
          </w:p>
        </w:tc>
        <w:tc>
          <w:tcPr>
            <w:tcW w:w="1559" w:type="dxa"/>
            <w:shd w:val="clear" w:color="auto" w:fill="BD2716"/>
            <w:vAlign w:val="center"/>
          </w:tcPr>
          <w:p w14:paraId="59F9F783" w14:textId="77777777" w:rsidR="00670DBF" w:rsidRPr="00982FEC" w:rsidRDefault="00670DBF" w:rsidP="00611673">
            <w:pPr>
              <w:jc w:val="right"/>
              <w:rPr>
                <w:color w:val="FFFFFF" w:themeColor="background1"/>
                <w:szCs w:val="24"/>
              </w:rPr>
            </w:pPr>
            <w:r w:rsidRPr="00982FEC">
              <w:rPr>
                <w:color w:val="FFFFFF" w:themeColor="background1"/>
                <w:szCs w:val="24"/>
              </w:rPr>
              <w:t>202</w:t>
            </w:r>
            <w:r w:rsidR="00DA2AF3" w:rsidRPr="00982FEC">
              <w:rPr>
                <w:color w:val="FFFFFF" w:themeColor="background1"/>
                <w:szCs w:val="24"/>
              </w:rPr>
              <w:t>1</w:t>
            </w:r>
            <w:r w:rsidRPr="00982FEC">
              <w:rPr>
                <w:color w:val="FFFFFF" w:themeColor="background1"/>
                <w:szCs w:val="24"/>
              </w:rPr>
              <w:t>/2</w:t>
            </w:r>
            <w:r w:rsidR="00DA2AF3" w:rsidRPr="00982FEC">
              <w:rPr>
                <w:color w:val="FFFFFF" w:themeColor="background1"/>
                <w:szCs w:val="24"/>
              </w:rPr>
              <w:t>2</w:t>
            </w:r>
          </w:p>
          <w:p w14:paraId="1537AE7F" w14:textId="0904CA6D" w:rsidR="00FE55C0" w:rsidRPr="00982FEC" w:rsidRDefault="00FE55C0" w:rsidP="00611673">
            <w:pPr>
              <w:jc w:val="right"/>
              <w:rPr>
                <w:color w:val="FFFFFF" w:themeColor="background1"/>
                <w:szCs w:val="24"/>
              </w:rPr>
            </w:pPr>
            <w:r w:rsidRPr="00982FEC">
              <w:rPr>
                <w:color w:val="FFFFFF" w:themeColor="background1"/>
                <w:szCs w:val="24"/>
              </w:rPr>
              <w:t>£000</w:t>
            </w:r>
          </w:p>
        </w:tc>
      </w:tr>
      <w:tr w:rsidR="00DA2AF3" w:rsidRPr="001A0743" w14:paraId="0D84917E" w14:textId="77777777" w:rsidTr="00DD63D7">
        <w:trPr>
          <w:trHeight w:hRule="exact" w:val="300"/>
        </w:trPr>
        <w:tc>
          <w:tcPr>
            <w:tcW w:w="5342" w:type="dxa"/>
          </w:tcPr>
          <w:p w14:paraId="1B59E530" w14:textId="77777777" w:rsidR="00DA2AF3" w:rsidRPr="001A0743" w:rsidRDefault="00DA2AF3" w:rsidP="00DA2AF3">
            <w:pPr>
              <w:pStyle w:val="Footer"/>
              <w:tabs>
                <w:tab w:val="clear" w:pos="4153"/>
                <w:tab w:val="clear" w:pos="8306"/>
                <w:tab w:val="left" w:pos="720"/>
                <w:tab w:val="center" w:pos="6930"/>
              </w:tabs>
              <w:rPr>
                <w:szCs w:val="24"/>
              </w:rPr>
            </w:pPr>
            <w:r w:rsidRPr="001A0743">
              <w:rPr>
                <w:szCs w:val="24"/>
              </w:rPr>
              <w:t xml:space="preserve">Balance </w:t>
            </w:r>
            <w:proofErr w:type="gramStart"/>
            <w:r w:rsidRPr="001A0743">
              <w:rPr>
                <w:szCs w:val="24"/>
              </w:rPr>
              <w:t>at</w:t>
            </w:r>
            <w:proofErr w:type="gramEnd"/>
            <w:r w:rsidRPr="001A0743">
              <w:rPr>
                <w:szCs w:val="24"/>
              </w:rPr>
              <w:t xml:space="preserve"> 1 April</w:t>
            </w:r>
          </w:p>
        </w:tc>
        <w:tc>
          <w:tcPr>
            <w:tcW w:w="1559" w:type="dxa"/>
            <w:vAlign w:val="center"/>
          </w:tcPr>
          <w:p w14:paraId="62BA2D4A" w14:textId="2E999A5E" w:rsidR="00DA2AF3" w:rsidRPr="001A0743" w:rsidRDefault="00DA2AF3" w:rsidP="00DD63D7">
            <w:pPr>
              <w:tabs>
                <w:tab w:val="decimal" w:pos="1026"/>
              </w:tabs>
              <w:jc w:val="right"/>
              <w:rPr>
                <w:szCs w:val="24"/>
              </w:rPr>
            </w:pPr>
            <w:r w:rsidRPr="001A0743">
              <w:rPr>
                <w:szCs w:val="24"/>
              </w:rPr>
              <w:t>(</w:t>
            </w:r>
            <w:r w:rsidR="00411B56" w:rsidRPr="001A0743">
              <w:rPr>
                <w:szCs w:val="24"/>
              </w:rPr>
              <w:t>56,221</w:t>
            </w:r>
            <w:r w:rsidRPr="001A0743">
              <w:rPr>
                <w:szCs w:val="24"/>
              </w:rPr>
              <w:t>)</w:t>
            </w:r>
          </w:p>
        </w:tc>
        <w:tc>
          <w:tcPr>
            <w:tcW w:w="1559" w:type="dxa"/>
            <w:vAlign w:val="center"/>
          </w:tcPr>
          <w:p w14:paraId="0302C917" w14:textId="5FDDCFD2" w:rsidR="00DA2AF3" w:rsidRPr="001A0743" w:rsidRDefault="00DA2AF3" w:rsidP="00DD63D7">
            <w:pPr>
              <w:tabs>
                <w:tab w:val="decimal" w:pos="1026"/>
              </w:tabs>
              <w:jc w:val="right"/>
              <w:rPr>
                <w:szCs w:val="24"/>
              </w:rPr>
            </w:pPr>
            <w:r w:rsidRPr="001A0743">
              <w:rPr>
                <w:szCs w:val="24"/>
              </w:rPr>
              <w:t>(47,400)</w:t>
            </w:r>
          </w:p>
        </w:tc>
      </w:tr>
      <w:tr w:rsidR="00DA2AF3" w:rsidRPr="001A0743" w14:paraId="5DA97C49" w14:textId="77777777" w:rsidTr="00DD63D7">
        <w:trPr>
          <w:trHeight w:hRule="exact" w:val="300"/>
        </w:trPr>
        <w:tc>
          <w:tcPr>
            <w:tcW w:w="5342" w:type="dxa"/>
          </w:tcPr>
          <w:p w14:paraId="31CE386F" w14:textId="77777777" w:rsidR="00DA2AF3" w:rsidRPr="001A0743" w:rsidRDefault="00DA2AF3" w:rsidP="00DA2AF3">
            <w:pPr>
              <w:pStyle w:val="Footer"/>
              <w:tabs>
                <w:tab w:val="clear" w:pos="4153"/>
                <w:tab w:val="clear" w:pos="8306"/>
                <w:tab w:val="left" w:pos="720"/>
                <w:tab w:val="center" w:pos="6930"/>
              </w:tabs>
              <w:rPr>
                <w:szCs w:val="24"/>
              </w:rPr>
            </w:pPr>
            <w:r w:rsidRPr="001A0743">
              <w:rPr>
                <w:szCs w:val="24"/>
              </w:rPr>
              <w:t>Upward revaluation of assets</w:t>
            </w:r>
          </w:p>
        </w:tc>
        <w:tc>
          <w:tcPr>
            <w:tcW w:w="1559" w:type="dxa"/>
            <w:vAlign w:val="center"/>
          </w:tcPr>
          <w:p w14:paraId="4F57D3DD" w14:textId="5342DFF0" w:rsidR="00DA2AF3" w:rsidRPr="001A0743" w:rsidRDefault="00DA2AF3" w:rsidP="00DD63D7">
            <w:pPr>
              <w:tabs>
                <w:tab w:val="decimal" w:pos="1026"/>
              </w:tabs>
              <w:jc w:val="right"/>
              <w:rPr>
                <w:szCs w:val="24"/>
              </w:rPr>
            </w:pPr>
            <w:r w:rsidRPr="001A0743">
              <w:rPr>
                <w:szCs w:val="24"/>
              </w:rPr>
              <w:t>(</w:t>
            </w:r>
            <w:r w:rsidR="00411B56" w:rsidRPr="001A0743">
              <w:rPr>
                <w:szCs w:val="24"/>
              </w:rPr>
              <w:t>22,28</w:t>
            </w:r>
            <w:r w:rsidR="00375D1C" w:rsidRPr="001A0743">
              <w:rPr>
                <w:szCs w:val="24"/>
              </w:rPr>
              <w:t>3</w:t>
            </w:r>
            <w:r w:rsidRPr="001A0743">
              <w:rPr>
                <w:szCs w:val="24"/>
              </w:rPr>
              <w:t>)</w:t>
            </w:r>
          </w:p>
        </w:tc>
        <w:tc>
          <w:tcPr>
            <w:tcW w:w="1559" w:type="dxa"/>
            <w:vAlign w:val="center"/>
          </w:tcPr>
          <w:p w14:paraId="38847A66" w14:textId="09547201" w:rsidR="00DA2AF3" w:rsidRPr="001A0743" w:rsidRDefault="00DA2AF3" w:rsidP="00DD63D7">
            <w:pPr>
              <w:tabs>
                <w:tab w:val="decimal" w:pos="1026"/>
              </w:tabs>
              <w:jc w:val="right"/>
              <w:rPr>
                <w:szCs w:val="24"/>
              </w:rPr>
            </w:pPr>
            <w:r w:rsidRPr="001A0743">
              <w:rPr>
                <w:szCs w:val="24"/>
              </w:rPr>
              <w:t>(12,342)</w:t>
            </w:r>
          </w:p>
        </w:tc>
      </w:tr>
      <w:tr w:rsidR="00DA2AF3" w:rsidRPr="001A0743" w14:paraId="1FFFAEAE" w14:textId="77777777" w:rsidTr="00DD63D7">
        <w:trPr>
          <w:trHeight w:hRule="exact" w:val="635"/>
        </w:trPr>
        <w:tc>
          <w:tcPr>
            <w:tcW w:w="5342" w:type="dxa"/>
          </w:tcPr>
          <w:p w14:paraId="4A11EFAF" w14:textId="77777777" w:rsidR="00DA2AF3" w:rsidRPr="001A0743" w:rsidRDefault="00DA2AF3" w:rsidP="00DA2AF3">
            <w:pPr>
              <w:pStyle w:val="Footer"/>
              <w:tabs>
                <w:tab w:val="clear" w:pos="4153"/>
                <w:tab w:val="clear" w:pos="8306"/>
                <w:tab w:val="left" w:pos="720"/>
                <w:tab w:val="center" w:pos="6930"/>
              </w:tabs>
              <w:rPr>
                <w:szCs w:val="24"/>
              </w:rPr>
            </w:pPr>
            <w:r w:rsidRPr="001A0743">
              <w:rPr>
                <w:szCs w:val="24"/>
              </w:rPr>
              <w:t>Downward revaluation of assets and impairment losses not charged to Net cost of Services</w:t>
            </w:r>
          </w:p>
        </w:tc>
        <w:tc>
          <w:tcPr>
            <w:tcW w:w="1559" w:type="dxa"/>
            <w:vAlign w:val="center"/>
          </w:tcPr>
          <w:p w14:paraId="2D24ED62" w14:textId="7EF104FD" w:rsidR="00DA2AF3" w:rsidRPr="001A0743" w:rsidRDefault="00411B56" w:rsidP="00DD63D7">
            <w:pPr>
              <w:tabs>
                <w:tab w:val="decimal" w:pos="1026"/>
              </w:tabs>
              <w:jc w:val="right"/>
              <w:rPr>
                <w:szCs w:val="24"/>
              </w:rPr>
            </w:pPr>
            <w:r w:rsidRPr="001A0743">
              <w:rPr>
                <w:szCs w:val="24"/>
              </w:rPr>
              <w:t>548</w:t>
            </w:r>
          </w:p>
        </w:tc>
        <w:tc>
          <w:tcPr>
            <w:tcW w:w="1559" w:type="dxa"/>
            <w:vAlign w:val="center"/>
          </w:tcPr>
          <w:p w14:paraId="53EE395B" w14:textId="57ECBC87" w:rsidR="00DA2AF3" w:rsidRPr="001A0743" w:rsidRDefault="00DA2AF3" w:rsidP="00DD63D7">
            <w:pPr>
              <w:tabs>
                <w:tab w:val="decimal" w:pos="1026"/>
              </w:tabs>
              <w:jc w:val="right"/>
              <w:rPr>
                <w:szCs w:val="24"/>
              </w:rPr>
            </w:pPr>
            <w:r w:rsidRPr="001A0743">
              <w:rPr>
                <w:szCs w:val="24"/>
              </w:rPr>
              <w:t>1,730</w:t>
            </w:r>
          </w:p>
        </w:tc>
      </w:tr>
      <w:tr w:rsidR="00DA2AF3" w:rsidRPr="001A0743" w14:paraId="500F1E2C" w14:textId="77777777" w:rsidTr="00DD63D7">
        <w:trPr>
          <w:trHeight w:hRule="exact" w:val="561"/>
        </w:trPr>
        <w:tc>
          <w:tcPr>
            <w:tcW w:w="5342" w:type="dxa"/>
          </w:tcPr>
          <w:p w14:paraId="2EDD0E4C" w14:textId="77777777" w:rsidR="00DA2AF3" w:rsidRPr="001A0743" w:rsidRDefault="00DA2AF3" w:rsidP="00DA2AF3">
            <w:pPr>
              <w:pStyle w:val="Footer"/>
              <w:tabs>
                <w:tab w:val="clear" w:pos="4153"/>
                <w:tab w:val="clear" w:pos="8306"/>
                <w:tab w:val="left" w:pos="720"/>
                <w:tab w:val="center" w:pos="6930"/>
              </w:tabs>
              <w:rPr>
                <w:szCs w:val="24"/>
              </w:rPr>
            </w:pPr>
            <w:r w:rsidRPr="001A0743">
              <w:rPr>
                <w:szCs w:val="24"/>
              </w:rPr>
              <w:t>Difference between fair value depreciation and historical cost depreciation</w:t>
            </w:r>
          </w:p>
        </w:tc>
        <w:tc>
          <w:tcPr>
            <w:tcW w:w="1559" w:type="dxa"/>
            <w:vAlign w:val="center"/>
          </w:tcPr>
          <w:p w14:paraId="717A3F37" w14:textId="6566E9F2" w:rsidR="00DA2AF3" w:rsidRPr="001A0743" w:rsidRDefault="00411B56" w:rsidP="00DD63D7">
            <w:pPr>
              <w:tabs>
                <w:tab w:val="decimal" w:pos="1026"/>
              </w:tabs>
              <w:jc w:val="right"/>
              <w:rPr>
                <w:szCs w:val="24"/>
              </w:rPr>
            </w:pPr>
            <w:r w:rsidRPr="001A0743">
              <w:rPr>
                <w:szCs w:val="24"/>
              </w:rPr>
              <w:t>2,64</w:t>
            </w:r>
            <w:r w:rsidR="00BA4CBD">
              <w:rPr>
                <w:szCs w:val="24"/>
              </w:rPr>
              <w:t>9</w:t>
            </w:r>
          </w:p>
        </w:tc>
        <w:tc>
          <w:tcPr>
            <w:tcW w:w="1559" w:type="dxa"/>
            <w:vAlign w:val="center"/>
          </w:tcPr>
          <w:p w14:paraId="31589F14" w14:textId="17FB4F82" w:rsidR="00DA2AF3" w:rsidRPr="001A0743" w:rsidRDefault="00DA2AF3" w:rsidP="00DD63D7">
            <w:pPr>
              <w:tabs>
                <w:tab w:val="decimal" w:pos="1026"/>
              </w:tabs>
              <w:jc w:val="right"/>
              <w:rPr>
                <w:szCs w:val="24"/>
              </w:rPr>
            </w:pPr>
            <w:r w:rsidRPr="001A0743">
              <w:rPr>
                <w:szCs w:val="24"/>
              </w:rPr>
              <w:t>1,791</w:t>
            </w:r>
          </w:p>
        </w:tc>
      </w:tr>
      <w:tr w:rsidR="00DA2AF3" w:rsidRPr="001A0743" w14:paraId="6BF6D864" w14:textId="77777777" w:rsidTr="00DD63D7">
        <w:trPr>
          <w:trHeight w:hRule="exact" w:val="527"/>
        </w:trPr>
        <w:tc>
          <w:tcPr>
            <w:tcW w:w="5342" w:type="dxa"/>
          </w:tcPr>
          <w:p w14:paraId="6F056EE6" w14:textId="77777777" w:rsidR="00DA2AF3" w:rsidRPr="001A0743" w:rsidRDefault="00DA2AF3" w:rsidP="00DA2AF3">
            <w:pPr>
              <w:pStyle w:val="Footer"/>
              <w:tabs>
                <w:tab w:val="clear" w:pos="4153"/>
                <w:tab w:val="clear" w:pos="8306"/>
                <w:tab w:val="left" w:pos="720"/>
                <w:tab w:val="center" w:pos="6930"/>
              </w:tabs>
              <w:rPr>
                <w:szCs w:val="24"/>
              </w:rPr>
            </w:pPr>
            <w:r w:rsidRPr="001A0743">
              <w:rPr>
                <w:szCs w:val="24"/>
              </w:rPr>
              <w:t>Amount written off to the Capital Adjustment Account</w:t>
            </w:r>
          </w:p>
        </w:tc>
        <w:tc>
          <w:tcPr>
            <w:tcW w:w="1559" w:type="dxa"/>
            <w:vAlign w:val="center"/>
          </w:tcPr>
          <w:p w14:paraId="3E7C637E" w14:textId="17488CEF" w:rsidR="00DA2AF3" w:rsidRPr="001A0743" w:rsidRDefault="00DA2AF3" w:rsidP="00DD63D7">
            <w:pPr>
              <w:tabs>
                <w:tab w:val="decimal" w:pos="1026"/>
              </w:tabs>
              <w:jc w:val="right"/>
              <w:rPr>
                <w:szCs w:val="24"/>
              </w:rPr>
            </w:pPr>
            <w:r w:rsidRPr="001A0743">
              <w:rPr>
                <w:szCs w:val="24"/>
              </w:rPr>
              <w:t>-</w:t>
            </w:r>
          </w:p>
        </w:tc>
        <w:tc>
          <w:tcPr>
            <w:tcW w:w="1559" w:type="dxa"/>
            <w:vAlign w:val="center"/>
          </w:tcPr>
          <w:p w14:paraId="15A1D943" w14:textId="5A9B6604" w:rsidR="00DA2AF3" w:rsidRPr="001A0743" w:rsidRDefault="00DA2AF3" w:rsidP="00DD63D7">
            <w:pPr>
              <w:tabs>
                <w:tab w:val="decimal" w:pos="1026"/>
              </w:tabs>
              <w:jc w:val="right"/>
              <w:rPr>
                <w:szCs w:val="24"/>
              </w:rPr>
            </w:pPr>
            <w:r w:rsidRPr="001A0743">
              <w:rPr>
                <w:szCs w:val="24"/>
              </w:rPr>
              <w:t>-</w:t>
            </w:r>
          </w:p>
        </w:tc>
      </w:tr>
      <w:tr w:rsidR="00DA2AF3" w:rsidRPr="001A0743" w14:paraId="440293EC" w14:textId="77777777" w:rsidTr="00DD63D7">
        <w:trPr>
          <w:trHeight w:hRule="exact" w:val="300"/>
        </w:trPr>
        <w:tc>
          <w:tcPr>
            <w:tcW w:w="5342" w:type="dxa"/>
          </w:tcPr>
          <w:p w14:paraId="61F56C70" w14:textId="4E068018" w:rsidR="00DA2AF3" w:rsidRPr="001A0743" w:rsidRDefault="001A0743" w:rsidP="00DA2AF3">
            <w:pPr>
              <w:pStyle w:val="Footer"/>
              <w:tabs>
                <w:tab w:val="clear" w:pos="4153"/>
                <w:tab w:val="clear" w:pos="8306"/>
                <w:tab w:val="left" w:pos="720"/>
                <w:tab w:val="center" w:pos="6930"/>
              </w:tabs>
              <w:rPr>
                <w:szCs w:val="24"/>
              </w:rPr>
            </w:pPr>
            <w:r>
              <w:rPr>
                <w:szCs w:val="24"/>
              </w:rPr>
              <w:t>Total Revaluation Reserve</w:t>
            </w:r>
          </w:p>
        </w:tc>
        <w:tc>
          <w:tcPr>
            <w:tcW w:w="1559" w:type="dxa"/>
            <w:vAlign w:val="center"/>
          </w:tcPr>
          <w:p w14:paraId="1F4DE559" w14:textId="63CE6850" w:rsidR="00DA2AF3" w:rsidRPr="001A0743" w:rsidRDefault="00DA2AF3" w:rsidP="00DD63D7">
            <w:pPr>
              <w:tabs>
                <w:tab w:val="decimal" w:pos="1026"/>
              </w:tabs>
              <w:jc w:val="right"/>
              <w:rPr>
                <w:szCs w:val="24"/>
              </w:rPr>
            </w:pPr>
            <w:r w:rsidRPr="001A0743">
              <w:rPr>
                <w:szCs w:val="24"/>
              </w:rPr>
              <w:t>(</w:t>
            </w:r>
            <w:r w:rsidR="00411B56" w:rsidRPr="001A0743">
              <w:rPr>
                <w:szCs w:val="24"/>
              </w:rPr>
              <w:t>75,306</w:t>
            </w:r>
            <w:r w:rsidRPr="001A0743">
              <w:rPr>
                <w:szCs w:val="24"/>
              </w:rPr>
              <w:t>)</w:t>
            </w:r>
          </w:p>
        </w:tc>
        <w:tc>
          <w:tcPr>
            <w:tcW w:w="1559" w:type="dxa"/>
            <w:vAlign w:val="center"/>
          </w:tcPr>
          <w:p w14:paraId="66F32B27" w14:textId="6957A9A5" w:rsidR="00DA2AF3" w:rsidRPr="001A0743" w:rsidRDefault="00DA2AF3" w:rsidP="00DD63D7">
            <w:pPr>
              <w:tabs>
                <w:tab w:val="decimal" w:pos="1026"/>
              </w:tabs>
              <w:jc w:val="right"/>
              <w:rPr>
                <w:szCs w:val="24"/>
              </w:rPr>
            </w:pPr>
            <w:r w:rsidRPr="001A0743">
              <w:rPr>
                <w:szCs w:val="24"/>
              </w:rPr>
              <w:t>(56,221)</w:t>
            </w:r>
          </w:p>
        </w:tc>
      </w:tr>
    </w:tbl>
    <w:p w14:paraId="31F18EB1" w14:textId="77777777" w:rsidR="00D90216" w:rsidRPr="00AF3DCD" w:rsidRDefault="00D90216" w:rsidP="00D90216">
      <w:pPr>
        <w:ind w:left="720"/>
        <w:jc w:val="both"/>
        <w:rPr>
          <w:sz w:val="22"/>
        </w:rPr>
      </w:pPr>
    </w:p>
    <w:p w14:paraId="1AFBDA7E" w14:textId="030A4A2A" w:rsidR="00D90216" w:rsidRPr="001A0743" w:rsidRDefault="00D90216" w:rsidP="001A0743">
      <w:pPr>
        <w:ind w:left="720"/>
        <w:rPr>
          <w:rFonts w:cs="Arial"/>
          <w:szCs w:val="24"/>
        </w:rPr>
      </w:pPr>
      <w:r w:rsidRPr="001A0743">
        <w:rPr>
          <w:rFonts w:cs="Arial"/>
          <w:szCs w:val="24"/>
        </w:rPr>
        <w:t xml:space="preserve">The Revaluation Reserve </w:t>
      </w:r>
      <w:r w:rsidRPr="001A0743">
        <w:rPr>
          <w:szCs w:val="24"/>
        </w:rPr>
        <w:t>contains</w:t>
      </w:r>
      <w:r w:rsidRPr="001A0743">
        <w:rPr>
          <w:rFonts w:cs="Arial"/>
          <w:szCs w:val="24"/>
        </w:rPr>
        <w:t xml:space="preserve"> the gains made by the Authority arising from increases in the value of its Property, Plant and Equipment. The balance is reduced when assets with accumulated gains are:</w:t>
      </w:r>
    </w:p>
    <w:p w14:paraId="4AF9E479" w14:textId="1E40E434" w:rsidR="00D90216" w:rsidRPr="001A0743" w:rsidRDefault="00D90216" w:rsidP="001A0743">
      <w:pPr>
        <w:numPr>
          <w:ilvl w:val="0"/>
          <w:numId w:val="13"/>
        </w:numPr>
        <w:rPr>
          <w:rFonts w:cs="Arial"/>
          <w:szCs w:val="24"/>
        </w:rPr>
      </w:pPr>
      <w:r w:rsidRPr="001A0743">
        <w:rPr>
          <w:rFonts w:cs="Arial"/>
          <w:szCs w:val="24"/>
        </w:rPr>
        <w:t>Revalued downwards or impaired and the gains are lost</w:t>
      </w:r>
      <w:r w:rsidR="00375D1C" w:rsidRPr="001A0743">
        <w:rPr>
          <w:rFonts w:cs="Arial"/>
          <w:szCs w:val="24"/>
        </w:rPr>
        <w:t>.</w:t>
      </w:r>
    </w:p>
    <w:p w14:paraId="6FBEC17B" w14:textId="77777777" w:rsidR="00D90216" w:rsidRPr="001A0743" w:rsidRDefault="00D90216" w:rsidP="001A0743">
      <w:pPr>
        <w:numPr>
          <w:ilvl w:val="0"/>
          <w:numId w:val="13"/>
        </w:numPr>
        <w:rPr>
          <w:rFonts w:cs="Arial"/>
          <w:szCs w:val="24"/>
        </w:rPr>
      </w:pPr>
      <w:r w:rsidRPr="001A0743">
        <w:rPr>
          <w:rFonts w:cs="Arial"/>
          <w:szCs w:val="24"/>
        </w:rPr>
        <w:t>Used in the provision of services and the gains are consumed through depreciation, or</w:t>
      </w:r>
    </w:p>
    <w:p w14:paraId="04118F7D" w14:textId="77777777" w:rsidR="00D90216" w:rsidRPr="001A0743" w:rsidRDefault="00D90216" w:rsidP="001A0743">
      <w:pPr>
        <w:numPr>
          <w:ilvl w:val="0"/>
          <w:numId w:val="13"/>
        </w:numPr>
        <w:rPr>
          <w:rFonts w:cs="Arial"/>
          <w:szCs w:val="24"/>
        </w:rPr>
      </w:pPr>
      <w:r w:rsidRPr="001A0743">
        <w:rPr>
          <w:rFonts w:cs="Arial"/>
          <w:szCs w:val="24"/>
        </w:rPr>
        <w:t>Disposed of and the gains are realised.</w:t>
      </w:r>
    </w:p>
    <w:p w14:paraId="30BA4F01" w14:textId="77777777" w:rsidR="00D90216" w:rsidRPr="001A0743" w:rsidRDefault="00D90216" w:rsidP="001A0743">
      <w:pPr>
        <w:ind w:left="770"/>
        <w:rPr>
          <w:rFonts w:cs="Arial"/>
          <w:szCs w:val="24"/>
        </w:rPr>
      </w:pPr>
    </w:p>
    <w:p w14:paraId="7675B3B9" w14:textId="118732CD" w:rsidR="00D90216" w:rsidRPr="001A0743" w:rsidRDefault="00D90216" w:rsidP="001A0743">
      <w:pPr>
        <w:ind w:left="720"/>
        <w:rPr>
          <w:b/>
          <w:szCs w:val="24"/>
        </w:rPr>
      </w:pPr>
      <w:r w:rsidRPr="001A0743">
        <w:rPr>
          <w:rFonts w:cs="Arial"/>
          <w:szCs w:val="24"/>
        </w:rPr>
        <w:t xml:space="preserve">The Reserve contains only revaluation gains accumulated since 1 April 2007, the date that the Reserve was created. </w:t>
      </w:r>
      <w:r w:rsidRPr="001A0743">
        <w:rPr>
          <w:szCs w:val="24"/>
        </w:rPr>
        <w:t>Accumulated</w:t>
      </w:r>
      <w:r w:rsidRPr="001A0743">
        <w:rPr>
          <w:rFonts w:cs="Arial"/>
          <w:szCs w:val="24"/>
        </w:rPr>
        <w:t xml:space="preserve"> gains arising before that date are consolidated into the balance on the Capital Adjustment Account.</w:t>
      </w:r>
    </w:p>
    <w:p w14:paraId="1C7CC2A9" w14:textId="77777777" w:rsidR="00D90216" w:rsidRPr="001A0743" w:rsidRDefault="00D90216" w:rsidP="001A0743">
      <w:pPr>
        <w:ind w:left="709" w:hanging="709"/>
        <w:rPr>
          <w:b/>
          <w:szCs w:val="24"/>
        </w:rPr>
      </w:pPr>
    </w:p>
    <w:p w14:paraId="79448A02" w14:textId="77777777" w:rsidR="00D90216" w:rsidRPr="001A0743" w:rsidRDefault="00D90216" w:rsidP="001A0743">
      <w:pPr>
        <w:pStyle w:val="BodyTextIndent"/>
        <w:ind w:left="709"/>
        <w:rPr>
          <w:b/>
          <w:szCs w:val="24"/>
          <w:lang w:val="en-GB"/>
        </w:rPr>
      </w:pPr>
      <w:r w:rsidRPr="001A0743">
        <w:rPr>
          <w:b/>
          <w:szCs w:val="24"/>
          <w:lang w:val="en-GB"/>
        </w:rPr>
        <w:t>Capital Adjustment Account</w:t>
      </w:r>
    </w:p>
    <w:p w14:paraId="556F6CE8" w14:textId="77777777" w:rsidR="00D90216" w:rsidRPr="001A0743" w:rsidRDefault="00D90216" w:rsidP="001A0743">
      <w:pPr>
        <w:pStyle w:val="BodyTextIndent"/>
        <w:ind w:left="709"/>
        <w:rPr>
          <w:szCs w:val="24"/>
          <w:lang w:val="en-GB"/>
        </w:rPr>
      </w:pPr>
    </w:p>
    <w:p w14:paraId="2EB1D5A0" w14:textId="751776DB" w:rsidR="00D90216" w:rsidRPr="001A0743" w:rsidRDefault="00D90216" w:rsidP="001A0743">
      <w:pPr>
        <w:ind w:left="720"/>
        <w:rPr>
          <w:szCs w:val="24"/>
        </w:rPr>
      </w:pPr>
      <w:r w:rsidRPr="001A0743">
        <w:rPr>
          <w:szCs w:val="24"/>
        </w:rPr>
        <w:t>The Capital Adjustment Account absorbs the timing differences arising from the different arrangements for accounting for the consumption of non-current assets and for financing the acquisition under statutory provisions. The account is debited with the cost of acquisition as depreciation, impairment losses and amortisations are charged to the Comprehensive Income and Expenditure Statement. The Account is credited with the amounts set aside by the Authority as finance for the costs of acquisition.</w:t>
      </w:r>
    </w:p>
    <w:p w14:paraId="775D30B1" w14:textId="77777777" w:rsidR="00D90216" w:rsidRPr="00AF3DCD" w:rsidRDefault="00D90216" w:rsidP="00D90216">
      <w:pPr>
        <w:ind w:left="709"/>
        <w:rPr>
          <w:sz w:val="22"/>
          <w:szCs w:val="22"/>
        </w:rPr>
      </w:pPr>
    </w:p>
    <w:p w14:paraId="27B8EA1E" w14:textId="39A9C660" w:rsidR="00D90216" w:rsidRPr="001A0743" w:rsidRDefault="00BC6640" w:rsidP="000C442C">
      <w:pPr>
        <w:ind w:left="720"/>
        <w:rPr>
          <w:szCs w:val="24"/>
        </w:rPr>
      </w:pPr>
      <w:r w:rsidRPr="00AF3DCD">
        <w:rPr>
          <w:sz w:val="22"/>
          <w:szCs w:val="22"/>
        </w:rPr>
        <w:br w:type="page"/>
      </w:r>
      <w:r w:rsidR="0050693C" w:rsidRPr="001A0743">
        <w:rPr>
          <w:szCs w:val="24"/>
        </w:rPr>
        <w:lastRenderedPageBreak/>
        <w:t>In addition, t</w:t>
      </w:r>
      <w:r w:rsidR="00D90216" w:rsidRPr="001A0743">
        <w:rPr>
          <w:szCs w:val="24"/>
        </w:rPr>
        <w:t xml:space="preserve">he </w:t>
      </w:r>
      <w:r w:rsidR="0050693C" w:rsidRPr="001A0743">
        <w:rPr>
          <w:szCs w:val="24"/>
        </w:rPr>
        <w:t>a</w:t>
      </w:r>
      <w:r w:rsidR="00D90216" w:rsidRPr="001A0743">
        <w:rPr>
          <w:szCs w:val="24"/>
        </w:rPr>
        <w:t>ccount contains revaluation gains accumulated on Property, Plant and Equipment before 1 April 2007, the date the Revaluation Reserve was created to hold such gains.</w:t>
      </w:r>
    </w:p>
    <w:p w14:paraId="7BFA40BC" w14:textId="77777777" w:rsidR="00B753AF" w:rsidRPr="00AF3DCD" w:rsidRDefault="00B753AF" w:rsidP="002000FC">
      <w:pPr>
        <w:ind w:left="720"/>
        <w:jc w:val="both"/>
        <w:rPr>
          <w:sz w:val="22"/>
          <w:szCs w:val="22"/>
        </w:rPr>
      </w:pPr>
    </w:p>
    <w:tbl>
      <w:tblPr>
        <w:tblW w:w="88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0"/>
        <w:gridCol w:w="1134"/>
        <w:gridCol w:w="1134"/>
        <w:gridCol w:w="1134"/>
        <w:gridCol w:w="1134"/>
      </w:tblGrid>
      <w:tr w:rsidR="00FE55C0" w:rsidRPr="001931F4" w14:paraId="729CEAFF" w14:textId="77777777" w:rsidTr="00611673">
        <w:trPr>
          <w:trHeight w:hRule="exact" w:val="576"/>
        </w:trPr>
        <w:tc>
          <w:tcPr>
            <w:tcW w:w="4350" w:type="dxa"/>
            <w:shd w:val="clear" w:color="auto" w:fill="BD2716"/>
          </w:tcPr>
          <w:p w14:paraId="4A926335" w14:textId="77777777" w:rsidR="00FE55C0" w:rsidRPr="00982FEC" w:rsidRDefault="00FE55C0" w:rsidP="00670DBF">
            <w:pPr>
              <w:tabs>
                <w:tab w:val="left" w:pos="720"/>
                <w:tab w:val="center" w:pos="6930"/>
              </w:tabs>
              <w:rPr>
                <w:color w:val="FFFFFF" w:themeColor="background1"/>
                <w:szCs w:val="24"/>
              </w:rPr>
            </w:pPr>
          </w:p>
        </w:tc>
        <w:tc>
          <w:tcPr>
            <w:tcW w:w="1134" w:type="dxa"/>
            <w:shd w:val="clear" w:color="auto" w:fill="BD2716"/>
            <w:vAlign w:val="center"/>
          </w:tcPr>
          <w:p w14:paraId="49AB6664" w14:textId="77777777" w:rsidR="00FE55C0" w:rsidRPr="00982FEC" w:rsidRDefault="00FE55C0" w:rsidP="00611673">
            <w:pPr>
              <w:jc w:val="right"/>
              <w:rPr>
                <w:color w:val="FFFFFF" w:themeColor="background1"/>
                <w:szCs w:val="24"/>
              </w:rPr>
            </w:pPr>
            <w:r w:rsidRPr="00982FEC">
              <w:rPr>
                <w:color w:val="FFFFFF" w:themeColor="background1"/>
                <w:szCs w:val="24"/>
              </w:rPr>
              <w:t>2022/23</w:t>
            </w:r>
          </w:p>
          <w:p w14:paraId="35100580" w14:textId="3AC50BB4" w:rsidR="00FE55C0" w:rsidRPr="00982FEC" w:rsidRDefault="00FE55C0" w:rsidP="00611673">
            <w:pPr>
              <w:jc w:val="right"/>
              <w:rPr>
                <w:color w:val="FFFFFF" w:themeColor="background1"/>
                <w:szCs w:val="24"/>
              </w:rPr>
            </w:pPr>
            <w:r w:rsidRPr="00982FEC">
              <w:rPr>
                <w:color w:val="FFFFFF" w:themeColor="background1"/>
                <w:szCs w:val="24"/>
              </w:rPr>
              <w:t>£000</w:t>
            </w:r>
          </w:p>
        </w:tc>
        <w:tc>
          <w:tcPr>
            <w:tcW w:w="1134" w:type="dxa"/>
            <w:shd w:val="clear" w:color="auto" w:fill="BD2716"/>
            <w:vAlign w:val="center"/>
          </w:tcPr>
          <w:p w14:paraId="47563BB5" w14:textId="77777777" w:rsidR="00FE55C0" w:rsidRPr="00982FEC" w:rsidRDefault="00FE55C0" w:rsidP="00611673">
            <w:pPr>
              <w:jc w:val="right"/>
              <w:rPr>
                <w:color w:val="FFFFFF" w:themeColor="background1"/>
                <w:szCs w:val="24"/>
              </w:rPr>
            </w:pPr>
            <w:r w:rsidRPr="00982FEC">
              <w:rPr>
                <w:color w:val="FFFFFF" w:themeColor="background1"/>
                <w:szCs w:val="24"/>
              </w:rPr>
              <w:t>2022/23</w:t>
            </w:r>
          </w:p>
          <w:p w14:paraId="6CF4CC48" w14:textId="0D05ABCF" w:rsidR="00FE55C0" w:rsidRPr="00982FEC" w:rsidRDefault="00FE55C0" w:rsidP="00611673">
            <w:pPr>
              <w:jc w:val="right"/>
              <w:rPr>
                <w:color w:val="FFFFFF" w:themeColor="background1"/>
                <w:szCs w:val="24"/>
              </w:rPr>
            </w:pPr>
            <w:r w:rsidRPr="00982FEC">
              <w:rPr>
                <w:color w:val="FFFFFF" w:themeColor="background1"/>
                <w:szCs w:val="24"/>
              </w:rPr>
              <w:t>£000</w:t>
            </w:r>
          </w:p>
        </w:tc>
        <w:tc>
          <w:tcPr>
            <w:tcW w:w="1134" w:type="dxa"/>
            <w:shd w:val="clear" w:color="auto" w:fill="BD2716"/>
            <w:vAlign w:val="center"/>
          </w:tcPr>
          <w:p w14:paraId="739AEA12" w14:textId="77777777" w:rsidR="00FE55C0" w:rsidRPr="00982FEC" w:rsidRDefault="00FE55C0" w:rsidP="00611673">
            <w:pPr>
              <w:jc w:val="right"/>
              <w:rPr>
                <w:color w:val="FFFFFF" w:themeColor="background1"/>
                <w:szCs w:val="24"/>
              </w:rPr>
            </w:pPr>
            <w:r w:rsidRPr="00982FEC">
              <w:rPr>
                <w:color w:val="FFFFFF" w:themeColor="background1"/>
                <w:szCs w:val="24"/>
              </w:rPr>
              <w:t>2021/22</w:t>
            </w:r>
          </w:p>
          <w:p w14:paraId="7213143E" w14:textId="05ADA209" w:rsidR="00FE55C0" w:rsidRPr="00982FEC" w:rsidRDefault="00FE55C0" w:rsidP="00611673">
            <w:pPr>
              <w:jc w:val="right"/>
              <w:rPr>
                <w:color w:val="FFFFFF" w:themeColor="background1"/>
                <w:szCs w:val="24"/>
              </w:rPr>
            </w:pPr>
            <w:r w:rsidRPr="00982FEC">
              <w:rPr>
                <w:color w:val="FFFFFF" w:themeColor="background1"/>
                <w:szCs w:val="24"/>
              </w:rPr>
              <w:t>£000</w:t>
            </w:r>
          </w:p>
        </w:tc>
        <w:tc>
          <w:tcPr>
            <w:tcW w:w="1134" w:type="dxa"/>
            <w:shd w:val="clear" w:color="auto" w:fill="BD2716"/>
            <w:vAlign w:val="center"/>
          </w:tcPr>
          <w:p w14:paraId="08A6A2D0" w14:textId="77777777" w:rsidR="00FE55C0" w:rsidRPr="00982FEC" w:rsidRDefault="00FE55C0" w:rsidP="00611673">
            <w:pPr>
              <w:jc w:val="right"/>
              <w:rPr>
                <w:color w:val="FFFFFF" w:themeColor="background1"/>
                <w:szCs w:val="24"/>
              </w:rPr>
            </w:pPr>
            <w:r w:rsidRPr="00982FEC">
              <w:rPr>
                <w:color w:val="FFFFFF" w:themeColor="background1"/>
                <w:szCs w:val="24"/>
              </w:rPr>
              <w:t>2021/22</w:t>
            </w:r>
          </w:p>
          <w:p w14:paraId="064DD2CE" w14:textId="7ED793BE" w:rsidR="00FE55C0" w:rsidRPr="00982FEC" w:rsidRDefault="00FE55C0" w:rsidP="00611673">
            <w:pPr>
              <w:jc w:val="right"/>
              <w:rPr>
                <w:color w:val="FFFFFF" w:themeColor="background1"/>
                <w:szCs w:val="24"/>
              </w:rPr>
            </w:pPr>
            <w:r w:rsidRPr="00982FEC">
              <w:rPr>
                <w:color w:val="FFFFFF" w:themeColor="background1"/>
                <w:szCs w:val="24"/>
              </w:rPr>
              <w:t>£000</w:t>
            </w:r>
          </w:p>
        </w:tc>
      </w:tr>
      <w:tr w:rsidR="00670DBF" w:rsidRPr="001931F4" w14:paraId="04BCADAE" w14:textId="77777777" w:rsidTr="00DD63D7">
        <w:trPr>
          <w:trHeight w:hRule="exact" w:val="300"/>
        </w:trPr>
        <w:tc>
          <w:tcPr>
            <w:tcW w:w="4350" w:type="dxa"/>
          </w:tcPr>
          <w:p w14:paraId="1E79C4E1" w14:textId="77777777" w:rsidR="00670DBF" w:rsidRPr="001931F4" w:rsidRDefault="00670DBF" w:rsidP="00670DBF">
            <w:pPr>
              <w:tabs>
                <w:tab w:val="left" w:pos="720"/>
                <w:tab w:val="center" w:pos="6930"/>
              </w:tabs>
              <w:rPr>
                <w:szCs w:val="24"/>
              </w:rPr>
            </w:pPr>
            <w:r w:rsidRPr="001931F4">
              <w:rPr>
                <w:szCs w:val="24"/>
              </w:rPr>
              <w:t xml:space="preserve">Balance </w:t>
            </w:r>
            <w:proofErr w:type="gramStart"/>
            <w:r w:rsidRPr="001931F4">
              <w:rPr>
                <w:szCs w:val="24"/>
              </w:rPr>
              <w:t>at</w:t>
            </w:r>
            <w:proofErr w:type="gramEnd"/>
            <w:r w:rsidRPr="001931F4">
              <w:rPr>
                <w:szCs w:val="24"/>
              </w:rPr>
              <w:t xml:space="preserve"> 1 April</w:t>
            </w:r>
          </w:p>
        </w:tc>
        <w:tc>
          <w:tcPr>
            <w:tcW w:w="1134" w:type="dxa"/>
            <w:vAlign w:val="center"/>
          </w:tcPr>
          <w:p w14:paraId="4082AC40" w14:textId="77777777" w:rsidR="00670DBF" w:rsidRPr="001931F4" w:rsidRDefault="00670DBF" w:rsidP="00DD63D7">
            <w:pPr>
              <w:tabs>
                <w:tab w:val="decimal" w:pos="1080"/>
              </w:tabs>
              <w:jc w:val="right"/>
              <w:rPr>
                <w:szCs w:val="24"/>
              </w:rPr>
            </w:pPr>
          </w:p>
        </w:tc>
        <w:tc>
          <w:tcPr>
            <w:tcW w:w="1134" w:type="dxa"/>
            <w:vAlign w:val="center"/>
          </w:tcPr>
          <w:p w14:paraId="7016FC26" w14:textId="3AE0973D" w:rsidR="00670DBF" w:rsidRPr="001931F4" w:rsidRDefault="00523204" w:rsidP="00DD63D7">
            <w:pPr>
              <w:tabs>
                <w:tab w:val="decimal" w:pos="884"/>
              </w:tabs>
              <w:jc w:val="right"/>
              <w:rPr>
                <w:szCs w:val="24"/>
              </w:rPr>
            </w:pPr>
            <w:r w:rsidRPr="001931F4">
              <w:rPr>
                <w:szCs w:val="24"/>
              </w:rPr>
              <w:t>(</w:t>
            </w:r>
            <w:r w:rsidR="00F06DCC" w:rsidRPr="001931F4">
              <w:rPr>
                <w:szCs w:val="24"/>
              </w:rPr>
              <w:t>39,469</w:t>
            </w:r>
            <w:r w:rsidRPr="001931F4">
              <w:rPr>
                <w:szCs w:val="24"/>
              </w:rPr>
              <w:t>)</w:t>
            </w:r>
          </w:p>
        </w:tc>
        <w:tc>
          <w:tcPr>
            <w:tcW w:w="1134" w:type="dxa"/>
            <w:vAlign w:val="center"/>
          </w:tcPr>
          <w:p w14:paraId="3CD42309" w14:textId="77777777" w:rsidR="00670DBF" w:rsidRPr="001931F4" w:rsidRDefault="00670DBF" w:rsidP="00DD63D7">
            <w:pPr>
              <w:tabs>
                <w:tab w:val="decimal" w:pos="1080"/>
              </w:tabs>
              <w:jc w:val="right"/>
              <w:rPr>
                <w:szCs w:val="24"/>
              </w:rPr>
            </w:pPr>
          </w:p>
        </w:tc>
        <w:tc>
          <w:tcPr>
            <w:tcW w:w="1134" w:type="dxa"/>
            <w:vAlign w:val="center"/>
          </w:tcPr>
          <w:p w14:paraId="3150D308" w14:textId="6FAAB043" w:rsidR="00670DBF" w:rsidRPr="001931F4" w:rsidRDefault="00DA2AF3" w:rsidP="00DD63D7">
            <w:pPr>
              <w:tabs>
                <w:tab w:val="decimal" w:pos="884"/>
              </w:tabs>
              <w:jc w:val="right"/>
              <w:rPr>
                <w:szCs w:val="24"/>
              </w:rPr>
            </w:pPr>
            <w:r w:rsidRPr="001931F4">
              <w:rPr>
                <w:szCs w:val="24"/>
              </w:rPr>
              <w:t>(38,893)</w:t>
            </w:r>
          </w:p>
        </w:tc>
      </w:tr>
    </w:tbl>
    <w:p w14:paraId="03B03271" w14:textId="77777777" w:rsidR="00EC3487" w:rsidRDefault="00EC3487"/>
    <w:tbl>
      <w:tblPr>
        <w:tblW w:w="88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0"/>
        <w:gridCol w:w="1134"/>
        <w:gridCol w:w="1134"/>
        <w:gridCol w:w="1134"/>
        <w:gridCol w:w="1134"/>
      </w:tblGrid>
      <w:tr w:rsidR="00EC3487" w:rsidRPr="001931F4" w14:paraId="18F5F964" w14:textId="77777777" w:rsidTr="00982FEC">
        <w:trPr>
          <w:trHeight w:hRule="exact" w:val="574"/>
        </w:trPr>
        <w:tc>
          <w:tcPr>
            <w:tcW w:w="8886" w:type="dxa"/>
            <w:gridSpan w:val="5"/>
            <w:shd w:val="clear" w:color="auto" w:fill="D9D9D9" w:themeFill="background1" w:themeFillShade="D9"/>
          </w:tcPr>
          <w:p w14:paraId="16857569" w14:textId="53203D8D" w:rsidR="00EC3487" w:rsidRPr="00BD79B2" w:rsidRDefault="00EC3487" w:rsidP="00EC3487">
            <w:pPr>
              <w:tabs>
                <w:tab w:val="decimal" w:pos="885"/>
              </w:tabs>
              <w:rPr>
                <w:b/>
                <w:bCs/>
                <w:szCs w:val="24"/>
              </w:rPr>
            </w:pPr>
            <w:r w:rsidRPr="00BD79B2">
              <w:rPr>
                <w:b/>
                <w:bCs/>
                <w:szCs w:val="24"/>
              </w:rPr>
              <w:t>Reversal of items relating to capital expenditure debited or credited to the Comprehensive Income and Expenditure Statement:</w:t>
            </w:r>
          </w:p>
        </w:tc>
      </w:tr>
      <w:tr w:rsidR="00DA2AF3" w:rsidRPr="001931F4" w14:paraId="60080373" w14:textId="77777777" w:rsidTr="00DD63D7">
        <w:trPr>
          <w:trHeight w:hRule="exact" w:val="573"/>
        </w:trPr>
        <w:tc>
          <w:tcPr>
            <w:tcW w:w="4350" w:type="dxa"/>
          </w:tcPr>
          <w:p w14:paraId="2F6D264E" w14:textId="77777777" w:rsidR="00DA2AF3" w:rsidRPr="001931F4" w:rsidRDefault="00DA2AF3" w:rsidP="00DA2AF3">
            <w:pPr>
              <w:numPr>
                <w:ilvl w:val="0"/>
                <w:numId w:val="14"/>
              </w:numPr>
              <w:tabs>
                <w:tab w:val="center" w:pos="6930"/>
              </w:tabs>
              <w:rPr>
                <w:szCs w:val="24"/>
              </w:rPr>
            </w:pPr>
            <w:r w:rsidRPr="001931F4">
              <w:rPr>
                <w:szCs w:val="24"/>
              </w:rPr>
              <w:t>Charges for depreciation and impairment of non-current assets</w:t>
            </w:r>
          </w:p>
        </w:tc>
        <w:tc>
          <w:tcPr>
            <w:tcW w:w="1134" w:type="dxa"/>
            <w:vAlign w:val="center"/>
          </w:tcPr>
          <w:p w14:paraId="096341ED" w14:textId="4C05D9C5" w:rsidR="00DA2AF3" w:rsidRPr="001931F4" w:rsidRDefault="00F06DCC" w:rsidP="00DD63D7">
            <w:pPr>
              <w:tabs>
                <w:tab w:val="decimal" w:pos="884"/>
              </w:tabs>
              <w:jc w:val="right"/>
              <w:rPr>
                <w:szCs w:val="24"/>
              </w:rPr>
            </w:pPr>
            <w:r w:rsidRPr="001931F4">
              <w:rPr>
                <w:szCs w:val="24"/>
              </w:rPr>
              <w:t>2,938</w:t>
            </w:r>
          </w:p>
        </w:tc>
        <w:tc>
          <w:tcPr>
            <w:tcW w:w="1134" w:type="dxa"/>
            <w:vAlign w:val="center"/>
          </w:tcPr>
          <w:p w14:paraId="3FE4CE6E" w14:textId="77777777" w:rsidR="00DA2AF3" w:rsidRPr="001931F4" w:rsidRDefault="00DA2AF3" w:rsidP="00DD63D7">
            <w:pPr>
              <w:tabs>
                <w:tab w:val="decimal" w:pos="885"/>
              </w:tabs>
              <w:jc w:val="right"/>
              <w:rPr>
                <w:szCs w:val="24"/>
              </w:rPr>
            </w:pPr>
          </w:p>
        </w:tc>
        <w:tc>
          <w:tcPr>
            <w:tcW w:w="1134" w:type="dxa"/>
            <w:vAlign w:val="center"/>
          </w:tcPr>
          <w:p w14:paraId="178F1043" w14:textId="268B15EC" w:rsidR="00DA2AF3" w:rsidRPr="001931F4" w:rsidRDefault="00DA2AF3" w:rsidP="00DD63D7">
            <w:pPr>
              <w:tabs>
                <w:tab w:val="decimal" w:pos="884"/>
              </w:tabs>
              <w:jc w:val="right"/>
              <w:rPr>
                <w:szCs w:val="24"/>
              </w:rPr>
            </w:pPr>
            <w:r w:rsidRPr="001931F4">
              <w:rPr>
                <w:szCs w:val="24"/>
              </w:rPr>
              <w:t>3,002</w:t>
            </w:r>
          </w:p>
        </w:tc>
        <w:tc>
          <w:tcPr>
            <w:tcW w:w="1134" w:type="dxa"/>
            <w:vAlign w:val="center"/>
          </w:tcPr>
          <w:p w14:paraId="666F89D8" w14:textId="77777777" w:rsidR="00DA2AF3" w:rsidRPr="001931F4" w:rsidRDefault="00DA2AF3" w:rsidP="00DD63D7">
            <w:pPr>
              <w:tabs>
                <w:tab w:val="decimal" w:pos="885"/>
              </w:tabs>
              <w:jc w:val="right"/>
              <w:rPr>
                <w:szCs w:val="24"/>
              </w:rPr>
            </w:pPr>
          </w:p>
        </w:tc>
      </w:tr>
      <w:tr w:rsidR="00DA2AF3" w:rsidRPr="001931F4" w14:paraId="0027C3E2" w14:textId="77777777" w:rsidTr="00DD63D7">
        <w:trPr>
          <w:trHeight w:hRule="exact" w:val="580"/>
        </w:trPr>
        <w:tc>
          <w:tcPr>
            <w:tcW w:w="4350" w:type="dxa"/>
          </w:tcPr>
          <w:p w14:paraId="2E7946C5" w14:textId="77777777" w:rsidR="00DA2AF3" w:rsidRPr="001931F4" w:rsidRDefault="00DA2AF3" w:rsidP="00DA2AF3">
            <w:pPr>
              <w:numPr>
                <w:ilvl w:val="0"/>
                <w:numId w:val="14"/>
              </w:numPr>
              <w:tabs>
                <w:tab w:val="center" w:pos="6930"/>
              </w:tabs>
              <w:rPr>
                <w:szCs w:val="24"/>
              </w:rPr>
            </w:pPr>
            <w:r w:rsidRPr="001931F4">
              <w:rPr>
                <w:szCs w:val="24"/>
              </w:rPr>
              <w:t>Revaluation losses on Property, Plant &amp; Equipment</w:t>
            </w:r>
          </w:p>
        </w:tc>
        <w:tc>
          <w:tcPr>
            <w:tcW w:w="1134" w:type="dxa"/>
            <w:vAlign w:val="center"/>
          </w:tcPr>
          <w:p w14:paraId="7D9CADEF" w14:textId="31AC9383" w:rsidR="00DA2AF3" w:rsidRPr="001931F4" w:rsidRDefault="00F06DCC" w:rsidP="00DD63D7">
            <w:pPr>
              <w:tabs>
                <w:tab w:val="decimal" w:pos="884"/>
              </w:tabs>
              <w:jc w:val="right"/>
              <w:rPr>
                <w:szCs w:val="24"/>
              </w:rPr>
            </w:pPr>
            <w:r w:rsidRPr="001931F4">
              <w:rPr>
                <w:szCs w:val="24"/>
              </w:rPr>
              <w:t>271</w:t>
            </w:r>
          </w:p>
        </w:tc>
        <w:tc>
          <w:tcPr>
            <w:tcW w:w="1134" w:type="dxa"/>
            <w:vAlign w:val="center"/>
          </w:tcPr>
          <w:p w14:paraId="7EC996C4" w14:textId="77777777" w:rsidR="00DA2AF3" w:rsidRPr="001931F4" w:rsidRDefault="00DA2AF3" w:rsidP="00DD63D7">
            <w:pPr>
              <w:tabs>
                <w:tab w:val="decimal" w:pos="885"/>
              </w:tabs>
              <w:jc w:val="right"/>
              <w:rPr>
                <w:szCs w:val="24"/>
              </w:rPr>
            </w:pPr>
          </w:p>
        </w:tc>
        <w:tc>
          <w:tcPr>
            <w:tcW w:w="1134" w:type="dxa"/>
            <w:vAlign w:val="center"/>
          </w:tcPr>
          <w:p w14:paraId="0E40A94A" w14:textId="34D1A2E3" w:rsidR="00DA2AF3" w:rsidRPr="001931F4" w:rsidRDefault="00DA2AF3" w:rsidP="00DD63D7">
            <w:pPr>
              <w:tabs>
                <w:tab w:val="decimal" w:pos="884"/>
              </w:tabs>
              <w:jc w:val="right"/>
              <w:rPr>
                <w:szCs w:val="24"/>
              </w:rPr>
            </w:pPr>
            <w:r w:rsidRPr="001931F4">
              <w:rPr>
                <w:szCs w:val="24"/>
              </w:rPr>
              <w:t>72</w:t>
            </w:r>
          </w:p>
        </w:tc>
        <w:tc>
          <w:tcPr>
            <w:tcW w:w="1134" w:type="dxa"/>
            <w:vAlign w:val="center"/>
          </w:tcPr>
          <w:p w14:paraId="61AB3547" w14:textId="77777777" w:rsidR="00DA2AF3" w:rsidRPr="001931F4" w:rsidRDefault="00DA2AF3" w:rsidP="00DD63D7">
            <w:pPr>
              <w:tabs>
                <w:tab w:val="decimal" w:pos="885"/>
              </w:tabs>
              <w:jc w:val="right"/>
              <w:rPr>
                <w:szCs w:val="24"/>
              </w:rPr>
            </w:pPr>
          </w:p>
        </w:tc>
      </w:tr>
      <w:tr w:rsidR="00DA2AF3" w:rsidRPr="001931F4" w14:paraId="3869953C" w14:textId="77777777" w:rsidTr="00DD63D7">
        <w:trPr>
          <w:trHeight w:hRule="exact" w:val="300"/>
        </w:trPr>
        <w:tc>
          <w:tcPr>
            <w:tcW w:w="4350" w:type="dxa"/>
          </w:tcPr>
          <w:p w14:paraId="10925579" w14:textId="77777777" w:rsidR="00DA2AF3" w:rsidRPr="001931F4" w:rsidRDefault="00DA2AF3" w:rsidP="00DA2AF3">
            <w:pPr>
              <w:numPr>
                <w:ilvl w:val="0"/>
                <w:numId w:val="14"/>
              </w:numPr>
              <w:tabs>
                <w:tab w:val="center" w:pos="6930"/>
              </w:tabs>
              <w:rPr>
                <w:szCs w:val="24"/>
              </w:rPr>
            </w:pPr>
            <w:r w:rsidRPr="001931F4">
              <w:rPr>
                <w:szCs w:val="24"/>
              </w:rPr>
              <w:t>Amortisation of intangible assets</w:t>
            </w:r>
          </w:p>
        </w:tc>
        <w:tc>
          <w:tcPr>
            <w:tcW w:w="1134" w:type="dxa"/>
            <w:vAlign w:val="center"/>
          </w:tcPr>
          <w:p w14:paraId="58E5C86A" w14:textId="7594D5D1" w:rsidR="00DA2AF3" w:rsidRPr="001931F4" w:rsidRDefault="00F06DCC" w:rsidP="00DD63D7">
            <w:pPr>
              <w:tabs>
                <w:tab w:val="decimal" w:pos="884"/>
              </w:tabs>
              <w:jc w:val="right"/>
              <w:rPr>
                <w:szCs w:val="24"/>
              </w:rPr>
            </w:pPr>
            <w:r w:rsidRPr="001931F4">
              <w:rPr>
                <w:szCs w:val="24"/>
              </w:rPr>
              <w:t>9</w:t>
            </w:r>
            <w:r w:rsidR="00D14519" w:rsidRPr="001931F4">
              <w:rPr>
                <w:szCs w:val="24"/>
              </w:rPr>
              <w:t>4</w:t>
            </w:r>
          </w:p>
        </w:tc>
        <w:tc>
          <w:tcPr>
            <w:tcW w:w="1134" w:type="dxa"/>
            <w:vAlign w:val="center"/>
          </w:tcPr>
          <w:p w14:paraId="02468154" w14:textId="77777777" w:rsidR="00DA2AF3" w:rsidRPr="001931F4" w:rsidRDefault="00DA2AF3" w:rsidP="00DD63D7">
            <w:pPr>
              <w:tabs>
                <w:tab w:val="decimal" w:pos="885"/>
              </w:tabs>
              <w:jc w:val="right"/>
              <w:rPr>
                <w:szCs w:val="24"/>
              </w:rPr>
            </w:pPr>
          </w:p>
        </w:tc>
        <w:tc>
          <w:tcPr>
            <w:tcW w:w="1134" w:type="dxa"/>
            <w:vAlign w:val="center"/>
          </w:tcPr>
          <w:p w14:paraId="65DC3201" w14:textId="091D72D8" w:rsidR="00DA2AF3" w:rsidRPr="001931F4" w:rsidRDefault="00DA2AF3" w:rsidP="00DD63D7">
            <w:pPr>
              <w:tabs>
                <w:tab w:val="decimal" w:pos="884"/>
              </w:tabs>
              <w:jc w:val="right"/>
              <w:rPr>
                <w:szCs w:val="24"/>
              </w:rPr>
            </w:pPr>
            <w:r w:rsidRPr="001931F4">
              <w:rPr>
                <w:szCs w:val="24"/>
              </w:rPr>
              <w:t>158</w:t>
            </w:r>
          </w:p>
        </w:tc>
        <w:tc>
          <w:tcPr>
            <w:tcW w:w="1134" w:type="dxa"/>
            <w:vAlign w:val="center"/>
          </w:tcPr>
          <w:p w14:paraId="4B773CF0" w14:textId="77777777" w:rsidR="00DA2AF3" w:rsidRPr="001931F4" w:rsidRDefault="00DA2AF3" w:rsidP="00DD63D7">
            <w:pPr>
              <w:tabs>
                <w:tab w:val="decimal" w:pos="885"/>
              </w:tabs>
              <w:jc w:val="right"/>
              <w:rPr>
                <w:szCs w:val="24"/>
              </w:rPr>
            </w:pPr>
          </w:p>
        </w:tc>
      </w:tr>
      <w:tr w:rsidR="00670DBF" w:rsidRPr="001931F4" w14:paraId="25EDFDDE" w14:textId="77777777" w:rsidTr="00DD63D7">
        <w:trPr>
          <w:trHeight w:hRule="exact" w:val="300"/>
        </w:trPr>
        <w:tc>
          <w:tcPr>
            <w:tcW w:w="4350" w:type="dxa"/>
          </w:tcPr>
          <w:p w14:paraId="458EF4AA" w14:textId="53006645" w:rsidR="00670DBF" w:rsidRPr="001931F4" w:rsidRDefault="000C442C" w:rsidP="00670DBF">
            <w:pPr>
              <w:tabs>
                <w:tab w:val="left" w:pos="720"/>
                <w:tab w:val="center" w:pos="6930"/>
              </w:tabs>
              <w:rPr>
                <w:szCs w:val="24"/>
              </w:rPr>
            </w:pPr>
            <w:r>
              <w:rPr>
                <w:szCs w:val="24"/>
              </w:rPr>
              <w:t>Sub-total</w:t>
            </w:r>
          </w:p>
        </w:tc>
        <w:tc>
          <w:tcPr>
            <w:tcW w:w="1134" w:type="dxa"/>
            <w:vAlign w:val="center"/>
          </w:tcPr>
          <w:p w14:paraId="184CFDBE" w14:textId="77777777" w:rsidR="00670DBF" w:rsidRPr="001931F4" w:rsidRDefault="00670DBF" w:rsidP="00DD63D7">
            <w:pPr>
              <w:tabs>
                <w:tab w:val="decimal" w:pos="1080"/>
              </w:tabs>
              <w:jc w:val="right"/>
              <w:rPr>
                <w:szCs w:val="24"/>
              </w:rPr>
            </w:pPr>
          </w:p>
        </w:tc>
        <w:tc>
          <w:tcPr>
            <w:tcW w:w="1134" w:type="dxa"/>
            <w:vAlign w:val="center"/>
          </w:tcPr>
          <w:p w14:paraId="5CAF2FA6" w14:textId="6AC9AAF7" w:rsidR="00670DBF" w:rsidRPr="001931F4" w:rsidRDefault="00F06DCC" w:rsidP="00DD63D7">
            <w:pPr>
              <w:tabs>
                <w:tab w:val="decimal" w:pos="885"/>
              </w:tabs>
              <w:jc w:val="right"/>
              <w:rPr>
                <w:szCs w:val="24"/>
              </w:rPr>
            </w:pPr>
            <w:r w:rsidRPr="001931F4">
              <w:rPr>
                <w:szCs w:val="24"/>
              </w:rPr>
              <w:t>3,30</w:t>
            </w:r>
            <w:r w:rsidR="00604CBB" w:rsidRPr="001931F4">
              <w:rPr>
                <w:szCs w:val="24"/>
              </w:rPr>
              <w:t>3</w:t>
            </w:r>
          </w:p>
        </w:tc>
        <w:tc>
          <w:tcPr>
            <w:tcW w:w="1134" w:type="dxa"/>
            <w:vAlign w:val="center"/>
          </w:tcPr>
          <w:p w14:paraId="47C3D409" w14:textId="77777777" w:rsidR="00670DBF" w:rsidRPr="001931F4" w:rsidRDefault="00670DBF" w:rsidP="00DD63D7">
            <w:pPr>
              <w:tabs>
                <w:tab w:val="decimal" w:pos="1080"/>
              </w:tabs>
              <w:jc w:val="right"/>
              <w:rPr>
                <w:szCs w:val="24"/>
              </w:rPr>
            </w:pPr>
          </w:p>
        </w:tc>
        <w:tc>
          <w:tcPr>
            <w:tcW w:w="1134" w:type="dxa"/>
            <w:vAlign w:val="center"/>
          </w:tcPr>
          <w:p w14:paraId="3EAA4A37" w14:textId="6A32A187" w:rsidR="00670DBF" w:rsidRPr="001931F4" w:rsidRDefault="00DA2AF3" w:rsidP="00DD63D7">
            <w:pPr>
              <w:tabs>
                <w:tab w:val="decimal" w:pos="885"/>
              </w:tabs>
              <w:jc w:val="right"/>
              <w:rPr>
                <w:szCs w:val="24"/>
              </w:rPr>
            </w:pPr>
            <w:r w:rsidRPr="001931F4">
              <w:rPr>
                <w:szCs w:val="24"/>
              </w:rPr>
              <w:t>3,232</w:t>
            </w:r>
          </w:p>
        </w:tc>
      </w:tr>
      <w:tr w:rsidR="00670DBF" w:rsidRPr="001931F4" w14:paraId="35225D5F" w14:textId="77777777" w:rsidTr="00DD63D7">
        <w:trPr>
          <w:trHeight w:hRule="exact" w:val="533"/>
        </w:trPr>
        <w:tc>
          <w:tcPr>
            <w:tcW w:w="4350" w:type="dxa"/>
          </w:tcPr>
          <w:p w14:paraId="3630F7FA" w14:textId="77777777" w:rsidR="00670DBF" w:rsidRPr="001931F4" w:rsidRDefault="00670DBF" w:rsidP="00670DBF">
            <w:pPr>
              <w:rPr>
                <w:rFonts w:cs="Arial"/>
                <w:szCs w:val="24"/>
              </w:rPr>
            </w:pPr>
            <w:r w:rsidRPr="001931F4">
              <w:rPr>
                <w:rFonts w:cs="Arial"/>
                <w:szCs w:val="24"/>
              </w:rPr>
              <w:t>Disposal of assets via the Comprehensive Income &amp; Expenditure Statement</w:t>
            </w:r>
          </w:p>
        </w:tc>
        <w:tc>
          <w:tcPr>
            <w:tcW w:w="1134" w:type="dxa"/>
            <w:vAlign w:val="center"/>
          </w:tcPr>
          <w:p w14:paraId="0FA612DB" w14:textId="77777777" w:rsidR="00670DBF" w:rsidRPr="001931F4" w:rsidRDefault="00670DBF" w:rsidP="00DD63D7">
            <w:pPr>
              <w:tabs>
                <w:tab w:val="decimal" w:pos="1080"/>
              </w:tabs>
              <w:jc w:val="right"/>
              <w:rPr>
                <w:szCs w:val="24"/>
              </w:rPr>
            </w:pPr>
          </w:p>
        </w:tc>
        <w:tc>
          <w:tcPr>
            <w:tcW w:w="1134" w:type="dxa"/>
            <w:vAlign w:val="center"/>
          </w:tcPr>
          <w:p w14:paraId="712E17A6" w14:textId="2C4A658D" w:rsidR="00670DBF" w:rsidRPr="001931F4" w:rsidRDefault="00670DBF" w:rsidP="00DD63D7">
            <w:pPr>
              <w:tabs>
                <w:tab w:val="decimal" w:pos="885"/>
              </w:tabs>
              <w:jc w:val="right"/>
              <w:rPr>
                <w:szCs w:val="24"/>
              </w:rPr>
            </w:pPr>
            <w:r w:rsidRPr="001931F4">
              <w:rPr>
                <w:szCs w:val="24"/>
              </w:rPr>
              <w:t>-</w:t>
            </w:r>
          </w:p>
        </w:tc>
        <w:tc>
          <w:tcPr>
            <w:tcW w:w="1134" w:type="dxa"/>
            <w:vAlign w:val="center"/>
          </w:tcPr>
          <w:p w14:paraId="104E2F12" w14:textId="77777777" w:rsidR="00670DBF" w:rsidRPr="001931F4" w:rsidRDefault="00670DBF" w:rsidP="00DD63D7">
            <w:pPr>
              <w:tabs>
                <w:tab w:val="decimal" w:pos="1080"/>
              </w:tabs>
              <w:jc w:val="right"/>
              <w:rPr>
                <w:szCs w:val="24"/>
              </w:rPr>
            </w:pPr>
          </w:p>
        </w:tc>
        <w:tc>
          <w:tcPr>
            <w:tcW w:w="1134" w:type="dxa"/>
            <w:vAlign w:val="center"/>
          </w:tcPr>
          <w:p w14:paraId="538875F7" w14:textId="05024EE5" w:rsidR="00670DBF" w:rsidRPr="001931F4" w:rsidRDefault="00670DBF" w:rsidP="00DD63D7">
            <w:pPr>
              <w:tabs>
                <w:tab w:val="decimal" w:pos="885"/>
              </w:tabs>
              <w:jc w:val="right"/>
              <w:rPr>
                <w:szCs w:val="24"/>
              </w:rPr>
            </w:pPr>
            <w:r w:rsidRPr="001931F4">
              <w:rPr>
                <w:szCs w:val="24"/>
              </w:rPr>
              <w:t>-</w:t>
            </w:r>
          </w:p>
        </w:tc>
      </w:tr>
      <w:tr w:rsidR="00670DBF" w:rsidRPr="001931F4" w14:paraId="5AEA2F21" w14:textId="77777777" w:rsidTr="00DD63D7">
        <w:trPr>
          <w:trHeight w:hRule="exact" w:val="533"/>
        </w:trPr>
        <w:tc>
          <w:tcPr>
            <w:tcW w:w="4350" w:type="dxa"/>
          </w:tcPr>
          <w:p w14:paraId="0264DAC9" w14:textId="77777777" w:rsidR="00670DBF" w:rsidRPr="001931F4" w:rsidRDefault="00670DBF" w:rsidP="00670DBF">
            <w:pPr>
              <w:rPr>
                <w:rFonts w:cs="Arial"/>
                <w:szCs w:val="24"/>
              </w:rPr>
            </w:pPr>
            <w:r w:rsidRPr="001931F4">
              <w:rPr>
                <w:rFonts w:cs="Arial"/>
                <w:szCs w:val="24"/>
              </w:rPr>
              <w:t>Adjusting amounts written out of the Revaluation Reserve</w:t>
            </w:r>
          </w:p>
          <w:p w14:paraId="7229F941" w14:textId="77777777" w:rsidR="00670DBF" w:rsidRPr="001931F4" w:rsidRDefault="00670DBF" w:rsidP="00670DBF">
            <w:pPr>
              <w:tabs>
                <w:tab w:val="left" w:pos="720"/>
                <w:tab w:val="center" w:pos="6930"/>
              </w:tabs>
              <w:rPr>
                <w:szCs w:val="24"/>
              </w:rPr>
            </w:pPr>
          </w:p>
        </w:tc>
        <w:tc>
          <w:tcPr>
            <w:tcW w:w="1134" w:type="dxa"/>
            <w:vAlign w:val="center"/>
          </w:tcPr>
          <w:p w14:paraId="4F4C2136" w14:textId="77777777" w:rsidR="00670DBF" w:rsidRPr="001931F4" w:rsidRDefault="00670DBF" w:rsidP="00DD63D7">
            <w:pPr>
              <w:tabs>
                <w:tab w:val="decimal" w:pos="1080"/>
              </w:tabs>
              <w:jc w:val="right"/>
              <w:rPr>
                <w:szCs w:val="24"/>
              </w:rPr>
            </w:pPr>
          </w:p>
        </w:tc>
        <w:tc>
          <w:tcPr>
            <w:tcW w:w="1134" w:type="dxa"/>
            <w:vAlign w:val="center"/>
          </w:tcPr>
          <w:p w14:paraId="36A2E311" w14:textId="27E30B8C" w:rsidR="00670DBF" w:rsidRPr="001931F4" w:rsidRDefault="00670DBF" w:rsidP="00DD63D7">
            <w:pPr>
              <w:tabs>
                <w:tab w:val="decimal" w:pos="885"/>
              </w:tabs>
              <w:jc w:val="right"/>
              <w:rPr>
                <w:szCs w:val="24"/>
              </w:rPr>
            </w:pPr>
            <w:r w:rsidRPr="001931F4">
              <w:rPr>
                <w:szCs w:val="24"/>
              </w:rPr>
              <w:t>-</w:t>
            </w:r>
          </w:p>
        </w:tc>
        <w:tc>
          <w:tcPr>
            <w:tcW w:w="1134" w:type="dxa"/>
            <w:vAlign w:val="center"/>
          </w:tcPr>
          <w:p w14:paraId="21EDE3D6" w14:textId="77777777" w:rsidR="00670DBF" w:rsidRPr="001931F4" w:rsidRDefault="00670DBF" w:rsidP="00DD63D7">
            <w:pPr>
              <w:tabs>
                <w:tab w:val="decimal" w:pos="1080"/>
              </w:tabs>
              <w:jc w:val="right"/>
              <w:rPr>
                <w:szCs w:val="24"/>
              </w:rPr>
            </w:pPr>
          </w:p>
        </w:tc>
        <w:tc>
          <w:tcPr>
            <w:tcW w:w="1134" w:type="dxa"/>
            <w:vAlign w:val="center"/>
          </w:tcPr>
          <w:p w14:paraId="42C6AD11" w14:textId="48D3B3D4" w:rsidR="00670DBF" w:rsidRPr="001931F4" w:rsidRDefault="00670DBF" w:rsidP="00DD63D7">
            <w:pPr>
              <w:tabs>
                <w:tab w:val="decimal" w:pos="885"/>
              </w:tabs>
              <w:jc w:val="right"/>
              <w:rPr>
                <w:szCs w:val="24"/>
              </w:rPr>
            </w:pPr>
            <w:r w:rsidRPr="001931F4">
              <w:rPr>
                <w:szCs w:val="24"/>
              </w:rPr>
              <w:t>-</w:t>
            </w:r>
          </w:p>
        </w:tc>
      </w:tr>
      <w:tr w:rsidR="00670DBF" w:rsidRPr="001931F4" w14:paraId="1910D956" w14:textId="77777777" w:rsidTr="00DD63D7">
        <w:trPr>
          <w:trHeight w:hRule="exact" w:val="565"/>
        </w:trPr>
        <w:tc>
          <w:tcPr>
            <w:tcW w:w="4350" w:type="dxa"/>
          </w:tcPr>
          <w:p w14:paraId="651EE98A" w14:textId="77777777" w:rsidR="00670DBF" w:rsidRPr="001931F4" w:rsidRDefault="00670DBF" w:rsidP="00670DBF">
            <w:pPr>
              <w:tabs>
                <w:tab w:val="left" w:pos="720"/>
                <w:tab w:val="center" w:pos="6930"/>
              </w:tabs>
              <w:rPr>
                <w:szCs w:val="24"/>
              </w:rPr>
            </w:pPr>
            <w:r w:rsidRPr="001931F4">
              <w:rPr>
                <w:szCs w:val="24"/>
              </w:rPr>
              <w:t>Net amount written out of the cost of non-current assets consumed in the year</w:t>
            </w:r>
          </w:p>
        </w:tc>
        <w:tc>
          <w:tcPr>
            <w:tcW w:w="1134" w:type="dxa"/>
            <w:vAlign w:val="center"/>
          </w:tcPr>
          <w:p w14:paraId="6DF24A31" w14:textId="77777777" w:rsidR="00670DBF" w:rsidRPr="001931F4" w:rsidRDefault="00670DBF" w:rsidP="00DD63D7">
            <w:pPr>
              <w:tabs>
                <w:tab w:val="decimal" w:pos="1080"/>
              </w:tabs>
              <w:jc w:val="right"/>
              <w:rPr>
                <w:szCs w:val="24"/>
              </w:rPr>
            </w:pPr>
          </w:p>
        </w:tc>
        <w:tc>
          <w:tcPr>
            <w:tcW w:w="1134" w:type="dxa"/>
            <w:vAlign w:val="center"/>
          </w:tcPr>
          <w:p w14:paraId="03152BB2" w14:textId="7581835D" w:rsidR="00670DBF" w:rsidRPr="001931F4" w:rsidRDefault="00F06DCC" w:rsidP="00DD63D7">
            <w:pPr>
              <w:tabs>
                <w:tab w:val="decimal" w:pos="885"/>
              </w:tabs>
              <w:jc w:val="right"/>
              <w:rPr>
                <w:szCs w:val="24"/>
              </w:rPr>
            </w:pPr>
            <w:r w:rsidRPr="001931F4">
              <w:rPr>
                <w:szCs w:val="24"/>
              </w:rPr>
              <w:t>3,30</w:t>
            </w:r>
            <w:r w:rsidR="00604CBB" w:rsidRPr="001931F4">
              <w:rPr>
                <w:szCs w:val="24"/>
              </w:rPr>
              <w:t>3</w:t>
            </w:r>
          </w:p>
        </w:tc>
        <w:tc>
          <w:tcPr>
            <w:tcW w:w="1134" w:type="dxa"/>
            <w:vAlign w:val="center"/>
          </w:tcPr>
          <w:p w14:paraId="5E3A02BC" w14:textId="77777777" w:rsidR="00670DBF" w:rsidRPr="001931F4" w:rsidRDefault="00670DBF" w:rsidP="00DD63D7">
            <w:pPr>
              <w:tabs>
                <w:tab w:val="decimal" w:pos="1080"/>
              </w:tabs>
              <w:jc w:val="right"/>
              <w:rPr>
                <w:szCs w:val="24"/>
              </w:rPr>
            </w:pPr>
          </w:p>
        </w:tc>
        <w:tc>
          <w:tcPr>
            <w:tcW w:w="1134" w:type="dxa"/>
            <w:vAlign w:val="center"/>
          </w:tcPr>
          <w:p w14:paraId="5FCB65E5" w14:textId="4014244C" w:rsidR="00670DBF" w:rsidRPr="001931F4" w:rsidRDefault="00DA2AF3" w:rsidP="00DD63D7">
            <w:pPr>
              <w:tabs>
                <w:tab w:val="decimal" w:pos="885"/>
              </w:tabs>
              <w:jc w:val="right"/>
              <w:rPr>
                <w:szCs w:val="24"/>
              </w:rPr>
            </w:pPr>
            <w:r w:rsidRPr="001931F4">
              <w:rPr>
                <w:szCs w:val="24"/>
              </w:rPr>
              <w:t>3,232</w:t>
            </w:r>
          </w:p>
        </w:tc>
      </w:tr>
    </w:tbl>
    <w:p w14:paraId="4A43E92F" w14:textId="77777777" w:rsidR="00EC3487" w:rsidRDefault="00EC3487"/>
    <w:tbl>
      <w:tblPr>
        <w:tblW w:w="88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0"/>
        <w:gridCol w:w="1134"/>
        <w:gridCol w:w="1134"/>
        <w:gridCol w:w="1134"/>
        <w:gridCol w:w="1134"/>
      </w:tblGrid>
      <w:tr w:rsidR="00982FEC" w:rsidRPr="001931F4" w14:paraId="327BFF78" w14:textId="77777777" w:rsidTr="00982FEC">
        <w:trPr>
          <w:trHeight w:hRule="exact" w:val="300"/>
        </w:trPr>
        <w:tc>
          <w:tcPr>
            <w:tcW w:w="8886" w:type="dxa"/>
            <w:gridSpan w:val="5"/>
            <w:shd w:val="clear" w:color="auto" w:fill="D9D9D9" w:themeFill="background1" w:themeFillShade="D9"/>
          </w:tcPr>
          <w:p w14:paraId="5A9C1FC7" w14:textId="662BDBAE" w:rsidR="00982FEC" w:rsidRPr="00BD79B2" w:rsidRDefault="00982FEC" w:rsidP="00982FEC">
            <w:pPr>
              <w:tabs>
                <w:tab w:val="decimal" w:pos="885"/>
              </w:tabs>
              <w:rPr>
                <w:b/>
                <w:bCs/>
                <w:szCs w:val="24"/>
              </w:rPr>
            </w:pPr>
            <w:r w:rsidRPr="00BD79B2">
              <w:rPr>
                <w:b/>
                <w:bCs/>
                <w:szCs w:val="24"/>
              </w:rPr>
              <w:t>Capital financing applied in the year:</w:t>
            </w:r>
          </w:p>
        </w:tc>
      </w:tr>
      <w:tr w:rsidR="00670DBF" w:rsidRPr="001931F4" w14:paraId="313618B4" w14:textId="77777777" w:rsidTr="00746F3D">
        <w:trPr>
          <w:trHeight w:hRule="exact" w:val="1390"/>
        </w:trPr>
        <w:tc>
          <w:tcPr>
            <w:tcW w:w="4350" w:type="dxa"/>
          </w:tcPr>
          <w:p w14:paraId="5A0460D4" w14:textId="77777777" w:rsidR="00670DBF" w:rsidRPr="001931F4" w:rsidRDefault="00670DBF" w:rsidP="00670DBF">
            <w:pPr>
              <w:numPr>
                <w:ilvl w:val="0"/>
                <w:numId w:val="14"/>
              </w:numPr>
              <w:tabs>
                <w:tab w:val="center" w:pos="6930"/>
              </w:tabs>
              <w:rPr>
                <w:szCs w:val="24"/>
              </w:rPr>
            </w:pPr>
            <w:r w:rsidRPr="001931F4">
              <w:rPr>
                <w:szCs w:val="24"/>
              </w:rPr>
              <w:t>Capital grants and contributions credited to the Comprehensive Income and Expenditure Statement that have been applied to capital financing</w:t>
            </w:r>
          </w:p>
        </w:tc>
        <w:tc>
          <w:tcPr>
            <w:tcW w:w="1134" w:type="dxa"/>
            <w:vAlign w:val="center"/>
          </w:tcPr>
          <w:p w14:paraId="4D1B782B" w14:textId="279721F9" w:rsidR="00670DBF" w:rsidRPr="001931F4" w:rsidRDefault="00746F3D" w:rsidP="00746F3D">
            <w:pPr>
              <w:tabs>
                <w:tab w:val="decimal" w:pos="885"/>
              </w:tabs>
              <w:jc w:val="right"/>
              <w:rPr>
                <w:szCs w:val="24"/>
              </w:rPr>
            </w:pPr>
            <w:r>
              <w:rPr>
                <w:szCs w:val="24"/>
              </w:rPr>
              <w:t>-</w:t>
            </w:r>
          </w:p>
        </w:tc>
        <w:tc>
          <w:tcPr>
            <w:tcW w:w="1134" w:type="dxa"/>
            <w:vAlign w:val="center"/>
          </w:tcPr>
          <w:p w14:paraId="31DDEAA8" w14:textId="77777777" w:rsidR="00670DBF" w:rsidRPr="001931F4" w:rsidRDefault="00670DBF" w:rsidP="00746F3D">
            <w:pPr>
              <w:tabs>
                <w:tab w:val="decimal" w:pos="885"/>
              </w:tabs>
              <w:jc w:val="right"/>
              <w:rPr>
                <w:szCs w:val="24"/>
              </w:rPr>
            </w:pPr>
          </w:p>
        </w:tc>
        <w:tc>
          <w:tcPr>
            <w:tcW w:w="1134" w:type="dxa"/>
            <w:vAlign w:val="center"/>
          </w:tcPr>
          <w:p w14:paraId="315F4844" w14:textId="56475ACE" w:rsidR="00670DBF" w:rsidRPr="001931F4" w:rsidRDefault="00670DBF" w:rsidP="00746F3D">
            <w:pPr>
              <w:tabs>
                <w:tab w:val="decimal" w:pos="885"/>
              </w:tabs>
              <w:jc w:val="right"/>
              <w:rPr>
                <w:szCs w:val="24"/>
              </w:rPr>
            </w:pPr>
            <w:r w:rsidRPr="001931F4">
              <w:rPr>
                <w:szCs w:val="24"/>
              </w:rPr>
              <w:t>-</w:t>
            </w:r>
          </w:p>
        </w:tc>
        <w:tc>
          <w:tcPr>
            <w:tcW w:w="1134" w:type="dxa"/>
            <w:vAlign w:val="center"/>
          </w:tcPr>
          <w:p w14:paraId="2F642D99" w14:textId="77777777" w:rsidR="00670DBF" w:rsidRPr="001931F4" w:rsidRDefault="00670DBF" w:rsidP="00746F3D">
            <w:pPr>
              <w:tabs>
                <w:tab w:val="decimal" w:pos="885"/>
              </w:tabs>
              <w:jc w:val="right"/>
              <w:rPr>
                <w:szCs w:val="24"/>
              </w:rPr>
            </w:pPr>
          </w:p>
        </w:tc>
      </w:tr>
      <w:tr w:rsidR="00DA2AF3" w:rsidRPr="001931F4" w14:paraId="189BDEA3" w14:textId="77777777" w:rsidTr="00746F3D">
        <w:trPr>
          <w:trHeight w:hRule="exact" w:val="857"/>
        </w:trPr>
        <w:tc>
          <w:tcPr>
            <w:tcW w:w="4350" w:type="dxa"/>
          </w:tcPr>
          <w:p w14:paraId="035E8E3B" w14:textId="77777777" w:rsidR="00DA2AF3" w:rsidRPr="001931F4" w:rsidRDefault="00DA2AF3" w:rsidP="00DA2AF3">
            <w:pPr>
              <w:numPr>
                <w:ilvl w:val="0"/>
                <w:numId w:val="14"/>
              </w:numPr>
              <w:tabs>
                <w:tab w:val="center" w:pos="6930"/>
              </w:tabs>
              <w:rPr>
                <w:szCs w:val="24"/>
              </w:rPr>
            </w:pPr>
            <w:r w:rsidRPr="001931F4">
              <w:rPr>
                <w:szCs w:val="24"/>
              </w:rPr>
              <w:t>Statutory provision for financing of capital investment charged against General Fund</w:t>
            </w:r>
          </w:p>
        </w:tc>
        <w:tc>
          <w:tcPr>
            <w:tcW w:w="1134" w:type="dxa"/>
            <w:vAlign w:val="center"/>
          </w:tcPr>
          <w:p w14:paraId="5D8322EE" w14:textId="0FF7DB37" w:rsidR="00DA2AF3" w:rsidRPr="001931F4" w:rsidRDefault="00DD63D7" w:rsidP="00746F3D">
            <w:pPr>
              <w:tabs>
                <w:tab w:val="decimal" w:pos="885"/>
              </w:tabs>
              <w:jc w:val="right"/>
              <w:rPr>
                <w:szCs w:val="24"/>
              </w:rPr>
            </w:pPr>
            <w:r>
              <w:rPr>
                <w:szCs w:val="24"/>
              </w:rPr>
              <w:t>(</w:t>
            </w:r>
            <w:r w:rsidR="00DA2AF3" w:rsidRPr="001931F4">
              <w:rPr>
                <w:szCs w:val="24"/>
              </w:rPr>
              <w:t>4</w:t>
            </w:r>
            <w:r w:rsidR="00F06DCC" w:rsidRPr="001931F4">
              <w:rPr>
                <w:szCs w:val="24"/>
              </w:rPr>
              <w:t>87</w:t>
            </w:r>
            <w:r w:rsidR="00DA2AF3" w:rsidRPr="001931F4">
              <w:rPr>
                <w:szCs w:val="24"/>
              </w:rPr>
              <w:t>)</w:t>
            </w:r>
          </w:p>
        </w:tc>
        <w:tc>
          <w:tcPr>
            <w:tcW w:w="1134" w:type="dxa"/>
            <w:vAlign w:val="center"/>
          </w:tcPr>
          <w:p w14:paraId="0ADFF8D4" w14:textId="77777777" w:rsidR="00DA2AF3" w:rsidRPr="001931F4" w:rsidRDefault="00DA2AF3" w:rsidP="00746F3D">
            <w:pPr>
              <w:tabs>
                <w:tab w:val="decimal" w:pos="885"/>
              </w:tabs>
              <w:jc w:val="right"/>
              <w:rPr>
                <w:szCs w:val="24"/>
              </w:rPr>
            </w:pPr>
          </w:p>
        </w:tc>
        <w:tc>
          <w:tcPr>
            <w:tcW w:w="1134" w:type="dxa"/>
            <w:vAlign w:val="center"/>
          </w:tcPr>
          <w:p w14:paraId="5736A2E2" w14:textId="29BE0DEA" w:rsidR="00DA2AF3" w:rsidRPr="001931F4" w:rsidRDefault="00DA2AF3" w:rsidP="00746F3D">
            <w:pPr>
              <w:tabs>
                <w:tab w:val="decimal" w:pos="885"/>
              </w:tabs>
              <w:jc w:val="right"/>
              <w:rPr>
                <w:szCs w:val="24"/>
              </w:rPr>
            </w:pPr>
            <w:r w:rsidRPr="001931F4">
              <w:rPr>
                <w:szCs w:val="24"/>
              </w:rPr>
              <w:t>(448)</w:t>
            </w:r>
          </w:p>
        </w:tc>
        <w:tc>
          <w:tcPr>
            <w:tcW w:w="1134" w:type="dxa"/>
            <w:vAlign w:val="center"/>
          </w:tcPr>
          <w:p w14:paraId="6613972F" w14:textId="77777777" w:rsidR="00DA2AF3" w:rsidRPr="001931F4" w:rsidRDefault="00DA2AF3" w:rsidP="00746F3D">
            <w:pPr>
              <w:tabs>
                <w:tab w:val="decimal" w:pos="885"/>
              </w:tabs>
              <w:jc w:val="right"/>
              <w:rPr>
                <w:szCs w:val="24"/>
              </w:rPr>
            </w:pPr>
          </w:p>
        </w:tc>
      </w:tr>
      <w:tr w:rsidR="00DA2AF3" w:rsidRPr="001931F4" w14:paraId="59921E05" w14:textId="77777777" w:rsidTr="00746F3D">
        <w:trPr>
          <w:trHeight w:hRule="exact" w:val="884"/>
        </w:trPr>
        <w:tc>
          <w:tcPr>
            <w:tcW w:w="4350" w:type="dxa"/>
          </w:tcPr>
          <w:p w14:paraId="2EB8D0A8" w14:textId="77777777" w:rsidR="00DA2AF3" w:rsidRPr="001931F4" w:rsidRDefault="00DA2AF3" w:rsidP="00DA2AF3">
            <w:pPr>
              <w:numPr>
                <w:ilvl w:val="0"/>
                <w:numId w:val="14"/>
              </w:numPr>
              <w:tabs>
                <w:tab w:val="center" w:pos="6930"/>
              </w:tabs>
              <w:rPr>
                <w:szCs w:val="24"/>
              </w:rPr>
            </w:pPr>
            <w:r w:rsidRPr="001931F4">
              <w:rPr>
                <w:szCs w:val="24"/>
              </w:rPr>
              <w:t>Voluntary provision for financing of capital investment charged against General Fund</w:t>
            </w:r>
          </w:p>
        </w:tc>
        <w:tc>
          <w:tcPr>
            <w:tcW w:w="1134" w:type="dxa"/>
            <w:vAlign w:val="center"/>
          </w:tcPr>
          <w:p w14:paraId="032994C7" w14:textId="06F2100A" w:rsidR="00DA2AF3" w:rsidRPr="001931F4" w:rsidRDefault="00F06DCC" w:rsidP="00746F3D">
            <w:pPr>
              <w:tabs>
                <w:tab w:val="decimal" w:pos="885"/>
              </w:tabs>
              <w:jc w:val="right"/>
              <w:rPr>
                <w:szCs w:val="24"/>
              </w:rPr>
            </w:pPr>
            <w:r w:rsidRPr="001931F4">
              <w:rPr>
                <w:szCs w:val="24"/>
              </w:rPr>
              <w:t>-</w:t>
            </w:r>
          </w:p>
        </w:tc>
        <w:tc>
          <w:tcPr>
            <w:tcW w:w="1134" w:type="dxa"/>
            <w:vAlign w:val="center"/>
          </w:tcPr>
          <w:p w14:paraId="6D3D3E4D" w14:textId="77777777" w:rsidR="00DA2AF3" w:rsidRPr="001931F4" w:rsidRDefault="00DA2AF3" w:rsidP="00746F3D">
            <w:pPr>
              <w:tabs>
                <w:tab w:val="decimal" w:pos="885"/>
              </w:tabs>
              <w:jc w:val="right"/>
              <w:rPr>
                <w:szCs w:val="24"/>
              </w:rPr>
            </w:pPr>
          </w:p>
        </w:tc>
        <w:tc>
          <w:tcPr>
            <w:tcW w:w="1134" w:type="dxa"/>
            <w:vAlign w:val="center"/>
          </w:tcPr>
          <w:p w14:paraId="6E371DB8" w14:textId="7B70DC4A" w:rsidR="00DA2AF3" w:rsidRPr="001931F4" w:rsidRDefault="00DA2AF3" w:rsidP="00746F3D">
            <w:pPr>
              <w:tabs>
                <w:tab w:val="decimal" w:pos="885"/>
              </w:tabs>
              <w:jc w:val="right"/>
              <w:rPr>
                <w:szCs w:val="24"/>
              </w:rPr>
            </w:pPr>
            <w:r w:rsidRPr="001931F4">
              <w:rPr>
                <w:szCs w:val="24"/>
              </w:rPr>
              <w:t>(10)</w:t>
            </w:r>
          </w:p>
        </w:tc>
        <w:tc>
          <w:tcPr>
            <w:tcW w:w="1134" w:type="dxa"/>
            <w:vAlign w:val="center"/>
          </w:tcPr>
          <w:p w14:paraId="537C1082" w14:textId="77777777" w:rsidR="00DA2AF3" w:rsidRPr="001931F4" w:rsidRDefault="00DA2AF3" w:rsidP="00746F3D">
            <w:pPr>
              <w:tabs>
                <w:tab w:val="decimal" w:pos="885"/>
              </w:tabs>
              <w:jc w:val="right"/>
              <w:rPr>
                <w:szCs w:val="24"/>
              </w:rPr>
            </w:pPr>
          </w:p>
        </w:tc>
      </w:tr>
      <w:tr w:rsidR="00DA2AF3" w:rsidRPr="001931F4" w14:paraId="12070B1F" w14:textId="77777777" w:rsidTr="00746F3D">
        <w:trPr>
          <w:trHeight w:hRule="exact" w:val="624"/>
        </w:trPr>
        <w:tc>
          <w:tcPr>
            <w:tcW w:w="4350" w:type="dxa"/>
          </w:tcPr>
          <w:p w14:paraId="55969B01" w14:textId="77777777" w:rsidR="00DA2AF3" w:rsidRPr="001931F4" w:rsidRDefault="00DA2AF3" w:rsidP="00DA2AF3">
            <w:pPr>
              <w:numPr>
                <w:ilvl w:val="0"/>
                <w:numId w:val="14"/>
              </w:numPr>
              <w:tabs>
                <w:tab w:val="center" w:pos="6930"/>
              </w:tabs>
              <w:rPr>
                <w:szCs w:val="24"/>
              </w:rPr>
            </w:pPr>
            <w:r w:rsidRPr="001931F4">
              <w:rPr>
                <w:szCs w:val="24"/>
              </w:rPr>
              <w:t xml:space="preserve">Use of capital reserves to fund </w:t>
            </w:r>
            <w:proofErr w:type="gramStart"/>
            <w:r w:rsidRPr="001931F4">
              <w:rPr>
                <w:szCs w:val="24"/>
              </w:rPr>
              <w:t>expenditure</w:t>
            </w:r>
            <w:proofErr w:type="gramEnd"/>
          </w:p>
          <w:p w14:paraId="0DC55281" w14:textId="77777777" w:rsidR="00DA2AF3" w:rsidRPr="001931F4" w:rsidRDefault="00DA2AF3" w:rsidP="00DA2AF3">
            <w:pPr>
              <w:tabs>
                <w:tab w:val="center" w:pos="6930"/>
              </w:tabs>
              <w:ind w:left="360"/>
              <w:rPr>
                <w:szCs w:val="24"/>
              </w:rPr>
            </w:pPr>
          </w:p>
        </w:tc>
        <w:tc>
          <w:tcPr>
            <w:tcW w:w="1134" w:type="dxa"/>
            <w:vAlign w:val="center"/>
          </w:tcPr>
          <w:p w14:paraId="65FAC9DF" w14:textId="0E0337F8" w:rsidR="00DA2AF3" w:rsidRPr="001931F4" w:rsidRDefault="00F06DCC" w:rsidP="00746F3D">
            <w:pPr>
              <w:tabs>
                <w:tab w:val="decimal" w:pos="885"/>
              </w:tabs>
              <w:jc w:val="right"/>
              <w:rPr>
                <w:szCs w:val="24"/>
              </w:rPr>
            </w:pPr>
            <w:r w:rsidRPr="001931F4">
              <w:rPr>
                <w:szCs w:val="24"/>
              </w:rPr>
              <w:t>-</w:t>
            </w:r>
          </w:p>
        </w:tc>
        <w:tc>
          <w:tcPr>
            <w:tcW w:w="1134" w:type="dxa"/>
            <w:vAlign w:val="center"/>
          </w:tcPr>
          <w:p w14:paraId="611F53E4" w14:textId="77777777" w:rsidR="00DA2AF3" w:rsidRPr="001931F4" w:rsidRDefault="00DA2AF3" w:rsidP="00746F3D">
            <w:pPr>
              <w:tabs>
                <w:tab w:val="decimal" w:pos="885"/>
              </w:tabs>
              <w:jc w:val="right"/>
              <w:rPr>
                <w:szCs w:val="24"/>
              </w:rPr>
            </w:pPr>
          </w:p>
        </w:tc>
        <w:tc>
          <w:tcPr>
            <w:tcW w:w="1134" w:type="dxa"/>
            <w:vAlign w:val="center"/>
          </w:tcPr>
          <w:p w14:paraId="456CE863" w14:textId="34196AC6" w:rsidR="00DA2AF3" w:rsidRPr="001931F4" w:rsidRDefault="00DA2AF3" w:rsidP="00746F3D">
            <w:pPr>
              <w:tabs>
                <w:tab w:val="decimal" w:pos="885"/>
              </w:tabs>
              <w:jc w:val="right"/>
              <w:rPr>
                <w:szCs w:val="24"/>
              </w:rPr>
            </w:pPr>
            <w:r w:rsidRPr="001931F4">
              <w:rPr>
                <w:szCs w:val="24"/>
              </w:rPr>
              <w:t>(977)</w:t>
            </w:r>
          </w:p>
        </w:tc>
        <w:tc>
          <w:tcPr>
            <w:tcW w:w="1134" w:type="dxa"/>
            <w:vAlign w:val="center"/>
          </w:tcPr>
          <w:p w14:paraId="7E1BF806" w14:textId="77777777" w:rsidR="00DA2AF3" w:rsidRPr="001931F4" w:rsidRDefault="00DA2AF3" w:rsidP="00746F3D">
            <w:pPr>
              <w:tabs>
                <w:tab w:val="decimal" w:pos="885"/>
              </w:tabs>
              <w:jc w:val="right"/>
              <w:rPr>
                <w:szCs w:val="24"/>
              </w:rPr>
            </w:pPr>
          </w:p>
        </w:tc>
      </w:tr>
      <w:tr w:rsidR="00DA2AF3" w:rsidRPr="001931F4" w14:paraId="4188D6D4" w14:textId="77777777" w:rsidTr="00746F3D">
        <w:trPr>
          <w:trHeight w:hRule="exact" w:val="571"/>
        </w:trPr>
        <w:tc>
          <w:tcPr>
            <w:tcW w:w="4350" w:type="dxa"/>
          </w:tcPr>
          <w:p w14:paraId="71E5B69C" w14:textId="77777777" w:rsidR="00DA2AF3" w:rsidRPr="001931F4" w:rsidRDefault="00DA2AF3" w:rsidP="00DA2AF3">
            <w:pPr>
              <w:numPr>
                <w:ilvl w:val="0"/>
                <w:numId w:val="14"/>
              </w:numPr>
              <w:tabs>
                <w:tab w:val="center" w:pos="6930"/>
              </w:tabs>
              <w:rPr>
                <w:szCs w:val="24"/>
              </w:rPr>
            </w:pPr>
            <w:r w:rsidRPr="001931F4">
              <w:rPr>
                <w:szCs w:val="24"/>
              </w:rPr>
              <w:t>Capital expenditure charged to General Fund Balance</w:t>
            </w:r>
          </w:p>
        </w:tc>
        <w:tc>
          <w:tcPr>
            <w:tcW w:w="1134" w:type="dxa"/>
            <w:vAlign w:val="center"/>
          </w:tcPr>
          <w:p w14:paraId="149B6926" w14:textId="32D11882" w:rsidR="00DA2AF3" w:rsidRPr="001931F4" w:rsidRDefault="00DA2AF3" w:rsidP="00746F3D">
            <w:pPr>
              <w:tabs>
                <w:tab w:val="decimal" w:pos="885"/>
              </w:tabs>
              <w:jc w:val="right"/>
              <w:rPr>
                <w:szCs w:val="24"/>
              </w:rPr>
            </w:pPr>
            <w:r w:rsidRPr="001931F4">
              <w:rPr>
                <w:szCs w:val="24"/>
              </w:rPr>
              <w:t>(</w:t>
            </w:r>
            <w:r w:rsidR="00F06DCC" w:rsidRPr="001931F4">
              <w:rPr>
                <w:szCs w:val="24"/>
              </w:rPr>
              <w:t>1,62</w:t>
            </w:r>
            <w:r w:rsidR="00604CBB" w:rsidRPr="001931F4">
              <w:rPr>
                <w:szCs w:val="24"/>
              </w:rPr>
              <w:t>8</w:t>
            </w:r>
            <w:r w:rsidRPr="001931F4">
              <w:rPr>
                <w:szCs w:val="24"/>
              </w:rPr>
              <w:t>)</w:t>
            </w:r>
          </w:p>
        </w:tc>
        <w:tc>
          <w:tcPr>
            <w:tcW w:w="1134" w:type="dxa"/>
            <w:vAlign w:val="center"/>
          </w:tcPr>
          <w:p w14:paraId="291D8EA1" w14:textId="77777777" w:rsidR="00DA2AF3" w:rsidRPr="001931F4" w:rsidRDefault="00DA2AF3" w:rsidP="00746F3D">
            <w:pPr>
              <w:tabs>
                <w:tab w:val="decimal" w:pos="885"/>
              </w:tabs>
              <w:jc w:val="right"/>
              <w:rPr>
                <w:szCs w:val="24"/>
              </w:rPr>
            </w:pPr>
          </w:p>
        </w:tc>
        <w:tc>
          <w:tcPr>
            <w:tcW w:w="1134" w:type="dxa"/>
            <w:vAlign w:val="center"/>
          </w:tcPr>
          <w:p w14:paraId="7CC9450F" w14:textId="2AB51544" w:rsidR="00DA2AF3" w:rsidRPr="001931F4" w:rsidRDefault="00DA2AF3" w:rsidP="00746F3D">
            <w:pPr>
              <w:tabs>
                <w:tab w:val="decimal" w:pos="885"/>
              </w:tabs>
              <w:jc w:val="right"/>
              <w:rPr>
                <w:szCs w:val="24"/>
              </w:rPr>
            </w:pPr>
            <w:r w:rsidRPr="001931F4">
              <w:rPr>
                <w:szCs w:val="24"/>
              </w:rPr>
              <w:t>(2,373)</w:t>
            </w:r>
          </w:p>
        </w:tc>
        <w:tc>
          <w:tcPr>
            <w:tcW w:w="1134" w:type="dxa"/>
            <w:vAlign w:val="center"/>
          </w:tcPr>
          <w:p w14:paraId="506B5AD7" w14:textId="77777777" w:rsidR="00DA2AF3" w:rsidRPr="001931F4" w:rsidRDefault="00DA2AF3" w:rsidP="00746F3D">
            <w:pPr>
              <w:tabs>
                <w:tab w:val="decimal" w:pos="885"/>
              </w:tabs>
              <w:jc w:val="right"/>
              <w:rPr>
                <w:szCs w:val="24"/>
              </w:rPr>
            </w:pPr>
          </w:p>
        </w:tc>
      </w:tr>
      <w:tr w:rsidR="00DA2AF3" w:rsidRPr="001931F4" w14:paraId="7E89F1CC" w14:textId="77777777" w:rsidTr="00746F3D">
        <w:trPr>
          <w:trHeight w:hRule="exact" w:val="350"/>
        </w:trPr>
        <w:tc>
          <w:tcPr>
            <w:tcW w:w="4350" w:type="dxa"/>
          </w:tcPr>
          <w:p w14:paraId="39A64BFF" w14:textId="50286463" w:rsidR="00DA2AF3" w:rsidRPr="001931F4" w:rsidRDefault="000C442C" w:rsidP="00DA2AF3">
            <w:pPr>
              <w:tabs>
                <w:tab w:val="left" w:pos="720"/>
                <w:tab w:val="center" w:pos="6930"/>
              </w:tabs>
              <w:rPr>
                <w:szCs w:val="24"/>
              </w:rPr>
            </w:pPr>
            <w:r>
              <w:rPr>
                <w:szCs w:val="24"/>
              </w:rPr>
              <w:t>Sub-total</w:t>
            </w:r>
          </w:p>
        </w:tc>
        <w:tc>
          <w:tcPr>
            <w:tcW w:w="1134" w:type="dxa"/>
            <w:vAlign w:val="center"/>
          </w:tcPr>
          <w:p w14:paraId="3BBE4C54" w14:textId="77777777" w:rsidR="00DA2AF3" w:rsidRPr="001931F4" w:rsidRDefault="00DA2AF3" w:rsidP="00746F3D">
            <w:pPr>
              <w:tabs>
                <w:tab w:val="decimal" w:pos="1080"/>
              </w:tabs>
              <w:jc w:val="right"/>
              <w:rPr>
                <w:szCs w:val="24"/>
              </w:rPr>
            </w:pPr>
          </w:p>
        </w:tc>
        <w:tc>
          <w:tcPr>
            <w:tcW w:w="1134" w:type="dxa"/>
            <w:vAlign w:val="center"/>
          </w:tcPr>
          <w:p w14:paraId="0E83126D" w14:textId="401A4D07" w:rsidR="00DA2AF3" w:rsidRPr="001931F4" w:rsidRDefault="00DA2AF3" w:rsidP="00746F3D">
            <w:pPr>
              <w:tabs>
                <w:tab w:val="decimal" w:pos="885"/>
              </w:tabs>
              <w:jc w:val="right"/>
              <w:rPr>
                <w:szCs w:val="24"/>
              </w:rPr>
            </w:pPr>
            <w:r w:rsidRPr="001931F4">
              <w:rPr>
                <w:szCs w:val="24"/>
              </w:rPr>
              <w:t>(</w:t>
            </w:r>
            <w:r w:rsidR="00F06DCC" w:rsidRPr="001931F4">
              <w:rPr>
                <w:szCs w:val="24"/>
              </w:rPr>
              <w:t>2,11</w:t>
            </w:r>
            <w:r w:rsidR="00604CBB" w:rsidRPr="001931F4">
              <w:rPr>
                <w:szCs w:val="24"/>
              </w:rPr>
              <w:t>5</w:t>
            </w:r>
            <w:r w:rsidRPr="001931F4">
              <w:rPr>
                <w:szCs w:val="24"/>
              </w:rPr>
              <w:t>)</w:t>
            </w:r>
          </w:p>
        </w:tc>
        <w:tc>
          <w:tcPr>
            <w:tcW w:w="1134" w:type="dxa"/>
            <w:vAlign w:val="center"/>
          </w:tcPr>
          <w:p w14:paraId="5566A641" w14:textId="77777777" w:rsidR="00DA2AF3" w:rsidRPr="001931F4" w:rsidRDefault="00DA2AF3" w:rsidP="00746F3D">
            <w:pPr>
              <w:tabs>
                <w:tab w:val="decimal" w:pos="1080"/>
              </w:tabs>
              <w:jc w:val="right"/>
              <w:rPr>
                <w:szCs w:val="24"/>
              </w:rPr>
            </w:pPr>
          </w:p>
        </w:tc>
        <w:tc>
          <w:tcPr>
            <w:tcW w:w="1134" w:type="dxa"/>
            <w:vAlign w:val="center"/>
          </w:tcPr>
          <w:p w14:paraId="5E04F077" w14:textId="7737BE8F" w:rsidR="00DA2AF3" w:rsidRPr="001931F4" w:rsidRDefault="00DA2AF3" w:rsidP="00746F3D">
            <w:pPr>
              <w:tabs>
                <w:tab w:val="decimal" w:pos="885"/>
              </w:tabs>
              <w:jc w:val="right"/>
              <w:rPr>
                <w:szCs w:val="24"/>
              </w:rPr>
            </w:pPr>
            <w:r w:rsidRPr="001931F4">
              <w:rPr>
                <w:szCs w:val="24"/>
              </w:rPr>
              <w:t>(3,808)</w:t>
            </w:r>
          </w:p>
        </w:tc>
      </w:tr>
      <w:tr w:rsidR="00DA2AF3" w:rsidRPr="001931F4" w14:paraId="57B5CB58" w14:textId="77777777" w:rsidTr="00746F3D">
        <w:trPr>
          <w:trHeight w:hRule="exact" w:val="300"/>
        </w:trPr>
        <w:tc>
          <w:tcPr>
            <w:tcW w:w="4350" w:type="dxa"/>
          </w:tcPr>
          <w:p w14:paraId="0D0E26E2" w14:textId="77777777" w:rsidR="00DA2AF3" w:rsidRPr="001931F4" w:rsidRDefault="00DA2AF3" w:rsidP="00DA2AF3">
            <w:pPr>
              <w:tabs>
                <w:tab w:val="left" w:pos="720"/>
                <w:tab w:val="center" w:pos="6930"/>
              </w:tabs>
              <w:rPr>
                <w:szCs w:val="24"/>
              </w:rPr>
            </w:pPr>
            <w:r w:rsidRPr="001931F4">
              <w:rPr>
                <w:szCs w:val="24"/>
              </w:rPr>
              <w:t xml:space="preserve">Balance as </w:t>
            </w:r>
            <w:proofErr w:type="gramStart"/>
            <w:r w:rsidRPr="001931F4">
              <w:rPr>
                <w:szCs w:val="24"/>
              </w:rPr>
              <w:t>at</w:t>
            </w:r>
            <w:proofErr w:type="gramEnd"/>
            <w:r w:rsidRPr="001931F4">
              <w:rPr>
                <w:szCs w:val="24"/>
              </w:rPr>
              <w:t xml:space="preserve"> 31 March</w:t>
            </w:r>
          </w:p>
        </w:tc>
        <w:tc>
          <w:tcPr>
            <w:tcW w:w="1134" w:type="dxa"/>
            <w:vAlign w:val="center"/>
          </w:tcPr>
          <w:p w14:paraId="72F664AB" w14:textId="77777777" w:rsidR="00DA2AF3" w:rsidRPr="001931F4" w:rsidRDefault="00DA2AF3" w:rsidP="00746F3D">
            <w:pPr>
              <w:tabs>
                <w:tab w:val="decimal" w:pos="1080"/>
              </w:tabs>
              <w:jc w:val="right"/>
              <w:rPr>
                <w:szCs w:val="24"/>
              </w:rPr>
            </w:pPr>
          </w:p>
        </w:tc>
        <w:tc>
          <w:tcPr>
            <w:tcW w:w="1134" w:type="dxa"/>
            <w:vAlign w:val="center"/>
          </w:tcPr>
          <w:p w14:paraId="7180F9A4" w14:textId="619A82F5" w:rsidR="00DA2AF3" w:rsidRPr="001931F4" w:rsidRDefault="00DA2AF3" w:rsidP="00746F3D">
            <w:pPr>
              <w:tabs>
                <w:tab w:val="decimal" w:pos="885"/>
              </w:tabs>
              <w:jc w:val="right"/>
              <w:rPr>
                <w:szCs w:val="24"/>
              </w:rPr>
            </w:pPr>
            <w:r w:rsidRPr="001931F4">
              <w:rPr>
                <w:szCs w:val="24"/>
              </w:rPr>
              <w:t>(3</w:t>
            </w:r>
            <w:r w:rsidR="00F06DCC" w:rsidRPr="001931F4">
              <w:rPr>
                <w:szCs w:val="24"/>
              </w:rPr>
              <w:t>8,281</w:t>
            </w:r>
            <w:r w:rsidRPr="001931F4">
              <w:rPr>
                <w:szCs w:val="24"/>
              </w:rPr>
              <w:t>)</w:t>
            </w:r>
          </w:p>
        </w:tc>
        <w:tc>
          <w:tcPr>
            <w:tcW w:w="1134" w:type="dxa"/>
            <w:vAlign w:val="center"/>
          </w:tcPr>
          <w:p w14:paraId="7BF5FCCA" w14:textId="77777777" w:rsidR="00DA2AF3" w:rsidRPr="001931F4" w:rsidRDefault="00DA2AF3" w:rsidP="00746F3D">
            <w:pPr>
              <w:tabs>
                <w:tab w:val="decimal" w:pos="1080"/>
              </w:tabs>
              <w:jc w:val="right"/>
              <w:rPr>
                <w:szCs w:val="24"/>
              </w:rPr>
            </w:pPr>
          </w:p>
        </w:tc>
        <w:tc>
          <w:tcPr>
            <w:tcW w:w="1134" w:type="dxa"/>
            <w:vAlign w:val="center"/>
          </w:tcPr>
          <w:p w14:paraId="26EFC719" w14:textId="16BC304D" w:rsidR="00DA2AF3" w:rsidRPr="001931F4" w:rsidRDefault="00DA2AF3" w:rsidP="00746F3D">
            <w:pPr>
              <w:tabs>
                <w:tab w:val="decimal" w:pos="885"/>
              </w:tabs>
              <w:jc w:val="right"/>
              <w:rPr>
                <w:szCs w:val="24"/>
              </w:rPr>
            </w:pPr>
            <w:r w:rsidRPr="001931F4">
              <w:rPr>
                <w:szCs w:val="24"/>
              </w:rPr>
              <w:t>(39,469)</w:t>
            </w:r>
          </w:p>
        </w:tc>
      </w:tr>
    </w:tbl>
    <w:p w14:paraId="7446D0D2" w14:textId="77777777" w:rsidR="004B46CF" w:rsidRPr="00AF3DCD" w:rsidRDefault="00D90216" w:rsidP="00D90216">
      <w:pPr>
        <w:rPr>
          <w:b/>
          <w:sz w:val="22"/>
        </w:rPr>
      </w:pPr>
      <w:r w:rsidRPr="00AF3DCD">
        <w:rPr>
          <w:b/>
          <w:sz w:val="22"/>
        </w:rPr>
        <w:tab/>
      </w:r>
    </w:p>
    <w:p w14:paraId="5BC61108" w14:textId="77777777" w:rsidR="00D90216" w:rsidRPr="001931F4" w:rsidRDefault="006F0BBE" w:rsidP="001931F4">
      <w:pPr>
        <w:ind w:left="709"/>
        <w:rPr>
          <w:b/>
          <w:szCs w:val="24"/>
        </w:rPr>
      </w:pPr>
      <w:r w:rsidRPr="00AF3DCD">
        <w:rPr>
          <w:b/>
          <w:sz w:val="22"/>
        </w:rPr>
        <w:br w:type="page"/>
      </w:r>
      <w:r w:rsidR="00D90216" w:rsidRPr="001931F4">
        <w:rPr>
          <w:b/>
          <w:szCs w:val="24"/>
        </w:rPr>
        <w:lastRenderedPageBreak/>
        <w:t>Pensions Reserve</w:t>
      </w:r>
    </w:p>
    <w:p w14:paraId="58884CC7" w14:textId="77777777" w:rsidR="00D90216" w:rsidRPr="001931F4" w:rsidRDefault="00D90216" w:rsidP="001931F4">
      <w:pPr>
        <w:ind w:left="709"/>
        <w:rPr>
          <w:szCs w:val="24"/>
        </w:rPr>
      </w:pPr>
    </w:p>
    <w:p w14:paraId="7FF64535" w14:textId="34A4DB3F" w:rsidR="00D90216" w:rsidRPr="001931F4" w:rsidRDefault="00D90216" w:rsidP="001931F4">
      <w:pPr>
        <w:ind w:left="709"/>
        <w:rPr>
          <w:szCs w:val="24"/>
        </w:rPr>
      </w:pPr>
      <w:r w:rsidRPr="001931F4">
        <w:rPr>
          <w:szCs w:val="24"/>
        </w:rPr>
        <w:t xml:space="preserve">The Pensions Reserve absorbs the timing differences arising from the different arrangements for accounting for </w:t>
      </w:r>
      <w:proofErr w:type="spellStart"/>
      <w:r w:rsidRPr="001931F4">
        <w:rPr>
          <w:szCs w:val="24"/>
        </w:rPr>
        <w:t>post employment</w:t>
      </w:r>
      <w:proofErr w:type="spellEnd"/>
      <w:r w:rsidRPr="001931F4">
        <w:rPr>
          <w:szCs w:val="24"/>
        </w:rPr>
        <w:t xml:space="preserve"> benefits and for funding benefits in accordance with statutory provisions.</w:t>
      </w:r>
      <w:r w:rsidR="009D6B29" w:rsidRPr="001931F4">
        <w:rPr>
          <w:szCs w:val="24"/>
        </w:rPr>
        <w:t xml:space="preserve"> The reserve relates to both the LGPS and Firefighters pension schemes, and the large negative value of the reserve reflects the unfunded nature of the Firefighters pension scheme.</w:t>
      </w:r>
    </w:p>
    <w:p w14:paraId="25C9F712" w14:textId="77777777" w:rsidR="00D90216" w:rsidRPr="001931F4" w:rsidRDefault="00D90216" w:rsidP="00D90216">
      <w:pPr>
        <w:ind w:left="709"/>
        <w:jc w:val="both"/>
        <w:rPr>
          <w:szCs w:val="24"/>
        </w:rPr>
      </w:pPr>
    </w:p>
    <w:tbl>
      <w:tblPr>
        <w:tblW w:w="876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1557"/>
        <w:gridCol w:w="1533"/>
      </w:tblGrid>
      <w:tr w:rsidR="001931F4" w:rsidRPr="001931F4" w14:paraId="5629D355" w14:textId="77777777" w:rsidTr="00611673">
        <w:trPr>
          <w:trHeight w:hRule="exact" w:val="592"/>
        </w:trPr>
        <w:tc>
          <w:tcPr>
            <w:tcW w:w="5670" w:type="dxa"/>
            <w:shd w:val="clear" w:color="auto" w:fill="BD2716"/>
          </w:tcPr>
          <w:p w14:paraId="501827E8" w14:textId="399F11EA" w:rsidR="001931F4" w:rsidRPr="00982FEC" w:rsidRDefault="001931F4" w:rsidP="00670DBF">
            <w:pPr>
              <w:tabs>
                <w:tab w:val="left" w:pos="720"/>
                <w:tab w:val="center" w:pos="6930"/>
              </w:tabs>
              <w:rPr>
                <w:color w:val="FFFFFF" w:themeColor="background1"/>
                <w:szCs w:val="24"/>
              </w:rPr>
            </w:pPr>
          </w:p>
        </w:tc>
        <w:tc>
          <w:tcPr>
            <w:tcW w:w="1557" w:type="dxa"/>
            <w:shd w:val="clear" w:color="auto" w:fill="BD2716"/>
            <w:vAlign w:val="center"/>
          </w:tcPr>
          <w:p w14:paraId="4B88BABD" w14:textId="77777777" w:rsidR="001931F4" w:rsidRPr="00982FEC" w:rsidRDefault="001931F4" w:rsidP="00611673">
            <w:pPr>
              <w:jc w:val="right"/>
              <w:rPr>
                <w:color w:val="FFFFFF" w:themeColor="background1"/>
                <w:szCs w:val="24"/>
              </w:rPr>
            </w:pPr>
            <w:r w:rsidRPr="00982FEC">
              <w:rPr>
                <w:color w:val="FFFFFF" w:themeColor="background1"/>
                <w:szCs w:val="24"/>
              </w:rPr>
              <w:t>2022/23</w:t>
            </w:r>
          </w:p>
          <w:p w14:paraId="49BFDC3A" w14:textId="3F57E58A" w:rsidR="00021F7E" w:rsidRPr="00982FEC" w:rsidRDefault="00021F7E" w:rsidP="00611673">
            <w:pPr>
              <w:jc w:val="right"/>
              <w:rPr>
                <w:color w:val="FFFFFF" w:themeColor="background1"/>
                <w:szCs w:val="24"/>
              </w:rPr>
            </w:pPr>
            <w:r w:rsidRPr="00982FEC">
              <w:rPr>
                <w:color w:val="FFFFFF" w:themeColor="background1"/>
                <w:szCs w:val="24"/>
              </w:rPr>
              <w:t>£000</w:t>
            </w:r>
          </w:p>
        </w:tc>
        <w:tc>
          <w:tcPr>
            <w:tcW w:w="1533" w:type="dxa"/>
            <w:shd w:val="clear" w:color="auto" w:fill="BD2716"/>
            <w:vAlign w:val="center"/>
          </w:tcPr>
          <w:p w14:paraId="69FCCB75" w14:textId="77777777" w:rsidR="001931F4" w:rsidRPr="00982FEC" w:rsidRDefault="001931F4" w:rsidP="00611673">
            <w:pPr>
              <w:jc w:val="right"/>
              <w:rPr>
                <w:color w:val="FFFFFF" w:themeColor="background1"/>
                <w:szCs w:val="24"/>
              </w:rPr>
            </w:pPr>
            <w:r w:rsidRPr="00982FEC">
              <w:rPr>
                <w:color w:val="FFFFFF" w:themeColor="background1"/>
                <w:szCs w:val="24"/>
              </w:rPr>
              <w:t>2021/22</w:t>
            </w:r>
          </w:p>
          <w:p w14:paraId="0A3F2DF6" w14:textId="6C9E0A0F" w:rsidR="00021F7E" w:rsidRPr="00982FEC" w:rsidRDefault="00021F7E" w:rsidP="00611673">
            <w:pPr>
              <w:jc w:val="right"/>
              <w:rPr>
                <w:color w:val="FFFFFF" w:themeColor="background1"/>
                <w:szCs w:val="24"/>
              </w:rPr>
            </w:pPr>
            <w:r w:rsidRPr="00982FEC">
              <w:rPr>
                <w:color w:val="FFFFFF" w:themeColor="background1"/>
                <w:szCs w:val="24"/>
              </w:rPr>
              <w:t>£000</w:t>
            </w:r>
          </w:p>
        </w:tc>
      </w:tr>
      <w:tr w:rsidR="00DA2AF3" w:rsidRPr="001931F4" w14:paraId="36094802" w14:textId="77777777" w:rsidTr="00746F3D">
        <w:trPr>
          <w:trHeight w:hRule="exact" w:val="300"/>
        </w:trPr>
        <w:tc>
          <w:tcPr>
            <w:tcW w:w="5670" w:type="dxa"/>
          </w:tcPr>
          <w:p w14:paraId="60D97D57" w14:textId="77777777" w:rsidR="00DA2AF3" w:rsidRPr="001931F4" w:rsidRDefault="00DA2AF3" w:rsidP="00DA2AF3">
            <w:pPr>
              <w:pStyle w:val="Footer"/>
              <w:tabs>
                <w:tab w:val="clear" w:pos="4153"/>
                <w:tab w:val="clear" w:pos="8306"/>
                <w:tab w:val="left" w:pos="720"/>
                <w:tab w:val="center" w:pos="6930"/>
              </w:tabs>
              <w:rPr>
                <w:szCs w:val="24"/>
              </w:rPr>
            </w:pPr>
            <w:r w:rsidRPr="001931F4">
              <w:rPr>
                <w:szCs w:val="24"/>
              </w:rPr>
              <w:t xml:space="preserve">Balance </w:t>
            </w:r>
            <w:proofErr w:type="gramStart"/>
            <w:r w:rsidRPr="001931F4">
              <w:rPr>
                <w:szCs w:val="24"/>
              </w:rPr>
              <w:t>at</w:t>
            </w:r>
            <w:proofErr w:type="gramEnd"/>
            <w:r w:rsidRPr="001931F4">
              <w:rPr>
                <w:szCs w:val="24"/>
              </w:rPr>
              <w:t xml:space="preserve"> 1 April</w:t>
            </w:r>
          </w:p>
        </w:tc>
        <w:tc>
          <w:tcPr>
            <w:tcW w:w="1557" w:type="dxa"/>
            <w:vAlign w:val="center"/>
          </w:tcPr>
          <w:p w14:paraId="12AA4F72" w14:textId="37D5C56A" w:rsidR="00DA2AF3" w:rsidRPr="001931F4" w:rsidRDefault="00DA2AF3" w:rsidP="00746F3D">
            <w:pPr>
              <w:tabs>
                <w:tab w:val="decimal" w:pos="885"/>
              </w:tabs>
              <w:jc w:val="right"/>
              <w:rPr>
                <w:szCs w:val="24"/>
              </w:rPr>
            </w:pPr>
            <w:r w:rsidRPr="001931F4">
              <w:rPr>
                <w:szCs w:val="24"/>
              </w:rPr>
              <w:t>8</w:t>
            </w:r>
            <w:r w:rsidR="004D60F4" w:rsidRPr="001931F4">
              <w:rPr>
                <w:szCs w:val="24"/>
              </w:rPr>
              <w:t>83,434</w:t>
            </w:r>
          </w:p>
        </w:tc>
        <w:tc>
          <w:tcPr>
            <w:tcW w:w="1533" w:type="dxa"/>
            <w:vAlign w:val="center"/>
          </w:tcPr>
          <w:p w14:paraId="7B40B3BF" w14:textId="7ED84AE8" w:rsidR="00DA2AF3" w:rsidRPr="001931F4" w:rsidRDefault="00DA2AF3" w:rsidP="00746F3D">
            <w:pPr>
              <w:tabs>
                <w:tab w:val="decimal" w:pos="885"/>
              </w:tabs>
              <w:jc w:val="right"/>
              <w:rPr>
                <w:szCs w:val="24"/>
              </w:rPr>
            </w:pPr>
            <w:r w:rsidRPr="001931F4">
              <w:rPr>
                <w:szCs w:val="24"/>
              </w:rPr>
              <w:t>887,704</w:t>
            </w:r>
          </w:p>
        </w:tc>
      </w:tr>
      <w:tr w:rsidR="00DA2AF3" w:rsidRPr="001931F4" w14:paraId="2709258F" w14:textId="77777777" w:rsidTr="00746F3D">
        <w:trPr>
          <w:trHeight w:hRule="exact" w:val="531"/>
        </w:trPr>
        <w:tc>
          <w:tcPr>
            <w:tcW w:w="5670" w:type="dxa"/>
            <w:vAlign w:val="bottom"/>
          </w:tcPr>
          <w:p w14:paraId="1D1C51F1" w14:textId="77777777" w:rsidR="00DA2AF3" w:rsidRPr="001931F4" w:rsidRDefault="00DA2AF3" w:rsidP="00DA2AF3">
            <w:pPr>
              <w:rPr>
                <w:rFonts w:cs="Arial"/>
                <w:szCs w:val="24"/>
              </w:rPr>
            </w:pPr>
            <w:r w:rsidRPr="001931F4">
              <w:rPr>
                <w:rFonts w:cs="Arial"/>
                <w:szCs w:val="24"/>
              </w:rPr>
              <w:t>Actuarial (gains) or losses on pensions assets and liabilities</w:t>
            </w:r>
          </w:p>
        </w:tc>
        <w:tc>
          <w:tcPr>
            <w:tcW w:w="1557" w:type="dxa"/>
            <w:vAlign w:val="center"/>
          </w:tcPr>
          <w:p w14:paraId="62803C87" w14:textId="01B7E941" w:rsidR="00DA2AF3" w:rsidRPr="001931F4" w:rsidRDefault="00DA2AF3" w:rsidP="00746F3D">
            <w:pPr>
              <w:tabs>
                <w:tab w:val="decimal" w:pos="885"/>
              </w:tabs>
              <w:jc w:val="right"/>
              <w:rPr>
                <w:szCs w:val="24"/>
              </w:rPr>
            </w:pPr>
            <w:r w:rsidRPr="001931F4">
              <w:rPr>
                <w:szCs w:val="24"/>
              </w:rPr>
              <w:t>(</w:t>
            </w:r>
            <w:r w:rsidR="00B45244" w:rsidRPr="001931F4">
              <w:rPr>
                <w:szCs w:val="24"/>
              </w:rPr>
              <w:t>2</w:t>
            </w:r>
            <w:r w:rsidR="00DA3694">
              <w:rPr>
                <w:szCs w:val="24"/>
              </w:rPr>
              <w:t>44</w:t>
            </w:r>
            <w:r w:rsidR="00B45244" w:rsidRPr="001931F4">
              <w:rPr>
                <w:szCs w:val="24"/>
              </w:rPr>
              <w:t>,</w:t>
            </w:r>
            <w:r w:rsidR="00DA3694">
              <w:rPr>
                <w:szCs w:val="24"/>
              </w:rPr>
              <w:t>777</w:t>
            </w:r>
            <w:r w:rsidRPr="001931F4">
              <w:rPr>
                <w:szCs w:val="24"/>
              </w:rPr>
              <w:t>)</w:t>
            </w:r>
          </w:p>
        </w:tc>
        <w:tc>
          <w:tcPr>
            <w:tcW w:w="1533" w:type="dxa"/>
            <w:vAlign w:val="center"/>
          </w:tcPr>
          <w:p w14:paraId="3DDB4016" w14:textId="10A961EA" w:rsidR="00DA2AF3" w:rsidRPr="001931F4" w:rsidRDefault="00DA2AF3" w:rsidP="00746F3D">
            <w:pPr>
              <w:tabs>
                <w:tab w:val="decimal" w:pos="885"/>
              </w:tabs>
              <w:jc w:val="right"/>
              <w:rPr>
                <w:szCs w:val="24"/>
              </w:rPr>
            </w:pPr>
            <w:r w:rsidRPr="001931F4">
              <w:rPr>
                <w:szCs w:val="24"/>
              </w:rPr>
              <w:t>(13,400)</w:t>
            </w:r>
          </w:p>
        </w:tc>
      </w:tr>
      <w:tr w:rsidR="00DA2AF3" w:rsidRPr="001931F4" w14:paraId="300F140B" w14:textId="77777777" w:rsidTr="00746F3D">
        <w:trPr>
          <w:trHeight w:hRule="exact" w:val="847"/>
        </w:trPr>
        <w:tc>
          <w:tcPr>
            <w:tcW w:w="5670" w:type="dxa"/>
            <w:vAlign w:val="center"/>
          </w:tcPr>
          <w:p w14:paraId="24F2A5C2" w14:textId="77777777" w:rsidR="00DA2AF3" w:rsidRPr="001931F4" w:rsidRDefault="00DA2AF3" w:rsidP="00DA2AF3">
            <w:pPr>
              <w:rPr>
                <w:rFonts w:cs="Arial"/>
                <w:szCs w:val="24"/>
              </w:rPr>
            </w:pPr>
            <w:r w:rsidRPr="001931F4">
              <w:rPr>
                <w:rFonts w:cs="Arial"/>
                <w:szCs w:val="24"/>
              </w:rPr>
              <w:t>Reversal of items relating to retirement benefits debited or credited to Net Cost of Services in the Comprehensive Income &amp; Expenditure Statement</w:t>
            </w:r>
          </w:p>
        </w:tc>
        <w:tc>
          <w:tcPr>
            <w:tcW w:w="1557" w:type="dxa"/>
            <w:vAlign w:val="center"/>
          </w:tcPr>
          <w:p w14:paraId="0BCDCFE8" w14:textId="35E386B9" w:rsidR="00DA2AF3" w:rsidRPr="001931F4" w:rsidRDefault="00DA2AF3" w:rsidP="00746F3D">
            <w:pPr>
              <w:tabs>
                <w:tab w:val="decimal" w:pos="885"/>
              </w:tabs>
              <w:jc w:val="right"/>
              <w:rPr>
                <w:szCs w:val="24"/>
              </w:rPr>
            </w:pPr>
            <w:r w:rsidRPr="001931F4">
              <w:rPr>
                <w:szCs w:val="24"/>
              </w:rPr>
              <w:t>3</w:t>
            </w:r>
            <w:r w:rsidR="00B45244" w:rsidRPr="001931F4">
              <w:rPr>
                <w:szCs w:val="24"/>
              </w:rPr>
              <w:t>9,8</w:t>
            </w:r>
            <w:r w:rsidR="00456588" w:rsidRPr="001931F4">
              <w:rPr>
                <w:szCs w:val="24"/>
              </w:rPr>
              <w:t>27</w:t>
            </w:r>
          </w:p>
        </w:tc>
        <w:tc>
          <w:tcPr>
            <w:tcW w:w="1533" w:type="dxa"/>
            <w:vAlign w:val="center"/>
          </w:tcPr>
          <w:p w14:paraId="0371FF20" w14:textId="15F78385" w:rsidR="00DA2AF3" w:rsidRPr="001931F4" w:rsidRDefault="00DA2AF3" w:rsidP="00746F3D">
            <w:pPr>
              <w:tabs>
                <w:tab w:val="decimal" w:pos="885"/>
              </w:tabs>
              <w:jc w:val="right"/>
              <w:rPr>
                <w:szCs w:val="24"/>
              </w:rPr>
            </w:pPr>
            <w:r w:rsidRPr="001931F4">
              <w:rPr>
                <w:szCs w:val="24"/>
              </w:rPr>
              <w:t>36,074</w:t>
            </w:r>
          </w:p>
        </w:tc>
      </w:tr>
      <w:tr w:rsidR="00DA2AF3" w:rsidRPr="001931F4" w14:paraId="14EAB9EB" w14:textId="77777777" w:rsidTr="00746F3D">
        <w:trPr>
          <w:trHeight w:hRule="exact" w:val="421"/>
        </w:trPr>
        <w:tc>
          <w:tcPr>
            <w:tcW w:w="5670" w:type="dxa"/>
            <w:vAlign w:val="center"/>
          </w:tcPr>
          <w:p w14:paraId="4D80C209" w14:textId="77777777" w:rsidR="00DA2AF3" w:rsidRPr="001931F4" w:rsidRDefault="00DA2AF3" w:rsidP="00DA2AF3">
            <w:pPr>
              <w:rPr>
                <w:rFonts w:cs="Arial"/>
                <w:szCs w:val="24"/>
              </w:rPr>
            </w:pPr>
            <w:r w:rsidRPr="001931F4">
              <w:rPr>
                <w:rFonts w:cs="Arial"/>
                <w:szCs w:val="24"/>
              </w:rPr>
              <w:t>Net payments to pensioners payable in the year</w:t>
            </w:r>
          </w:p>
        </w:tc>
        <w:tc>
          <w:tcPr>
            <w:tcW w:w="1557" w:type="dxa"/>
            <w:vAlign w:val="center"/>
          </w:tcPr>
          <w:p w14:paraId="5FA0BD84" w14:textId="09A410A4" w:rsidR="00DA2AF3" w:rsidRPr="001931F4" w:rsidRDefault="00DA2AF3" w:rsidP="00746F3D">
            <w:pPr>
              <w:tabs>
                <w:tab w:val="decimal" w:pos="885"/>
              </w:tabs>
              <w:jc w:val="right"/>
              <w:rPr>
                <w:szCs w:val="24"/>
              </w:rPr>
            </w:pPr>
            <w:r w:rsidRPr="001931F4">
              <w:rPr>
                <w:szCs w:val="24"/>
              </w:rPr>
              <w:t>(26,600)</w:t>
            </w:r>
          </w:p>
        </w:tc>
        <w:tc>
          <w:tcPr>
            <w:tcW w:w="1533" w:type="dxa"/>
            <w:vAlign w:val="center"/>
          </w:tcPr>
          <w:p w14:paraId="290145FF" w14:textId="075A2584" w:rsidR="00DA2AF3" w:rsidRPr="001931F4" w:rsidRDefault="00DA2AF3" w:rsidP="00746F3D">
            <w:pPr>
              <w:tabs>
                <w:tab w:val="decimal" w:pos="885"/>
              </w:tabs>
              <w:jc w:val="right"/>
              <w:rPr>
                <w:szCs w:val="24"/>
              </w:rPr>
            </w:pPr>
            <w:r w:rsidRPr="001931F4">
              <w:rPr>
                <w:szCs w:val="24"/>
              </w:rPr>
              <w:t>(26,600)</w:t>
            </w:r>
          </w:p>
        </w:tc>
      </w:tr>
      <w:tr w:rsidR="00DA2AF3" w:rsidRPr="001931F4" w14:paraId="197711CF" w14:textId="77777777" w:rsidTr="00746F3D">
        <w:trPr>
          <w:trHeight w:hRule="exact" w:val="426"/>
        </w:trPr>
        <w:tc>
          <w:tcPr>
            <w:tcW w:w="5670" w:type="dxa"/>
            <w:vAlign w:val="center"/>
          </w:tcPr>
          <w:p w14:paraId="0BEB198E" w14:textId="77777777" w:rsidR="00DA2AF3" w:rsidRPr="001931F4" w:rsidRDefault="00DA2AF3" w:rsidP="00DA2AF3">
            <w:pPr>
              <w:rPr>
                <w:rFonts w:cs="Arial"/>
                <w:szCs w:val="24"/>
              </w:rPr>
            </w:pPr>
            <w:r w:rsidRPr="001931F4">
              <w:rPr>
                <w:rFonts w:cs="Arial"/>
                <w:szCs w:val="24"/>
              </w:rPr>
              <w:t>Employers pension contributions</w:t>
            </w:r>
          </w:p>
        </w:tc>
        <w:tc>
          <w:tcPr>
            <w:tcW w:w="1557" w:type="dxa"/>
            <w:shd w:val="clear" w:color="auto" w:fill="auto"/>
            <w:vAlign w:val="center"/>
          </w:tcPr>
          <w:p w14:paraId="5540245E" w14:textId="03BBA76A" w:rsidR="00DA2AF3" w:rsidRPr="001931F4" w:rsidRDefault="00DA2AF3" w:rsidP="00746F3D">
            <w:pPr>
              <w:tabs>
                <w:tab w:val="decimal" w:pos="885"/>
              </w:tabs>
              <w:jc w:val="right"/>
              <w:rPr>
                <w:szCs w:val="24"/>
              </w:rPr>
            </w:pPr>
            <w:r w:rsidRPr="001931F4">
              <w:rPr>
                <w:szCs w:val="24"/>
              </w:rPr>
              <w:t>(34</w:t>
            </w:r>
            <w:r w:rsidR="00B45244" w:rsidRPr="001931F4">
              <w:rPr>
                <w:szCs w:val="24"/>
              </w:rPr>
              <w:t>8</w:t>
            </w:r>
            <w:r w:rsidRPr="001931F4">
              <w:rPr>
                <w:szCs w:val="24"/>
              </w:rPr>
              <w:t>)</w:t>
            </w:r>
          </w:p>
        </w:tc>
        <w:tc>
          <w:tcPr>
            <w:tcW w:w="1533" w:type="dxa"/>
            <w:vAlign w:val="center"/>
          </w:tcPr>
          <w:p w14:paraId="2C8C278C" w14:textId="34F97882" w:rsidR="00DA2AF3" w:rsidRPr="001931F4" w:rsidRDefault="00DA2AF3" w:rsidP="00746F3D">
            <w:pPr>
              <w:tabs>
                <w:tab w:val="decimal" w:pos="885"/>
              </w:tabs>
              <w:jc w:val="right"/>
              <w:rPr>
                <w:szCs w:val="24"/>
              </w:rPr>
            </w:pPr>
            <w:r w:rsidRPr="001931F4">
              <w:rPr>
                <w:szCs w:val="24"/>
              </w:rPr>
              <w:t>(344)</w:t>
            </w:r>
          </w:p>
        </w:tc>
      </w:tr>
      <w:tr w:rsidR="00DA2AF3" w:rsidRPr="001931F4" w14:paraId="6F6903AA" w14:textId="77777777" w:rsidTr="00746F3D">
        <w:trPr>
          <w:trHeight w:hRule="exact" w:val="300"/>
        </w:trPr>
        <w:tc>
          <w:tcPr>
            <w:tcW w:w="5670" w:type="dxa"/>
          </w:tcPr>
          <w:p w14:paraId="07F2F2DE" w14:textId="3307C432" w:rsidR="00DA2AF3" w:rsidRPr="001931F4" w:rsidRDefault="00EC3487" w:rsidP="00DA2AF3">
            <w:pPr>
              <w:pStyle w:val="Footer"/>
              <w:tabs>
                <w:tab w:val="clear" w:pos="4153"/>
                <w:tab w:val="clear" w:pos="8306"/>
                <w:tab w:val="left" w:pos="720"/>
                <w:tab w:val="center" w:pos="6930"/>
              </w:tabs>
              <w:rPr>
                <w:szCs w:val="24"/>
              </w:rPr>
            </w:pPr>
            <w:r>
              <w:rPr>
                <w:szCs w:val="24"/>
              </w:rPr>
              <w:t>Total</w:t>
            </w:r>
          </w:p>
        </w:tc>
        <w:tc>
          <w:tcPr>
            <w:tcW w:w="1557" w:type="dxa"/>
            <w:vAlign w:val="center"/>
          </w:tcPr>
          <w:p w14:paraId="0E5BD8C3" w14:textId="466B18DF" w:rsidR="00DA2AF3" w:rsidRPr="001931F4" w:rsidRDefault="00B45244" w:rsidP="00746F3D">
            <w:pPr>
              <w:tabs>
                <w:tab w:val="decimal" w:pos="885"/>
              </w:tabs>
              <w:jc w:val="right"/>
              <w:rPr>
                <w:szCs w:val="24"/>
              </w:rPr>
            </w:pPr>
            <w:r w:rsidRPr="001931F4">
              <w:rPr>
                <w:szCs w:val="24"/>
              </w:rPr>
              <w:t>6</w:t>
            </w:r>
            <w:r w:rsidR="00DA3694">
              <w:rPr>
                <w:szCs w:val="24"/>
              </w:rPr>
              <w:t>51</w:t>
            </w:r>
            <w:r w:rsidRPr="001931F4">
              <w:rPr>
                <w:szCs w:val="24"/>
              </w:rPr>
              <w:t>,</w:t>
            </w:r>
            <w:r w:rsidR="00DA3694">
              <w:rPr>
                <w:szCs w:val="24"/>
              </w:rPr>
              <w:t>53</w:t>
            </w:r>
            <w:r w:rsidR="00D94CE5">
              <w:rPr>
                <w:szCs w:val="24"/>
              </w:rPr>
              <w:t>6</w:t>
            </w:r>
          </w:p>
        </w:tc>
        <w:tc>
          <w:tcPr>
            <w:tcW w:w="1533" w:type="dxa"/>
            <w:vAlign w:val="center"/>
          </w:tcPr>
          <w:p w14:paraId="063E1908" w14:textId="0C1AC26F" w:rsidR="00DA2AF3" w:rsidRPr="001931F4" w:rsidRDefault="00DA2AF3" w:rsidP="00746F3D">
            <w:pPr>
              <w:tabs>
                <w:tab w:val="decimal" w:pos="885"/>
              </w:tabs>
              <w:jc w:val="right"/>
              <w:rPr>
                <w:szCs w:val="24"/>
              </w:rPr>
            </w:pPr>
            <w:r w:rsidRPr="001931F4">
              <w:rPr>
                <w:szCs w:val="24"/>
              </w:rPr>
              <w:t>883,434</w:t>
            </w:r>
          </w:p>
        </w:tc>
      </w:tr>
    </w:tbl>
    <w:p w14:paraId="098262E7" w14:textId="445DD455" w:rsidR="000F5BFB" w:rsidRDefault="000F5BFB">
      <w:pPr>
        <w:rPr>
          <w:rFonts w:cs="Arial"/>
          <w:b/>
          <w:szCs w:val="24"/>
          <w:lang w:val="en-US"/>
        </w:rPr>
      </w:pPr>
    </w:p>
    <w:p w14:paraId="68C9A1C5" w14:textId="10899769" w:rsidR="00D90216" w:rsidRPr="001931F4" w:rsidRDefault="00D90216" w:rsidP="00D90216">
      <w:pPr>
        <w:pStyle w:val="BodyTextIndent"/>
        <w:ind w:left="709"/>
        <w:jc w:val="both"/>
        <w:rPr>
          <w:rFonts w:cs="Arial"/>
          <w:b/>
          <w:szCs w:val="24"/>
        </w:rPr>
      </w:pPr>
      <w:r w:rsidRPr="001931F4">
        <w:rPr>
          <w:rFonts w:cs="Arial"/>
          <w:b/>
          <w:szCs w:val="24"/>
        </w:rPr>
        <w:t>Collection Fund Adjustment Account</w:t>
      </w:r>
    </w:p>
    <w:p w14:paraId="1A500133" w14:textId="77777777" w:rsidR="00D90216" w:rsidRPr="001931F4" w:rsidRDefault="00D90216" w:rsidP="00D90216">
      <w:pPr>
        <w:pStyle w:val="BodyTextIndent"/>
        <w:ind w:left="709"/>
        <w:jc w:val="both"/>
        <w:rPr>
          <w:rFonts w:cs="Arial"/>
          <w:szCs w:val="24"/>
        </w:rPr>
      </w:pPr>
    </w:p>
    <w:p w14:paraId="0A4AB3F5" w14:textId="77777777" w:rsidR="00D90216" w:rsidRPr="001931F4" w:rsidRDefault="00D90216" w:rsidP="00D90216">
      <w:pPr>
        <w:pStyle w:val="BodyTextIndent"/>
        <w:ind w:left="709"/>
        <w:jc w:val="both"/>
        <w:rPr>
          <w:rFonts w:cs="Arial"/>
          <w:szCs w:val="24"/>
        </w:rPr>
      </w:pPr>
      <w:r w:rsidRPr="001931F4">
        <w:rPr>
          <w:rFonts w:cs="Arial"/>
          <w:szCs w:val="24"/>
        </w:rPr>
        <w:t>The Collection Fund Adjustment Account manages the differences arising from the recognition of council tax</w:t>
      </w:r>
      <w:r w:rsidR="00FC7AF7" w:rsidRPr="001931F4">
        <w:rPr>
          <w:rFonts w:cs="Arial"/>
          <w:szCs w:val="24"/>
        </w:rPr>
        <w:t xml:space="preserve"> and business rates</w:t>
      </w:r>
      <w:r w:rsidRPr="001931F4">
        <w:rPr>
          <w:rFonts w:cs="Arial"/>
          <w:szCs w:val="24"/>
        </w:rPr>
        <w:t xml:space="preserve"> income in the Comprehensive Income and Expenditure Statement as it falls due from council tax </w:t>
      </w:r>
      <w:r w:rsidR="00FC7AF7" w:rsidRPr="001931F4">
        <w:rPr>
          <w:rFonts w:cs="Arial"/>
          <w:szCs w:val="24"/>
        </w:rPr>
        <w:t xml:space="preserve">and business rates </w:t>
      </w:r>
      <w:r w:rsidRPr="001931F4">
        <w:rPr>
          <w:rFonts w:cs="Arial"/>
          <w:szCs w:val="24"/>
        </w:rPr>
        <w:t>payers compared with the statutory arrangements for paying across amounts to the General Fund.</w:t>
      </w:r>
    </w:p>
    <w:p w14:paraId="6EE67AD8" w14:textId="77777777" w:rsidR="00D90216" w:rsidRPr="00AF3DCD" w:rsidRDefault="00D90216" w:rsidP="00D90216">
      <w:pPr>
        <w:pStyle w:val="BodyTextIndent"/>
        <w:ind w:left="709"/>
        <w:jc w:val="both"/>
        <w:rPr>
          <w:rFonts w:cs="Arial"/>
          <w:sz w:val="22"/>
          <w:szCs w:val="22"/>
        </w:rPr>
      </w:pPr>
    </w:p>
    <w:tbl>
      <w:tblPr>
        <w:tblW w:w="987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1134"/>
        <w:gridCol w:w="1134"/>
        <w:gridCol w:w="1134"/>
        <w:gridCol w:w="1134"/>
        <w:gridCol w:w="1134"/>
        <w:gridCol w:w="1134"/>
      </w:tblGrid>
      <w:tr w:rsidR="00021F7E" w:rsidRPr="001931F4" w14:paraId="7DE41332" w14:textId="77777777" w:rsidTr="00611673">
        <w:trPr>
          <w:trHeight w:hRule="exact" w:val="300"/>
        </w:trPr>
        <w:tc>
          <w:tcPr>
            <w:tcW w:w="3074" w:type="dxa"/>
            <w:shd w:val="clear" w:color="auto" w:fill="BD2716"/>
          </w:tcPr>
          <w:p w14:paraId="1B039D31" w14:textId="267F2290" w:rsidR="00021F7E" w:rsidRPr="00982FEC" w:rsidRDefault="00021F7E" w:rsidP="00CD62E6">
            <w:pPr>
              <w:tabs>
                <w:tab w:val="left" w:pos="720"/>
                <w:tab w:val="center" w:pos="6930"/>
              </w:tabs>
              <w:rPr>
                <w:color w:val="FFFFFF" w:themeColor="background1"/>
                <w:szCs w:val="24"/>
              </w:rPr>
            </w:pPr>
          </w:p>
        </w:tc>
        <w:tc>
          <w:tcPr>
            <w:tcW w:w="2268" w:type="dxa"/>
            <w:gridSpan w:val="2"/>
            <w:shd w:val="clear" w:color="auto" w:fill="BD2716"/>
            <w:vAlign w:val="center"/>
          </w:tcPr>
          <w:p w14:paraId="74B229DA" w14:textId="77777777" w:rsidR="00021F7E" w:rsidRPr="00982FEC" w:rsidRDefault="00021F7E" w:rsidP="00611673">
            <w:pPr>
              <w:jc w:val="center"/>
              <w:rPr>
                <w:color w:val="FFFFFF" w:themeColor="background1"/>
                <w:szCs w:val="24"/>
              </w:rPr>
            </w:pPr>
            <w:r w:rsidRPr="00982FEC">
              <w:rPr>
                <w:color w:val="FFFFFF" w:themeColor="background1"/>
                <w:szCs w:val="24"/>
              </w:rPr>
              <w:t>Council Tax</w:t>
            </w:r>
          </w:p>
        </w:tc>
        <w:tc>
          <w:tcPr>
            <w:tcW w:w="2268" w:type="dxa"/>
            <w:gridSpan w:val="2"/>
            <w:shd w:val="clear" w:color="auto" w:fill="BD2716"/>
            <w:vAlign w:val="center"/>
          </w:tcPr>
          <w:p w14:paraId="71FC9437" w14:textId="77777777" w:rsidR="00021F7E" w:rsidRPr="00982FEC" w:rsidRDefault="00021F7E" w:rsidP="00611673">
            <w:pPr>
              <w:jc w:val="center"/>
              <w:rPr>
                <w:color w:val="FFFFFF" w:themeColor="background1"/>
                <w:szCs w:val="24"/>
              </w:rPr>
            </w:pPr>
            <w:r w:rsidRPr="00982FEC">
              <w:rPr>
                <w:color w:val="FFFFFF" w:themeColor="background1"/>
                <w:szCs w:val="24"/>
              </w:rPr>
              <w:t>Business Rates</w:t>
            </w:r>
          </w:p>
        </w:tc>
        <w:tc>
          <w:tcPr>
            <w:tcW w:w="2268" w:type="dxa"/>
            <w:gridSpan w:val="2"/>
            <w:shd w:val="clear" w:color="auto" w:fill="BD2716"/>
            <w:vAlign w:val="center"/>
          </w:tcPr>
          <w:p w14:paraId="01CF0449" w14:textId="77777777" w:rsidR="00021F7E" w:rsidRPr="00982FEC" w:rsidRDefault="00021F7E" w:rsidP="00611673">
            <w:pPr>
              <w:jc w:val="center"/>
              <w:rPr>
                <w:color w:val="FFFFFF" w:themeColor="background1"/>
                <w:szCs w:val="24"/>
              </w:rPr>
            </w:pPr>
            <w:r w:rsidRPr="00982FEC">
              <w:rPr>
                <w:color w:val="FFFFFF" w:themeColor="background1"/>
                <w:szCs w:val="24"/>
              </w:rPr>
              <w:t>Total</w:t>
            </w:r>
          </w:p>
        </w:tc>
      </w:tr>
      <w:tr w:rsidR="00021F7E" w:rsidRPr="001931F4" w14:paraId="4521C04F" w14:textId="77777777" w:rsidTr="00611673">
        <w:trPr>
          <w:trHeight w:hRule="exact" w:val="592"/>
        </w:trPr>
        <w:tc>
          <w:tcPr>
            <w:tcW w:w="3074" w:type="dxa"/>
            <w:shd w:val="clear" w:color="auto" w:fill="BD2716"/>
          </w:tcPr>
          <w:p w14:paraId="31C16B97" w14:textId="77777777" w:rsidR="00021F7E" w:rsidRPr="00982FEC" w:rsidRDefault="00021F7E" w:rsidP="00670DBF">
            <w:pPr>
              <w:tabs>
                <w:tab w:val="left" w:pos="720"/>
                <w:tab w:val="center" w:pos="6930"/>
              </w:tabs>
              <w:rPr>
                <w:color w:val="FFFFFF" w:themeColor="background1"/>
                <w:szCs w:val="24"/>
              </w:rPr>
            </w:pPr>
          </w:p>
        </w:tc>
        <w:tc>
          <w:tcPr>
            <w:tcW w:w="1134" w:type="dxa"/>
            <w:shd w:val="clear" w:color="auto" w:fill="BD2716"/>
            <w:vAlign w:val="center"/>
          </w:tcPr>
          <w:p w14:paraId="251798E2" w14:textId="77777777" w:rsidR="00021F7E" w:rsidRPr="00982FEC" w:rsidRDefault="00021F7E" w:rsidP="00611673">
            <w:pPr>
              <w:jc w:val="right"/>
              <w:rPr>
                <w:color w:val="FFFFFF" w:themeColor="background1"/>
                <w:szCs w:val="24"/>
              </w:rPr>
            </w:pPr>
            <w:r w:rsidRPr="00982FEC">
              <w:rPr>
                <w:color w:val="FFFFFF" w:themeColor="background1"/>
                <w:szCs w:val="24"/>
              </w:rPr>
              <w:t>2022/23</w:t>
            </w:r>
          </w:p>
          <w:p w14:paraId="6449452A" w14:textId="5E0341CB" w:rsidR="00021F7E" w:rsidRPr="00982FEC" w:rsidRDefault="00021F7E" w:rsidP="00611673">
            <w:pPr>
              <w:jc w:val="right"/>
              <w:rPr>
                <w:color w:val="FFFFFF" w:themeColor="background1"/>
                <w:szCs w:val="24"/>
              </w:rPr>
            </w:pPr>
            <w:r w:rsidRPr="00982FEC">
              <w:rPr>
                <w:color w:val="FFFFFF" w:themeColor="background1"/>
                <w:szCs w:val="24"/>
              </w:rPr>
              <w:t>£000</w:t>
            </w:r>
          </w:p>
        </w:tc>
        <w:tc>
          <w:tcPr>
            <w:tcW w:w="1134" w:type="dxa"/>
            <w:shd w:val="clear" w:color="auto" w:fill="BD2716"/>
            <w:vAlign w:val="center"/>
          </w:tcPr>
          <w:p w14:paraId="4681B016" w14:textId="77777777" w:rsidR="00021F7E" w:rsidRPr="00982FEC" w:rsidRDefault="00021F7E" w:rsidP="00611673">
            <w:pPr>
              <w:jc w:val="right"/>
              <w:rPr>
                <w:color w:val="FFFFFF" w:themeColor="background1"/>
                <w:szCs w:val="24"/>
              </w:rPr>
            </w:pPr>
            <w:r w:rsidRPr="00982FEC">
              <w:rPr>
                <w:color w:val="FFFFFF" w:themeColor="background1"/>
                <w:szCs w:val="24"/>
              </w:rPr>
              <w:t>2021/22</w:t>
            </w:r>
          </w:p>
          <w:p w14:paraId="69EF36C5" w14:textId="153F82CA" w:rsidR="00021F7E" w:rsidRPr="00982FEC" w:rsidRDefault="00021F7E" w:rsidP="00611673">
            <w:pPr>
              <w:jc w:val="right"/>
              <w:rPr>
                <w:color w:val="FFFFFF" w:themeColor="background1"/>
                <w:szCs w:val="24"/>
              </w:rPr>
            </w:pPr>
            <w:r w:rsidRPr="00982FEC">
              <w:rPr>
                <w:color w:val="FFFFFF" w:themeColor="background1"/>
                <w:szCs w:val="24"/>
              </w:rPr>
              <w:t>£000</w:t>
            </w:r>
          </w:p>
        </w:tc>
        <w:tc>
          <w:tcPr>
            <w:tcW w:w="1134" w:type="dxa"/>
            <w:shd w:val="clear" w:color="auto" w:fill="BD2716"/>
            <w:vAlign w:val="center"/>
          </w:tcPr>
          <w:p w14:paraId="6E36C823" w14:textId="77777777" w:rsidR="00021F7E" w:rsidRPr="00982FEC" w:rsidRDefault="00021F7E" w:rsidP="00611673">
            <w:pPr>
              <w:jc w:val="right"/>
              <w:rPr>
                <w:color w:val="FFFFFF" w:themeColor="background1"/>
                <w:szCs w:val="24"/>
              </w:rPr>
            </w:pPr>
            <w:r w:rsidRPr="00982FEC">
              <w:rPr>
                <w:color w:val="FFFFFF" w:themeColor="background1"/>
                <w:szCs w:val="24"/>
              </w:rPr>
              <w:t>2022/23</w:t>
            </w:r>
          </w:p>
          <w:p w14:paraId="19150D98" w14:textId="3FBFD522" w:rsidR="00021F7E" w:rsidRPr="00982FEC" w:rsidRDefault="00021F7E" w:rsidP="00611673">
            <w:pPr>
              <w:jc w:val="right"/>
              <w:rPr>
                <w:color w:val="FFFFFF" w:themeColor="background1"/>
                <w:szCs w:val="24"/>
              </w:rPr>
            </w:pPr>
            <w:r w:rsidRPr="00982FEC">
              <w:rPr>
                <w:color w:val="FFFFFF" w:themeColor="background1"/>
                <w:szCs w:val="24"/>
              </w:rPr>
              <w:t>£000</w:t>
            </w:r>
          </w:p>
        </w:tc>
        <w:tc>
          <w:tcPr>
            <w:tcW w:w="1134" w:type="dxa"/>
            <w:shd w:val="clear" w:color="auto" w:fill="BD2716"/>
            <w:vAlign w:val="center"/>
          </w:tcPr>
          <w:p w14:paraId="31170AFC" w14:textId="77777777" w:rsidR="00021F7E" w:rsidRPr="00982FEC" w:rsidRDefault="00021F7E" w:rsidP="00611673">
            <w:pPr>
              <w:jc w:val="right"/>
              <w:rPr>
                <w:color w:val="FFFFFF" w:themeColor="background1"/>
                <w:szCs w:val="24"/>
              </w:rPr>
            </w:pPr>
            <w:r w:rsidRPr="00982FEC">
              <w:rPr>
                <w:color w:val="FFFFFF" w:themeColor="background1"/>
                <w:szCs w:val="24"/>
              </w:rPr>
              <w:t>2021/22</w:t>
            </w:r>
          </w:p>
          <w:p w14:paraId="57B73485" w14:textId="6F0B618C" w:rsidR="00021F7E" w:rsidRPr="00982FEC" w:rsidRDefault="00021F7E" w:rsidP="00611673">
            <w:pPr>
              <w:jc w:val="right"/>
              <w:rPr>
                <w:color w:val="FFFFFF" w:themeColor="background1"/>
                <w:szCs w:val="24"/>
              </w:rPr>
            </w:pPr>
            <w:r w:rsidRPr="00982FEC">
              <w:rPr>
                <w:color w:val="FFFFFF" w:themeColor="background1"/>
                <w:szCs w:val="24"/>
              </w:rPr>
              <w:t>£000</w:t>
            </w:r>
          </w:p>
        </w:tc>
        <w:tc>
          <w:tcPr>
            <w:tcW w:w="1134" w:type="dxa"/>
            <w:shd w:val="clear" w:color="auto" w:fill="BD2716"/>
            <w:vAlign w:val="center"/>
          </w:tcPr>
          <w:p w14:paraId="75E81E8F" w14:textId="77777777" w:rsidR="00021F7E" w:rsidRPr="00982FEC" w:rsidRDefault="00021F7E" w:rsidP="00611673">
            <w:pPr>
              <w:jc w:val="right"/>
              <w:rPr>
                <w:color w:val="FFFFFF" w:themeColor="background1"/>
                <w:szCs w:val="24"/>
              </w:rPr>
            </w:pPr>
            <w:r w:rsidRPr="00982FEC">
              <w:rPr>
                <w:color w:val="FFFFFF" w:themeColor="background1"/>
                <w:szCs w:val="24"/>
              </w:rPr>
              <w:t>2022/23</w:t>
            </w:r>
          </w:p>
          <w:p w14:paraId="2A66A3EA" w14:textId="35D4F5D2" w:rsidR="00021F7E" w:rsidRPr="00982FEC" w:rsidRDefault="00021F7E" w:rsidP="00611673">
            <w:pPr>
              <w:jc w:val="right"/>
              <w:rPr>
                <w:color w:val="FFFFFF" w:themeColor="background1"/>
                <w:szCs w:val="24"/>
              </w:rPr>
            </w:pPr>
            <w:r w:rsidRPr="00982FEC">
              <w:rPr>
                <w:color w:val="FFFFFF" w:themeColor="background1"/>
                <w:szCs w:val="24"/>
              </w:rPr>
              <w:t>£000</w:t>
            </w:r>
          </w:p>
        </w:tc>
        <w:tc>
          <w:tcPr>
            <w:tcW w:w="1134" w:type="dxa"/>
            <w:shd w:val="clear" w:color="auto" w:fill="BD2716"/>
            <w:vAlign w:val="center"/>
          </w:tcPr>
          <w:p w14:paraId="5672AA67" w14:textId="77777777" w:rsidR="00021F7E" w:rsidRPr="00982FEC" w:rsidRDefault="00021F7E" w:rsidP="00611673">
            <w:pPr>
              <w:jc w:val="right"/>
              <w:rPr>
                <w:color w:val="FFFFFF" w:themeColor="background1"/>
                <w:szCs w:val="24"/>
              </w:rPr>
            </w:pPr>
            <w:r w:rsidRPr="00982FEC">
              <w:rPr>
                <w:color w:val="FFFFFF" w:themeColor="background1"/>
                <w:szCs w:val="24"/>
              </w:rPr>
              <w:t>2021/22</w:t>
            </w:r>
          </w:p>
          <w:p w14:paraId="3EAB1A6E" w14:textId="67CAAC5E" w:rsidR="00021F7E" w:rsidRPr="00982FEC" w:rsidRDefault="00021F7E" w:rsidP="00611673">
            <w:pPr>
              <w:jc w:val="right"/>
              <w:rPr>
                <w:color w:val="FFFFFF" w:themeColor="background1"/>
                <w:szCs w:val="24"/>
              </w:rPr>
            </w:pPr>
            <w:r w:rsidRPr="00982FEC">
              <w:rPr>
                <w:color w:val="FFFFFF" w:themeColor="background1"/>
                <w:szCs w:val="24"/>
              </w:rPr>
              <w:t>£000</w:t>
            </w:r>
          </w:p>
        </w:tc>
      </w:tr>
      <w:tr w:rsidR="005529ED" w:rsidRPr="001931F4" w14:paraId="6DC74B50" w14:textId="77777777" w:rsidTr="00746F3D">
        <w:trPr>
          <w:trHeight w:hRule="exact" w:val="300"/>
        </w:trPr>
        <w:tc>
          <w:tcPr>
            <w:tcW w:w="3074" w:type="dxa"/>
          </w:tcPr>
          <w:p w14:paraId="10F1BC3C" w14:textId="77777777" w:rsidR="005529ED" w:rsidRPr="001931F4" w:rsidRDefault="005529ED" w:rsidP="005529ED">
            <w:pPr>
              <w:tabs>
                <w:tab w:val="left" w:pos="720"/>
                <w:tab w:val="center" w:pos="6930"/>
              </w:tabs>
              <w:rPr>
                <w:szCs w:val="24"/>
              </w:rPr>
            </w:pPr>
            <w:r w:rsidRPr="001931F4">
              <w:rPr>
                <w:szCs w:val="24"/>
              </w:rPr>
              <w:t xml:space="preserve">Balance </w:t>
            </w:r>
            <w:proofErr w:type="gramStart"/>
            <w:r w:rsidRPr="001931F4">
              <w:rPr>
                <w:szCs w:val="24"/>
              </w:rPr>
              <w:t>at</w:t>
            </w:r>
            <w:proofErr w:type="gramEnd"/>
            <w:r w:rsidRPr="001931F4">
              <w:rPr>
                <w:szCs w:val="24"/>
              </w:rPr>
              <w:t xml:space="preserve"> 1 April</w:t>
            </w:r>
          </w:p>
        </w:tc>
        <w:tc>
          <w:tcPr>
            <w:tcW w:w="1134" w:type="dxa"/>
            <w:vAlign w:val="center"/>
          </w:tcPr>
          <w:p w14:paraId="24CF104E" w14:textId="7B740427" w:rsidR="005529ED" w:rsidRPr="001931F4" w:rsidRDefault="005529ED" w:rsidP="00746F3D">
            <w:pPr>
              <w:tabs>
                <w:tab w:val="decimal" w:pos="837"/>
              </w:tabs>
              <w:jc w:val="right"/>
              <w:rPr>
                <w:szCs w:val="24"/>
              </w:rPr>
            </w:pPr>
            <w:r w:rsidRPr="001931F4">
              <w:rPr>
                <w:szCs w:val="24"/>
              </w:rPr>
              <w:t>(139)</w:t>
            </w:r>
          </w:p>
        </w:tc>
        <w:tc>
          <w:tcPr>
            <w:tcW w:w="1134" w:type="dxa"/>
            <w:vAlign w:val="center"/>
          </w:tcPr>
          <w:p w14:paraId="36B15741" w14:textId="4D485342" w:rsidR="005529ED" w:rsidRPr="001931F4" w:rsidRDefault="005529ED" w:rsidP="00746F3D">
            <w:pPr>
              <w:tabs>
                <w:tab w:val="decimal" w:pos="837"/>
              </w:tabs>
              <w:jc w:val="right"/>
              <w:rPr>
                <w:szCs w:val="24"/>
              </w:rPr>
            </w:pPr>
            <w:r w:rsidRPr="001931F4">
              <w:rPr>
                <w:szCs w:val="24"/>
              </w:rPr>
              <w:t>372</w:t>
            </w:r>
          </w:p>
        </w:tc>
        <w:tc>
          <w:tcPr>
            <w:tcW w:w="1134" w:type="dxa"/>
            <w:vAlign w:val="center"/>
          </w:tcPr>
          <w:p w14:paraId="4C6D2710" w14:textId="5131273F" w:rsidR="005529ED" w:rsidRPr="001931F4" w:rsidRDefault="005529ED" w:rsidP="00746F3D">
            <w:pPr>
              <w:tabs>
                <w:tab w:val="decimal" w:pos="837"/>
              </w:tabs>
              <w:jc w:val="right"/>
              <w:rPr>
                <w:szCs w:val="24"/>
              </w:rPr>
            </w:pPr>
            <w:r w:rsidRPr="001931F4">
              <w:rPr>
                <w:szCs w:val="24"/>
              </w:rPr>
              <w:t>915</w:t>
            </w:r>
          </w:p>
        </w:tc>
        <w:tc>
          <w:tcPr>
            <w:tcW w:w="1134" w:type="dxa"/>
            <w:vAlign w:val="center"/>
          </w:tcPr>
          <w:p w14:paraId="12807179" w14:textId="638C1325" w:rsidR="005529ED" w:rsidRPr="001931F4" w:rsidRDefault="005529ED" w:rsidP="00746F3D">
            <w:pPr>
              <w:tabs>
                <w:tab w:val="decimal" w:pos="837"/>
              </w:tabs>
              <w:jc w:val="right"/>
              <w:rPr>
                <w:szCs w:val="24"/>
              </w:rPr>
            </w:pPr>
            <w:r w:rsidRPr="001931F4">
              <w:rPr>
                <w:szCs w:val="24"/>
              </w:rPr>
              <w:t>1,989</w:t>
            </w:r>
          </w:p>
        </w:tc>
        <w:tc>
          <w:tcPr>
            <w:tcW w:w="1134" w:type="dxa"/>
            <w:vAlign w:val="center"/>
          </w:tcPr>
          <w:p w14:paraId="648DEE92" w14:textId="7007A6D0" w:rsidR="005529ED" w:rsidRPr="001931F4" w:rsidRDefault="005529ED" w:rsidP="00746F3D">
            <w:pPr>
              <w:tabs>
                <w:tab w:val="decimal" w:pos="837"/>
              </w:tabs>
              <w:jc w:val="right"/>
              <w:rPr>
                <w:szCs w:val="24"/>
              </w:rPr>
            </w:pPr>
            <w:r w:rsidRPr="001931F4">
              <w:rPr>
                <w:szCs w:val="24"/>
              </w:rPr>
              <w:t>776</w:t>
            </w:r>
          </w:p>
        </w:tc>
        <w:tc>
          <w:tcPr>
            <w:tcW w:w="1134" w:type="dxa"/>
            <w:vAlign w:val="center"/>
          </w:tcPr>
          <w:p w14:paraId="3406390C" w14:textId="79FCB5DA" w:rsidR="005529ED" w:rsidRPr="001931F4" w:rsidRDefault="005529ED" w:rsidP="00746F3D">
            <w:pPr>
              <w:tabs>
                <w:tab w:val="decimal" w:pos="837"/>
              </w:tabs>
              <w:jc w:val="right"/>
              <w:rPr>
                <w:szCs w:val="24"/>
              </w:rPr>
            </w:pPr>
            <w:r w:rsidRPr="001931F4">
              <w:rPr>
                <w:szCs w:val="24"/>
              </w:rPr>
              <w:t>2,361</w:t>
            </w:r>
          </w:p>
        </w:tc>
      </w:tr>
      <w:tr w:rsidR="005529ED" w:rsidRPr="001931F4" w14:paraId="4FEF58C5" w14:textId="77777777" w:rsidTr="00746F3D">
        <w:trPr>
          <w:trHeight w:hRule="exact" w:val="2467"/>
        </w:trPr>
        <w:tc>
          <w:tcPr>
            <w:tcW w:w="3074" w:type="dxa"/>
          </w:tcPr>
          <w:p w14:paraId="11A1209F" w14:textId="77777777" w:rsidR="005529ED" w:rsidRPr="001931F4" w:rsidRDefault="005529ED" w:rsidP="005529ED">
            <w:pPr>
              <w:tabs>
                <w:tab w:val="left" w:pos="720"/>
                <w:tab w:val="center" w:pos="6930"/>
              </w:tabs>
              <w:rPr>
                <w:szCs w:val="24"/>
              </w:rPr>
            </w:pPr>
            <w:r w:rsidRPr="001931F4">
              <w:rPr>
                <w:szCs w:val="24"/>
              </w:rPr>
              <w:t xml:space="preserve">Amount by which council tax income credited to the </w:t>
            </w:r>
            <w:r w:rsidRPr="001931F4">
              <w:rPr>
                <w:rFonts w:cs="Arial"/>
                <w:szCs w:val="24"/>
              </w:rPr>
              <w:t>Comprehensive Income and Expenditure Statement is different from council tax income calculated for the year in accordance with statutory requirements</w:t>
            </w:r>
          </w:p>
        </w:tc>
        <w:tc>
          <w:tcPr>
            <w:tcW w:w="1134" w:type="dxa"/>
            <w:vAlign w:val="center"/>
          </w:tcPr>
          <w:p w14:paraId="253A6126" w14:textId="77777777" w:rsidR="005529ED" w:rsidRPr="001931F4" w:rsidRDefault="005529ED" w:rsidP="00746F3D">
            <w:pPr>
              <w:tabs>
                <w:tab w:val="decimal" w:pos="837"/>
              </w:tabs>
              <w:jc w:val="right"/>
              <w:rPr>
                <w:szCs w:val="24"/>
              </w:rPr>
            </w:pPr>
          </w:p>
          <w:p w14:paraId="4BADBFA7" w14:textId="77777777" w:rsidR="005529ED" w:rsidRPr="001931F4" w:rsidRDefault="005529ED" w:rsidP="00746F3D">
            <w:pPr>
              <w:tabs>
                <w:tab w:val="decimal" w:pos="837"/>
              </w:tabs>
              <w:jc w:val="right"/>
              <w:rPr>
                <w:szCs w:val="24"/>
              </w:rPr>
            </w:pPr>
          </w:p>
          <w:p w14:paraId="639E4321" w14:textId="77777777" w:rsidR="005529ED" w:rsidRPr="001931F4" w:rsidRDefault="005529ED" w:rsidP="00746F3D">
            <w:pPr>
              <w:tabs>
                <w:tab w:val="decimal" w:pos="837"/>
              </w:tabs>
              <w:jc w:val="right"/>
              <w:rPr>
                <w:szCs w:val="24"/>
              </w:rPr>
            </w:pPr>
          </w:p>
          <w:p w14:paraId="677DCF33" w14:textId="4982448B" w:rsidR="005529ED" w:rsidRPr="001931F4" w:rsidRDefault="005529ED" w:rsidP="00746F3D">
            <w:pPr>
              <w:tabs>
                <w:tab w:val="decimal" w:pos="837"/>
              </w:tabs>
              <w:jc w:val="right"/>
              <w:rPr>
                <w:szCs w:val="24"/>
              </w:rPr>
            </w:pPr>
            <w:r w:rsidRPr="001931F4">
              <w:rPr>
                <w:szCs w:val="24"/>
              </w:rPr>
              <w:t>144</w:t>
            </w:r>
          </w:p>
        </w:tc>
        <w:tc>
          <w:tcPr>
            <w:tcW w:w="1134" w:type="dxa"/>
            <w:vAlign w:val="center"/>
          </w:tcPr>
          <w:p w14:paraId="18AA8C21" w14:textId="77777777" w:rsidR="005529ED" w:rsidRPr="001931F4" w:rsidRDefault="005529ED" w:rsidP="00746F3D">
            <w:pPr>
              <w:tabs>
                <w:tab w:val="decimal" w:pos="837"/>
              </w:tabs>
              <w:jc w:val="right"/>
              <w:rPr>
                <w:szCs w:val="24"/>
              </w:rPr>
            </w:pPr>
          </w:p>
          <w:p w14:paraId="61CE84FC" w14:textId="77777777" w:rsidR="005529ED" w:rsidRPr="001931F4" w:rsidRDefault="005529ED" w:rsidP="00746F3D">
            <w:pPr>
              <w:tabs>
                <w:tab w:val="decimal" w:pos="837"/>
              </w:tabs>
              <w:jc w:val="right"/>
              <w:rPr>
                <w:szCs w:val="24"/>
              </w:rPr>
            </w:pPr>
          </w:p>
          <w:p w14:paraId="4AD09DD3" w14:textId="77777777" w:rsidR="005529ED" w:rsidRPr="001931F4" w:rsidRDefault="005529ED" w:rsidP="00746F3D">
            <w:pPr>
              <w:tabs>
                <w:tab w:val="decimal" w:pos="837"/>
              </w:tabs>
              <w:jc w:val="right"/>
              <w:rPr>
                <w:szCs w:val="24"/>
              </w:rPr>
            </w:pPr>
          </w:p>
          <w:p w14:paraId="47F3AF73" w14:textId="40437F2B" w:rsidR="005529ED" w:rsidRPr="001931F4" w:rsidRDefault="005529ED" w:rsidP="00746F3D">
            <w:pPr>
              <w:tabs>
                <w:tab w:val="decimal" w:pos="837"/>
              </w:tabs>
              <w:jc w:val="right"/>
              <w:rPr>
                <w:szCs w:val="24"/>
              </w:rPr>
            </w:pPr>
            <w:r w:rsidRPr="001931F4">
              <w:rPr>
                <w:szCs w:val="24"/>
              </w:rPr>
              <w:t>(511)</w:t>
            </w:r>
          </w:p>
        </w:tc>
        <w:tc>
          <w:tcPr>
            <w:tcW w:w="1134" w:type="dxa"/>
            <w:vAlign w:val="center"/>
          </w:tcPr>
          <w:p w14:paraId="59EA6C31" w14:textId="77777777" w:rsidR="005529ED" w:rsidRPr="001931F4" w:rsidRDefault="005529ED" w:rsidP="00746F3D">
            <w:pPr>
              <w:tabs>
                <w:tab w:val="decimal" w:pos="837"/>
              </w:tabs>
              <w:jc w:val="right"/>
              <w:rPr>
                <w:szCs w:val="24"/>
              </w:rPr>
            </w:pPr>
          </w:p>
          <w:p w14:paraId="11457CEE" w14:textId="77777777" w:rsidR="005529ED" w:rsidRPr="001931F4" w:rsidRDefault="005529ED" w:rsidP="00746F3D">
            <w:pPr>
              <w:tabs>
                <w:tab w:val="decimal" w:pos="837"/>
              </w:tabs>
              <w:jc w:val="right"/>
              <w:rPr>
                <w:szCs w:val="24"/>
              </w:rPr>
            </w:pPr>
          </w:p>
          <w:p w14:paraId="31D663DE" w14:textId="77777777" w:rsidR="005529ED" w:rsidRPr="001931F4" w:rsidRDefault="005529ED" w:rsidP="00746F3D">
            <w:pPr>
              <w:tabs>
                <w:tab w:val="decimal" w:pos="837"/>
              </w:tabs>
              <w:jc w:val="right"/>
              <w:rPr>
                <w:szCs w:val="24"/>
              </w:rPr>
            </w:pPr>
          </w:p>
          <w:p w14:paraId="6DFCB10B" w14:textId="08C21857" w:rsidR="005529ED" w:rsidRPr="001931F4" w:rsidRDefault="005529ED" w:rsidP="00746F3D">
            <w:pPr>
              <w:tabs>
                <w:tab w:val="decimal" w:pos="837"/>
              </w:tabs>
              <w:jc w:val="right"/>
              <w:rPr>
                <w:szCs w:val="24"/>
              </w:rPr>
            </w:pPr>
            <w:r w:rsidRPr="001931F4">
              <w:rPr>
                <w:szCs w:val="24"/>
              </w:rPr>
              <w:t>-</w:t>
            </w:r>
          </w:p>
        </w:tc>
        <w:tc>
          <w:tcPr>
            <w:tcW w:w="1134" w:type="dxa"/>
            <w:vAlign w:val="center"/>
          </w:tcPr>
          <w:p w14:paraId="57CB6CDD" w14:textId="77777777" w:rsidR="005529ED" w:rsidRPr="001931F4" w:rsidRDefault="005529ED" w:rsidP="00746F3D">
            <w:pPr>
              <w:tabs>
                <w:tab w:val="decimal" w:pos="837"/>
              </w:tabs>
              <w:jc w:val="right"/>
              <w:rPr>
                <w:szCs w:val="24"/>
              </w:rPr>
            </w:pPr>
          </w:p>
          <w:p w14:paraId="321C36BF" w14:textId="77777777" w:rsidR="005529ED" w:rsidRPr="001931F4" w:rsidRDefault="005529ED" w:rsidP="00746F3D">
            <w:pPr>
              <w:tabs>
                <w:tab w:val="decimal" w:pos="837"/>
              </w:tabs>
              <w:jc w:val="right"/>
              <w:rPr>
                <w:szCs w:val="24"/>
              </w:rPr>
            </w:pPr>
          </w:p>
          <w:p w14:paraId="7F6D1CC4" w14:textId="77777777" w:rsidR="005529ED" w:rsidRPr="001931F4" w:rsidRDefault="005529ED" w:rsidP="00746F3D">
            <w:pPr>
              <w:tabs>
                <w:tab w:val="decimal" w:pos="837"/>
              </w:tabs>
              <w:jc w:val="right"/>
              <w:rPr>
                <w:szCs w:val="24"/>
              </w:rPr>
            </w:pPr>
          </w:p>
          <w:p w14:paraId="3838FE43" w14:textId="17F5942D" w:rsidR="005529ED" w:rsidRPr="001931F4" w:rsidRDefault="005529ED" w:rsidP="00746F3D">
            <w:pPr>
              <w:tabs>
                <w:tab w:val="decimal" w:pos="837"/>
              </w:tabs>
              <w:jc w:val="right"/>
              <w:rPr>
                <w:szCs w:val="24"/>
              </w:rPr>
            </w:pPr>
            <w:r w:rsidRPr="001931F4">
              <w:rPr>
                <w:szCs w:val="24"/>
              </w:rPr>
              <w:t>-</w:t>
            </w:r>
          </w:p>
        </w:tc>
        <w:tc>
          <w:tcPr>
            <w:tcW w:w="1134" w:type="dxa"/>
            <w:vAlign w:val="center"/>
          </w:tcPr>
          <w:p w14:paraId="5E512EBC" w14:textId="77777777" w:rsidR="005529ED" w:rsidRPr="001931F4" w:rsidRDefault="005529ED" w:rsidP="00746F3D">
            <w:pPr>
              <w:tabs>
                <w:tab w:val="decimal" w:pos="837"/>
              </w:tabs>
              <w:jc w:val="right"/>
              <w:rPr>
                <w:szCs w:val="24"/>
              </w:rPr>
            </w:pPr>
          </w:p>
          <w:p w14:paraId="6B7ADC5A" w14:textId="77777777" w:rsidR="005529ED" w:rsidRPr="001931F4" w:rsidRDefault="005529ED" w:rsidP="00746F3D">
            <w:pPr>
              <w:tabs>
                <w:tab w:val="decimal" w:pos="837"/>
              </w:tabs>
              <w:jc w:val="right"/>
              <w:rPr>
                <w:szCs w:val="24"/>
              </w:rPr>
            </w:pPr>
          </w:p>
          <w:p w14:paraId="636464C6" w14:textId="77777777" w:rsidR="005529ED" w:rsidRPr="001931F4" w:rsidRDefault="005529ED" w:rsidP="00746F3D">
            <w:pPr>
              <w:tabs>
                <w:tab w:val="decimal" w:pos="837"/>
              </w:tabs>
              <w:jc w:val="right"/>
              <w:rPr>
                <w:szCs w:val="24"/>
              </w:rPr>
            </w:pPr>
          </w:p>
          <w:p w14:paraId="7D7F21B6" w14:textId="1D7AF858" w:rsidR="005529ED" w:rsidRPr="001931F4" w:rsidRDefault="005529ED" w:rsidP="00746F3D">
            <w:pPr>
              <w:tabs>
                <w:tab w:val="decimal" w:pos="837"/>
              </w:tabs>
              <w:jc w:val="right"/>
              <w:rPr>
                <w:szCs w:val="24"/>
              </w:rPr>
            </w:pPr>
            <w:r w:rsidRPr="001931F4">
              <w:rPr>
                <w:szCs w:val="24"/>
              </w:rPr>
              <w:t>144</w:t>
            </w:r>
          </w:p>
        </w:tc>
        <w:tc>
          <w:tcPr>
            <w:tcW w:w="1134" w:type="dxa"/>
            <w:vAlign w:val="center"/>
          </w:tcPr>
          <w:p w14:paraId="4143BCF1" w14:textId="77777777" w:rsidR="005529ED" w:rsidRPr="001931F4" w:rsidRDefault="005529ED" w:rsidP="00746F3D">
            <w:pPr>
              <w:tabs>
                <w:tab w:val="decimal" w:pos="837"/>
              </w:tabs>
              <w:jc w:val="right"/>
              <w:rPr>
                <w:szCs w:val="24"/>
              </w:rPr>
            </w:pPr>
          </w:p>
          <w:p w14:paraId="5EB4372D" w14:textId="77777777" w:rsidR="005529ED" w:rsidRPr="001931F4" w:rsidRDefault="005529ED" w:rsidP="00746F3D">
            <w:pPr>
              <w:tabs>
                <w:tab w:val="decimal" w:pos="837"/>
              </w:tabs>
              <w:jc w:val="right"/>
              <w:rPr>
                <w:szCs w:val="24"/>
              </w:rPr>
            </w:pPr>
          </w:p>
          <w:p w14:paraId="42B59A15" w14:textId="77777777" w:rsidR="005529ED" w:rsidRPr="001931F4" w:rsidRDefault="005529ED" w:rsidP="00746F3D">
            <w:pPr>
              <w:tabs>
                <w:tab w:val="decimal" w:pos="837"/>
              </w:tabs>
              <w:jc w:val="right"/>
              <w:rPr>
                <w:szCs w:val="24"/>
              </w:rPr>
            </w:pPr>
          </w:p>
          <w:p w14:paraId="5407F282" w14:textId="4BE4DE36" w:rsidR="005529ED" w:rsidRPr="001931F4" w:rsidRDefault="005529ED" w:rsidP="00746F3D">
            <w:pPr>
              <w:tabs>
                <w:tab w:val="decimal" w:pos="837"/>
              </w:tabs>
              <w:jc w:val="right"/>
              <w:rPr>
                <w:szCs w:val="24"/>
              </w:rPr>
            </w:pPr>
            <w:r w:rsidRPr="001931F4">
              <w:rPr>
                <w:szCs w:val="24"/>
              </w:rPr>
              <w:t>(511)</w:t>
            </w:r>
          </w:p>
        </w:tc>
      </w:tr>
      <w:tr w:rsidR="005529ED" w:rsidRPr="001931F4" w14:paraId="0AA53B58" w14:textId="77777777" w:rsidTr="00746F3D">
        <w:trPr>
          <w:trHeight w:hRule="exact" w:val="2558"/>
        </w:trPr>
        <w:tc>
          <w:tcPr>
            <w:tcW w:w="3074" w:type="dxa"/>
          </w:tcPr>
          <w:p w14:paraId="2C2D4B7E" w14:textId="77777777" w:rsidR="005529ED" w:rsidRPr="001931F4" w:rsidRDefault="005529ED" w:rsidP="005529ED">
            <w:pPr>
              <w:tabs>
                <w:tab w:val="left" w:pos="720"/>
                <w:tab w:val="center" w:pos="6930"/>
              </w:tabs>
              <w:rPr>
                <w:szCs w:val="24"/>
              </w:rPr>
            </w:pPr>
            <w:r w:rsidRPr="001931F4">
              <w:rPr>
                <w:szCs w:val="24"/>
              </w:rPr>
              <w:t xml:space="preserve">Amount by which business rates income credited to the </w:t>
            </w:r>
            <w:r w:rsidRPr="001931F4">
              <w:rPr>
                <w:rFonts w:cs="Arial"/>
                <w:szCs w:val="24"/>
              </w:rPr>
              <w:t xml:space="preserve">Comprehensive Income and Expenditure Statement is different from </w:t>
            </w:r>
            <w:r w:rsidRPr="001931F4">
              <w:rPr>
                <w:szCs w:val="24"/>
              </w:rPr>
              <w:t>business rates</w:t>
            </w:r>
            <w:r w:rsidRPr="001931F4">
              <w:rPr>
                <w:rFonts w:cs="Arial"/>
                <w:szCs w:val="24"/>
              </w:rPr>
              <w:t xml:space="preserve"> income calculated for the year in accordance with statutory requirements</w:t>
            </w:r>
          </w:p>
        </w:tc>
        <w:tc>
          <w:tcPr>
            <w:tcW w:w="1134" w:type="dxa"/>
            <w:vAlign w:val="center"/>
          </w:tcPr>
          <w:p w14:paraId="3EB36E31" w14:textId="77777777" w:rsidR="005529ED" w:rsidRPr="001931F4" w:rsidRDefault="005529ED" w:rsidP="00746F3D">
            <w:pPr>
              <w:tabs>
                <w:tab w:val="decimal" w:pos="837"/>
              </w:tabs>
              <w:jc w:val="right"/>
              <w:rPr>
                <w:szCs w:val="24"/>
              </w:rPr>
            </w:pPr>
          </w:p>
          <w:p w14:paraId="04972ED6" w14:textId="77777777" w:rsidR="005529ED" w:rsidRPr="001931F4" w:rsidRDefault="005529ED" w:rsidP="00746F3D">
            <w:pPr>
              <w:tabs>
                <w:tab w:val="decimal" w:pos="837"/>
              </w:tabs>
              <w:jc w:val="right"/>
              <w:rPr>
                <w:szCs w:val="24"/>
              </w:rPr>
            </w:pPr>
          </w:p>
          <w:p w14:paraId="36EC83D6" w14:textId="77777777" w:rsidR="005529ED" w:rsidRPr="001931F4" w:rsidRDefault="005529ED" w:rsidP="00746F3D">
            <w:pPr>
              <w:tabs>
                <w:tab w:val="decimal" w:pos="837"/>
              </w:tabs>
              <w:jc w:val="right"/>
              <w:rPr>
                <w:szCs w:val="24"/>
              </w:rPr>
            </w:pPr>
          </w:p>
          <w:p w14:paraId="329DBEEF" w14:textId="2A8A7625" w:rsidR="005529ED" w:rsidRPr="001931F4" w:rsidRDefault="005529ED" w:rsidP="00746F3D">
            <w:pPr>
              <w:tabs>
                <w:tab w:val="decimal" w:pos="837"/>
              </w:tabs>
              <w:jc w:val="right"/>
              <w:rPr>
                <w:szCs w:val="24"/>
              </w:rPr>
            </w:pPr>
            <w:r w:rsidRPr="001931F4">
              <w:rPr>
                <w:szCs w:val="24"/>
              </w:rPr>
              <w:t>-</w:t>
            </w:r>
          </w:p>
        </w:tc>
        <w:tc>
          <w:tcPr>
            <w:tcW w:w="1134" w:type="dxa"/>
            <w:vAlign w:val="center"/>
          </w:tcPr>
          <w:p w14:paraId="537F6B03" w14:textId="77777777" w:rsidR="005529ED" w:rsidRPr="001931F4" w:rsidRDefault="005529ED" w:rsidP="00746F3D">
            <w:pPr>
              <w:tabs>
                <w:tab w:val="decimal" w:pos="837"/>
              </w:tabs>
              <w:jc w:val="right"/>
              <w:rPr>
                <w:szCs w:val="24"/>
              </w:rPr>
            </w:pPr>
          </w:p>
          <w:p w14:paraId="5A392EDA" w14:textId="77777777" w:rsidR="005529ED" w:rsidRPr="001931F4" w:rsidRDefault="005529ED" w:rsidP="00746F3D">
            <w:pPr>
              <w:tabs>
                <w:tab w:val="decimal" w:pos="837"/>
              </w:tabs>
              <w:jc w:val="right"/>
              <w:rPr>
                <w:szCs w:val="24"/>
              </w:rPr>
            </w:pPr>
          </w:p>
          <w:p w14:paraId="5EC73616" w14:textId="77777777" w:rsidR="005529ED" w:rsidRPr="001931F4" w:rsidRDefault="005529ED" w:rsidP="00746F3D">
            <w:pPr>
              <w:tabs>
                <w:tab w:val="decimal" w:pos="837"/>
              </w:tabs>
              <w:jc w:val="right"/>
              <w:rPr>
                <w:szCs w:val="24"/>
              </w:rPr>
            </w:pPr>
          </w:p>
          <w:p w14:paraId="51C3C2FA" w14:textId="1B72E27B" w:rsidR="005529ED" w:rsidRPr="001931F4" w:rsidRDefault="005529ED" w:rsidP="00746F3D">
            <w:pPr>
              <w:tabs>
                <w:tab w:val="decimal" w:pos="837"/>
              </w:tabs>
              <w:jc w:val="right"/>
              <w:rPr>
                <w:szCs w:val="24"/>
              </w:rPr>
            </w:pPr>
            <w:r w:rsidRPr="001931F4">
              <w:rPr>
                <w:szCs w:val="24"/>
              </w:rPr>
              <w:t>-</w:t>
            </w:r>
          </w:p>
        </w:tc>
        <w:tc>
          <w:tcPr>
            <w:tcW w:w="1134" w:type="dxa"/>
            <w:vAlign w:val="center"/>
          </w:tcPr>
          <w:p w14:paraId="10EEBD66" w14:textId="77777777" w:rsidR="005529ED" w:rsidRPr="001931F4" w:rsidRDefault="005529ED" w:rsidP="00746F3D">
            <w:pPr>
              <w:tabs>
                <w:tab w:val="decimal" w:pos="837"/>
              </w:tabs>
              <w:jc w:val="right"/>
              <w:rPr>
                <w:szCs w:val="24"/>
              </w:rPr>
            </w:pPr>
          </w:p>
          <w:p w14:paraId="31E499B1" w14:textId="77777777" w:rsidR="005529ED" w:rsidRPr="001931F4" w:rsidRDefault="005529ED" w:rsidP="00746F3D">
            <w:pPr>
              <w:tabs>
                <w:tab w:val="decimal" w:pos="837"/>
              </w:tabs>
              <w:jc w:val="right"/>
              <w:rPr>
                <w:szCs w:val="24"/>
              </w:rPr>
            </w:pPr>
          </w:p>
          <w:p w14:paraId="29E8F883" w14:textId="77777777" w:rsidR="005529ED" w:rsidRPr="001931F4" w:rsidRDefault="005529ED" w:rsidP="00746F3D">
            <w:pPr>
              <w:tabs>
                <w:tab w:val="decimal" w:pos="837"/>
              </w:tabs>
              <w:jc w:val="right"/>
              <w:rPr>
                <w:szCs w:val="24"/>
              </w:rPr>
            </w:pPr>
          </w:p>
          <w:p w14:paraId="5E1BC2DE" w14:textId="699291EE" w:rsidR="005529ED" w:rsidRPr="001931F4" w:rsidRDefault="005529ED" w:rsidP="00746F3D">
            <w:pPr>
              <w:tabs>
                <w:tab w:val="decimal" w:pos="837"/>
              </w:tabs>
              <w:jc w:val="right"/>
              <w:rPr>
                <w:szCs w:val="24"/>
              </w:rPr>
            </w:pPr>
            <w:r w:rsidRPr="001931F4">
              <w:rPr>
                <w:szCs w:val="24"/>
              </w:rPr>
              <w:t>(1,127)</w:t>
            </w:r>
          </w:p>
        </w:tc>
        <w:tc>
          <w:tcPr>
            <w:tcW w:w="1134" w:type="dxa"/>
            <w:vAlign w:val="center"/>
          </w:tcPr>
          <w:p w14:paraId="78543E6D" w14:textId="77777777" w:rsidR="005529ED" w:rsidRPr="001931F4" w:rsidRDefault="005529ED" w:rsidP="00746F3D">
            <w:pPr>
              <w:tabs>
                <w:tab w:val="decimal" w:pos="837"/>
              </w:tabs>
              <w:jc w:val="right"/>
              <w:rPr>
                <w:szCs w:val="24"/>
              </w:rPr>
            </w:pPr>
          </w:p>
          <w:p w14:paraId="52EBC8B1" w14:textId="77777777" w:rsidR="005529ED" w:rsidRPr="001931F4" w:rsidRDefault="005529ED" w:rsidP="00746F3D">
            <w:pPr>
              <w:tabs>
                <w:tab w:val="decimal" w:pos="837"/>
              </w:tabs>
              <w:jc w:val="right"/>
              <w:rPr>
                <w:szCs w:val="24"/>
              </w:rPr>
            </w:pPr>
          </w:p>
          <w:p w14:paraId="3A7F1A20" w14:textId="77777777" w:rsidR="005529ED" w:rsidRPr="001931F4" w:rsidRDefault="005529ED" w:rsidP="00746F3D">
            <w:pPr>
              <w:tabs>
                <w:tab w:val="decimal" w:pos="837"/>
              </w:tabs>
              <w:jc w:val="right"/>
              <w:rPr>
                <w:szCs w:val="24"/>
              </w:rPr>
            </w:pPr>
          </w:p>
          <w:p w14:paraId="73D7434B" w14:textId="3919FFB6" w:rsidR="005529ED" w:rsidRPr="001931F4" w:rsidRDefault="005529ED" w:rsidP="00746F3D">
            <w:pPr>
              <w:tabs>
                <w:tab w:val="decimal" w:pos="837"/>
              </w:tabs>
              <w:jc w:val="right"/>
              <w:rPr>
                <w:szCs w:val="24"/>
              </w:rPr>
            </w:pPr>
            <w:r w:rsidRPr="001931F4">
              <w:rPr>
                <w:szCs w:val="24"/>
              </w:rPr>
              <w:t>(1,074)</w:t>
            </w:r>
          </w:p>
        </w:tc>
        <w:tc>
          <w:tcPr>
            <w:tcW w:w="1134" w:type="dxa"/>
            <w:vAlign w:val="center"/>
          </w:tcPr>
          <w:p w14:paraId="363BB4F8" w14:textId="77777777" w:rsidR="005529ED" w:rsidRPr="001931F4" w:rsidRDefault="005529ED" w:rsidP="00746F3D">
            <w:pPr>
              <w:tabs>
                <w:tab w:val="decimal" w:pos="837"/>
              </w:tabs>
              <w:jc w:val="right"/>
              <w:rPr>
                <w:szCs w:val="24"/>
              </w:rPr>
            </w:pPr>
          </w:p>
          <w:p w14:paraId="2B9A58A6" w14:textId="77777777" w:rsidR="005529ED" w:rsidRPr="001931F4" w:rsidRDefault="005529ED" w:rsidP="00746F3D">
            <w:pPr>
              <w:tabs>
                <w:tab w:val="decimal" w:pos="837"/>
              </w:tabs>
              <w:jc w:val="right"/>
              <w:rPr>
                <w:szCs w:val="24"/>
              </w:rPr>
            </w:pPr>
          </w:p>
          <w:p w14:paraId="5B47A7E1" w14:textId="77777777" w:rsidR="005529ED" w:rsidRPr="001931F4" w:rsidRDefault="005529ED" w:rsidP="00746F3D">
            <w:pPr>
              <w:tabs>
                <w:tab w:val="decimal" w:pos="837"/>
              </w:tabs>
              <w:jc w:val="right"/>
              <w:rPr>
                <w:szCs w:val="24"/>
              </w:rPr>
            </w:pPr>
          </w:p>
          <w:p w14:paraId="243D8132" w14:textId="670038D4" w:rsidR="005529ED" w:rsidRPr="001931F4" w:rsidRDefault="005529ED" w:rsidP="00746F3D">
            <w:pPr>
              <w:tabs>
                <w:tab w:val="decimal" w:pos="837"/>
              </w:tabs>
              <w:jc w:val="right"/>
              <w:rPr>
                <w:szCs w:val="24"/>
              </w:rPr>
            </w:pPr>
            <w:r w:rsidRPr="001931F4">
              <w:rPr>
                <w:szCs w:val="24"/>
              </w:rPr>
              <w:t>(1,127)</w:t>
            </w:r>
          </w:p>
        </w:tc>
        <w:tc>
          <w:tcPr>
            <w:tcW w:w="1134" w:type="dxa"/>
            <w:vAlign w:val="center"/>
          </w:tcPr>
          <w:p w14:paraId="6E68B28B" w14:textId="77777777" w:rsidR="005529ED" w:rsidRPr="001931F4" w:rsidRDefault="005529ED" w:rsidP="00746F3D">
            <w:pPr>
              <w:tabs>
                <w:tab w:val="decimal" w:pos="837"/>
              </w:tabs>
              <w:jc w:val="right"/>
              <w:rPr>
                <w:szCs w:val="24"/>
              </w:rPr>
            </w:pPr>
          </w:p>
          <w:p w14:paraId="4196605A" w14:textId="77777777" w:rsidR="005529ED" w:rsidRPr="001931F4" w:rsidRDefault="005529ED" w:rsidP="00746F3D">
            <w:pPr>
              <w:tabs>
                <w:tab w:val="decimal" w:pos="837"/>
              </w:tabs>
              <w:jc w:val="right"/>
              <w:rPr>
                <w:szCs w:val="24"/>
              </w:rPr>
            </w:pPr>
          </w:p>
          <w:p w14:paraId="40FB3F3A" w14:textId="77777777" w:rsidR="005529ED" w:rsidRPr="001931F4" w:rsidRDefault="005529ED" w:rsidP="00746F3D">
            <w:pPr>
              <w:tabs>
                <w:tab w:val="decimal" w:pos="837"/>
              </w:tabs>
              <w:jc w:val="right"/>
              <w:rPr>
                <w:szCs w:val="24"/>
              </w:rPr>
            </w:pPr>
          </w:p>
          <w:p w14:paraId="61A4CEFA" w14:textId="01B56872" w:rsidR="005529ED" w:rsidRPr="001931F4" w:rsidRDefault="005529ED" w:rsidP="00746F3D">
            <w:pPr>
              <w:tabs>
                <w:tab w:val="decimal" w:pos="837"/>
              </w:tabs>
              <w:jc w:val="right"/>
              <w:rPr>
                <w:szCs w:val="24"/>
              </w:rPr>
            </w:pPr>
            <w:r w:rsidRPr="001931F4">
              <w:rPr>
                <w:szCs w:val="24"/>
              </w:rPr>
              <w:t>(1,074)</w:t>
            </w:r>
          </w:p>
        </w:tc>
      </w:tr>
      <w:tr w:rsidR="005529ED" w:rsidRPr="001931F4" w14:paraId="15A945F2" w14:textId="77777777" w:rsidTr="00746F3D">
        <w:trPr>
          <w:trHeight w:hRule="exact" w:val="300"/>
        </w:trPr>
        <w:tc>
          <w:tcPr>
            <w:tcW w:w="3074" w:type="dxa"/>
          </w:tcPr>
          <w:p w14:paraId="5CC6C090" w14:textId="77777777" w:rsidR="005529ED" w:rsidRPr="001931F4" w:rsidRDefault="005529ED" w:rsidP="005529ED">
            <w:pPr>
              <w:tabs>
                <w:tab w:val="left" w:pos="720"/>
                <w:tab w:val="center" w:pos="6930"/>
              </w:tabs>
              <w:rPr>
                <w:szCs w:val="24"/>
              </w:rPr>
            </w:pPr>
            <w:r w:rsidRPr="001931F4">
              <w:rPr>
                <w:szCs w:val="24"/>
              </w:rPr>
              <w:t xml:space="preserve">Balance </w:t>
            </w:r>
            <w:proofErr w:type="gramStart"/>
            <w:r w:rsidRPr="001931F4">
              <w:rPr>
                <w:szCs w:val="24"/>
              </w:rPr>
              <w:t>at</w:t>
            </w:r>
            <w:proofErr w:type="gramEnd"/>
            <w:r w:rsidRPr="001931F4">
              <w:rPr>
                <w:szCs w:val="24"/>
              </w:rPr>
              <w:t xml:space="preserve"> 31 March</w:t>
            </w:r>
          </w:p>
        </w:tc>
        <w:tc>
          <w:tcPr>
            <w:tcW w:w="1134" w:type="dxa"/>
            <w:vAlign w:val="center"/>
          </w:tcPr>
          <w:p w14:paraId="4FD633D8" w14:textId="426F1CDC" w:rsidR="005529ED" w:rsidRPr="001931F4" w:rsidRDefault="00762A90" w:rsidP="00746F3D">
            <w:pPr>
              <w:tabs>
                <w:tab w:val="decimal" w:pos="837"/>
              </w:tabs>
              <w:jc w:val="right"/>
              <w:rPr>
                <w:szCs w:val="24"/>
              </w:rPr>
            </w:pPr>
            <w:r w:rsidRPr="001931F4">
              <w:rPr>
                <w:szCs w:val="24"/>
              </w:rPr>
              <w:t>5</w:t>
            </w:r>
          </w:p>
        </w:tc>
        <w:tc>
          <w:tcPr>
            <w:tcW w:w="1134" w:type="dxa"/>
            <w:vAlign w:val="center"/>
          </w:tcPr>
          <w:p w14:paraId="678FD602" w14:textId="2DE0D748" w:rsidR="005529ED" w:rsidRPr="001931F4" w:rsidRDefault="005529ED" w:rsidP="00746F3D">
            <w:pPr>
              <w:tabs>
                <w:tab w:val="decimal" w:pos="837"/>
              </w:tabs>
              <w:jc w:val="right"/>
              <w:rPr>
                <w:szCs w:val="24"/>
              </w:rPr>
            </w:pPr>
            <w:r w:rsidRPr="001931F4">
              <w:rPr>
                <w:szCs w:val="24"/>
              </w:rPr>
              <w:t>(139)</w:t>
            </w:r>
          </w:p>
        </w:tc>
        <w:tc>
          <w:tcPr>
            <w:tcW w:w="1134" w:type="dxa"/>
            <w:vAlign w:val="center"/>
          </w:tcPr>
          <w:p w14:paraId="14120430" w14:textId="5F479648" w:rsidR="005529ED" w:rsidRPr="001931F4" w:rsidRDefault="005529ED" w:rsidP="00746F3D">
            <w:pPr>
              <w:tabs>
                <w:tab w:val="decimal" w:pos="837"/>
              </w:tabs>
              <w:jc w:val="right"/>
              <w:rPr>
                <w:szCs w:val="24"/>
              </w:rPr>
            </w:pPr>
            <w:r w:rsidRPr="001931F4">
              <w:rPr>
                <w:szCs w:val="24"/>
              </w:rPr>
              <w:t>(21</w:t>
            </w:r>
            <w:r w:rsidR="00762A90" w:rsidRPr="001931F4">
              <w:rPr>
                <w:szCs w:val="24"/>
              </w:rPr>
              <w:t>2</w:t>
            </w:r>
            <w:r w:rsidRPr="001931F4">
              <w:rPr>
                <w:szCs w:val="24"/>
              </w:rPr>
              <w:t>)</w:t>
            </w:r>
          </w:p>
        </w:tc>
        <w:tc>
          <w:tcPr>
            <w:tcW w:w="1134" w:type="dxa"/>
            <w:vAlign w:val="center"/>
          </w:tcPr>
          <w:p w14:paraId="123769C6" w14:textId="630730FE" w:rsidR="005529ED" w:rsidRPr="001931F4" w:rsidRDefault="005529ED" w:rsidP="00746F3D">
            <w:pPr>
              <w:tabs>
                <w:tab w:val="decimal" w:pos="837"/>
              </w:tabs>
              <w:jc w:val="right"/>
              <w:rPr>
                <w:szCs w:val="24"/>
              </w:rPr>
            </w:pPr>
            <w:r w:rsidRPr="001931F4">
              <w:rPr>
                <w:szCs w:val="24"/>
              </w:rPr>
              <w:t>915</w:t>
            </w:r>
          </w:p>
        </w:tc>
        <w:tc>
          <w:tcPr>
            <w:tcW w:w="1134" w:type="dxa"/>
            <w:vAlign w:val="center"/>
          </w:tcPr>
          <w:p w14:paraId="72E19D94" w14:textId="13836CBB" w:rsidR="005529ED" w:rsidRPr="001931F4" w:rsidRDefault="005529ED" w:rsidP="00746F3D">
            <w:pPr>
              <w:tabs>
                <w:tab w:val="decimal" w:pos="837"/>
              </w:tabs>
              <w:jc w:val="right"/>
              <w:rPr>
                <w:szCs w:val="24"/>
              </w:rPr>
            </w:pPr>
            <w:r w:rsidRPr="001931F4">
              <w:rPr>
                <w:szCs w:val="24"/>
              </w:rPr>
              <w:t>(207</w:t>
            </w:r>
            <w:r w:rsidR="00721432" w:rsidRPr="001931F4">
              <w:rPr>
                <w:szCs w:val="24"/>
              </w:rPr>
              <w:t>)</w:t>
            </w:r>
          </w:p>
        </w:tc>
        <w:tc>
          <w:tcPr>
            <w:tcW w:w="1134" w:type="dxa"/>
            <w:vAlign w:val="center"/>
          </w:tcPr>
          <w:p w14:paraId="54673000" w14:textId="5EB147A0" w:rsidR="005529ED" w:rsidRPr="001931F4" w:rsidRDefault="005529ED" w:rsidP="00746F3D">
            <w:pPr>
              <w:tabs>
                <w:tab w:val="decimal" w:pos="837"/>
              </w:tabs>
              <w:jc w:val="right"/>
              <w:rPr>
                <w:szCs w:val="24"/>
              </w:rPr>
            </w:pPr>
            <w:r w:rsidRPr="001931F4">
              <w:rPr>
                <w:szCs w:val="24"/>
              </w:rPr>
              <w:t>776</w:t>
            </w:r>
          </w:p>
        </w:tc>
      </w:tr>
    </w:tbl>
    <w:p w14:paraId="19ED1581" w14:textId="77777777" w:rsidR="00D90216" w:rsidRPr="001931F4" w:rsidRDefault="00350024" w:rsidP="000F5BFB">
      <w:pPr>
        <w:pStyle w:val="BodyTextIndent"/>
        <w:ind w:left="709"/>
        <w:rPr>
          <w:rFonts w:cs="Arial"/>
          <w:b/>
          <w:szCs w:val="24"/>
        </w:rPr>
      </w:pPr>
      <w:r w:rsidRPr="00AF3DCD">
        <w:rPr>
          <w:rFonts w:cs="Arial"/>
          <w:b/>
          <w:sz w:val="22"/>
          <w:szCs w:val="22"/>
        </w:rPr>
        <w:br w:type="page"/>
      </w:r>
      <w:r w:rsidR="00D90216" w:rsidRPr="001931F4">
        <w:rPr>
          <w:rFonts w:cs="Arial"/>
          <w:b/>
          <w:szCs w:val="24"/>
        </w:rPr>
        <w:lastRenderedPageBreak/>
        <w:t>Accumulated Absences Adjustment Account</w:t>
      </w:r>
    </w:p>
    <w:p w14:paraId="375EBF5E" w14:textId="77777777" w:rsidR="00D90216" w:rsidRPr="001931F4" w:rsidRDefault="00D90216" w:rsidP="000F5BFB">
      <w:pPr>
        <w:pStyle w:val="BodyTextIndent"/>
        <w:ind w:left="709"/>
        <w:rPr>
          <w:rFonts w:cs="Arial"/>
          <w:szCs w:val="24"/>
        </w:rPr>
      </w:pPr>
    </w:p>
    <w:p w14:paraId="48E05A41" w14:textId="77777777" w:rsidR="00D90216" w:rsidRPr="001931F4" w:rsidRDefault="00D90216" w:rsidP="000F5BFB">
      <w:pPr>
        <w:pStyle w:val="BodyTextIndent"/>
        <w:ind w:left="709"/>
        <w:rPr>
          <w:rFonts w:cs="Arial"/>
          <w:szCs w:val="24"/>
        </w:rPr>
      </w:pPr>
      <w:r w:rsidRPr="001931F4">
        <w:rPr>
          <w:rFonts w:cs="Arial"/>
          <w:szCs w:val="24"/>
        </w:rPr>
        <w:t>The Accumulated Absences Adjustment Account manages the differences arising from the recognition of accrued employee costs in the Comprehensive Income and Expenditure Statement compared with the statutory arrangements for paying across amounts to the General Fund.</w:t>
      </w:r>
    </w:p>
    <w:p w14:paraId="61F35909" w14:textId="77777777" w:rsidR="00D90216" w:rsidRPr="001931F4" w:rsidRDefault="00D90216" w:rsidP="00D90216">
      <w:pPr>
        <w:pStyle w:val="BodyTextIndent"/>
        <w:ind w:left="709"/>
        <w:jc w:val="both"/>
        <w:rPr>
          <w:rFonts w:cs="Arial"/>
          <w:szCs w:val="24"/>
        </w:rPr>
      </w:pPr>
    </w:p>
    <w:tbl>
      <w:tblPr>
        <w:tblW w:w="86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9"/>
        <w:gridCol w:w="1371"/>
        <w:gridCol w:w="1346"/>
      </w:tblGrid>
      <w:tr w:rsidR="00670DBF" w:rsidRPr="001931F4" w14:paraId="25AFEF27" w14:textId="77777777" w:rsidTr="00611673">
        <w:trPr>
          <w:trHeight w:hRule="exact" w:val="588"/>
        </w:trPr>
        <w:tc>
          <w:tcPr>
            <w:tcW w:w="5909" w:type="dxa"/>
            <w:shd w:val="clear" w:color="auto" w:fill="BD2716"/>
          </w:tcPr>
          <w:p w14:paraId="4FAB9DE9" w14:textId="77777777" w:rsidR="00670DBF" w:rsidRPr="00982FEC" w:rsidRDefault="00670DBF" w:rsidP="00670DBF">
            <w:pPr>
              <w:tabs>
                <w:tab w:val="left" w:pos="720"/>
                <w:tab w:val="center" w:pos="6930"/>
              </w:tabs>
              <w:rPr>
                <w:color w:val="FFFFFF" w:themeColor="background1"/>
                <w:szCs w:val="24"/>
              </w:rPr>
            </w:pPr>
          </w:p>
        </w:tc>
        <w:tc>
          <w:tcPr>
            <w:tcW w:w="1371" w:type="dxa"/>
            <w:shd w:val="clear" w:color="auto" w:fill="BD2716"/>
            <w:vAlign w:val="center"/>
          </w:tcPr>
          <w:p w14:paraId="331C612A" w14:textId="77777777" w:rsidR="00670DBF" w:rsidRPr="00982FEC" w:rsidRDefault="00670DBF" w:rsidP="00611673">
            <w:pPr>
              <w:jc w:val="right"/>
              <w:rPr>
                <w:color w:val="FFFFFF" w:themeColor="background1"/>
                <w:szCs w:val="24"/>
              </w:rPr>
            </w:pPr>
            <w:r w:rsidRPr="00982FEC">
              <w:rPr>
                <w:color w:val="FFFFFF" w:themeColor="background1"/>
                <w:szCs w:val="24"/>
              </w:rPr>
              <w:t>202</w:t>
            </w:r>
            <w:r w:rsidR="003002C7" w:rsidRPr="00982FEC">
              <w:rPr>
                <w:color w:val="FFFFFF" w:themeColor="background1"/>
                <w:szCs w:val="24"/>
              </w:rPr>
              <w:t>2</w:t>
            </w:r>
            <w:r w:rsidRPr="00982FEC">
              <w:rPr>
                <w:color w:val="FFFFFF" w:themeColor="background1"/>
                <w:szCs w:val="24"/>
              </w:rPr>
              <w:t>/2</w:t>
            </w:r>
            <w:r w:rsidR="003002C7" w:rsidRPr="00982FEC">
              <w:rPr>
                <w:color w:val="FFFFFF" w:themeColor="background1"/>
                <w:szCs w:val="24"/>
              </w:rPr>
              <w:t>3</w:t>
            </w:r>
          </w:p>
          <w:p w14:paraId="05D5E637" w14:textId="13A9FAFA" w:rsidR="00021F7E" w:rsidRPr="00982FEC" w:rsidRDefault="00021F7E" w:rsidP="00611673">
            <w:pPr>
              <w:jc w:val="right"/>
              <w:rPr>
                <w:color w:val="FFFFFF" w:themeColor="background1"/>
                <w:szCs w:val="24"/>
              </w:rPr>
            </w:pPr>
            <w:r w:rsidRPr="00982FEC">
              <w:rPr>
                <w:color w:val="FFFFFF" w:themeColor="background1"/>
                <w:szCs w:val="24"/>
              </w:rPr>
              <w:t>£000</w:t>
            </w:r>
          </w:p>
        </w:tc>
        <w:tc>
          <w:tcPr>
            <w:tcW w:w="1346" w:type="dxa"/>
            <w:shd w:val="clear" w:color="auto" w:fill="BD2716"/>
            <w:vAlign w:val="center"/>
          </w:tcPr>
          <w:p w14:paraId="4E87E374" w14:textId="77777777" w:rsidR="00021F7E" w:rsidRPr="00982FEC" w:rsidRDefault="00670DBF" w:rsidP="00611673">
            <w:pPr>
              <w:jc w:val="right"/>
              <w:rPr>
                <w:color w:val="FFFFFF" w:themeColor="background1"/>
                <w:szCs w:val="24"/>
              </w:rPr>
            </w:pPr>
            <w:r w:rsidRPr="00982FEC">
              <w:rPr>
                <w:color w:val="FFFFFF" w:themeColor="background1"/>
                <w:szCs w:val="24"/>
              </w:rPr>
              <w:t>202</w:t>
            </w:r>
            <w:r w:rsidR="003002C7" w:rsidRPr="00982FEC">
              <w:rPr>
                <w:color w:val="FFFFFF" w:themeColor="background1"/>
                <w:szCs w:val="24"/>
              </w:rPr>
              <w:t>1</w:t>
            </w:r>
            <w:r w:rsidRPr="00982FEC">
              <w:rPr>
                <w:color w:val="FFFFFF" w:themeColor="background1"/>
                <w:szCs w:val="24"/>
              </w:rPr>
              <w:t>/2</w:t>
            </w:r>
            <w:r w:rsidR="003002C7" w:rsidRPr="00982FEC">
              <w:rPr>
                <w:color w:val="FFFFFF" w:themeColor="background1"/>
                <w:szCs w:val="24"/>
              </w:rPr>
              <w:t>2</w:t>
            </w:r>
          </w:p>
          <w:p w14:paraId="4858503E" w14:textId="2A3CF46E" w:rsidR="00670DBF" w:rsidRPr="00982FEC" w:rsidRDefault="00021F7E" w:rsidP="00611673">
            <w:pPr>
              <w:jc w:val="right"/>
              <w:rPr>
                <w:color w:val="FFFFFF" w:themeColor="background1"/>
                <w:szCs w:val="24"/>
              </w:rPr>
            </w:pPr>
            <w:r w:rsidRPr="00982FEC">
              <w:rPr>
                <w:color w:val="FFFFFF" w:themeColor="background1"/>
                <w:szCs w:val="24"/>
              </w:rPr>
              <w:t>£000</w:t>
            </w:r>
          </w:p>
        </w:tc>
      </w:tr>
      <w:tr w:rsidR="003002C7" w:rsidRPr="001931F4" w14:paraId="20C5DDE6" w14:textId="77777777" w:rsidTr="00746F3D">
        <w:trPr>
          <w:trHeight w:hRule="exact" w:val="300"/>
        </w:trPr>
        <w:tc>
          <w:tcPr>
            <w:tcW w:w="5909" w:type="dxa"/>
          </w:tcPr>
          <w:p w14:paraId="31B92393" w14:textId="77777777" w:rsidR="003002C7" w:rsidRPr="001931F4" w:rsidRDefault="003002C7" w:rsidP="003002C7">
            <w:pPr>
              <w:tabs>
                <w:tab w:val="left" w:pos="720"/>
                <w:tab w:val="center" w:pos="6930"/>
              </w:tabs>
              <w:rPr>
                <w:szCs w:val="24"/>
              </w:rPr>
            </w:pPr>
            <w:r w:rsidRPr="001931F4">
              <w:rPr>
                <w:szCs w:val="24"/>
              </w:rPr>
              <w:t xml:space="preserve">Balance </w:t>
            </w:r>
            <w:proofErr w:type="gramStart"/>
            <w:r w:rsidRPr="001931F4">
              <w:rPr>
                <w:szCs w:val="24"/>
              </w:rPr>
              <w:t>at</w:t>
            </w:r>
            <w:proofErr w:type="gramEnd"/>
            <w:r w:rsidRPr="001931F4">
              <w:rPr>
                <w:szCs w:val="24"/>
              </w:rPr>
              <w:t xml:space="preserve"> 1 April</w:t>
            </w:r>
          </w:p>
        </w:tc>
        <w:tc>
          <w:tcPr>
            <w:tcW w:w="1371" w:type="dxa"/>
            <w:shd w:val="clear" w:color="auto" w:fill="auto"/>
            <w:vAlign w:val="center"/>
          </w:tcPr>
          <w:p w14:paraId="269693E6" w14:textId="6BAA6066" w:rsidR="003002C7" w:rsidRPr="001931F4" w:rsidRDefault="006F5C8E" w:rsidP="00746F3D">
            <w:pPr>
              <w:tabs>
                <w:tab w:val="decimal" w:pos="837"/>
              </w:tabs>
              <w:jc w:val="right"/>
              <w:rPr>
                <w:szCs w:val="24"/>
              </w:rPr>
            </w:pPr>
            <w:r w:rsidRPr="001931F4">
              <w:rPr>
                <w:szCs w:val="24"/>
              </w:rPr>
              <w:t>839</w:t>
            </w:r>
          </w:p>
        </w:tc>
        <w:tc>
          <w:tcPr>
            <w:tcW w:w="1346" w:type="dxa"/>
            <w:vAlign w:val="center"/>
          </w:tcPr>
          <w:p w14:paraId="16FAA93C" w14:textId="37548C5C" w:rsidR="003002C7" w:rsidRPr="001931F4" w:rsidRDefault="003002C7" w:rsidP="00746F3D">
            <w:pPr>
              <w:tabs>
                <w:tab w:val="decimal" w:pos="837"/>
              </w:tabs>
              <w:jc w:val="right"/>
              <w:rPr>
                <w:szCs w:val="24"/>
              </w:rPr>
            </w:pPr>
            <w:r w:rsidRPr="001931F4">
              <w:rPr>
                <w:szCs w:val="24"/>
              </w:rPr>
              <w:t>941</w:t>
            </w:r>
          </w:p>
        </w:tc>
      </w:tr>
      <w:tr w:rsidR="003002C7" w:rsidRPr="001931F4" w14:paraId="761D061F" w14:textId="77777777" w:rsidTr="00746F3D">
        <w:trPr>
          <w:trHeight w:hRule="exact" w:val="810"/>
        </w:trPr>
        <w:tc>
          <w:tcPr>
            <w:tcW w:w="5909" w:type="dxa"/>
          </w:tcPr>
          <w:p w14:paraId="61DE7920" w14:textId="77777777" w:rsidR="003002C7" w:rsidRPr="001931F4" w:rsidRDefault="003002C7" w:rsidP="003002C7">
            <w:pPr>
              <w:tabs>
                <w:tab w:val="left" w:pos="720"/>
                <w:tab w:val="center" w:pos="6930"/>
              </w:tabs>
              <w:rPr>
                <w:szCs w:val="24"/>
              </w:rPr>
            </w:pPr>
            <w:r w:rsidRPr="001931F4">
              <w:rPr>
                <w:szCs w:val="24"/>
              </w:rPr>
              <w:t>Amount by which remuneration charged on an accruals basis is different from remuneration chargeable in the year in accordance with statutory requirements</w:t>
            </w:r>
          </w:p>
        </w:tc>
        <w:tc>
          <w:tcPr>
            <w:tcW w:w="1371" w:type="dxa"/>
            <w:shd w:val="clear" w:color="auto" w:fill="auto"/>
            <w:vAlign w:val="center"/>
          </w:tcPr>
          <w:p w14:paraId="2ED99FC9" w14:textId="41B3887E" w:rsidR="003002C7" w:rsidRPr="001931F4" w:rsidRDefault="006F5C8E" w:rsidP="00746F3D">
            <w:pPr>
              <w:tabs>
                <w:tab w:val="decimal" w:pos="837"/>
              </w:tabs>
              <w:jc w:val="right"/>
              <w:rPr>
                <w:szCs w:val="24"/>
              </w:rPr>
            </w:pPr>
            <w:r w:rsidRPr="001931F4">
              <w:rPr>
                <w:szCs w:val="24"/>
              </w:rPr>
              <w:t>1</w:t>
            </w:r>
            <w:r w:rsidR="008A677B" w:rsidRPr="001931F4">
              <w:rPr>
                <w:szCs w:val="24"/>
              </w:rPr>
              <w:t>18</w:t>
            </w:r>
          </w:p>
        </w:tc>
        <w:tc>
          <w:tcPr>
            <w:tcW w:w="1346" w:type="dxa"/>
            <w:vAlign w:val="center"/>
          </w:tcPr>
          <w:p w14:paraId="5E44C566" w14:textId="34641314" w:rsidR="003002C7" w:rsidRPr="001931F4" w:rsidRDefault="003002C7" w:rsidP="00746F3D">
            <w:pPr>
              <w:tabs>
                <w:tab w:val="decimal" w:pos="837"/>
              </w:tabs>
              <w:jc w:val="right"/>
              <w:rPr>
                <w:szCs w:val="24"/>
              </w:rPr>
            </w:pPr>
            <w:r w:rsidRPr="001931F4">
              <w:rPr>
                <w:szCs w:val="24"/>
              </w:rPr>
              <w:t>(102)</w:t>
            </w:r>
          </w:p>
        </w:tc>
      </w:tr>
      <w:tr w:rsidR="003002C7" w:rsidRPr="001931F4" w14:paraId="6EDD4F0F" w14:textId="77777777" w:rsidTr="00746F3D">
        <w:trPr>
          <w:trHeight w:hRule="exact" w:val="300"/>
        </w:trPr>
        <w:tc>
          <w:tcPr>
            <w:tcW w:w="5909" w:type="dxa"/>
          </w:tcPr>
          <w:p w14:paraId="7E6701EB" w14:textId="77777777" w:rsidR="003002C7" w:rsidRPr="001931F4" w:rsidRDefault="003002C7" w:rsidP="003002C7">
            <w:pPr>
              <w:tabs>
                <w:tab w:val="left" w:pos="720"/>
                <w:tab w:val="center" w:pos="6930"/>
              </w:tabs>
              <w:rPr>
                <w:szCs w:val="24"/>
              </w:rPr>
            </w:pPr>
            <w:r w:rsidRPr="001931F4">
              <w:rPr>
                <w:szCs w:val="24"/>
              </w:rPr>
              <w:t xml:space="preserve">Balance </w:t>
            </w:r>
            <w:proofErr w:type="gramStart"/>
            <w:r w:rsidRPr="001931F4">
              <w:rPr>
                <w:szCs w:val="24"/>
              </w:rPr>
              <w:t>at</w:t>
            </w:r>
            <w:proofErr w:type="gramEnd"/>
            <w:r w:rsidRPr="001931F4">
              <w:rPr>
                <w:szCs w:val="24"/>
              </w:rPr>
              <w:t xml:space="preserve"> 31 March</w:t>
            </w:r>
          </w:p>
        </w:tc>
        <w:tc>
          <w:tcPr>
            <w:tcW w:w="1371" w:type="dxa"/>
            <w:shd w:val="clear" w:color="auto" w:fill="auto"/>
            <w:vAlign w:val="center"/>
          </w:tcPr>
          <w:p w14:paraId="50C198D8" w14:textId="14A70430" w:rsidR="003002C7" w:rsidRPr="001931F4" w:rsidRDefault="008A677B" w:rsidP="00746F3D">
            <w:pPr>
              <w:tabs>
                <w:tab w:val="decimal" w:pos="837"/>
              </w:tabs>
              <w:jc w:val="right"/>
              <w:rPr>
                <w:szCs w:val="24"/>
              </w:rPr>
            </w:pPr>
            <w:r w:rsidRPr="001931F4">
              <w:rPr>
                <w:szCs w:val="24"/>
              </w:rPr>
              <w:t>957</w:t>
            </w:r>
          </w:p>
        </w:tc>
        <w:tc>
          <w:tcPr>
            <w:tcW w:w="1346" w:type="dxa"/>
            <w:vAlign w:val="center"/>
          </w:tcPr>
          <w:p w14:paraId="29A13817" w14:textId="7C9F9219" w:rsidR="003002C7" w:rsidRPr="001931F4" w:rsidRDefault="003002C7" w:rsidP="00746F3D">
            <w:pPr>
              <w:tabs>
                <w:tab w:val="decimal" w:pos="837"/>
              </w:tabs>
              <w:jc w:val="right"/>
              <w:rPr>
                <w:szCs w:val="24"/>
              </w:rPr>
            </w:pPr>
            <w:r w:rsidRPr="001931F4">
              <w:rPr>
                <w:szCs w:val="24"/>
              </w:rPr>
              <w:t>839</w:t>
            </w:r>
          </w:p>
        </w:tc>
      </w:tr>
    </w:tbl>
    <w:p w14:paraId="3B2ED608" w14:textId="77777777" w:rsidR="00D90216" w:rsidRPr="005E0586" w:rsidRDefault="00D90216" w:rsidP="00D90216">
      <w:pPr>
        <w:rPr>
          <w:b/>
          <w:sz w:val="22"/>
        </w:rPr>
      </w:pPr>
    </w:p>
    <w:p w14:paraId="0ED5B3D2" w14:textId="77777777" w:rsidR="00D90216" w:rsidRPr="006563F1" w:rsidRDefault="008F213A" w:rsidP="006563F1">
      <w:pPr>
        <w:pStyle w:val="Heading2"/>
        <w:jc w:val="left"/>
        <w:rPr>
          <w:sz w:val="24"/>
          <w:szCs w:val="24"/>
        </w:rPr>
      </w:pPr>
      <w:bookmarkStart w:id="57" w:name="_Toc166761552"/>
      <w:r w:rsidRPr="006563F1">
        <w:rPr>
          <w:sz w:val="24"/>
          <w:szCs w:val="24"/>
        </w:rPr>
        <w:t>19</w:t>
      </w:r>
      <w:r w:rsidR="00D90216" w:rsidRPr="006563F1">
        <w:rPr>
          <w:sz w:val="24"/>
          <w:szCs w:val="24"/>
        </w:rPr>
        <w:tab/>
      </w:r>
      <w:bookmarkStart w:id="58" w:name="N19"/>
      <w:bookmarkEnd w:id="58"/>
      <w:r w:rsidR="00D90216" w:rsidRPr="006563F1">
        <w:rPr>
          <w:sz w:val="24"/>
          <w:szCs w:val="24"/>
        </w:rPr>
        <w:t>Contingent Liability</w:t>
      </w:r>
      <w:bookmarkEnd w:id="57"/>
    </w:p>
    <w:p w14:paraId="4FE07645" w14:textId="77777777" w:rsidR="008B4E79" w:rsidRPr="001931F4" w:rsidRDefault="008B4E79" w:rsidP="000F5BFB">
      <w:pPr>
        <w:rPr>
          <w:rFonts w:cs="Arial"/>
          <w:color w:val="000000"/>
          <w:szCs w:val="24"/>
        </w:rPr>
      </w:pPr>
    </w:p>
    <w:p w14:paraId="7D55C493" w14:textId="48959BCC" w:rsidR="00AA62B6" w:rsidRPr="001931F4" w:rsidRDefault="00097D31" w:rsidP="000F5BFB">
      <w:pPr>
        <w:ind w:left="720"/>
        <w:rPr>
          <w:rFonts w:cs="Arial"/>
          <w:color w:val="000000"/>
          <w:szCs w:val="24"/>
        </w:rPr>
      </w:pPr>
      <w:bookmarkStart w:id="59" w:name="_Hlk140240379"/>
      <w:r w:rsidRPr="001931F4">
        <w:rPr>
          <w:rFonts w:cs="Arial"/>
          <w:color w:val="000000"/>
          <w:szCs w:val="24"/>
        </w:rPr>
        <w:t xml:space="preserve">There </w:t>
      </w:r>
      <w:r w:rsidR="00792FB4" w:rsidRPr="001931F4">
        <w:rPr>
          <w:rFonts w:cs="Arial"/>
          <w:color w:val="000000"/>
          <w:szCs w:val="24"/>
        </w:rPr>
        <w:t xml:space="preserve">are </w:t>
      </w:r>
      <w:r w:rsidRPr="001931F4">
        <w:rPr>
          <w:rFonts w:cs="Arial"/>
          <w:color w:val="000000"/>
          <w:szCs w:val="24"/>
        </w:rPr>
        <w:t>no contingent liabilit</w:t>
      </w:r>
      <w:r w:rsidR="00792FB4" w:rsidRPr="001931F4">
        <w:rPr>
          <w:rFonts w:cs="Arial"/>
          <w:color w:val="000000"/>
          <w:szCs w:val="24"/>
        </w:rPr>
        <w:t>ies.</w:t>
      </w:r>
    </w:p>
    <w:p w14:paraId="09EA1B13" w14:textId="77777777" w:rsidR="00097D31" w:rsidRPr="001931F4" w:rsidRDefault="00097D31" w:rsidP="000F5BFB">
      <w:pPr>
        <w:ind w:left="720"/>
        <w:rPr>
          <w:rFonts w:cs="Arial"/>
          <w:color w:val="000000"/>
          <w:szCs w:val="24"/>
        </w:rPr>
      </w:pPr>
    </w:p>
    <w:p w14:paraId="763E62B3" w14:textId="09035E5E" w:rsidR="00D90216" w:rsidRPr="006563F1" w:rsidRDefault="001C592E" w:rsidP="006563F1">
      <w:pPr>
        <w:pStyle w:val="Heading2"/>
        <w:jc w:val="left"/>
        <w:rPr>
          <w:sz w:val="24"/>
          <w:szCs w:val="24"/>
        </w:rPr>
      </w:pPr>
      <w:bookmarkStart w:id="60" w:name="_Toc166761553"/>
      <w:bookmarkEnd w:id="59"/>
      <w:r w:rsidRPr="006563F1">
        <w:rPr>
          <w:sz w:val="24"/>
          <w:szCs w:val="24"/>
        </w:rPr>
        <w:t>2</w:t>
      </w:r>
      <w:r w:rsidR="00535820" w:rsidRPr="006563F1">
        <w:rPr>
          <w:sz w:val="24"/>
          <w:szCs w:val="24"/>
        </w:rPr>
        <w:t>0</w:t>
      </w:r>
      <w:r w:rsidR="00D90216" w:rsidRPr="006563F1">
        <w:rPr>
          <w:sz w:val="24"/>
          <w:szCs w:val="24"/>
        </w:rPr>
        <w:tab/>
        <w:t>Post Balance Sheet Events</w:t>
      </w:r>
      <w:bookmarkEnd w:id="60"/>
    </w:p>
    <w:p w14:paraId="525D6849" w14:textId="77777777" w:rsidR="00D90216" w:rsidRPr="001931F4" w:rsidRDefault="00D90216" w:rsidP="000F5BFB">
      <w:pPr>
        <w:rPr>
          <w:szCs w:val="24"/>
        </w:rPr>
      </w:pPr>
    </w:p>
    <w:p w14:paraId="64768AB7" w14:textId="72786BAC" w:rsidR="00202CB0" w:rsidRPr="001931F4" w:rsidRDefault="00970192" w:rsidP="000F5BFB">
      <w:pPr>
        <w:ind w:left="709"/>
        <w:rPr>
          <w:szCs w:val="24"/>
        </w:rPr>
      </w:pPr>
      <w:r w:rsidRPr="001931F4">
        <w:rPr>
          <w:szCs w:val="24"/>
          <w:lang w:val="en-US"/>
        </w:rPr>
        <w:t xml:space="preserve">As at the date </w:t>
      </w:r>
      <w:r w:rsidR="00C53DA4" w:rsidRPr="001931F4">
        <w:rPr>
          <w:szCs w:val="24"/>
          <w:lang w:val="en-US"/>
        </w:rPr>
        <w:t>of signing of the</w:t>
      </w:r>
      <w:r w:rsidR="00097D31" w:rsidRPr="001931F4">
        <w:rPr>
          <w:szCs w:val="24"/>
          <w:lang w:val="en-US"/>
        </w:rPr>
        <w:t xml:space="preserve"> draft</w:t>
      </w:r>
      <w:r w:rsidR="00C53DA4" w:rsidRPr="001931F4">
        <w:rPr>
          <w:szCs w:val="24"/>
          <w:lang w:val="en-US"/>
        </w:rPr>
        <w:t xml:space="preserve"> accounts, </w:t>
      </w:r>
      <w:r w:rsidR="00097D31" w:rsidRPr="001931F4">
        <w:rPr>
          <w:szCs w:val="24"/>
          <w:lang w:val="en-US"/>
        </w:rPr>
        <w:t>28</w:t>
      </w:r>
      <w:r w:rsidR="00097D31" w:rsidRPr="001931F4">
        <w:rPr>
          <w:szCs w:val="24"/>
          <w:vertAlign w:val="superscript"/>
          <w:lang w:val="en-US"/>
        </w:rPr>
        <w:t>th</w:t>
      </w:r>
      <w:r w:rsidR="00097D31" w:rsidRPr="001931F4">
        <w:rPr>
          <w:szCs w:val="24"/>
          <w:lang w:val="en-US"/>
        </w:rPr>
        <w:t xml:space="preserve"> July 2023</w:t>
      </w:r>
      <w:r w:rsidR="00C53DA4" w:rsidRPr="001931F4">
        <w:rPr>
          <w:szCs w:val="24"/>
          <w:lang w:val="en-US"/>
        </w:rPr>
        <w:t xml:space="preserve">, </w:t>
      </w:r>
      <w:r w:rsidRPr="001931F4">
        <w:rPr>
          <w:szCs w:val="24"/>
          <w:lang w:val="en-US"/>
        </w:rPr>
        <w:t xml:space="preserve">there </w:t>
      </w:r>
      <w:r w:rsidR="00ED6F5F" w:rsidRPr="001931F4">
        <w:rPr>
          <w:szCs w:val="24"/>
          <w:lang w:val="en-US"/>
        </w:rPr>
        <w:t>have been no events either adjusting on non-adjusting.</w:t>
      </w:r>
    </w:p>
    <w:p w14:paraId="32B47249" w14:textId="77777777" w:rsidR="008F213A" w:rsidRPr="001931F4" w:rsidRDefault="008F213A" w:rsidP="000F5BFB">
      <w:pPr>
        <w:ind w:left="709"/>
        <w:rPr>
          <w:b/>
          <w:szCs w:val="24"/>
        </w:rPr>
      </w:pPr>
    </w:p>
    <w:p w14:paraId="4F913243" w14:textId="2184017D" w:rsidR="00D90216" w:rsidRPr="006563F1" w:rsidRDefault="001C592E" w:rsidP="006563F1">
      <w:pPr>
        <w:pStyle w:val="Heading2"/>
        <w:jc w:val="left"/>
        <w:rPr>
          <w:sz w:val="24"/>
          <w:szCs w:val="24"/>
        </w:rPr>
      </w:pPr>
      <w:bookmarkStart w:id="61" w:name="_Toc166761554"/>
      <w:r w:rsidRPr="006563F1">
        <w:rPr>
          <w:sz w:val="24"/>
          <w:szCs w:val="24"/>
        </w:rPr>
        <w:t>2</w:t>
      </w:r>
      <w:r w:rsidR="00535820" w:rsidRPr="006563F1">
        <w:rPr>
          <w:sz w:val="24"/>
          <w:szCs w:val="24"/>
        </w:rPr>
        <w:t>1</w:t>
      </w:r>
      <w:r w:rsidR="00D90216" w:rsidRPr="006563F1">
        <w:rPr>
          <w:sz w:val="24"/>
          <w:szCs w:val="24"/>
        </w:rPr>
        <w:tab/>
        <w:t>Nature and Extent of Risks Arising from Financial Instruments</w:t>
      </w:r>
      <w:bookmarkEnd w:id="61"/>
    </w:p>
    <w:p w14:paraId="104202B8" w14:textId="77777777" w:rsidR="00D90216" w:rsidRPr="001931F4" w:rsidRDefault="00D90216" w:rsidP="000F5BFB">
      <w:pPr>
        <w:ind w:left="709"/>
        <w:rPr>
          <w:szCs w:val="24"/>
        </w:rPr>
      </w:pPr>
    </w:p>
    <w:p w14:paraId="4F6F002B" w14:textId="77777777" w:rsidR="00D90216" w:rsidRPr="001931F4" w:rsidRDefault="00D90216" w:rsidP="000F5BFB">
      <w:pPr>
        <w:ind w:left="709"/>
        <w:rPr>
          <w:szCs w:val="24"/>
        </w:rPr>
      </w:pPr>
      <w:r w:rsidRPr="001931F4">
        <w:rPr>
          <w:szCs w:val="24"/>
        </w:rPr>
        <w:t>The Authority’s activities expose it to a variety of financial risks:</w:t>
      </w:r>
    </w:p>
    <w:p w14:paraId="70665BB8" w14:textId="77777777" w:rsidR="00D90216" w:rsidRPr="001931F4" w:rsidRDefault="00D90216" w:rsidP="000F5BFB">
      <w:pPr>
        <w:ind w:left="709"/>
        <w:rPr>
          <w:szCs w:val="24"/>
        </w:rPr>
      </w:pPr>
    </w:p>
    <w:p w14:paraId="21D9837A" w14:textId="06F0C1F8" w:rsidR="00D90216" w:rsidRPr="001931F4" w:rsidRDefault="00D90216" w:rsidP="000F5BFB">
      <w:pPr>
        <w:numPr>
          <w:ilvl w:val="0"/>
          <w:numId w:val="17"/>
        </w:numPr>
        <w:rPr>
          <w:szCs w:val="24"/>
        </w:rPr>
      </w:pPr>
      <w:r w:rsidRPr="001931F4">
        <w:rPr>
          <w:szCs w:val="24"/>
        </w:rPr>
        <w:t>Credit risk – the possibility that other parties might fail to pay amounts due to the Authority</w:t>
      </w:r>
      <w:r w:rsidR="000A40E3" w:rsidRPr="001931F4">
        <w:rPr>
          <w:szCs w:val="24"/>
        </w:rPr>
        <w:t>.</w:t>
      </w:r>
    </w:p>
    <w:p w14:paraId="3095ACDF" w14:textId="5D4DE97C" w:rsidR="00D90216" w:rsidRPr="001931F4" w:rsidRDefault="00D90216" w:rsidP="000F5BFB">
      <w:pPr>
        <w:numPr>
          <w:ilvl w:val="0"/>
          <w:numId w:val="17"/>
        </w:numPr>
        <w:rPr>
          <w:szCs w:val="24"/>
        </w:rPr>
      </w:pPr>
      <w:r w:rsidRPr="001931F4">
        <w:rPr>
          <w:szCs w:val="24"/>
        </w:rPr>
        <w:t>Liquidity risk – the possibility that the Authority might not have funds available to meet its commitments to make payments</w:t>
      </w:r>
      <w:r w:rsidR="000A40E3" w:rsidRPr="001931F4">
        <w:rPr>
          <w:szCs w:val="24"/>
        </w:rPr>
        <w:t>.</w:t>
      </w:r>
    </w:p>
    <w:p w14:paraId="7915C0C6" w14:textId="6234700B" w:rsidR="00D90216" w:rsidRPr="001931F4" w:rsidRDefault="00D90216" w:rsidP="000F5BFB">
      <w:pPr>
        <w:numPr>
          <w:ilvl w:val="0"/>
          <w:numId w:val="17"/>
        </w:numPr>
        <w:rPr>
          <w:szCs w:val="24"/>
        </w:rPr>
      </w:pPr>
      <w:r w:rsidRPr="001931F4">
        <w:rPr>
          <w:szCs w:val="24"/>
        </w:rPr>
        <w:t xml:space="preserve">Market risk – the possibility that financial loss might arise for the Authority </w:t>
      </w:r>
      <w:r w:rsidR="0094180B" w:rsidRPr="001931F4">
        <w:rPr>
          <w:szCs w:val="24"/>
        </w:rPr>
        <w:t>because of</w:t>
      </w:r>
      <w:r w:rsidRPr="001931F4">
        <w:rPr>
          <w:szCs w:val="24"/>
        </w:rPr>
        <w:t xml:space="preserve"> changes in such measures as interest rates and stock market movements.</w:t>
      </w:r>
    </w:p>
    <w:p w14:paraId="52915CFF" w14:textId="77777777" w:rsidR="00D90216" w:rsidRPr="001931F4" w:rsidRDefault="00D90216" w:rsidP="000F5BFB">
      <w:pPr>
        <w:rPr>
          <w:szCs w:val="24"/>
        </w:rPr>
      </w:pPr>
    </w:p>
    <w:p w14:paraId="2DA98039" w14:textId="337BCBDD" w:rsidR="00D90216" w:rsidRPr="001931F4" w:rsidRDefault="00D90216" w:rsidP="000F5BFB">
      <w:pPr>
        <w:ind w:left="709"/>
        <w:rPr>
          <w:szCs w:val="24"/>
        </w:rPr>
      </w:pPr>
      <w:r w:rsidRPr="001931F4">
        <w:rPr>
          <w:szCs w:val="24"/>
        </w:rPr>
        <w:t>Risk management is carried out by Lancashire County Council’s Treasury Management Team, under policies approved by the Authority in the annual Treasury Management Strategy. The strategy provides written principles for overall risk management, as well as written policies covering specific areas, such as interest rate risk, credit risk and the investment of surplus cash.</w:t>
      </w:r>
    </w:p>
    <w:p w14:paraId="5AA8DF86" w14:textId="77777777" w:rsidR="00D92F67" w:rsidRPr="001931F4" w:rsidRDefault="00D92F67" w:rsidP="000F5BFB">
      <w:pPr>
        <w:ind w:left="720"/>
        <w:rPr>
          <w:b/>
          <w:szCs w:val="24"/>
        </w:rPr>
      </w:pPr>
    </w:p>
    <w:p w14:paraId="1B940933" w14:textId="77777777" w:rsidR="00D90216" w:rsidRPr="001931F4" w:rsidRDefault="00D90216" w:rsidP="000F5BFB">
      <w:pPr>
        <w:ind w:left="720"/>
        <w:rPr>
          <w:b/>
          <w:szCs w:val="24"/>
        </w:rPr>
      </w:pPr>
      <w:r w:rsidRPr="001931F4">
        <w:rPr>
          <w:b/>
          <w:szCs w:val="24"/>
        </w:rPr>
        <w:t>Credit Risk</w:t>
      </w:r>
    </w:p>
    <w:p w14:paraId="1931A420" w14:textId="77777777" w:rsidR="00D90216" w:rsidRPr="001931F4" w:rsidRDefault="00D90216" w:rsidP="000F5BFB">
      <w:pPr>
        <w:ind w:left="709"/>
        <w:rPr>
          <w:szCs w:val="24"/>
        </w:rPr>
      </w:pPr>
    </w:p>
    <w:p w14:paraId="207214C0" w14:textId="77777777" w:rsidR="00D90216" w:rsidRPr="001931F4" w:rsidRDefault="00D90216" w:rsidP="000F5BFB">
      <w:pPr>
        <w:ind w:left="709"/>
        <w:rPr>
          <w:szCs w:val="24"/>
        </w:rPr>
      </w:pPr>
      <w:r w:rsidRPr="001931F4">
        <w:rPr>
          <w:szCs w:val="24"/>
        </w:rPr>
        <w:t>Credit risk arises from deposits with banks and financial institutions, as well as credit exposures to the Authority’s customers.</w:t>
      </w:r>
    </w:p>
    <w:p w14:paraId="5392DB45" w14:textId="77777777" w:rsidR="00D90216" w:rsidRPr="001931F4" w:rsidRDefault="00D90216" w:rsidP="000F5BFB">
      <w:pPr>
        <w:ind w:left="709"/>
        <w:rPr>
          <w:szCs w:val="24"/>
        </w:rPr>
      </w:pPr>
    </w:p>
    <w:p w14:paraId="43F2D7E2" w14:textId="10A5AFCD" w:rsidR="00A7369F" w:rsidRPr="001931F4" w:rsidRDefault="00A7369F" w:rsidP="000F5BFB">
      <w:pPr>
        <w:ind w:left="709"/>
        <w:rPr>
          <w:szCs w:val="24"/>
        </w:rPr>
      </w:pPr>
      <w:r w:rsidRPr="001931F4">
        <w:rPr>
          <w:szCs w:val="24"/>
        </w:rPr>
        <w:t xml:space="preserve">This risk is minimised through the Annual Investment Strategy, which states that any investment counterparty must have a minimum actual or implied credit rating of AA- </w:t>
      </w:r>
      <w:r w:rsidR="001C3A52" w:rsidRPr="001931F4">
        <w:rPr>
          <w:szCs w:val="24"/>
        </w:rPr>
        <w:t>to</w:t>
      </w:r>
      <w:r w:rsidRPr="001931F4">
        <w:rPr>
          <w:szCs w:val="24"/>
        </w:rPr>
        <w:t xml:space="preserve"> be eligible. The Authority will also have regard to recent banking reform legislation which provides for creditor 'bail-in' rather than state 'bail-out' of banks should the bank fail. The effect of this legislation is that a local authority is likely to lose a higher proportion of any assets caught up </w:t>
      </w:r>
      <w:r w:rsidRPr="001931F4">
        <w:rPr>
          <w:szCs w:val="24"/>
        </w:rPr>
        <w:lastRenderedPageBreak/>
        <w:t>in a credit event than almost any other type of institution. Credit risk control therefore means that unsecured bank deposits are, unless for very short duration, not suitable as an investment instrument in the future.</w:t>
      </w:r>
    </w:p>
    <w:p w14:paraId="5650CF91" w14:textId="77777777" w:rsidR="00D90216" w:rsidRPr="001931F4" w:rsidRDefault="00D90216" w:rsidP="000F5BFB">
      <w:pPr>
        <w:rPr>
          <w:szCs w:val="24"/>
        </w:rPr>
      </w:pPr>
    </w:p>
    <w:p w14:paraId="7537DF0A" w14:textId="77777777" w:rsidR="00D90216" w:rsidRPr="001931F4" w:rsidRDefault="00D90216" w:rsidP="000F5BFB">
      <w:pPr>
        <w:ind w:left="720"/>
        <w:rPr>
          <w:szCs w:val="24"/>
        </w:rPr>
      </w:pPr>
      <w:r w:rsidRPr="001931F4">
        <w:rPr>
          <w:szCs w:val="24"/>
        </w:rPr>
        <w:t xml:space="preserve">In the context of credit risk, trade debtors are treated as financial instruments. </w:t>
      </w:r>
    </w:p>
    <w:p w14:paraId="55B99BED" w14:textId="77777777" w:rsidR="00762A90" w:rsidRPr="00746F3D" w:rsidRDefault="00762A90" w:rsidP="00746F3D">
      <w:pPr>
        <w:rPr>
          <w:b/>
          <w:szCs w:val="24"/>
        </w:rPr>
      </w:pPr>
    </w:p>
    <w:p w14:paraId="3EC6892F" w14:textId="584BAD01" w:rsidR="00D90216" w:rsidRPr="001931F4" w:rsidRDefault="00D90216" w:rsidP="000F5BFB">
      <w:pPr>
        <w:ind w:left="720"/>
        <w:rPr>
          <w:b/>
          <w:szCs w:val="24"/>
        </w:rPr>
      </w:pPr>
      <w:bookmarkStart w:id="62" w:name="_Hlk141616625"/>
      <w:r w:rsidRPr="001931F4">
        <w:rPr>
          <w:b/>
          <w:szCs w:val="24"/>
        </w:rPr>
        <w:t xml:space="preserve">Trade </w:t>
      </w:r>
      <w:r w:rsidR="001931F4">
        <w:rPr>
          <w:b/>
          <w:szCs w:val="24"/>
        </w:rPr>
        <w:t>D</w:t>
      </w:r>
      <w:r w:rsidRPr="001931F4">
        <w:rPr>
          <w:b/>
          <w:szCs w:val="24"/>
        </w:rPr>
        <w:t xml:space="preserve">ebtor </w:t>
      </w:r>
      <w:r w:rsidR="001931F4">
        <w:rPr>
          <w:b/>
          <w:szCs w:val="24"/>
        </w:rPr>
        <w:t>C</w:t>
      </w:r>
      <w:r w:rsidRPr="001931F4">
        <w:rPr>
          <w:b/>
          <w:szCs w:val="24"/>
        </w:rPr>
        <w:t xml:space="preserve">redit </w:t>
      </w:r>
      <w:r w:rsidR="001931F4">
        <w:rPr>
          <w:b/>
          <w:szCs w:val="24"/>
        </w:rPr>
        <w:t>R</w:t>
      </w:r>
      <w:r w:rsidRPr="001931F4">
        <w:rPr>
          <w:b/>
          <w:szCs w:val="24"/>
        </w:rPr>
        <w:t>isk</w:t>
      </w:r>
    </w:p>
    <w:p w14:paraId="6189A0EC" w14:textId="77777777" w:rsidR="00D90216" w:rsidRPr="001931F4" w:rsidRDefault="00D90216" w:rsidP="000F5BFB">
      <w:pPr>
        <w:ind w:left="720"/>
        <w:rPr>
          <w:szCs w:val="24"/>
        </w:rPr>
      </w:pPr>
    </w:p>
    <w:p w14:paraId="77EF5732" w14:textId="4F55A921" w:rsidR="00D90216" w:rsidRPr="001931F4" w:rsidRDefault="00D90216" w:rsidP="000F5BFB">
      <w:pPr>
        <w:ind w:left="709"/>
        <w:rPr>
          <w:szCs w:val="24"/>
        </w:rPr>
      </w:pPr>
      <w:r w:rsidRPr="001931F4">
        <w:rPr>
          <w:szCs w:val="24"/>
        </w:rPr>
        <w:t xml:space="preserve">The Authority does not generally allow credit for customers, such that </w:t>
      </w:r>
      <w:r w:rsidR="007603E1" w:rsidRPr="001931F4">
        <w:rPr>
          <w:szCs w:val="24"/>
        </w:rPr>
        <w:t>£0.</w:t>
      </w:r>
      <w:r w:rsidR="004B0FAC" w:rsidRPr="001931F4">
        <w:rPr>
          <w:szCs w:val="24"/>
        </w:rPr>
        <w:t>409</w:t>
      </w:r>
      <w:r w:rsidR="00E63989" w:rsidRPr="001931F4">
        <w:rPr>
          <w:szCs w:val="24"/>
        </w:rPr>
        <w:t xml:space="preserve">m </w:t>
      </w:r>
      <w:r w:rsidRPr="001931F4">
        <w:rPr>
          <w:szCs w:val="24"/>
        </w:rPr>
        <w:t xml:space="preserve">of the </w:t>
      </w:r>
      <w:r w:rsidR="007603E1" w:rsidRPr="001931F4">
        <w:rPr>
          <w:szCs w:val="24"/>
        </w:rPr>
        <w:t>£0</w:t>
      </w:r>
      <w:r w:rsidRPr="001931F4">
        <w:rPr>
          <w:szCs w:val="24"/>
        </w:rPr>
        <w:t>.</w:t>
      </w:r>
      <w:r w:rsidR="00F514A3" w:rsidRPr="001931F4">
        <w:rPr>
          <w:szCs w:val="24"/>
        </w:rPr>
        <w:t>7</w:t>
      </w:r>
      <w:r w:rsidR="00C15578" w:rsidRPr="001931F4">
        <w:rPr>
          <w:szCs w:val="24"/>
        </w:rPr>
        <w:t>07</w:t>
      </w:r>
      <w:r w:rsidR="00CC71B7" w:rsidRPr="001931F4">
        <w:rPr>
          <w:szCs w:val="24"/>
        </w:rPr>
        <w:t xml:space="preserve">m </w:t>
      </w:r>
      <w:r w:rsidRPr="001931F4">
        <w:rPr>
          <w:szCs w:val="24"/>
        </w:rPr>
        <w:t xml:space="preserve">balance is past due date for payment. On a prudent basis the Authority has created a provision for </w:t>
      </w:r>
      <w:r w:rsidR="00307578" w:rsidRPr="001931F4">
        <w:rPr>
          <w:szCs w:val="24"/>
        </w:rPr>
        <w:t>expected credit losses</w:t>
      </w:r>
      <w:r w:rsidRPr="001931F4">
        <w:rPr>
          <w:szCs w:val="24"/>
        </w:rPr>
        <w:t xml:space="preserve"> to cover any potential loss arising from this, which currently stands at </w:t>
      </w:r>
      <w:r w:rsidR="007603E1" w:rsidRPr="001931F4">
        <w:rPr>
          <w:szCs w:val="24"/>
        </w:rPr>
        <w:t>£0.</w:t>
      </w:r>
      <w:r w:rsidR="00CC71B7" w:rsidRPr="001931F4">
        <w:rPr>
          <w:szCs w:val="24"/>
        </w:rPr>
        <w:t>0</w:t>
      </w:r>
      <w:r w:rsidR="00F514A3" w:rsidRPr="001931F4">
        <w:rPr>
          <w:szCs w:val="24"/>
        </w:rPr>
        <w:t>33</w:t>
      </w:r>
      <w:r w:rsidR="00CC71B7" w:rsidRPr="001931F4">
        <w:rPr>
          <w:szCs w:val="24"/>
        </w:rPr>
        <w:t>m</w:t>
      </w:r>
      <w:r w:rsidRPr="001931F4">
        <w:rPr>
          <w:szCs w:val="24"/>
        </w:rPr>
        <w:t xml:space="preserve"> which is considered sufficient for this purpose.</w:t>
      </w:r>
    </w:p>
    <w:bookmarkEnd w:id="62"/>
    <w:p w14:paraId="33F114B9" w14:textId="77777777" w:rsidR="00255965" w:rsidRPr="001931F4" w:rsidRDefault="00255965" w:rsidP="000F5BFB">
      <w:pPr>
        <w:rPr>
          <w:szCs w:val="24"/>
        </w:rPr>
      </w:pPr>
    </w:p>
    <w:p w14:paraId="2BF31854" w14:textId="64E91AE4" w:rsidR="00D90216" w:rsidRDefault="00D90216" w:rsidP="00746F3D">
      <w:pPr>
        <w:ind w:left="709"/>
        <w:rPr>
          <w:szCs w:val="24"/>
        </w:rPr>
      </w:pPr>
      <w:r w:rsidRPr="001931F4">
        <w:rPr>
          <w:szCs w:val="24"/>
        </w:rPr>
        <w:t xml:space="preserve">The past due amount can be analysed by age as follows: </w:t>
      </w:r>
    </w:p>
    <w:p w14:paraId="700296A9" w14:textId="77777777" w:rsidR="00746F3D" w:rsidRPr="001931F4" w:rsidRDefault="00746F3D" w:rsidP="00746F3D">
      <w:pPr>
        <w:ind w:left="709"/>
        <w:rPr>
          <w:szCs w:val="24"/>
        </w:rPr>
      </w:pPr>
    </w:p>
    <w:tbl>
      <w:tblPr>
        <w:tblW w:w="6379"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701"/>
        <w:gridCol w:w="1560"/>
      </w:tblGrid>
      <w:tr w:rsidR="001931F4" w:rsidRPr="001931F4" w14:paraId="32309BC2" w14:textId="77777777" w:rsidTr="00611673">
        <w:tc>
          <w:tcPr>
            <w:tcW w:w="3118" w:type="dxa"/>
            <w:shd w:val="clear" w:color="auto" w:fill="BD2716"/>
          </w:tcPr>
          <w:p w14:paraId="27F927C2" w14:textId="765DBF02" w:rsidR="001931F4" w:rsidRPr="00982FEC" w:rsidRDefault="001931F4" w:rsidP="00670DBF">
            <w:pPr>
              <w:rPr>
                <w:color w:val="FFFFFF" w:themeColor="background1"/>
                <w:szCs w:val="24"/>
              </w:rPr>
            </w:pPr>
          </w:p>
        </w:tc>
        <w:tc>
          <w:tcPr>
            <w:tcW w:w="1701" w:type="dxa"/>
            <w:shd w:val="clear" w:color="auto" w:fill="BD2716"/>
            <w:vAlign w:val="center"/>
          </w:tcPr>
          <w:p w14:paraId="1B8AD716" w14:textId="77777777" w:rsidR="001931F4" w:rsidRPr="00982FEC" w:rsidRDefault="001931F4" w:rsidP="00611673">
            <w:pPr>
              <w:jc w:val="right"/>
              <w:rPr>
                <w:color w:val="FFFFFF" w:themeColor="background1"/>
                <w:szCs w:val="24"/>
              </w:rPr>
            </w:pPr>
            <w:r w:rsidRPr="00982FEC">
              <w:rPr>
                <w:color w:val="FFFFFF" w:themeColor="background1"/>
                <w:szCs w:val="24"/>
              </w:rPr>
              <w:t>2022/23</w:t>
            </w:r>
          </w:p>
          <w:p w14:paraId="1C76FDC4" w14:textId="077552AD" w:rsidR="00021F7E" w:rsidRPr="00982FEC" w:rsidRDefault="00021F7E" w:rsidP="00611673">
            <w:pPr>
              <w:jc w:val="right"/>
              <w:rPr>
                <w:color w:val="FFFFFF" w:themeColor="background1"/>
                <w:szCs w:val="24"/>
              </w:rPr>
            </w:pPr>
            <w:r w:rsidRPr="00982FEC">
              <w:rPr>
                <w:color w:val="FFFFFF" w:themeColor="background1"/>
                <w:szCs w:val="24"/>
              </w:rPr>
              <w:t>£000</w:t>
            </w:r>
          </w:p>
        </w:tc>
        <w:tc>
          <w:tcPr>
            <w:tcW w:w="1560" w:type="dxa"/>
            <w:shd w:val="clear" w:color="auto" w:fill="BD2716"/>
            <w:vAlign w:val="center"/>
          </w:tcPr>
          <w:p w14:paraId="5B9137ED" w14:textId="77777777" w:rsidR="001931F4" w:rsidRPr="00982FEC" w:rsidRDefault="001931F4" w:rsidP="00611673">
            <w:pPr>
              <w:jc w:val="right"/>
              <w:rPr>
                <w:color w:val="FFFFFF" w:themeColor="background1"/>
                <w:szCs w:val="24"/>
              </w:rPr>
            </w:pPr>
            <w:r w:rsidRPr="00982FEC">
              <w:rPr>
                <w:color w:val="FFFFFF" w:themeColor="background1"/>
                <w:szCs w:val="24"/>
              </w:rPr>
              <w:t>2021/22</w:t>
            </w:r>
          </w:p>
          <w:p w14:paraId="18D7E6D2" w14:textId="151A633D" w:rsidR="00021F7E" w:rsidRPr="00982FEC" w:rsidRDefault="00021F7E" w:rsidP="00611673">
            <w:pPr>
              <w:jc w:val="right"/>
              <w:rPr>
                <w:color w:val="FFFFFF" w:themeColor="background1"/>
                <w:szCs w:val="24"/>
              </w:rPr>
            </w:pPr>
            <w:r w:rsidRPr="00982FEC">
              <w:rPr>
                <w:color w:val="FFFFFF" w:themeColor="background1"/>
                <w:szCs w:val="24"/>
              </w:rPr>
              <w:t>£000</w:t>
            </w:r>
          </w:p>
        </w:tc>
      </w:tr>
      <w:tr w:rsidR="001931F4" w:rsidRPr="001931F4" w14:paraId="0A9698DC" w14:textId="77777777" w:rsidTr="00746F3D">
        <w:tc>
          <w:tcPr>
            <w:tcW w:w="3118" w:type="dxa"/>
            <w:shd w:val="clear" w:color="auto" w:fill="auto"/>
          </w:tcPr>
          <w:p w14:paraId="1585BF46" w14:textId="6A7066DC" w:rsidR="001931F4" w:rsidRPr="001931F4" w:rsidRDefault="001931F4" w:rsidP="003D2C98">
            <w:pPr>
              <w:ind w:left="34"/>
              <w:rPr>
                <w:szCs w:val="24"/>
              </w:rPr>
            </w:pPr>
            <w:r w:rsidRPr="001931F4">
              <w:rPr>
                <w:szCs w:val="24"/>
              </w:rPr>
              <w:t>0 to 30 days</w:t>
            </w:r>
          </w:p>
        </w:tc>
        <w:tc>
          <w:tcPr>
            <w:tcW w:w="1701" w:type="dxa"/>
            <w:shd w:val="clear" w:color="auto" w:fill="auto"/>
            <w:vAlign w:val="center"/>
          </w:tcPr>
          <w:p w14:paraId="4707AD62" w14:textId="7526E4DA" w:rsidR="001931F4" w:rsidRPr="001931F4" w:rsidRDefault="001931F4" w:rsidP="00746F3D">
            <w:pPr>
              <w:jc w:val="right"/>
              <w:rPr>
                <w:szCs w:val="24"/>
              </w:rPr>
            </w:pPr>
            <w:r w:rsidRPr="001931F4">
              <w:rPr>
                <w:szCs w:val="24"/>
              </w:rPr>
              <w:t>298</w:t>
            </w:r>
          </w:p>
        </w:tc>
        <w:tc>
          <w:tcPr>
            <w:tcW w:w="1560" w:type="dxa"/>
            <w:vAlign w:val="center"/>
          </w:tcPr>
          <w:p w14:paraId="43F1A014" w14:textId="702684B7" w:rsidR="001931F4" w:rsidRPr="001931F4" w:rsidRDefault="001931F4" w:rsidP="00746F3D">
            <w:pPr>
              <w:jc w:val="right"/>
              <w:rPr>
                <w:szCs w:val="24"/>
              </w:rPr>
            </w:pPr>
            <w:r w:rsidRPr="001931F4">
              <w:rPr>
                <w:szCs w:val="24"/>
              </w:rPr>
              <w:t>13</w:t>
            </w:r>
          </w:p>
        </w:tc>
      </w:tr>
      <w:tr w:rsidR="001931F4" w:rsidRPr="001931F4" w14:paraId="72D42E6A" w14:textId="77777777" w:rsidTr="00746F3D">
        <w:tc>
          <w:tcPr>
            <w:tcW w:w="3118" w:type="dxa"/>
            <w:shd w:val="clear" w:color="auto" w:fill="auto"/>
          </w:tcPr>
          <w:p w14:paraId="4E72E412" w14:textId="70C40003" w:rsidR="001931F4" w:rsidRPr="001931F4" w:rsidRDefault="001931F4" w:rsidP="00A33179">
            <w:pPr>
              <w:ind w:left="34"/>
              <w:rPr>
                <w:szCs w:val="24"/>
              </w:rPr>
            </w:pPr>
            <w:r w:rsidRPr="001931F4">
              <w:rPr>
                <w:szCs w:val="24"/>
              </w:rPr>
              <w:t>31 to 60 days</w:t>
            </w:r>
          </w:p>
        </w:tc>
        <w:tc>
          <w:tcPr>
            <w:tcW w:w="1701" w:type="dxa"/>
            <w:shd w:val="clear" w:color="auto" w:fill="auto"/>
            <w:vAlign w:val="center"/>
          </w:tcPr>
          <w:p w14:paraId="28A47090" w14:textId="283F209E" w:rsidR="001931F4" w:rsidRPr="001931F4" w:rsidRDefault="001931F4" w:rsidP="00746F3D">
            <w:pPr>
              <w:jc w:val="right"/>
              <w:rPr>
                <w:szCs w:val="24"/>
              </w:rPr>
            </w:pPr>
            <w:r w:rsidRPr="001931F4">
              <w:rPr>
                <w:szCs w:val="24"/>
              </w:rPr>
              <w:t>23</w:t>
            </w:r>
          </w:p>
        </w:tc>
        <w:tc>
          <w:tcPr>
            <w:tcW w:w="1560" w:type="dxa"/>
            <w:vAlign w:val="center"/>
          </w:tcPr>
          <w:p w14:paraId="65C293C6" w14:textId="75D1D522" w:rsidR="001931F4" w:rsidRPr="001931F4" w:rsidRDefault="001931F4" w:rsidP="00746F3D">
            <w:pPr>
              <w:jc w:val="right"/>
              <w:rPr>
                <w:szCs w:val="24"/>
              </w:rPr>
            </w:pPr>
            <w:r w:rsidRPr="001931F4">
              <w:rPr>
                <w:szCs w:val="24"/>
              </w:rPr>
              <w:t>62</w:t>
            </w:r>
          </w:p>
        </w:tc>
      </w:tr>
      <w:tr w:rsidR="001931F4" w:rsidRPr="001931F4" w14:paraId="6A166314" w14:textId="77777777" w:rsidTr="00746F3D">
        <w:tc>
          <w:tcPr>
            <w:tcW w:w="3118" w:type="dxa"/>
            <w:shd w:val="clear" w:color="auto" w:fill="auto"/>
          </w:tcPr>
          <w:p w14:paraId="5105914B" w14:textId="766E77F4" w:rsidR="001931F4" w:rsidRPr="001931F4" w:rsidRDefault="001931F4" w:rsidP="00A33179">
            <w:pPr>
              <w:ind w:left="34"/>
              <w:rPr>
                <w:szCs w:val="24"/>
              </w:rPr>
            </w:pPr>
            <w:r w:rsidRPr="001931F4">
              <w:rPr>
                <w:szCs w:val="24"/>
              </w:rPr>
              <w:t>61 to 90 days</w:t>
            </w:r>
          </w:p>
        </w:tc>
        <w:tc>
          <w:tcPr>
            <w:tcW w:w="1701" w:type="dxa"/>
            <w:shd w:val="clear" w:color="auto" w:fill="auto"/>
            <w:vAlign w:val="center"/>
          </w:tcPr>
          <w:p w14:paraId="5DA3BC97" w14:textId="2B670C51" w:rsidR="001931F4" w:rsidRPr="001931F4" w:rsidRDefault="001931F4" w:rsidP="00746F3D">
            <w:pPr>
              <w:jc w:val="right"/>
              <w:rPr>
                <w:szCs w:val="24"/>
              </w:rPr>
            </w:pPr>
            <w:r w:rsidRPr="001931F4">
              <w:rPr>
                <w:szCs w:val="24"/>
              </w:rPr>
              <w:t>154</w:t>
            </w:r>
          </w:p>
        </w:tc>
        <w:tc>
          <w:tcPr>
            <w:tcW w:w="1560" w:type="dxa"/>
            <w:vAlign w:val="center"/>
          </w:tcPr>
          <w:p w14:paraId="03030F1B" w14:textId="43CDFF44" w:rsidR="001931F4" w:rsidRPr="001931F4" w:rsidRDefault="001931F4" w:rsidP="00746F3D">
            <w:pPr>
              <w:jc w:val="right"/>
              <w:rPr>
                <w:szCs w:val="24"/>
              </w:rPr>
            </w:pPr>
            <w:r w:rsidRPr="001931F4">
              <w:rPr>
                <w:szCs w:val="24"/>
              </w:rPr>
              <w:t>8</w:t>
            </w:r>
          </w:p>
        </w:tc>
      </w:tr>
      <w:tr w:rsidR="001931F4" w:rsidRPr="001931F4" w14:paraId="36C24F3A" w14:textId="77777777" w:rsidTr="00746F3D">
        <w:tc>
          <w:tcPr>
            <w:tcW w:w="3118" w:type="dxa"/>
            <w:shd w:val="clear" w:color="auto" w:fill="auto"/>
          </w:tcPr>
          <w:p w14:paraId="77E3EBD3" w14:textId="6E58FD8F" w:rsidR="001931F4" w:rsidRPr="001931F4" w:rsidRDefault="001931F4" w:rsidP="00A33179">
            <w:pPr>
              <w:ind w:left="34"/>
              <w:rPr>
                <w:szCs w:val="24"/>
              </w:rPr>
            </w:pPr>
            <w:r w:rsidRPr="001931F4">
              <w:rPr>
                <w:szCs w:val="24"/>
              </w:rPr>
              <w:t>91 to 180 days</w:t>
            </w:r>
          </w:p>
        </w:tc>
        <w:tc>
          <w:tcPr>
            <w:tcW w:w="1701" w:type="dxa"/>
            <w:shd w:val="clear" w:color="auto" w:fill="auto"/>
            <w:vAlign w:val="center"/>
          </w:tcPr>
          <w:p w14:paraId="7DDAFDA0" w14:textId="282697D1" w:rsidR="001931F4" w:rsidRPr="001931F4" w:rsidRDefault="001931F4" w:rsidP="00746F3D">
            <w:pPr>
              <w:jc w:val="right"/>
              <w:rPr>
                <w:szCs w:val="24"/>
              </w:rPr>
            </w:pPr>
            <w:r w:rsidRPr="001931F4">
              <w:rPr>
                <w:szCs w:val="24"/>
              </w:rPr>
              <w:t>1</w:t>
            </w:r>
          </w:p>
        </w:tc>
        <w:tc>
          <w:tcPr>
            <w:tcW w:w="1560" w:type="dxa"/>
            <w:vAlign w:val="center"/>
          </w:tcPr>
          <w:p w14:paraId="3A7189AE" w14:textId="32E41B75" w:rsidR="001931F4" w:rsidRPr="001931F4" w:rsidRDefault="001931F4" w:rsidP="00746F3D">
            <w:pPr>
              <w:jc w:val="right"/>
              <w:rPr>
                <w:szCs w:val="24"/>
              </w:rPr>
            </w:pPr>
            <w:r w:rsidRPr="001931F4">
              <w:rPr>
                <w:szCs w:val="24"/>
              </w:rPr>
              <w:t>6</w:t>
            </w:r>
          </w:p>
        </w:tc>
      </w:tr>
      <w:tr w:rsidR="001931F4" w:rsidRPr="001931F4" w14:paraId="60A15989" w14:textId="77777777" w:rsidTr="00746F3D">
        <w:tc>
          <w:tcPr>
            <w:tcW w:w="3118" w:type="dxa"/>
            <w:shd w:val="clear" w:color="auto" w:fill="auto"/>
          </w:tcPr>
          <w:p w14:paraId="57663824" w14:textId="782B207C" w:rsidR="001931F4" w:rsidRPr="001931F4" w:rsidRDefault="001931F4" w:rsidP="00A33179">
            <w:pPr>
              <w:ind w:left="34"/>
              <w:rPr>
                <w:szCs w:val="24"/>
              </w:rPr>
            </w:pPr>
            <w:r w:rsidRPr="001931F4">
              <w:rPr>
                <w:szCs w:val="24"/>
              </w:rPr>
              <w:t>Over 180 days</w:t>
            </w:r>
          </w:p>
        </w:tc>
        <w:tc>
          <w:tcPr>
            <w:tcW w:w="1701" w:type="dxa"/>
            <w:shd w:val="clear" w:color="auto" w:fill="auto"/>
            <w:vAlign w:val="center"/>
          </w:tcPr>
          <w:p w14:paraId="07848F47" w14:textId="3515B66A" w:rsidR="001931F4" w:rsidRPr="001931F4" w:rsidRDefault="001931F4" w:rsidP="00746F3D">
            <w:pPr>
              <w:jc w:val="right"/>
              <w:rPr>
                <w:szCs w:val="24"/>
              </w:rPr>
            </w:pPr>
            <w:r w:rsidRPr="001931F4">
              <w:rPr>
                <w:szCs w:val="24"/>
              </w:rPr>
              <w:t>231</w:t>
            </w:r>
          </w:p>
        </w:tc>
        <w:tc>
          <w:tcPr>
            <w:tcW w:w="1560" w:type="dxa"/>
            <w:vAlign w:val="center"/>
          </w:tcPr>
          <w:p w14:paraId="2C204918" w14:textId="34E29C47" w:rsidR="001931F4" w:rsidRPr="001931F4" w:rsidRDefault="001931F4" w:rsidP="00746F3D">
            <w:pPr>
              <w:jc w:val="right"/>
              <w:rPr>
                <w:szCs w:val="24"/>
              </w:rPr>
            </w:pPr>
            <w:r w:rsidRPr="001931F4">
              <w:rPr>
                <w:szCs w:val="24"/>
              </w:rPr>
              <w:t>15</w:t>
            </w:r>
          </w:p>
        </w:tc>
      </w:tr>
      <w:tr w:rsidR="001931F4" w:rsidRPr="001931F4" w14:paraId="44372571" w14:textId="77777777" w:rsidTr="00746F3D">
        <w:trPr>
          <w:trHeight w:val="199"/>
        </w:trPr>
        <w:tc>
          <w:tcPr>
            <w:tcW w:w="3118" w:type="dxa"/>
            <w:shd w:val="clear" w:color="auto" w:fill="auto"/>
          </w:tcPr>
          <w:p w14:paraId="28F4D182" w14:textId="2090F462" w:rsidR="001931F4" w:rsidRPr="001931F4" w:rsidRDefault="00EC3487" w:rsidP="00A33179">
            <w:pPr>
              <w:ind w:left="34"/>
              <w:rPr>
                <w:szCs w:val="24"/>
              </w:rPr>
            </w:pPr>
            <w:r>
              <w:rPr>
                <w:szCs w:val="24"/>
              </w:rPr>
              <w:t>Total</w:t>
            </w:r>
          </w:p>
        </w:tc>
        <w:tc>
          <w:tcPr>
            <w:tcW w:w="1701" w:type="dxa"/>
            <w:shd w:val="clear" w:color="auto" w:fill="auto"/>
            <w:vAlign w:val="center"/>
          </w:tcPr>
          <w:p w14:paraId="531641EA" w14:textId="50746FA6" w:rsidR="001931F4" w:rsidRPr="001931F4" w:rsidRDefault="001931F4" w:rsidP="00746F3D">
            <w:pPr>
              <w:jc w:val="right"/>
              <w:rPr>
                <w:szCs w:val="24"/>
              </w:rPr>
            </w:pPr>
            <w:r w:rsidRPr="001931F4">
              <w:rPr>
                <w:szCs w:val="24"/>
              </w:rPr>
              <w:t>707</w:t>
            </w:r>
          </w:p>
        </w:tc>
        <w:tc>
          <w:tcPr>
            <w:tcW w:w="1560" w:type="dxa"/>
            <w:vAlign w:val="center"/>
          </w:tcPr>
          <w:p w14:paraId="50E1B62B" w14:textId="04A42BE7" w:rsidR="001931F4" w:rsidRPr="001931F4" w:rsidRDefault="001931F4" w:rsidP="00746F3D">
            <w:pPr>
              <w:jc w:val="right"/>
              <w:rPr>
                <w:szCs w:val="24"/>
              </w:rPr>
            </w:pPr>
            <w:r w:rsidRPr="001931F4">
              <w:rPr>
                <w:szCs w:val="24"/>
              </w:rPr>
              <w:t>104</w:t>
            </w:r>
          </w:p>
        </w:tc>
      </w:tr>
    </w:tbl>
    <w:p w14:paraId="34877DF5" w14:textId="77777777" w:rsidR="008216A1" w:rsidRPr="00AF3DCD" w:rsidRDefault="008216A1" w:rsidP="00D90216">
      <w:pPr>
        <w:ind w:firstLine="720"/>
        <w:jc w:val="both"/>
        <w:rPr>
          <w:b/>
          <w:sz w:val="22"/>
          <w:szCs w:val="22"/>
        </w:rPr>
      </w:pPr>
    </w:p>
    <w:p w14:paraId="4CF7DD85" w14:textId="77777777" w:rsidR="00D90216" w:rsidRPr="001931F4" w:rsidRDefault="00D90216" w:rsidP="000F5BFB">
      <w:pPr>
        <w:ind w:firstLine="720"/>
        <w:rPr>
          <w:b/>
          <w:szCs w:val="24"/>
        </w:rPr>
      </w:pPr>
      <w:r w:rsidRPr="001931F4">
        <w:rPr>
          <w:b/>
          <w:szCs w:val="24"/>
        </w:rPr>
        <w:t>Liquidity Risk</w:t>
      </w:r>
    </w:p>
    <w:p w14:paraId="5BFA1606" w14:textId="77777777" w:rsidR="00D90216" w:rsidRPr="001931F4" w:rsidRDefault="00D90216" w:rsidP="000F5BFB">
      <w:pPr>
        <w:ind w:firstLine="720"/>
        <w:rPr>
          <w:b/>
          <w:szCs w:val="24"/>
        </w:rPr>
      </w:pPr>
    </w:p>
    <w:p w14:paraId="242BD4CD" w14:textId="4F8CDABD" w:rsidR="00D90216" w:rsidRPr="001931F4" w:rsidRDefault="00D90216" w:rsidP="000F5BFB">
      <w:pPr>
        <w:ind w:left="720"/>
        <w:rPr>
          <w:szCs w:val="24"/>
        </w:rPr>
      </w:pPr>
      <w:r w:rsidRPr="001931F4">
        <w:rPr>
          <w:szCs w:val="24"/>
        </w:rPr>
        <w:t>The Authority has a comprehensive cash flow management system (administered by Lancashire County Council’s Treasury Management Team) that seeks to ensure that cash is available as needed. If unexpected movements happen, the Authority has ready access to borrowings from Lancashire County Council at current market rates.</w:t>
      </w:r>
      <w:r w:rsidR="0066777B">
        <w:rPr>
          <w:szCs w:val="24"/>
        </w:rPr>
        <w:t xml:space="preserve"> </w:t>
      </w:r>
      <w:r w:rsidRPr="001931F4">
        <w:rPr>
          <w:szCs w:val="24"/>
        </w:rPr>
        <w:t>There is no significant risk that it will be unable to raise finance to meet its commitments under financial instruments.</w:t>
      </w:r>
    </w:p>
    <w:p w14:paraId="2F90F153" w14:textId="77777777" w:rsidR="00F96C8B" w:rsidRPr="001931F4" w:rsidRDefault="00F96C8B" w:rsidP="000F5BFB">
      <w:pPr>
        <w:ind w:left="720"/>
        <w:rPr>
          <w:szCs w:val="24"/>
        </w:rPr>
      </w:pPr>
    </w:p>
    <w:p w14:paraId="408F702C" w14:textId="5CB53A78" w:rsidR="00D90216" w:rsidRPr="001931F4" w:rsidRDefault="00D90216" w:rsidP="000F5BFB">
      <w:pPr>
        <w:ind w:left="720"/>
        <w:rPr>
          <w:szCs w:val="24"/>
        </w:rPr>
      </w:pPr>
      <w:r w:rsidRPr="001931F4">
        <w:rPr>
          <w:szCs w:val="24"/>
        </w:rPr>
        <w:t xml:space="preserve">The maturity profile of our </w:t>
      </w:r>
      <w:r w:rsidR="002D74C1" w:rsidRPr="001931F4">
        <w:rPr>
          <w:szCs w:val="24"/>
        </w:rPr>
        <w:t xml:space="preserve">remaining </w:t>
      </w:r>
      <w:r w:rsidRPr="001931F4">
        <w:rPr>
          <w:szCs w:val="24"/>
        </w:rPr>
        <w:t xml:space="preserve">debt is shown in the table below. </w:t>
      </w:r>
    </w:p>
    <w:p w14:paraId="34052ED9" w14:textId="77777777" w:rsidR="00AB47D7" w:rsidRPr="001931F4" w:rsidRDefault="00AB47D7" w:rsidP="000F5BFB">
      <w:pPr>
        <w:ind w:left="720"/>
        <w:rPr>
          <w:szCs w:val="24"/>
        </w:rPr>
      </w:pPr>
    </w:p>
    <w:p w14:paraId="59CF2E8F" w14:textId="6AEF3A1E" w:rsidR="00D90216" w:rsidRPr="001931F4" w:rsidRDefault="007461FD" w:rsidP="000F5BFB">
      <w:pPr>
        <w:ind w:left="180" w:firstLine="540"/>
        <w:rPr>
          <w:szCs w:val="24"/>
        </w:rPr>
      </w:pPr>
      <w:r w:rsidRPr="001931F4">
        <w:rPr>
          <w:szCs w:val="24"/>
        </w:rPr>
        <w:t>Value of PWLB loans maturing in future years</w:t>
      </w:r>
      <w:r w:rsidR="00665819" w:rsidRPr="001931F4">
        <w:rPr>
          <w:szCs w:val="24"/>
        </w:rPr>
        <w:t xml:space="preserve"> as </w:t>
      </w:r>
      <w:proofErr w:type="gramStart"/>
      <w:r w:rsidR="00665819" w:rsidRPr="001931F4">
        <w:rPr>
          <w:szCs w:val="24"/>
        </w:rPr>
        <w:t>at</w:t>
      </w:r>
      <w:proofErr w:type="gramEnd"/>
      <w:r w:rsidR="00665819" w:rsidRPr="001931F4">
        <w:rPr>
          <w:szCs w:val="24"/>
        </w:rPr>
        <w:t xml:space="preserve"> 31 March 2023</w:t>
      </w:r>
    </w:p>
    <w:p w14:paraId="190490EB" w14:textId="77777777" w:rsidR="00665819" w:rsidRPr="001931F4" w:rsidRDefault="00665819" w:rsidP="007461FD">
      <w:pPr>
        <w:ind w:left="180" w:firstLine="540"/>
        <w:rPr>
          <w:szCs w:val="24"/>
        </w:rPr>
      </w:pPr>
    </w:p>
    <w:tbl>
      <w:tblPr>
        <w:tblStyle w:val="TableGrid"/>
        <w:tblW w:w="0" w:type="auto"/>
        <w:tblInd w:w="763" w:type="dxa"/>
        <w:tblLook w:val="04A0" w:firstRow="1" w:lastRow="0" w:firstColumn="1" w:lastColumn="0" w:noHBand="0" w:noVBand="1"/>
      </w:tblPr>
      <w:tblGrid>
        <w:gridCol w:w="1505"/>
        <w:gridCol w:w="1472"/>
      </w:tblGrid>
      <w:tr w:rsidR="00665819" w:rsidRPr="001931F4" w14:paraId="38495402" w14:textId="77777777" w:rsidTr="00611673">
        <w:tc>
          <w:tcPr>
            <w:tcW w:w="1505" w:type="dxa"/>
            <w:shd w:val="clear" w:color="auto" w:fill="BD2716"/>
            <w:vAlign w:val="center"/>
          </w:tcPr>
          <w:p w14:paraId="65FFFB71" w14:textId="27CC4379" w:rsidR="00665819" w:rsidRPr="00982FEC" w:rsidRDefault="00665819" w:rsidP="00611673">
            <w:pPr>
              <w:rPr>
                <w:color w:val="FFFFFF" w:themeColor="background1"/>
                <w:szCs w:val="24"/>
              </w:rPr>
            </w:pPr>
            <w:r w:rsidRPr="00982FEC">
              <w:rPr>
                <w:color w:val="FFFFFF" w:themeColor="background1"/>
                <w:szCs w:val="24"/>
              </w:rPr>
              <w:t>Year</w:t>
            </w:r>
          </w:p>
        </w:tc>
        <w:tc>
          <w:tcPr>
            <w:tcW w:w="1472" w:type="dxa"/>
            <w:shd w:val="clear" w:color="auto" w:fill="BD2716"/>
            <w:vAlign w:val="center"/>
          </w:tcPr>
          <w:p w14:paraId="285DF9EA" w14:textId="432EF527" w:rsidR="00665819" w:rsidRPr="00982FEC" w:rsidRDefault="00665819" w:rsidP="00611673">
            <w:pPr>
              <w:jc w:val="right"/>
              <w:rPr>
                <w:color w:val="FFFFFF" w:themeColor="background1"/>
                <w:szCs w:val="24"/>
              </w:rPr>
            </w:pPr>
            <w:r w:rsidRPr="00982FEC">
              <w:rPr>
                <w:color w:val="FFFFFF" w:themeColor="background1"/>
                <w:szCs w:val="24"/>
              </w:rPr>
              <w:t>Loan Value (</w:t>
            </w:r>
            <w:r w:rsidR="00F2325E" w:rsidRPr="00982FEC">
              <w:rPr>
                <w:color w:val="FFFFFF" w:themeColor="background1"/>
                <w:szCs w:val="24"/>
              </w:rPr>
              <w:t>£000</w:t>
            </w:r>
            <w:r w:rsidRPr="00982FEC">
              <w:rPr>
                <w:color w:val="FFFFFF" w:themeColor="background1"/>
                <w:szCs w:val="24"/>
              </w:rPr>
              <w:t>)</w:t>
            </w:r>
          </w:p>
        </w:tc>
      </w:tr>
      <w:tr w:rsidR="00665819" w:rsidRPr="001931F4" w14:paraId="653F22E0" w14:textId="77777777" w:rsidTr="00746F3D">
        <w:tc>
          <w:tcPr>
            <w:tcW w:w="1505" w:type="dxa"/>
          </w:tcPr>
          <w:p w14:paraId="7028ADEF" w14:textId="20DD55F4" w:rsidR="00665819" w:rsidRPr="001931F4" w:rsidRDefault="00665819" w:rsidP="007461FD">
            <w:pPr>
              <w:rPr>
                <w:szCs w:val="24"/>
              </w:rPr>
            </w:pPr>
            <w:r w:rsidRPr="001931F4">
              <w:rPr>
                <w:szCs w:val="24"/>
              </w:rPr>
              <w:t>2035</w:t>
            </w:r>
          </w:p>
        </w:tc>
        <w:tc>
          <w:tcPr>
            <w:tcW w:w="1472" w:type="dxa"/>
            <w:vAlign w:val="center"/>
          </w:tcPr>
          <w:p w14:paraId="63A5A887" w14:textId="33A3DBAE" w:rsidR="00665819" w:rsidRPr="001931F4" w:rsidRDefault="00665819" w:rsidP="00746F3D">
            <w:pPr>
              <w:jc w:val="right"/>
              <w:rPr>
                <w:szCs w:val="24"/>
              </w:rPr>
            </w:pPr>
            <w:r w:rsidRPr="001931F4">
              <w:rPr>
                <w:szCs w:val="24"/>
              </w:rPr>
              <w:t>650</w:t>
            </w:r>
          </w:p>
        </w:tc>
      </w:tr>
      <w:tr w:rsidR="00665819" w:rsidRPr="001931F4" w14:paraId="0D186C3D" w14:textId="77777777" w:rsidTr="00746F3D">
        <w:tc>
          <w:tcPr>
            <w:tcW w:w="1505" w:type="dxa"/>
          </w:tcPr>
          <w:p w14:paraId="4229D16D" w14:textId="332981B5" w:rsidR="00665819" w:rsidRPr="001931F4" w:rsidRDefault="00665819" w:rsidP="007461FD">
            <w:pPr>
              <w:rPr>
                <w:szCs w:val="24"/>
              </w:rPr>
            </w:pPr>
            <w:r w:rsidRPr="001931F4">
              <w:rPr>
                <w:szCs w:val="24"/>
              </w:rPr>
              <w:t>2036</w:t>
            </w:r>
          </w:p>
        </w:tc>
        <w:tc>
          <w:tcPr>
            <w:tcW w:w="1472" w:type="dxa"/>
            <w:vAlign w:val="center"/>
          </w:tcPr>
          <w:p w14:paraId="59542B92" w14:textId="735AA245" w:rsidR="00665819" w:rsidRPr="001931F4" w:rsidRDefault="00665819" w:rsidP="00746F3D">
            <w:pPr>
              <w:jc w:val="right"/>
              <w:rPr>
                <w:szCs w:val="24"/>
              </w:rPr>
            </w:pPr>
            <w:r w:rsidRPr="001931F4">
              <w:rPr>
                <w:szCs w:val="24"/>
              </w:rPr>
              <w:t>650</w:t>
            </w:r>
          </w:p>
        </w:tc>
      </w:tr>
      <w:tr w:rsidR="00665819" w:rsidRPr="001931F4" w14:paraId="665A86D2" w14:textId="77777777" w:rsidTr="00746F3D">
        <w:tc>
          <w:tcPr>
            <w:tcW w:w="1505" w:type="dxa"/>
          </w:tcPr>
          <w:p w14:paraId="7CFD1EB9" w14:textId="0DE85DEB" w:rsidR="00665819" w:rsidRPr="001931F4" w:rsidRDefault="00665819" w:rsidP="007461FD">
            <w:pPr>
              <w:rPr>
                <w:szCs w:val="24"/>
              </w:rPr>
            </w:pPr>
            <w:r w:rsidRPr="001931F4">
              <w:rPr>
                <w:szCs w:val="24"/>
              </w:rPr>
              <w:t>2037</w:t>
            </w:r>
          </w:p>
        </w:tc>
        <w:tc>
          <w:tcPr>
            <w:tcW w:w="1472" w:type="dxa"/>
            <w:vAlign w:val="center"/>
          </w:tcPr>
          <w:p w14:paraId="159092C0" w14:textId="1C1A5817" w:rsidR="00665819" w:rsidRPr="001931F4" w:rsidRDefault="00665819" w:rsidP="00746F3D">
            <w:pPr>
              <w:jc w:val="right"/>
              <w:rPr>
                <w:szCs w:val="24"/>
              </w:rPr>
            </w:pPr>
            <w:r w:rsidRPr="001931F4">
              <w:rPr>
                <w:szCs w:val="24"/>
              </w:rPr>
              <w:t>700</w:t>
            </w:r>
          </w:p>
        </w:tc>
      </w:tr>
      <w:tr w:rsidR="00665819" w:rsidRPr="001931F4" w14:paraId="0B942578" w14:textId="77777777" w:rsidTr="00746F3D">
        <w:tc>
          <w:tcPr>
            <w:tcW w:w="1505" w:type="dxa"/>
          </w:tcPr>
          <w:p w14:paraId="39F31389" w14:textId="279D218D" w:rsidR="00665819" w:rsidRPr="001931F4" w:rsidRDefault="00665819" w:rsidP="007461FD">
            <w:pPr>
              <w:rPr>
                <w:szCs w:val="24"/>
              </w:rPr>
            </w:pPr>
            <w:r w:rsidRPr="001931F4">
              <w:rPr>
                <w:szCs w:val="24"/>
              </w:rPr>
              <w:t>Total</w:t>
            </w:r>
          </w:p>
        </w:tc>
        <w:tc>
          <w:tcPr>
            <w:tcW w:w="1472" w:type="dxa"/>
            <w:vAlign w:val="center"/>
          </w:tcPr>
          <w:p w14:paraId="3D41422A" w14:textId="1C15E3B0" w:rsidR="00665819" w:rsidRPr="001931F4" w:rsidRDefault="00665819" w:rsidP="00746F3D">
            <w:pPr>
              <w:jc w:val="right"/>
              <w:rPr>
                <w:szCs w:val="24"/>
              </w:rPr>
            </w:pPr>
            <w:r w:rsidRPr="001931F4">
              <w:rPr>
                <w:szCs w:val="24"/>
              </w:rPr>
              <w:t>2,000</w:t>
            </w:r>
          </w:p>
        </w:tc>
      </w:tr>
    </w:tbl>
    <w:p w14:paraId="01078925" w14:textId="77777777" w:rsidR="001543B8" w:rsidRPr="001931F4" w:rsidRDefault="001543B8" w:rsidP="00665819">
      <w:pPr>
        <w:jc w:val="both"/>
        <w:rPr>
          <w:b/>
          <w:szCs w:val="24"/>
        </w:rPr>
      </w:pPr>
    </w:p>
    <w:p w14:paraId="192513BB" w14:textId="0FE4A69C" w:rsidR="00D90216" w:rsidRPr="001931F4" w:rsidRDefault="00D90216" w:rsidP="000F5BFB">
      <w:pPr>
        <w:ind w:left="720"/>
        <w:rPr>
          <w:b/>
          <w:szCs w:val="24"/>
        </w:rPr>
      </w:pPr>
      <w:r w:rsidRPr="001931F4">
        <w:rPr>
          <w:b/>
          <w:szCs w:val="24"/>
        </w:rPr>
        <w:t>Market risk</w:t>
      </w:r>
    </w:p>
    <w:p w14:paraId="3E72B321" w14:textId="77777777" w:rsidR="00D90216" w:rsidRPr="001931F4" w:rsidRDefault="00D90216" w:rsidP="000F5BFB">
      <w:pPr>
        <w:ind w:left="720"/>
        <w:rPr>
          <w:b/>
          <w:szCs w:val="24"/>
        </w:rPr>
      </w:pPr>
    </w:p>
    <w:p w14:paraId="514ECF01" w14:textId="789C1802" w:rsidR="00D90216" w:rsidRPr="001931F4" w:rsidRDefault="00D90216" w:rsidP="000F5BFB">
      <w:pPr>
        <w:spacing w:after="240"/>
        <w:ind w:left="720"/>
        <w:rPr>
          <w:szCs w:val="24"/>
        </w:rPr>
      </w:pPr>
      <w:r w:rsidRPr="001931F4">
        <w:rPr>
          <w:szCs w:val="24"/>
        </w:rPr>
        <w:t>The Authority is exposed to risk in terms of its exposure to interest rate movements on its borrowings and investments.</w:t>
      </w:r>
      <w:r w:rsidR="0066777B">
        <w:rPr>
          <w:szCs w:val="24"/>
        </w:rPr>
        <w:t xml:space="preserve"> </w:t>
      </w:r>
      <w:r w:rsidRPr="001931F4">
        <w:rPr>
          <w:szCs w:val="24"/>
        </w:rPr>
        <w:t>Movements in interest rates have a complex impact on the Authority. For instance, a rise in interest rate movements would have the following effects:</w:t>
      </w:r>
    </w:p>
    <w:p w14:paraId="57684748" w14:textId="1B4B4D47" w:rsidR="00D90216" w:rsidRPr="001931F4" w:rsidRDefault="00D90216" w:rsidP="000F5BFB">
      <w:pPr>
        <w:numPr>
          <w:ilvl w:val="0"/>
          <w:numId w:val="18"/>
        </w:numPr>
        <w:spacing w:after="240"/>
        <w:rPr>
          <w:szCs w:val="24"/>
        </w:rPr>
      </w:pPr>
      <w:r w:rsidRPr="001931F4">
        <w:rPr>
          <w:szCs w:val="24"/>
        </w:rPr>
        <w:t>Borrowings at fixed rates – the fair value of the liabilities borrowings will fall</w:t>
      </w:r>
      <w:r w:rsidR="00470E44" w:rsidRPr="001931F4">
        <w:rPr>
          <w:szCs w:val="24"/>
        </w:rPr>
        <w:t>.</w:t>
      </w:r>
    </w:p>
    <w:p w14:paraId="568380E7" w14:textId="32E06001" w:rsidR="00D90216" w:rsidRPr="001931F4" w:rsidRDefault="00D90216" w:rsidP="000F5BFB">
      <w:pPr>
        <w:numPr>
          <w:ilvl w:val="0"/>
          <w:numId w:val="18"/>
        </w:numPr>
        <w:spacing w:after="240"/>
        <w:rPr>
          <w:szCs w:val="24"/>
        </w:rPr>
      </w:pPr>
      <w:r w:rsidRPr="001931F4">
        <w:rPr>
          <w:szCs w:val="24"/>
        </w:rPr>
        <w:lastRenderedPageBreak/>
        <w:t>Investments at variable rates – the interest income credited to the deficit on the provision of services will rise</w:t>
      </w:r>
      <w:r w:rsidR="00470E44" w:rsidRPr="001931F4">
        <w:rPr>
          <w:szCs w:val="24"/>
        </w:rPr>
        <w:t>.</w:t>
      </w:r>
    </w:p>
    <w:p w14:paraId="0DF4FF67" w14:textId="3B315AB4" w:rsidR="00D90216" w:rsidRPr="001931F4" w:rsidRDefault="00D90216" w:rsidP="000F5BFB">
      <w:pPr>
        <w:spacing w:after="240"/>
        <w:ind w:left="720"/>
        <w:rPr>
          <w:szCs w:val="24"/>
        </w:rPr>
      </w:pPr>
      <w:r w:rsidRPr="001931F4">
        <w:rPr>
          <w:szCs w:val="24"/>
        </w:rPr>
        <w:t xml:space="preserve">We hold fixed rate financial liabilities </w:t>
      </w:r>
      <w:r w:rsidR="004D6EE3" w:rsidRPr="001931F4">
        <w:rPr>
          <w:szCs w:val="24"/>
        </w:rPr>
        <w:t xml:space="preserve">(borrowings) </w:t>
      </w:r>
      <w:r w:rsidRPr="001931F4">
        <w:rPr>
          <w:szCs w:val="24"/>
        </w:rPr>
        <w:t>and variable rate financial assets</w:t>
      </w:r>
      <w:r w:rsidR="004D6EE3" w:rsidRPr="001931F4">
        <w:rPr>
          <w:szCs w:val="24"/>
        </w:rPr>
        <w:t xml:space="preserve"> (investments)</w:t>
      </w:r>
      <w:r w:rsidRPr="001931F4">
        <w:rPr>
          <w:szCs w:val="24"/>
        </w:rPr>
        <w:t>.</w:t>
      </w:r>
    </w:p>
    <w:p w14:paraId="0AF6D1F6" w14:textId="71F13004" w:rsidR="00D90216" w:rsidRPr="001931F4" w:rsidRDefault="00D90216" w:rsidP="000F5BFB">
      <w:pPr>
        <w:spacing w:after="240"/>
        <w:ind w:left="720"/>
        <w:rPr>
          <w:szCs w:val="24"/>
        </w:rPr>
      </w:pPr>
      <w:r w:rsidRPr="001931F4">
        <w:rPr>
          <w:szCs w:val="24"/>
        </w:rPr>
        <w:t>Borrowings are not carried at fair value, so nominal gains and losses on fixed rate loans would not impact on the Deficit on the Provision of Services or Other Comprehensive Income and Expenditure. Instead, the effect of changes in market interest rates is to change the fair value of the liabilities reported in the notes to the balance sheet. Fair values represent the amount due if debt is repaid before its maturity date. When the loans finally mature, they will be repayable at their nominal values.</w:t>
      </w:r>
    </w:p>
    <w:p w14:paraId="39E17F0B" w14:textId="202E10BE" w:rsidR="00D90216" w:rsidRPr="001931F4" w:rsidRDefault="00D90216" w:rsidP="000F5BFB">
      <w:pPr>
        <w:spacing w:after="240"/>
        <w:ind w:left="720"/>
        <w:rPr>
          <w:szCs w:val="24"/>
        </w:rPr>
      </w:pPr>
      <w:r w:rsidRPr="001931F4">
        <w:rPr>
          <w:szCs w:val="24"/>
        </w:rPr>
        <w:t xml:space="preserve">Our financial assets are the cash deposits </w:t>
      </w:r>
      <w:r w:rsidR="004D6EE3" w:rsidRPr="001931F4">
        <w:rPr>
          <w:szCs w:val="24"/>
        </w:rPr>
        <w:t>placed in a call account with</w:t>
      </w:r>
      <w:r w:rsidRPr="001931F4">
        <w:rPr>
          <w:szCs w:val="24"/>
        </w:rPr>
        <w:t xml:space="preserve"> </w:t>
      </w:r>
      <w:r w:rsidR="004D6EE3" w:rsidRPr="001931F4">
        <w:rPr>
          <w:szCs w:val="24"/>
        </w:rPr>
        <w:t>Lancashire County Council</w:t>
      </w:r>
      <w:r w:rsidRPr="001931F4">
        <w:rPr>
          <w:szCs w:val="24"/>
        </w:rPr>
        <w:t xml:space="preserve">. Interest received on them is linked to the </w:t>
      </w:r>
      <w:r w:rsidR="004D6EE3" w:rsidRPr="001931F4">
        <w:rPr>
          <w:szCs w:val="24"/>
        </w:rPr>
        <w:t>base rate</w:t>
      </w:r>
      <w:r w:rsidRPr="001931F4">
        <w:rPr>
          <w:szCs w:val="24"/>
        </w:rPr>
        <w:t xml:space="preserve">. </w:t>
      </w:r>
      <w:r w:rsidR="00C45FE5" w:rsidRPr="001931F4">
        <w:rPr>
          <w:szCs w:val="24"/>
        </w:rPr>
        <w:t xml:space="preserve">Each working day the balance on the Authority's Call Account is invested to ensure that the interest received on surplus balances is maximised. The average balance within this account throughout the year was </w:t>
      </w:r>
      <w:r w:rsidR="008C3052" w:rsidRPr="001931F4">
        <w:rPr>
          <w:szCs w:val="24"/>
        </w:rPr>
        <w:t>£</w:t>
      </w:r>
      <w:r w:rsidR="00FD477A" w:rsidRPr="001931F4">
        <w:rPr>
          <w:szCs w:val="24"/>
        </w:rPr>
        <w:t>2</w:t>
      </w:r>
      <w:r w:rsidR="003D4C01" w:rsidRPr="001931F4">
        <w:rPr>
          <w:szCs w:val="24"/>
        </w:rPr>
        <w:t>6</w:t>
      </w:r>
      <w:r w:rsidR="00FD477A" w:rsidRPr="001931F4">
        <w:rPr>
          <w:szCs w:val="24"/>
        </w:rPr>
        <w:t>.</w:t>
      </w:r>
      <w:r w:rsidR="003D4C01" w:rsidRPr="001931F4">
        <w:rPr>
          <w:szCs w:val="24"/>
        </w:rPr>
        <w:t>6</w:t>
      </w:r>
      <w:r w:rsidR="00C45FE5" w:rsidRPr="001931F4">
        <w:rPr>
          <w:szCs w:val="24"/>
        </w:rPr>
        <w:t xml:space="preserve"> million </w:t>
      </w:r>
      <w:r w:rsidRPr="001931F4">
        <w:rPr>
          <w:szCs w:val="24"/>
        </w:rPr>
        <w:t>and, with no change in that level of balances, a 1% increase in the market rate of interest, if sustained over the whole year would give rise to additional interest earned of £</w:t>
      </w:r>
      <w:r w:rsidR="00FD477A" w:rsidRPr="001931F4">
        <w:rPr>
          <w:szCs w:val="24"/>
        </w:rPr>
        <w:t>2</w:t>
      </w:r>
      <w:r w:rsidR="003D4C01" w:rsidRPr="001931F4">
        <w:rPr>
          <w:szCs w:val="24"/>
        </w:rPr>
        <w:t>66</w:t>
      </w:r>
      <w:r w:rsidRPr="001931F4">
        <w:rPr>
          <w:szCs w:val="24"/>
        </w:rPr>
        <w:t>,</w:t>
      </w:r>
      <w:r w:rsidR="005D6A60" w:rsidRPr="001931F4">
        <w:rPr>
          <w:szCs w:val="24"/>
        </w:rPr>
        <w:t>000</w:t>
      </w:r>
      <w:r w:rsidRPr="001931F4">
        <w:rPr>
          <w:szCs w:val="24"/>
        </w:rPr>
        <w:t xml:space="preserve"> and a 1% fall would give a reduction of the same amount. </w:t>
      </w:r>
    </w:p>
    <w:p w14:paraId="1AD39713" w14:textId="271E34CF" w:rsidR="00D90216" w:rsidRPr="006563F1" w:rsidRDefault="001C592E" w:rsidP="006563F1">
      <w:pPr>
        <w:pStyle w:val="Heading2"/>
        <w:jc w:val="left"/>
        <w:rPr>
          <w:sz w:val="24"/>
          <w:szCs w:val="24"/>
          <w:lang w:val="en-US"/>
        </w:rPr>
      </w:pPr>
      <w:bookmarkStart w:id="63" w:name="_Toc166761555"/>
      <w:r w:rsidRPr="006563F1">
        <w:rPr>
          <w:sz w:val="24"/>
          <w:szCs w:val="24"/>
          <w:lang w:val="en-US"/>
        </w:rPr>
        <w:t>2</w:t>
      </w:r>
      <w:r w:rsidR="00535820" w:rsidRPr="006563F1">
        <w:rPr>
          <w:sz w:val="24"/>
          <w:szCs w:val="24"/>
          <w:lang w:val="en-US"/>
        </w:rPr>
        <w:t>2</w:t>
      </w:r>
      <w:r w:rsidR="00D90216" w:rsidRPr="006563F1">
        <w:rPr>
          <w:sz w:val="24"/>
          <w:szCs w:val="24"/>
          <w:lang w:val="en-US"/>
        </w:rPr>
        <w:tab/>
      </w:r>
      <w:bookmarkStart w:id="64" w:name="N22"/>
      <w:bookmarkStart w:id="65" w:name="_Hlk140222307"/>
      <w:bookmarkEnd w:id="64"/>
      <w:r w:rsidR="00D90216" w:rsidRPr="006563F1">
        <w:rPr>
          <w:sz w:val="24"/>
          <w:szCs w:val="24"/>
          <w:lang w:val="en-US"/>
        </w:rPr>
        <w:t>Local Autho</w:t>
      </w:r>
      <w:r w:rsidR="00B86715" w:rsidRPr="006563F1">
        <w:rPr>
          <w:sz w:val="24"/>
          <w:szCs w:val="24"/>
          <w:lang w:val="en-US"/>
        </w:rPr>
        <w:t xml:space="preserve">rity Controlled Company – NW </w:t>
      </w:r>
      <w:proofErr w:type="spellStart"/>
      <w:r w:rsidR="00B86715" w:rsidRPr="006563F1">
        <w:rPr>
          <w:sz w:val="24"/>
          <w:szCs w:val="24"/>
          <w:lang w:val="en-US"/>
        </w:rPr>
        <w:t>Fir</w:t>
      </w:r>
      <w:r w:rsidR="00D90216" w:rsidRPr="006563F1">
        <w:rPr>
          <w:sz w:val="24"/>
          <w:szCs w:val="24"/>
          <w:lang w:val="en-US"/>
        </w:rPr>
        <w:t>eControl</w:t>
      </w:r>
      <w:proofErr w:type="spellEnd"/>
      <w:r w:rsidR="00D90216" w:rsidRPr="006563F1">
        <w:rPr>
          <w:sz w:val="24"/>
          <w:szCs w:val="24"/>
          <w:lang w:val="en-US"/>
        </w:rPr>
        <w:t xml:space="preserve"> L</w:t>
      </w:r>
      <w:r w:rsidR="00B86715" w:rsidRPr="006563F1">
        <w:rPr>
          <w:sz w:val="24"/>
          <w:szCs w:val="24"/>
          <w:lang w:val="en-US"/>
        </w:rPr>
        <w:t>imi</w:t>
      </w:r>
      <w:r w:rsidR="00D90216" w:rsidRPr="006563F1">
        <w:rPr>
          <w:sz w:val="24"/>
          <w:szCs w:val="24"/>
          <w:lang w:val="en-US"/>
        </w:rPr>
        <w:t>t</w:t>
      </w:r>
      <w:r w:rsidR="00B86715" w:rsidRPr="006563F1">
        <w:rPr>
          <w:sz w:val="24"/>
          <w:szCs w:val="24"/>
          <w:lang w:val="en-US"/>
        </w:rPr>
        <w:t>e</w:t>
      </w:r>
      <w:r w:rsidR="00D90216" w:rsidRPr="006563F1">
        <w:rPr>
          <w:sz w:val="24"/>
          <w:szCs w:val="24"/>
          <w:lang w:val="en-US"/>
        </w:rPr>
        <w:t>d</w:t>
      </w:r>
      <w:bookmarkEnd w:id="63"/>
    </w:p>
    <w:p w14:paraId="425771B8" w14:textId="77777777" w:rsidR="00B86715" w:rsidRPr="00AF3DCD" w:rsidRDefault="00B86715" w:rsidP="000F5BFB">
      <w:pPr>
        <w:rPr>
          <w:rFonts w:cs="Arial"/>
          <w:b/>
          <w:szCs w:val="24"/>
          <w:u w:val="single"/>
          <w:lang w:eastAsia="en-GB"/>
        </w:rPr>
      </w:pPr>
    </w:p>
    <w:p w14:paraId="2FB27411" w14:textId="25CC77C2" w:rsidR="00B86715" w:rsidRPr="001931F4" w:rsidRDefault="00AF76C8" w:rsidP="000F5BFB">
      <w:pPr>
        <w:spacing w:after="240"/>
        <w:ind w:left="720"/>
        <w:rPr>
          <w:rFonts w:cs="Arial"/>
          <w:szCs w:val="24"/>
          <w:lang w:eastAsia="en-GB"/>
        </w:rPr>
      </w:pPr>
      <w:r w:rsidRPr="001931F4">
        <w:rPr>
          <w:rFonts w:cs="Arial"/>
          <w:szCs w:val="24"/>
          <w:lang w:eastAsia="en-GB"/>
        </w:rPr>
        <w:t xml:space="preserve">NW </w:t>
      </w:r>
      <w:proofErr w:type="spellStart"/>
      <w:r w:rsidRPr="001931F4">
        <w:rPr>
          <w:rFonts w:cs="Arial"/>
          <w:szCs w:val="24"/>
          <w:lang w:eastAsia="en-GB"/>
        </w:rPr>
        <w:t>Fire</w:t>
      </w:r>
      <w:r w:rsidR="00B86715" w:rsidRPr="001931F4">
        <w:rPr>
          <w:rFonts w:cs="Arial"/>
          <w:szCs w:val="24"/>
          <w:lang w:eastAsia="en-GB"/>
        </w:rPr>
        <w:t>Control</w:t>
      </w:r>
      <w:proofErr w:type="spellEnd"/>
      <w:r w:rsidR="00B86715" w:rsidRPr="001931F4">
        <w:rPr>
          <w:rFonts w:cs="Arial"/>
          <w:szCs w:val="24"/>
          <w:lang w:eastAsia="en-GB"/>
        </w:rPr>
        <w:t xml:space="preserve"> Limited is a company limited by guarantee with the responsibility for Fire and Rescue Service mobilisation for the </w:t>
      </w:r>
      <w:proofErr w:type="gramStart"/>
      <w:r w:rsidR="00B86715" w:rsidRPr="001931F4">
        <w:rPr>
          <w:rFonts w:cs="Arial"/>
          <w:szCs w:val="24"/>
          <w:lang w:eastAsia="en-GB"/>
        </w:rPr>
        <w:t>North West</w:t>
      </w:r>
      <w:proofErr w:type="gramEnd"/>
      <w:r w:rsidR="00B86715" w:rsidRPr="001931F4">
        <w:rPr>
          <w:rFonts w:cs="Arial"/>
          <w:szCs w:val="24"/>
          <w:lang w:eastAsia="en-GB"/>
        </w:rPr>
        <w:t xml:space="preserve"> region. The Company has four members which are Cheshire, </w:t>
      </w:r>
      <w:r w:rsidR="00B86715" w:rsidRPr="001931F4">
        <w:rPr>
          <w:rFonts w:cs="Arial"/>
          <w:szCs w:val="24"/>
        </w:rPr>
        <w:t>Cumbria</w:t>
      </w:r>
      <w:r w:rsidR="00B86715" w:rsidRPr="001931F4">
        <w:rPr>
          <w:rFonts w:cs="Arial"/>
          <w:szCs w:val="24"/>
          <w:lang w:eastAsia="en-GB"/>
        </w:rPr>
        <w:t xml:space="preserve">, Greater </w:t>
      </w:r>
      <w:r w:rsidR="0094180B" w:rsidRPr="001931F4">
        <w:rPr>
          <w:rFonts w:cs="Arial"/>
          <w:szCs w:val="24"/>
          <w:lang w:eastAsia="en-GB"/>
        </w:rPr>
        <w:t>Manchester,</w:t>
      </w:r>
      <w:r w:rsidR="00B86715" w:rsidRPr="001931F4">
        <w:rPr>
          <w:rFonts w:cs="Arial"/>
          <w:szCs w:val="24"/>
          <w:lang w:eastAsia="en-GB"/>
        </w:rPr>
        <w:t xml:space="preserve"> and Lancashire Fire &amp; Rescue Authorities (FRAs). The liability of each member in the event of the company being wound up is limited and shall not exceed £1. Each member of the company has the right to appoint 2 directors, who are Councillors appointed to their respective FRAs. All directors have equal voting rights.</w:t>
      </w:r>
    </w:p>
    <w:p w14:paraId="6C1B69F1" w14:textId="77777777" w:rsidR="009B6312" w:rsidRPr="001931F4" w:rsidRDefault="009B6312" w:rsidP="000F5BFB">
      <w:pPr>
        <w:spacing w:after="240"/>
        <w:ind w:left="720"/>
        <w:rPr>
          <w:rFonts w:cs="Arial"/>
          <w:szCs w:val="24"/>
          <w:lang w:eastAsia="en-GB"/>
        </w:rPr>
      </w:pPr>
      <w:r w:rsidRPr="001931F4">
        <w:rPr>
          <w:rFonts w:cs="Arial"/>
          <w:szCs w:val="24"/>
          <w:lang w:eastAsia="en-GB"/>
        </w:rPr>
        <w:t>During May 2014 all four services transferred their Control Room functions into the regionali</w:t>
      </w:r>
      <w:r w:rsidR="00E87D8D" w:rsidRPr="001931F4">
        <w:rPr>
          <w:rFonts w:cs="Arial"/>
          <w:szCs w:val="24"/>
          <w:lang w:eastAsia="en-GB"/>
        </w:rPr>
        <w:t xml:space="preserve">sed service provided by NW </w:t>
      </w:r>
      <w:proofErr w:type="spellStart"/>
      <w:r w:rsidR="00E87D8D" w:rsidRPr="001931F4">
        <w:rPr>
          <w:rFonts w:cs="Arial"/>
          <w:szCs w:val="24"/>
          <w:lang w:eastAsia="en-GB"/>
        </w:rPr>
        <w:t>Fire</w:t>
      </w:r>
      <w:r w:rsidRPr="001931F4">
        <w:rPr>
          <w:rFonts w:cs="Arial"/>
          <w:szCs w:val="24"/>
          <w:lang w:eastAsia="en-GB"/>
        </w:rPr>
        <w:t>Control</w:t>
      </w:r>
      <w:proofErr w:type="spellEnd"/>
      <w:r w:rsidRPr="001931F4">
        <w:rPr>
          <w:rFonts w:cs="Arial"/>
          <w:szCs w:val="24"/>
          <w:lang w:eastAsia="en-GB"/>
        </w:rPr>
        <w:t xml:space="preserve"> </w:t>
      </w:r>
      <w:r w:rsidR="002B520D" w:rsidRPr="001931F4">
        <w:rPr>
          <w:rFonts w:cs="Arial"/>
          <w:szCs w:val="24"/>
          <w:lang w:eastAsia="en-GB"/>
        </w:rPr>
        <w:t>Limited</w:t>
      </w:r>
      <w:r w:rsidRPr="001931F4">
        <w:rPr>
          <w:rFonts w:cs="Arial"/>
          <w:szCs w:val="24"/>
          <w:lang w:eastAsia="en-GB"/>
        </w:rPr>
        <w:t xml:space="preserve">. The cost of the service is charged out to the four FRAs on an agreed pro rata basis agreed by a Service Level Agreement. The implementation phase continued to be funded by a section 31 grant from the Department for Communities and Local Government plus an ongoing grant to fund 66% of the lease costs for the building. The grant is paid to Greater Manchester Fire &amp; Rescue Authority as lead authority for the </w:t>
      </w:r>
      <w:proofErr w:type="gramStart"/>
      <w:r w:rsidRPr="001931F4">
        <w:rPr>
          <w:rFonts w:cs="Arial"/>
          <w:szCs w:val="24"/>
          <w:lang w:eastAsia="en-GB"/>
        </w:rPr>
        <w:t>North West</w:t>
      </w:r>
      <w:proofErr w:type="gramEnd"/>
      <w:r w:rsidRPr="001931F4">
        <w:rPr>
          <w:rFonts w:cs="Arial"/>
          <w:szCs w:val="24"/>
          <w:lang w:eastAsia="en-GB"/>
        </w:rPr>
        <w:t xml:space="preserve"> region and released to the company as required. </w:t>
      </w:r>
      <w:r w:rsidR="00011E3D" w:rsidRPr="001931F4">
        <w:rPr>
          <w:rFonts w:cs="Arial"/>
          <w:szCs w:val="24"/>
          <w:lang w:eastAsia="en-GB"/>
        </w:rPr>
        <w:t>From 8th May 2017 Greater Manchester Fire and Rescue Service transferred into the Greater Manchester Combined Authori</w:t>
      </w:r>
      <w:r w:rsidR="0037293D" w:rsidRPr="001931F4">
        <w:rPr>
          <w:rFonts w:cs="Arial"/>
          <w:szCs w:val="24"/>
          <w:lang w:eastAsia="en-GB"/>
        </w:rPr>
        <w:t xml:space="preserve">ty and the ownership of NW </w:t>
      </w:r>
      <w:proofErr w:type="spellStart"/>
      <w:r w:rsidR="0037293D" w:rsidRPr="001931F4">
        <w:rPr>
          <w:rFonts w:cs="Arial"/>
          <w:szCs w:val="24"/>
          <w:lang w:eastAsia="en-GB"/>
        </w:rPr>
        <w:t>Fire</w:t>
      </w:r>
      <w:r w:rsidR="00011E3D" w:rsidRPr="001931F4">
        <w:rPr>
          <w:rFonts w:cs="Arial"/>
          <w:szCs w:val="24"/>
          <w:lang w:eastAsia="en-GB"/>
        </w:rPr>
        <w:t>Control</w:t>
      </w:r>
      <w:proofErr w:type="spellEnd"/>
      <w:r w:rsidR="00011E3D" w:rsidRPr="001931F4">
        <w:rPr>
          <w:rFonts w:cs="Arial"/>
          <w:szCs w:val="24"/>
          <w:lang w:eastAsia="en-GB"/>
        </w:rPr>
        <w:t xml:space="preserve"> </w:t>
      </w:r>
      <w:r w:rsidR="002B520D" w:rsidRPr="001931F4">
        <w:rPr>
          <w:rFonts w:cs="Arial"/>
          <w:szCs w:val="24"/>
          <w:lang w:eastAsia="en-GB"/>
        </w:rPr>
        <w:t xml:space="preserve">Limited </w:t>
      </w:r>
      <w:r w:rsidR="00011E3D" w:rsidRPr="001931F4">
        <w:rPr>
          <w:rFonts w:cs="Arial"/>
          <w:szCs w:val="24"/>
          <w:lang w:eastAsia="en-GB"/>
        </w:rPr>
        <w:t>therefore also transfers.</w:t>
      </w:r>
    </w:p>
    <w:p w14:paraId="72BC4479" w14:textId="301B2704" w:rsidR="009B6312" w:rsidRPr="001931F4" w:rsidRDefault="009B6312" w:rsidP="000F5BFB">
      <w:pPr>
        <w:spacing w:after="240"/>
        <w:ind w:left="720"/>
        <w:rPr>
          <w:rFonts w:cs="Arial"/>
          <w:szCs w:val="24"/>
          <w:lang w:eastAsia="en-GB"/>
        </w:rPr>
      </w:pPr>
      <w:bookmarkStart w:id="66" w:name="_Hlk81904470"/>
      <w:r w:rsidRPr="001931F4">
        <w:rPr>
          <w:rFonts w:cs="Arial"/>
          <w:szCs w:val="24"/>
          <w:lang w:eastAsia="en-GB"/>
        </w:rPr>
        <w:t>A</w:t>
      </w:r>
      <w:r w:rsidR="00051F06" w:rsidRPr="001931F4">
        <w:rPr>
          <w:rFonts w:cs="Arial"/>
          <w:szCs w:val="24"/>
          <w:lang w:eastAsia="en-GB"/>
        </w:rPr>
        <w:t>n</w:t>
      </w:r>
      <w:r w:rsidRPr="001931F4">
        <w:rPr>
          <w:rFonts w:cs="Arial"/>
          <w:szCs w:val="24"/>
          <w:lang w:eastAsia="en-GB"/>
        </w:rPr>
        <w:t xml:space="preserve"> assessment for Group Accounting requirements has taken place during 20</w:t>
      </w:r>
      <w:r w:rsidR="0064196C" w:rsidRPr="001931F4">
        <w:rPr>
          <w:rFonts w:cs="Arial"/>
          <w:szCs w:val="24"/>
          <w:lang w:eastAsia="en-GB"/>
        </w:rPr>
        <w:t>2</w:t>
      </w:r>
      <w:r w:rsidR="006B2155" w:rsidRPr="001931F4">
        <w:rPr>
          <w:rFonts w:cs="Arial"/>
          <w:szCs w:val="24"/>
          <w:lang w:eastAsia="en-GB"/>
        </w:rPr>
        <w:t>2</w:t>
      </w:r>
      <w:r w:rsidR="005529ED" w:rsidRPr="001931F4">
        <w:rPr>
          <w:rFonts w:cs="Arial"/>
          <w:szCs w:val="24"/>
          <w:lang w:eastAsia="en-GB"/>
        </w:rPr>
        <w:t>/23</w:t>
      </w:r>
      <w:r w:rsidR="0037293D" w:rsidRPr="001931F4">
        <w:rPr>
          <w:rFonts w:cs="Arial"/>
          <w:szCs w:val="24"/>
          <w:lang w:eastAsia="en-GB"/>
        </w:rPr>
        <w:t xml:space="preserve"> in respect of NW </w:t>
      </w:r>
      <w:proofErr w:type="spellStart"/>
      <w:r w:rsidR="0037293D" w:rsidRPr="001931F4">
        <w:rPr>
          <w:rFonts w:cs="Arial"/>
          <w:szCs w:val="24"/>
          <w:lang w:eastAsia="en-GB"/>
        </w:rPr>
        <w:t>Fire</w:t>
      </w:r>
      <w:r w:rsidRPr="001931F4">
        <w:rPr>
          <w:rFonts w:cs="Arial"/>
          <w:szCs w:val="24"/>
          <w:lang w:eastAsia="en-GB"/>
        </w:rPr>
        <w:t>Control</w:t>
      </w:r>
      <w:proofErr w:type="spellEnd"/>
      <w:r w:rsidRPr="001931F4">
        <w:rPr>
          <w:rFonts w:cs="Arial"/>
          <w:szCs w:val="24"/>
          <w:lang w:eastAsia="en-GB"/>
        </w:rPr>
        <w:t xml:space="preserve"> </w:t>
      </w:r>
      <w:r w:rsidR="002B520D" w:rsidRPr="001931F4">
        <w:rPr>
          <w:rFonts w:cs="Arial"/>
          <w:szCs w:val="24"/>
          <w:lang w:eastAsia="en-GB"/>
        </w:rPr>
        <w:t>Limited</w:t>
      </w:r>
      <w:r w:rsidRPr="001931F4">
        <w:rPr>
          <w:rFonts w:cs="Arial"/>
          <w:szCs w:val="24"/>
          <w:lang w:eastAsia="en-GB"/>
        </w:rPr>
        <w:t>. This is in accordance with the Code of Practice on Local Authority Accounting in the United Kingdom Based on International Financial Reporting Standards (IFRS 10, 11 &amp; 12).</w:t>
      </w:r>
      <w:r w:rsidR="005E1E00" w:rsidRPr="001931F4">
        <w:rPr>
          <w:rFonts w:cs="Arial"/>
          <w:szCs w:val="24"/>
          <w:lang w:eastAsia="en-GB"/>
        </w:rPr>
        <w:t xml:space="preserve"> </w:t>
      </w:r>
    </w:p>
    <w:p w14:paraId="4382D27D" w14:textId="198D1E28" w:rsidR="00ED21C2" w:rsidRPr="001931F4" w:rsidRDefault="009B6312" w:rsidP="000F5BFB">
      <w:pPr>
        <w:spacing w:after="240"/>
        <w:ind w:left="720"/>
        <w:rPr>
          <w:rFonts w:cs="Arial"/>
          <w:szCs w:val="24"/>
          <w:lang w:eastAsia="en-GB"/>
        </w:rPr>
      </w:pPr>
      <w:r w:rsidRPr="001931F4">
        <w:rPr>
          <w:rFonts w:cs="Arial"/>
          <w:szCs w:val="24"/>
          <w:lang w:eastAsia="en-GB"/>
        </w:rPr>
        <w:t xml:space="preserve">It has been determined that the company is governed by Joint Control </w:t>
      </w:r>
      <w:r w:rsidR="001C3A52" w:rsidRPr="001931F4">
        <w:rPr>
          <w:rFonts w:cs="Arial"/>
          <w:szCs w:val="24"/>
          <w:lang w:eastAsia="en-GB"/>
        </w:rPr>
        <w:t>since</w:t>
      </w:r>
      <w:r w:rsidRPr="001931F4">
        <w:rPr>
          <w:rFonts w:cs="Arial"/>
          <w:szCs w:val="24"/>
          <w:lang w:eastAsia="en-GB"/>
        </w:rPr>
        <w:t xml:space="preserve"> unanimous consent exists for key decisions and each Authority has equal voting rights. This joint arrangement has been deemed to be a Joint Operation as the parties have rights to the assets, and obligations for the liabilities relating to the arrangement</w:t>
      </w:r>
      <w:r w:rsidR="00F93F5A" w:rsidRPr="001931F4">
        <w:rPr>
          <w:rFonts w:cs="Arial"/>
          <w:szCs w:val="24"/>
          <w:lang w:eastAsia="en-GB"/>
        </w:rPr>
        <w:t xml:space="preserve">, and on this basis, the Authority’s 25% share of the transactions and balances of NW </w:t>
      </w:r>
      <w:proofErr w:type="spellStart"/>
      <w:r w:rsidR="00F93F5A" w:rsidRPr="001931F4">
        <w:rPr>
          <w:rFonts w:cs="Arial"/>
          <w:szCs w:val="24"/>
          <w:lang w:eastAsia="en-GB"/>
        </w:rPr>
        <w:t>FireControl</w:t>
      </w:r>
      <w:proofErr w:type="spellEnd"/>
      <w:r w:rsidR="00F93F5A" w:rsidRPr="001931F4">
        <w:rPr>
          <w:rFonts w:cs="Arial"/>
          <w:szCs w:val="24"/>
          <w:lang w:eastAsia="en-GB"/>
        </w:rPr>
        <w:t xml:space="preserve"> Limited have been recognised within the accounts.</w:t>
      </w:r>
      <w:r w:rsidR="005E1E00" w:rsidRPr="001931F4">
        <w:rPr>
          <w:rFonts w:cs="Arial"/>
          <w:szCs w:val="24"/>
          <w:lang w:eastAsia="en-GB"/>
        </w:rPr>
        <w:t xml:space="preserve"> See </w:t>
      </w:r>
      <w:hyperlink w:anchor="N28" w:history="1">
        <w:r w:rsidR="005E1E00" w:rsidRPr="001931F4">
          <w:rPr>
            <w:rStyle w:val="Hyperlink"/>
            <w:rFonts w:cs="Arial"/>
            <w:szCs w:val="24"/>
            <w:lang w:eastAsia="en-GB"/>
          </w:rPr>
          <w:t>note 28</w:t>
        </w:r>
      </w:hyperlink>
      <w:r w:rsidR="005E1E00" w:rsidRPr="001931F4">
        <w:rPr>
          <w:rFonts w:cs="Arial"/>
          <w:szCs w:val="24"/>
          <w:lang w:eastAsia="en-GB"/>
        </w:rPr>
        <w:t xml:space="preserve"> Critical judgements.</w:t>
      </w:r>
      <w:bookmarkEnd w:id="66"/>
    </w:p>
    <w:p w14:paraId="617F39AF" w14:textId="2CD005FF" w:rsidR="00F06F0B" w:rsidRPr="00AF3DCD" w:rsidRDefault="00F06F0B" w:rsidP="000F5BFB">
      <w:pPr>
        <w:ind w:left="720"/>
        <w:rPr>
          <w:rFonts w:cs="Arial"/>
          <w:sz w:val="22"/>
          <w:szCs w:val="22"/>
        </w:rPr>
      </w:pPr>
      <w:r w:rsidRPr="00AF3DCD">
        <w:rPr>
          <w:rFonts w:cs="Arial"/>
          <w:sz w:val="22"/>
          <w:szCs w:val="22"/>
        </w:rPr>
        <w:t xml:space="preserve">Below shows the key Information from the Draft </w:t>
      </w:r>
      <w:r w:rsidR="0037293D" w:rsidRPr="00AF3DCD">
        <w:rPr>
          <w:rFonts w:cs="Arial"/>
          <w:sz w:val="22"/>
          <w:szCs w:val="22"/>
        </w:rPr>
        <w:t xml:space="preserve">Financial Statements of NW </w:t>
      </w:r>
      <w:proofErr w:type="spellStart"/>
      <w:r w:rsidR="0037293D" w:rsidRPr="00AF3DCD">
        <w:rPr>
          <w:rFonts w:cs="Arial"/>
          <w:sz w:val="22"/>
          <w:szCs w:val="22"/>
        </w:rPr>
        <w:t>Fire</w:t>
      </w:r>
      <w:r w:rsidRPr="00AF3DCD">
        <w:rPr>
          <w:rFonts w:cs="Arial"/>
          <w:sz w:val="22"/>
          <w:szCs w:val="22"/>
        </w:rPr>
        <w:t>Control</w:t>
      </w:r>
      <w:proofErr w:type="spellEnd"/>
      <w:r w:rsidRPr="00AF3DCD">
        <w:rPr>
          <w:rFonts w:cs="Arial"/>
          <w:sz w:val="22"/>
          <w:szCs w:val="22"/>
        </w:rPr>
        <w:t xml:space="preserve"> </w:t>
      </w:r>
      <w:r w:rsidR="002B520D" w:rsidRPr="00AF3DCD">
        <w:rPr>
          <w:rFonts w:cs="Arial"/>
          <w:sz w:val="22"/>
          <w:szCs w:val="22"/>
          <w:lang w:eastAsia="en-GB"/>
        </w:rPr>
        <w:t>Limited</w:t>
      </w:r>
      <w:r w:rsidRPr="00AF3DCD">
        <w:rPr>
          <w:rFonts w:cs="Arial"/>
          <w:sz w:val="22"/>
          <w:szCs w:val="22"/>
        </w:rPr>
        <w:t>:</w:t>
      </w:r>
    </w:p>
    <w:p w14:paraId="68D4D90C" w14:textId="77777777" w:rsidR="00F800C7" w:rsidRPr="00AF3DCD" w:rsidRDefault="00F800C7" w:rsidP="00F800C7">
      <w:pPr>
        <w:rPr>
          <w:rFonts w:cs="Arial"/>
          <w:sz w:val="22"/>
          <w:szCs w:val="22"/>
        </w:rPr>
      </w:pPr>
    </w:p>
    <w:tbl>
      <w:tblPr>
        <w:tblW w:w="8386"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2149"/>
        <w:gridCol w:w="2410"/>
      </w:tblGrid>
      <w:tr w:rsidR="003D2C98" w:rsidRPr="00AF3DCD" w14:paraId="15A134F2" w14:textId="77777777" w:rsidTr="00611673">
        <w:tc>
          <w:tcPr>
            <w:tcW w:w="3827" w:type="dxa"/>
            <w:shd w:val="clear" w:color="auto" w:fill="BD2716"/>
            <w:vAlign w:val="center"/>
          </w:tcPr>
          <w:p w14:paraId="48977F78" w14:textId="77777777" w:rsidR="003D2C98" w:rsidRPr="00982FEC" w:rsidRDefault="003D2C98" w:rsidP="00611673">
            <w:pPr>
              <w:rPr>
                <w:rFonts w:cs="Arial"/>
                <w:color w:val="FFFFFF" w:themeColor="background1"/>
                <w:szCs w:val="24"/>
              </w:rPr>
            </w:pPr>
            <w:r w:rsidRPr="00982FEC">
              <w:rPr>
                <w:rFonts w:cs="Arial"/>
                <w:color w:val="FFFFFF" w:themeColor="background1"/>
                <w:szCs w:val="24"/>
              </w:rPr>
              <w:t>Key Information</w:t>
            </w:r>
          </w:p>
        </w:tc>
        <w:tc>
          <w:tcPr>
            <w:tcW w:w="2149" w:type="dxa"/>
            <w:shd w:val="clear" w:color="auto" w:fill="BD2716"/>
            <w:vAlign w:val="center"/>
          </w:tcPr>
          <w:p w14:paraId="7701FDD3" w14:textId="77777777" w:rsidR="003D2C98" w:rsidRPr="00982FEC" w:rsidRDefault="003D2C98" w:rsidP="00611673">
            <w:pPr>
              <w:jc w:val="right"/>
              <w:rPr>
                <w:rFonts w:cs="Arial"/>
                <w:color w:val="FFFFFF" w:themeColor="background1"/>
                <w:szCs w:val="24"/>
              </w:rPr>
            </w:pPr>
            <w:r w:rsidRPr="00982FEC">
              <w:rPr>
                <w:rFonts w:cs="Arial"/>
                <w:color w:val="FFFFFF" w:themeColor="background1"/>
                <w:szCs w:val="24"/>
              </w:rPr>
              <w:t xml:space="preserve">Year </w:t>
            </w:r>
            <w:proofErr w:type="gramStart"/>
            <w:r w:rsidRPr="00982FEC">
              <w:rPr>
                <w:rFonts w:cs="Arial"/>
                <w:color w:val="FFFFFF" w:themeColor="background1"/>
                <w:szCs w:val="24"/>
              </w:rPr>
              <w:t>ended</w:t>
            </w:r>
            <w:proofErr w:type="gramEnd"/>
          </w:p>
          <w:p w14:paraId="535F13CE" w14:textId="77777777" w:rsidR="00021F7E" w:rsidRPr="00982FEC" w:rsidRDefault="003D2C98" w:rsidP="00611673">
            <w:pPr>
              <w:jc w:val="right"/>
              <w:rPr>
                <w:rFonts w:cs="Arial"/>
                <w:color w:val="FFFFFF" w:themeColor="background1"/>
                <w:szCs w:val="24"/>
              </w:rPr>
            </w:pPr>
            <w:r w:rsidRPr="00982FEC">
              <w:rPr>
                <w:rFonts w:cs="Arial"/>
                <w:color w:val="FFFFFF" w:themeColor="background1"/>
                <w:szCs w:val="24"/>
              </w:rPr>
              <w:t>31 March 202</w:t>
            </w:r>
            <w:r w:rsidR="00A33179" w:rsidRPr="00982FEC">
              <w:rPr>
                <w:rFonts w:cs="Arial"/>
                <w:color w:val="FFFFFF" w:themeColor="background1"/>
                <w:szCs w:val="24"/>
              </w:rPr>
              <w:t>3</w:t>
            </w:r>
          </w:p>
          <w:p w14:paraId="4469574E" w14:textId="1DB567E2" w:rsidR="003D2C98" w:rsidRPr="00982FEC" w:rsidRDefault="00F2325E" w:rsidP="00611673">
            <w:pPr>
              <w:jc w:val="right"/>
              <w:rPr>
                <w:rFonts w:cs="Arial"/>
                <w:color w:val="FFFFFF" w:themeColor="background1"/>
                <w:szCs w:val="24"/>
              </w:rPr>
            </w:pPr>
            <w:r w:rsidRPr="00982FEC">
              <w:rPr>
                <w:rFonts w:cs="Arial"/>
                <w:color w:val="FFFFFF" w:themeColor="background1"/>
                <w:szCs w:val="24"/>
              </w:rPr>
              <w:t>£000</w:t>
            </w:r>
          </w:p>
        </w:tc>
        <w:tc>
          <w:tcPr>
            <w:tcW w:w="2410" w:type="dxa"/>
            <w:shd w:val="clear" w:color="auto" w:fill="BD2716"/>
            <w:vAlign w:val="center"/>
          </w:tcPr>
          <w:p w14:paraId="404AD81C" w14:textId="77777777" w:rsidR="003D2C98" w:rsidRPr="00982FEC" w:rsidRDefault="003D2C98" w:rsidP="00611673">
            <w:pPr>
              <w:jc w:val="right"/>
              <w:rPr>
                <w:rFonts w:cs="Arial"/>
                <w:color w:val="FFFFFF" w:themeColor="background1"/>
                <w:szCs w:val="24"/>
              </w:rPr>
            </w:pPr>
            <w:r w:rsidRPr="00982FEC">
              <w:rPr>
                <w:rFonts w:cs="Arial"/>
                <w:color w:val="FFFFFF" w:themeColor="background1"/>
                <w:szCs w:val="24"/>
              </w:rPr>
              <w:t xml:space="preserve">Year </w:t>
            </w:r>
            <w:proofErr w:type="gramStart"/>
            <w:r w:rsidRPr="00982FEC">
              <w:rPr>
                <w:rFonts w:cs="Arial"/>
                <w:color w:val="FFFFFF" w:themeColor="background1"/>
                <w:szCs w:val="24"/>
              </w:rPr>
              <w:t>ended</w:t>
            </w:r>
            <w:proofErr w:type="gramEnd"/>
          </w:p>
          <w:p w14:paraId="125171A8" w14:textId="205209F9" w:rsidR="003D2C98" w:rsidRPr="00982FEC" w:rsidRDefault="003D2C98" w:rsidP="00611673">
            <w:pPr>
              <w:jc w:val="right"/>
              <w:rPr>
                <w:rFonts w:cs="Arial"/>
                <w:color w:val="FFFFFF" w:themeColor="background1"/>
                <w:szCs w:val="24"/>
              </w:rPr>
            </w:pPr>
            <w:r w:rsidRPr="00982FEC">
              <w:rPr>
                <w:rFonts w:cs="Arial"/>
                <w:color w:val="FFFFFF" w:themeColor="background1"/>
                <w:szCs w:val="24"/>
              </w:rPr>
              <w:t>31 March 202</w:t>
            </w:r>
            <w:r w:rsidR="00A33179" w:rsidRPr="00982FEC">
              <w:rPr>
                <w:rFonts w:cs="Arial"/>
                <w:color w:val="FFFFFF" w:themeColor="background1"/>
                <w:szCs w:val="24"/>
              </w:rPr>
              <w:t>2</w:t>
            </w:r>
          </w:p>
          <w:p w14:paraId="77446622" w14:textId="3293FAD3" w:rsidR="003D2C98" w:rsidRPr="00982FEC" w:rsidRDefault="00F2325E" w:rsidP="00611673">
            <w:pPr>
              <w:jc w:val="right"/>
              <w:rPr>
                <w:rFonts w:cs="Arial"/>
                <w:color w:val="FFFFFF" w:themeColor="background1"/>
                <w:szCs w:val="24"/>
              </w:rPr>
            </w:pPr>
            <w:r w:rsidRPr="00982FEC">
              <w:rPr>
                <w:rFonts w:cs="Arial"/>
                <w:color w:val="FFFFFF" w:themeColor="background1"/>
                <w:szCs w:val="24"/>
              </w:rPr>
              <w:t>£000</w:t>
            </w:r>
          </w:p>
        </w:tc>
      </w:tr>
      <w:tr w:rsidR="00A33179" w:rsidRPr="00AF3DCD" w14:paraId="1D566167" w14:textId="77777777" w:rsidTr="00746F3D">
        <w:tc>
          <w:tcPr>
            <w:tcW w:w="3827" w:type="dxa"/>
            <w:shd w:val="clear" w:color="auto" w:fill="auto"/>
          </w:tcPr>
          <w:p w14:paraId="6478F7C9" w14:textId="77777777" w:rsidR="00A33179" w:rsidRPr="001931F4" w:rsidRDefault="00A33179" w:rsidP="001931F4">
            <w:pPr>
              <w:rPr>
                <w:rFonts w:cs="Arial"/>
                <w:szCs w:val="24"/>
              </w:rPr>
            </w:pPr>
            <w:r w:rsidRPr="001931F4">
              <w:rPr>
                <w:rFonts w:cs="Arial"/>
                <w:szCs w:val="24"/>
              </w:rPr>
              <w:t>Total assets less Current Liabilities</w:t>
            </w:r>
          </w:p>
        </w:tc>
        <w:tc>
          <w:tcPr>
            <w:tcW w:w="2149" w:type="dxa"/>
            <w:shd w:val="clear" w:color="auto" w:fill="auto"/>
            <w:vAlign w:val="center"/>
          </w:tcPr>
          <w:p w14:paraId="0FC6CBFD" w14:textId="6A16F5A1" w:rsidR="00A33179" w:rsidRPr="001931F4" w:rsidRDefault="00A33179" w:rsidP="00746F3D">
            <w:pPr>
              <w:jc w:val="right"/>
              <w:rPr>
                <w:rFonts w:cs="Arial"/>
                <w:szCs w:val="24"/>
              </w:rPr>
            </w:pPr>
            <w:r w:rsidRPr="001931F4">
              <w:rPr>
                <w:rFonts w:cs="Arial"/>
                <w:szCs w:val="24"/>
              </w:rPr>
              <w:t>3</w:t>
            </w:r>
            <w:r w:rsidR="003C5E02" w:rsidRPr="001931F4">
              <w:rPr>
                <w:rFonts w:cs="Arial"/>
                <w:szCs w:val="24"/>
              </w:rPr>
              <w:t>5</w:t>
            </w:r>
            <w:r w:rsidRPr="001931F4">
              <w:rPr>
                <w:rFonts w:cs="Arial"/>
                <w:szCs w:val="24"/>
              </w:rPr>
              <w:t>1</w:t>
            </w:r>
          </w:p>
        </w:tc>
        <w:tc>
          <w:tcPr>
            <w:tcW w:w="2410" w:type="dxa"/>
            <w:vAlign w:val="center"/>
          </w:tcPr>
          <w:p w14:paraId="5A3EF5AF" w14:textId="17417431" w:rsidR="00A33179" w:rsidRPr="001931F4" w:rsidRDefault="00A33179" w:rsidP="00746F3D">
            <w:pPr>
              <w:jc w:val="right"/>
              <w:rPr>
                <w:rFonts w:cs="Arial"/>
                <w:szCs w:val="24"/>
              </w:rPr>
            </w:pPr>
            <w:r w:rsidRPr="001931F4">
              <w:rPr>
                <w:rFonts w:cs="Arial"/>
                <w:szCs w:val="24"/>
              </w:rPr>
              <w:t>321</w:t>
            </w:r>
          </w:p>
        </w:tc>
      </w:tr>
      <w:tr w:rsidR="00A33179" w:rsidRPr="00AF3DCD" w14:paraId="39C30A77" w14:textId="77777777" w:rsidTr="00746F3D">
        <w:tc>
          <w:tcPr>
            <w:tcW w:w="3827" w:type="dxa"/>
            <w:shd w:val="clear" w:color="auto" w:fill="auto"/>
          </w:tcPr>
          <w:p w14:paraId="15E38031" w14:textId="526BE87B" w:rsidR="00A33179" w:rsidRPr="001931F4" w:rsidRDefault="00A33179" w:rsidP="001931F4">
            <w:pPr>
              <w:rPr>
                <w:rFonts w:cs="Arial"/>
                <w:szCs w:val="24"/>
              </w:rPr>
            </w:pPr>
            <w:r w:rsidRPr="001931F4">
              <w:rPr>
                <w:rFonts w:cs="Arial"/>
                <w:szCs w:val="24"/>
              </w:rPr>
              <w:t xml:space="preserve">Net </w:t>
            </w:r>
            <w:r w:rsidR="003C5E02" w:rsidRPr="001931F4">
              <w:rPr>
                <w:rFonts w:cs="Arial"/>
                <w:szCs w:val="24"/>
              </w:rPr>
              <w:t>assets</w:t>
            </w:r>
            <w:r w:rsidRPr="001931F4">
              <w:rPr>
                <w:rFonts w:cs="Arial"/>
                <w:szCs w:val="24"/>
              </w:rPr>
              <w:t>*</w:t>
            </w:r>
          </w:p>
        </w:tc>
        <w:tc>
          <w:tcPr>
            <w:tcW w:w="2149" w:type="dxa"/>
            <w:shd w:val="clear" w:color="auto" w:fill="auto"/>
            <w:vAlign w:val="center"/>
          </w:tcPr>
          <w:p w14:paraId="53B98E1F" w14:textId="5399B0DA" w:rsidR="00A33179" w:rsidRPr="001931F4" w:rsidRDefault="003C5E02" w:rsidP="00746F3D">
            <w:pPr>
              <w:jc w:val="right"/>
              <w:rPr>
                <w:rFonts w:cs="Arial"/>
                <w:szCs w:val="24"/>
              </w:rPr>
            </w:pPr>
            <w:r w:rsidRPr="001931F4">
              <w:rPr>
                <w:rFonts w:cs="Arial"/>
                <w:szCs w:val="24"/>
              </w:rPr>
              <w:t>638</w:t>
            </w:r>
          </w:p>
        </w:tc>
        <w:tc>
          <w:tcPr>
            <w:tcW w:w="2410" w:type="dxa"/>
            <w:vAlign w:val="center"/>
          </w:tcPr>
          <w:p w14:paraId="699D7394" w14:textId="0F708148" w:rsidR="00A33179" w:rsidRPr="001931F4" w:rsidRDefault="00A33179" w:rsidP="00746F3D">
            <w:pPr>
              <w:jc w:val="right"/>
              <w:rPr>
                <w:rFonts w:cs="Arial"/>
                <w:szCs w:val="24"/>
              </w:rPr>
            </w:pPr>
            <w:r w:rsidRPr="001931F4">
              <w:rPr>
                <w:rFonts w:cs="Arial"/>
                <w:szCs w:val="24"/>
              </w:rPr>
              <w:t>(4,864)</w:t>
            </w:r>
          </w:p>
        </w:tc>
      </w:tr>
      <w:tr w:rsidR="00A33179" w:rsidRPr="00AF3DCD" w14:paraId="4F12D80C" w14:textId="77777777" w:rsidTr="00746F3D">
        <w:tc>
          <w:tcPr>
            <w:tcW w:w="3827" w:type="dxa"/>
            <w:shd w:val="clear" w:color="auto" w:fill="auto"/>
          </w:tcPr>
          <w:p w14:paraId="0A7553B2" w14:textId="77777777" w:rsidR="00A33179" w:rsidRPr="001931F4" w:rsidRDefault="00A33179" w:rsidP="001931F4">
            <w:pPr>
              <w:rPr>
                <w:rFonts w:cs="Arial"/>
                <w:szCs w:val="24"/>
              </w:rPr>
            </w:pPr>
            <w:r w:rsidRPr="001931F4">
              <w:rPr>
                <w:rFonts w:cs="Arial"/>
                <w:szCs w:val="24"/>
              </w:rPr>
              <w:t>(Loss) Before Taxation</w:t>
            </w:r>
          </w:p>
        </w:tc>
        <w:tc>
          <w:tcPr>
            <w:tcW w:w="2149" w:type="dxa"/>
            <w:shd w:val="clear" w:color="auto" w:fill="auto"/>
            <w:vAlign w:val="center"/>
          </w:tcPr>
          <w:p w14:paraId="52188CAF" w14:textId="03803CF9" w:rsidR="00A33179" w:rsidRPr="001931F4" w:rsidRDefault="00A33179" w:rsidP="00746F3D">
            <w:pPr>
              <w:jc w:val="right"/>
              <w:rPr>
                <w:rFonts w:cs="Arial"/>
                <w:szCs w:val="24"/>
              </w:rPr>
            </w:pPr>
            <w:r w:rsidRPr="001931F4">
              <w:rPr>
                <w:rFonts w:cs="Arial"/>
                <w:szCs w:val="24"/>
              </w:rPr>
              <w:t>(</w:t>
            </w:r>
            <w:r w:rsidR="003C5E02" w:rsidRPr="001931F4">
              <w:rPr>
                <w:rFonts w:cs="Arial"/>
                <w:szCs w:val="24"/>
              </w:rPr>
              <w:t>627</w:t>
            </w:r>
            <w:r w:rsidRPr="001931F4">
              <w:rPr>
                <w:rFonts w:cs="Arial"/>
                <w:szCs w:val="24"/>
              </w:rPr>
              <w:t>)</w:t>
            </w:r>
          </w:p>
        </w:tc>
        <w:tc>
          <w:tcPr>
            <w:tcW w:w="2410" w:type="dxa"/>
            <w:vAlign w:val="center"/>
          </w:tcPr>
          <w:p w14:paraId="24CF1B0E" w14:textId="5F548D6C" w:rsidR="00A33179" w:rsidRPr="001931F4" w:rsidRDefault="00A33179" w:rsidP="00746F3D">
            <w:pPr>
              <w:jc w:val="right"/>
              <w:rPr>
                <w:rFonts w:cs="Arial"/>
                <w:szCs w:val="24"/>
              </w:rPr>
            </w:pPr>
            <w:r w:rsidRPr="001931F4">
              <w:rPr>
                <w:rFonts w:cs="Arial"/>
                <w:szCs w:val="24"/>
              </w:rPr>
              <w:t>(803)</w:t>
            </w:r>
          </w:p>
        </w:tc>
      </w:tr>
      <w:tr w:rsidR="00A33179" w:rsidRPr="00AF3DCD" w14:paraId="17B90632" w14:textId="77777777" w:rsidTr="00746F3D">
        <w:tc>
          <w:tcPr>
            <w:tcW w:w="3827" w:type="dxa"/>
            <w:shd w:val="clear" w:color="auto" w:fill="auto"/>
          </w:tcPr>
          <w:p w14:paraId="20F72E4F" w14:textId="77777777" w:rsidR="00A33179" w:rsidRPr="001931F4" w:rsidRDefault="00A33179" w:rsidP="001931F4">
            <w:pPr>
              <w:rPr>
                <w:rFonts w:cs="Arial"/>
                <w:szCs w:val="24"/>
              </w:rPr>
            </w:pPr>
            <w:r w:rsidRPr="001931F4">
              <w:rPr>
                <w:rFonts w:cs="Arial"/>
                <w:szCs w:val="24"/>
              </w:rPr>
              <w:t>(Loss) After Taxation</w:t>
            </w:r>
          </w:p>
        </w:tc>
        <w:tc>
          <w:tcPr>
            <w:tcW w:w="2149" w:type="dxa"/>
            <w:shd w:val="clear" w:color="auto" w:fill="auto"/>
            <w:vAlign w:val="center"/>
          </w:tcPr>
          <w:p w14:paraId="45B86065" w14:textId="3063A76C" w:rsidR="00A33179" w:rsidRPr="001931F4" w:rsidRDefault="00A33179" w:rsidP="00746F3D">
            <w:pPr>
              <w:jc w:val="right"/>
              <w:rPr>
                <w:rFonts w:cs="Arial"/>
                <w:szCs w:val="24"/>
              </w:rPr>
            </w:pPr>
            <w:r w:rsidRPr="001931F4">
              <w:rPr>
                <w:rFonts w:cs="Arial"/>
                <w:szCs w:val="24"/>
              </w:rPr>
              <w:t>(</w:t>
            </w:r>
            <w:r w:rsidR="003C5E02" w:rsidRPr="001931F4">
              <w:rPr>
                <w:rFonts w:cs="Arial"/>
                <w:szCs w:val="24"/>
              </w:rPr>
              <w:t>634</w:t>
            </w:r>
            <w:r w:rsidRPr="001931F4">
              <w:rPr>
                <w:rFonts w:cs="Arial"/>
                <w:szCs w:val="24"/>
              </w:rPr>
              <w:t>)</w:t>
            </w:r>
          </w:p>
        </w:tc>
        <w:tc>
          <w:tcPr>
            <w:tcW w:w="2410" w:type="dxa"/>
            <w:vAlign w:val="center"/>
          </w:tcPr>
          <w:p w14:paraId="1818A9AA" w14:textId="41220E63" w:rsidR="00A33179" w:rsidRPr="001931F4" w:rsidRDefault="00A33179" w:rsidP="00746F3D">
            <w:pPr>
              <w:jc w:val="right"/>
              <w:rPr>
                <w:rFonts w:cs="Arial"/>
                <w:szCs w:val="24"/>
              </w:rPr>
            </w:pPr>
            <w:r w:rsidRPr="001931F4">
              <w:rPr>
                <w:rFonts w:cs="Arial"/>
                <w:szCs w:val="24"/>
              </w:rPr>
              <w:t>(803)</w:t>
            </w:r>
          </w:p>
        </w:tc>
      </w:tr>
      <w:tr w:rsidR="00A33179" w:rsidRPr="00AF3DCD" w14:paraId="1F319F0F" w14:textId="77777777" w:rsidTr="00746F3D">
        <w:tc>
          <w:tcPr>
            <w:tcW w:w="3827" w:type="dxa"/>
            <w:shd w:val="clear" w:color="auto" w:fill="auto"/>
          </w:tcPr>
          <w:p w14:paraId="302F5BAB" w14:textId="77777777" w:rsidR="00A33179" w:rsidRPr="001931F4" w:rsidRDefault="00A33179" w:rsidP="001931F4">
            <w:pPr>
              <w:rPr>
                <w:rFonts w:cs="Arial"/>
                <w:szCs w:val="24"/>
              </w:rPr>
            </w:pPr>
            <w:r w:rsidRPr="001931F4">
              <w:rPr>
                <w:rFonts w:cs="Arial"/>
                <w:szCs w:val="24"/>
              </w:rPr>
              <w:t>Debtor Balance (LFRS)</w:t>
            </w:r>
          </w:p>
        </w:tc>
        <w:tc>
          <w:tcPr>
            <w:tcW w:w="2149" w:type="dxa"/>
            <w:shd w:val="clear" w:color="auto" w:fill="auto"/>
            <w:vAlign w:val="center"/>
          </w:tcPr>
          <w:p w14:paraId="23DC8F1B" w14:textId="0B65DC25" w:rsidR="00A33179" w:rsidRPr="001931F4" w:rsidRDefault="00CC49B7" w:rsidP="00746F3D">
            <w:pPr>
              <w:jc w:val="right"/>
              <w:rPr>
                <w:rFonts w:cs="Arial"/>
                <w:szCs w:val="24"/>
              </w:rPr>
            </w:pPr>
            <w:r w:rsidRPr="001931F4">
              <w:rPr>
                <w:rFonts w:cs="Arial"/>
                <w:szCs w:val="24"/>
              </w:rPr>
              <w:t>10</w:t>
            </w:r>
          </w:p>
        </w:tc>
        <w:tc>
          <w:tcPr>
            <w:tcW w:w="2410" w:type="dxa"/>
            <w:vAlign w:val="center"/>
          </w:tcPr>
          <w:p w14:paraId="59C6B957" w14:textId="4A27A2EE" w:rsidR="00A33179" w:rsidRPr="001931F4" w:rsidRDefault="00A33179" w:rsidP="00746F3D">
            <w:pPr>
              <w:jc w:val="right"/>
              <w:rPr>
                <w:rFonts w:cs="Arial"/>
                <w:szCs w:val="24"/>
              </w:rPr>
            </w:pPr>
            <w:r w:rsidRPr="001931F4">
              <w:rPr>
                <w:rFonts w:cs="Arial"/>
                <w:szCs w:val="24"/>
              </w:rPr>
              <w:t>-</w:t>
            </w:r>
          </w:p>
        </w:tc>
      </w:tr>
      <w:tr w:rsidR="00A33179" w:rsidRPr="00AF3DCD" w14:paraId="7817D4EE" w14:textId="77777777" w:rsidTr="00746F3D">
        <w:tc>
          <w:tcPr>
            <w:tcW w:w="3827" w:type="dxa"/>
            <w:shd w:val="clear" w:color="auto" w:fill="auto"/>
          </w:tcPr>
          <w:p w14:paraId="4DAFC908" w14:textId="77777777" w:rsidR="00A33179" w:rsidRPr="001931F4" w:rsidRDefault="00A33179" w:rsidP="001931F4">
            <w:pPr>
              <w:rPr>
                <w:rFonts w:cs="Arial"/>
                <w:szCs w:val="24"/>
              </w:rPr>
            </w:pPr>
            <w:r w:rsidRPr="001931F4">
              <w:rPr>
                <w:rFonts w:cs="Arial"/>
                <w:szCs w:val="24"/>
              </w:rPr>
              <w:t>Creditor Balance (LFRS)</w:t>
            </w:r>
          </w:p>
        </w:tc>
        <w:tc>
          <w:tcPr>
            <w:tcW w:w="2149" w:type="dxa"/>
            <w:shd w:val="clear" w:color="auto" w:fill="auto"/>
            <w:vAlign w:val="center"/>
          </w:tcPr>
          <w:p w14:paraId="6BC015CA" w14:textId="3237BF54" w:rsidR="00A33179" w:rsidRPr="001931F4" w:rsidRDefault="00A33179" w:rsidP="00746F3D">
            <w:pPr>
              <w:jc w:val="right"/>
              <w:rPr>
                <w:rFonts w:cs="Arial"/>
                <w:szCs w:val="24"/>
              </w:rPr>
            </w:pPr>
            <w:r w:rsidRPr="001931F4">
              <w:rPr>
                <w:rFonts w:cs="Arial"/>
                <w:szCs w:val="24"/>
              </w:rPr>
              <w:t>-</w:t>
            </w:r>
          </w:p>
        </w:tc>
        <w:tc>
          <w:tcPr>
            <w:tcW w:w="2410" w:type="dxa"/>
            <w:vAlign w:val="center"/>
          </w:tcPr>
          <w:p w14:paraId="052446FB" w14:textId="0A029666" w:rsidR="00A33179" w:rsidRPr="001931F4" w:rsidRDefault="00A33179" w:rsidP="00746F3D">
            <w:pPr>
              <w:jc w:val="right"/>
              <w:rPr>
                <w:rFonts w:cs="Arial"/>
                <w:szCs w:val="24"/>
              </w:rPr>
            </w:pPr>
            <w:r w:rsidRPr="001931F4">
              <w:rPr>
                <w:rFonts w:cs="Arial"/>
                <w:szCs w:val="24"/>
              </w:rPr>
              <w:t>-</w:t>
            </w:r>
          </w:p>
        </w:tc>
      </w:tr>
      <w:tr w:rsidR="00A33179" w:rsidRPr="00AF3DCD" w14:paraId="7F285004" w14:textId="77777777" w:rsidTr="00746F3D">
        <w:tc>
          <w:tcPr>
            <w:tcW w:w="3827" w:type="dxa"/>
            <w:shd w:val="clear" w:color="auto" w:fill="auto"/>
          </w:tcPr>
          <w:p w14:paraId="4550B748" w14:textId="77777777" w:rsidR="00A33179" w:rsidRPr="001931F4" w:rsidRDefault="00A33179" w:rsidP="001931F4">
            <w:pPr>
              <w:rPr>
                <w:rFonts w:cs="Arial"/>
                <w:szCs w:val="24"/>
              </w:rPr>
            </w:pPr>
            <w:r w:rsidRPr="001931F4">
              <w:rPr>
                <w:rFonts w:cs="Arial"/>
                <w:szCs w:val="24"/>
              </w:rPr>
              <w:t xml:space="preserve">Invoices raised by NW </w:t>
            </w:r>
            <w:proofErr w:type="spellStart"/>
            <w:r w:rsidRPr="001931F4">
              <w:rPr>
                <w:rFonts w:cs="Arial"/>
                <w:szCs w:val="24"/>
              </w:rPr>
              <w:t>FireControl</w:t>
            </w:r>
            <w:proofErr w:type="spellEnd"/>
            <w:r w:rsidRPr="001931F4">
              <w:rPr>
                <w:rFonts w:cs="Arial"/>
                <w:szCs w:val="24"/>
              </w:rPr>
              <w:t xml:space="preserve"> to LFRS</w:t>
            </w:r>
          </w:p>
        </w:tc>
        <w:tc>
          <w:tcPr>
            <w:tcW w:w="2149" w:type="dxa"/>
            <w:shd w:val="clear" w:color="auto" w:fill="auto"/>
            <w:vAlign w:val="center"/>
          </w:tcPr>
          <w:p w14:paraId="449412B5" w14:textId="17A967B6" w:rsidR="00A33179" w:rsidRPr="001931F4" w:rsidRDefault="00A33179" w:rsidP="00746F3D">
            <w:pPr>
              <w:jc w:val="right"/>
              <w:rPr>
                <w:rFonts w:cs="Arial"/>
                <w:szCs w:val="24"/>
              </w:rPr>
            </w:pPr>
            <w:r w:rsidRPr="001931F4">
              <w:rPr>
                <w:rFonts w:cs="Arial"/>
                <w:szCs w:val="24"/>
              </w:rPr>
              <w:t>1,</w:t>
            </w:r>
            <w:r w:rsidR="009975E9" w:rsidRPr="001931F4">
              <w:rPr>
                <w:rFonts w:cs="Arial"/>
                <w:szCs w:val="24"/>
              </w:rPr>
              <w:t>424</w:t>
            </w:r>
          </w:p>
        </w:tc>
        <w:tc>
          <w:tcPr>
            <w:tcW w:w="2410" w:type="dxa"/>
            <w:vAlign w:val="center"/>
          </w:tcPr>
          <w:p w14:paraId="7CD2A974" w14:textId="486E5C9D" w:rsidR="00A33179" w:rsidRPr="001931F4" w:rsidRDefault="00A33179" w:rsidP="00746F3D">
            <w:pPr>
              <w:jc w:val="right"/>
              <w:rPr>
                <w:rFonts w:cs="Arial"/>
                <w:szCs w:val="24"/>
              </w:rPr>
            </w:pPr>
            <w:r w:rsidRPr="001931F4">
              <w:rPr>
                <w:rFonts w:cs="Arial"/>
                <w:szCs w:val="24"/>
              </w:rPr>
              <w:t>1,298</w:t>
            </w:r>
          </w:p>
        </w:tc>
      </w:tr>
      <w:tr w:rsidR="00A33179" w:rsidRPr="00AF3DCD" w14:paraId="1E3BDFEA" w14:textId="77777777" w:rsidTr="00746F3D">
        <w:tc>
          <w:tcPr>
            <w:tcW w:w="3827" w:type="dxa"/>
            <w:shd w:val="clear" w:color="auto" w:fill="auto"/>
          </w:tcPr>
          <w:p w14:paraId="4892AD67" w14:textId="77777777" w:rsidR="00A33179" w:rsidRPr="001931F4" w:rsidRDefault="00A33179" w:rsidP="001931F4">
            <w:pPr>
              <w:rPr>
                <w:rFonts w:cs="Arial"/>
                <w:szCs w:val="24"/>
              </w:rPr>
            </w:pPr>
            <w:r w:rsidRPr="001931F4">
              <w:rPr>
                <w:rFonts w:cs="Arial"/>
                <w:szCs w:val="24"/>
              </w:rPr>
              <w:t xml:space="preserve">Invoices raised by LFRS to NW </w:t>
            </w:r>
            <w:proofErr w:type="spellStart"/>
            <w:r w:rsidRPr="001931F4">
              <w:rPr>
                <w:rFonts w:cs="Arial"/>
                <w:szCs w:val="24"/>
              </w:rPr>
              <w:t>FireControl</w:t>
            </w:r>
            <w:proofErr w:type="spellEnd"/>
          </w:p>
        </w:tc>
        <w:tc>
          <w:tcPr>
            <w:tcW w:w="2149" w:type="dxa"/>
            <w:shd w:val="clear" w:color="auto" w:fill="auto"/>
            <w:vAlign w:val="center"/>
          </w:tcPr>
          <w:p w14:paraId="3E131D50" w14:textId="77777777" w:rsidR="00A33179" w:rsidRPr="001931F4" w:rsidRDefault="00A33179" w:rsidP="00746F3D">
            <w:pPr>
              <w:jc w:val="right"/>
              <w:rPr>
                <w:rFonts w:cs="Arial"/>
                <w:szCs w:val="24"/>
                <w:highlight w:val="red"/>
              </w:rPr>
            </w:pPr>
            <w:r w:rsidRPr="001931F4">
              <w:rPr>
                <w:rFonts w:cs="Arial"/>
                <w:szCs w:val="24"/>
              </w:rPr>
              <w:t>-</w:t>
            </w:r>
          </w:p>
        </w:tc>
        <w:tc>
          <w:tcPr>
            <w:tcW w:w="2410" w:type="dxa"/>
            <w:vAlign w:val="center"/>
          </w:tcPr>
          <w:p w14:paraId="18315D67" w14:textId="5D50DB5A" w:rsidR="00A33179" w:rsidRPr="001931F4" w:rsidRDefault="00A33179" w:rsidP="00746F3D">
            <w:pPr>
              <w:jc w:val="right"/>
              <w:rPr>
                <w:rFonts w:cs="Arial"/>
                <w:szCs w:val="24"/>
              </w:rPr>
            </w:pPr>
            <w:r w:rsidRPr="001931F4">
              <w:rPr>
                <w:rFonts w:cs="Arial"/>
                <w:szCs w:val="24"/>
              </w:rPr>
              <w:t>-</w:t>
            </w:r>
          </w:p>
        </w:tc>
      </w:tr>
    </w:tbl>
    <w:p w14:paraId="7A09C994" w14:textId="77777777" w:rsidR="009B6312" w:rsidRPr="00AF3DCD" w:rsidRDefault="009B6312" w:rsidP="00F06F0B">
      <w:pPr>
        <w:ind w:left="709"/>
        <w:jc w:val="both"/>
        <w:rPr>
          <w:rFonts w:cs="Arial"/>
          <w:sz w:val="22"/>
          <w:szCs w:val="22"/>
        </w:rPr>
      </w:pPr>
    </w:p>
    <w:p w14:paraId="64872E18" w14:textId="39701D79" w:rsidR="009B6312" w:rsidRPr="001931F4" w:rsidRDefault="009B6312" w:rsidP="001931F4">
      <w:pPr>
        <w:pStyle w:val="NoSpacing"/>
        <w:ind w:left="709"/>
        <w:rPr>
          <w:szCs w:val="24"/>
          <w:lang w:eastAsia="en-GB"/>
        </w:rPr>
      </w:pPr>
      <w:r w:rsidRPr="001931F4">
        <w:rPr>
          <w:szCs w:val="24"/>
          <w:lang w:eastAsia="en-GB"/>
        </w:rPr>
        <w:t xml:space="preserve">*Net </w:t>
      </w:r>
      <w:r w:rsidR="003C5E02" w:rsidRPr="001931F4">
        <w:rPr>
          <w:szCs w:val="24"/>
          <w:lang w:eastAsia="en-GB"/>
        </w:rPr>
        <w:t>assets</w:t>
      </w:r>
      <w:r w:rsidRPr="001931F4">
        <w:rPr>
          <w:szCs w:val="24"/>
          <w:lang w:eastAsia="en-GB"/>
        </w:rPr>
        <w:t xml:space="preserve"> includes the future pension liabilities under </w:t>
      </w:r>
      <w:r w:rsidR="00AD0F73" w:rsidRPr="001931F4">
        <w:rPr>
          <w:szCs w:val="24"/>
          <w:lang w:eastAsia="en-GB"/>
        </w:rPr>
        <w:t>IAS19</w:t>
      </w:r>
      <w:r w:rsidRPr="001931F4">
        <w:rPr>
          <w:szCs w:val="24"/>
          <w:lang w:eastAsia="en-GB"/>
        </w:rPr>
        <w:t xml:space="preserve"> reported by the Cheshire Pension Fund actuaries.</w:t>
      </w:r>
    </w:p>
    <w:p w14:paraId="31004E53" w14:textId="77777777" w:rsidR="009B6312" w:rsidRPr="001931F4" w:rsidRDefault="009B6312" w:rsidP="001931F4">
      <w:pPr>
        <w:pStyle w:val="NoSpacing"/>
        <w:ind w:left="709"/>
        <w:rPr>
          <w:szCs w:val="24"/>
          <w:lang w:eastAsia="en-GB"/>
        </w:rPr>
      </w:pPr>
      <w:r w:rsidRPr="001931F4">
        <w:rPr>
          <w:szCs w:val="24"/>
          <w:lang w:eastAsia="en-GB"/>
        </w:rPr>
        <w:t>All figures are shown net of VAT.</w:t>
      </w:r>
    </w:p>
    <w:p w14:paraId="73C98670" w14:textId="77777777" w:rsidR="009B6312" w:rsidRPr="001931F4" w:rsidRDefault="009B6312" w:rsidP="001931F4">
      <w:pPr>
        <w:pStyle w:val="NoSpacing"/>
        <w:ind w:left="709"/>
        <w:rPr>
          <w:szCs w:val="24"/>
          <w:lang w:eastAsia="en-GB"/>
        </w:rPr>
      </w:pPr>
      <w:r w:rsidRPr="001931F4">
        <w:rPr>
          <w:szCs w:val="24"/>
          <w:lang w:eastAsia="en-GB"/>
        </w:rPr>
        <w:t xml:space="preserve">Transactions between </w:t>
      </w:r>
      <w:r w:rsidR="00A1232B" w:rsidRPr="001931F4">
        <w:rPr>
          <w:szCs w:val="24"/>
          <w:lang w:eastAsia="en-GB"/>
        </w:rPr>
        <w:t>L</w:t>
      </w:r>
      <w:r w:rsidR="0037293D" w:rsidRPr="001931F4">
        <w:rPr>
          <w:szCs w:val="24"/>
          <w:lang w:eastAsia="en-GB"/>
        </w:rPr>
        <w:t xml:space="preserve">FRS and NW </w:t>
      </w:r>
      <w:proofErr w:type="spellStart"/>
      <w:r w:rsidR="0037293D" w:rsidRPr="001931F4">
        <w:rPr>
          <w:szCs w:val="24"/>
          <w:lang w:eastAsia="en-GB"/>
        </w:rPr>
        <w:t>Fire</w:t>
      </w:r>
      <w:r w:rsidRPr="001931F4">
        <w:rPr>
          <w:szCs w:val="24"/>
          <w:lang w:eastAsia="en-GB"/>
        </w:rPr>
        <w:t>Control</w:t>
      </w:r>
      <w:proofErr w:type="spellEnd"/>
      <w:r w:rsidRPr="001931F4">
        <w:rPr>
          <w:szCs w:val="24"/>
          <w:lang w:eastAsia="en-GB"/>
        </w:rPr>
        <w:t xml:space="preserve"> </w:t>
      </w:r>
      <w:r w:rsidR="002B520D" w:rsidRPr="001931F4">
        <w:rPr>
          <w:rFonts w:cs="Arial"/>
          <w:szCs w:val="24"/>
          <w:lang w:eastAsia="en-GB"/>
        </w:rPr>
        <w:t>Limited</w:t>
      </w:r>
      <w:r w:rsidR="002B520D" w:rsidRPr="001931F4">
        <w:rPr>
          <w:szCs w:val="24"/>
          <w:lang w:eastAsia="en-GB"/>
        </w:rPr>
        <w:t xml:space="preserve"> </w:t>
      </w:r>
      <w:r w:rsidRPr="001931F4">
        <w:rPr>
          <w:szCs w:val="24"/>
          <w:lang w:eastAsia="en-GB"/>
        </w:rPr>
        <w:t>inc</w:t>
      </w:r>
      <w:r w:rsidR="0037293D" w:rsidRPr="001931F4">
        <w:rPr>
          <w:szCs w:val="24"/>
          <w:lang w:eastAsia="en-GB"/>
        </w:rPr>
        <w:t xml:space="preserve">lude Invoices Raised by NW </w:t>
      </w:r>
      <w:proofErr w:type="spellStart"/>
      <w:r w:rsidR="0037293D" w:rsidRPr="001931F4">
        <w:rPr>
          <w:szCs w:val="24"/>
          <w:lang w:eastAsia="en-GB"/>
        </w:rPr>
        <w:t>Fire</w:t>
      </w:r>
      <w:r w:rsidRPr="001931F4">
        <w:rPr>
          <w:szCs w:val="24"/>
          <w:lang w:eastAsia="en-GB"/>
        </w:rPr>
        <w:t>Control</w:t>
      </w:r>
      <w:proofErr w:type="spellEnd"/>
      <w:r w:rsidRPr="001931F4">
        <w:rPr>
          <w:szCs w:val="24"/>
          <w:lang w:eastAsia="en-GB"/>
        </w:rPr>
        <w:t xml:space="preserve"> to </w:t>
      </w:r>
      <w:r w:rsidR="00A1232B" w:rsidRPr="001931F4">
        <w:rPr>
          <w:szCs w:val="24"/>
          <w:lang w:eastAsia="en-GB"/>
        </w:rPr>
        <w:t>L</w:t>
      </w:r>
      <w:r w:rsidRPr="001931F4">
        <w:rPr>
          <w:szCs w:val="24"/>
          <w:lang w:eastAsia="en-GB"/>
        </w:rPr>
        <w:t>FRS for t</w:t>
      </w:r>
      <w:r w:rsidR="00A1232B" w:rsidRPr="001931F4">
        <w:rPr>
          <w:szCs w:val="24"/>
          <w:lang w:eastAsia="en-GB"/>
        </w:rPr>
        <w:t xml:space="preserve">he Control Room service </w:t>
      </w:r>
      <w:r w:rsidRPr="001931F4">
        <w:rPr>
          <w:szCs w:val="24"/>
          <w:lang w:eastAsia="en-GB"/>
        </w:rPr>
        <w:t>and use of facilities in the building.</w:t>
      </w:r>
    </w:p>
    <w:p w14:paraId="1537710C" w14:textId="67E65003" w:rsidR="00D90216" w:rsidRPr="001931F4" w:rsidRDefault="009B6312" w:rsidP="001931F4">
      <w:pPr>
        <w:pStyle w:val="NoSpacing"/>
        <w:ind w:left="709"/>
        <w:rPr>
          <w:szCs w:val="24"/>
          <w:lang w:eastAsia="en-GB"/>
        </w:rPr>
      </w:pPr>
      <w:r w:rsidRPr="001931F4">
        <w:rPr>
          <w:szCs w:val="24"/>
          <w:lang w:eastAsia="en-GB"/>
        </w:rPr>
        <w:t xml:space="preserve">The </w:t>
      </w:r>
      <w:r w:rsidR="00680265" w:rsidRPr="001931F4">
        <w:rPr>
          <w:szCs w:val="24"/>
          <w:lang w:eastAsia="en-GB"/>
        </w:rPr>
        <w:t>Company’s</w:t>
      </w:r>
      <w:r w:rsidRPr="001931F4">
        <w:rPr>
          <w:szCs w:val="24"/>
          <w:lang w:eastAsia="en-GB"/>
        </w:rPr>
        <w:t xml:space="preserve"> Financial Statements can be obtained from Companies House with the deadline for submission as 31/12/20</w:t>
      </w:r>
      <w:r w:rsidR="003A7ED4" w:rsidRPr="001931F4">
        <w:rPr>
          <w:szCs w:val="24"/>
          <w:lang w:eastAsia="en-GB"/>
        </w:rPr>
        <w:t>2</w:t>
      </w:r>
      <w:r w:rsidR="00A33179" w:rsidRPr="001931F4">
        <w:rPr>
          <w:szCs w:val="24"/>
          <w:lang w:eastAsia="en-GB"/>
        </w:rPr>
        <w:t>3</w:t>
      </w:r>
      <w:r w:rsidR="002C0DE5" w:rsidRPr="001931F4">
        <w:rPr>
          <w:szCs w:val="24"/>
          <w:lang w:eastAsia="en-GB"/>
        </w:rPr>
        <w:t xml:space="preserve"> </w:t>
      </w:r>
      <w:r w:rsidRPr="001931F4">
        <w:rPr>
          <w:szCs w:val="24"/>
          <w:lang w:eastAsia="en-GB"/>
        </w:rPr>
        <w:t>for the final audited 20</w:t>
      </w:r>
      <w:r w:rsidR="00C52475" w:rsidRPr="001931F4">
        <w:rPr>
          <w:szCs w:val="24"/>
          <w:lang w:eastAsia="en-GB"/>
        </w:rPr>
        <w:t>2</w:t>
      </w:r>
      <w:r w:rsidR="00A33179" w:rsidRPr="001931F4">
        <w:rPr>
          <w:szCs w:val="24"/>
          <w:lang w:eastAsia="en-GB"/>
        </w:rPr>
        <w:t>2</w:t>
      </w:r>
      <w:r w:rsidR="006B2155" w:rsidRPr="001931F4">
        <w:rPr>
          <w:szCs w:val="24"/>
          <w:lang w:eastAsia="en-GB"/>
        </w:rPr>
        <w:t>/2</w:t>
      </w:r>
      <w:r w:rsidR="00A33179" w:rsidRPr="001931F4">
        <w:rPr>
          <w:szCs w:val="24"/>
          <w:lang w:eastAsia="en-GB"/>
        </w:rPr>
        <w:t>3</w:t>
      </w:r>
      <w:r w:rsidRPr="001931F4">
        <w:rPr>
          <w:szCs w:val="24"/>
          <w:lang w:eastAsia="en-GB"/>
        </w:rPr>
        <w:t xml:space="preserve"> accounts.</w:t>
      </w:r>
    </w:p>
    <w:bookmarkEnd w:id="65"/>
    <w:p w14:paraId="43DE6B4D" w14:textId="38E74E8B" w:rsidR="00885872" w:rsidRPr="00AF3DCD" w:rsidRDefault="00885872">
      <w:pPr>
        <w:rPr>
          <w:b/>
          <w:sz w:val="22"/>
        </w:rPr>
      </w:pPr>
    </w:p>
    <w:p w14:paraId="7FD1D649" w14:textId="683D8605" w:rsidR="0083182E" w:rsidRPr="006563F1" w:rsidRDefault="001C592E" w:rsidP="006563F1">
      <w:pPr>
        <w:pStyle w:val="Heading2"/>
        <w:jc w:val="left"/>
        <w:rPr>
          <w:sz w:val="24"/>
          <w:szCs w:val="24"/>
        </w:rPr>
      </w:pPr>
      <w:bookmarkStart w:id="67" w:name="_Toc166761556"/>
      <w:r w:rsidRPr="006563F1">
        <w:rPr>
          <w:sz w:val="24"/>
          <w:szCs w:val="24"/>
        </w:rPr>
        <w:t>2</w:t>
      </w:r>
      <w:r w:rsidR="00535820" w:rsidRPr="006563F1">
        <w:rPr>
          <w:sz w:val="24"/>
          <w:szCs w:val="24"/>
        </w:rPr>
        <w:t>3</w:t>
      </w:r>
      <w:r w:rsidR="00D90216" w:rsidRPr="006563F1">
        <w:rPr>
          <w:sz w:val="24"/>
          <w:szCs w:val="24"/>
        </w:rPr>
        <w:tab/>
      </w:r>
      <w:bookmarkStart w:id="68" w:name="N23"/>
      <w:bookmarkEnd w:id="68"/>
      <w:r w:rsidR="0083182E" w:rsidRPr="006563F1">
        <w:rPr>
          <w:sz w:val="24"/>
          <w:szCs w:val="24"/>
        </w:rPr>
        <w:t xml:space="preserve">Adjust net surplus/(deficit) on the provision of services for </w:t>
      </w:r>
      <w:r w:rsidR="00470E44" w:rsidRPr="006563F1">
        <w:rPr>
          <w:sz w:val="24"/>
          <w:szCs w:val="24"/>
        </w:rPr>
        <w:t>non-cash</w:t>
      </w:r>
      <w:r w:rsidR="0083182E" w:rsidRPr="006563F1">
        <w:rPr>
          <w:sz w:val="24"/>
          <w:szCs w:val="24"/>
        </w:rPr>
        <w:t xml:space="preserve"> </w:t>
      </w:r>
      <w:proofErr w:type="gramStart"/>
      <w:r w:rsidR="0083182E" w:rsidRPr="006563F1">
        <w:rPr>
          <w:sz w:val="24"/>
          <w:szCs w:val="24"/>
        </w:rPr>
        <w:t>movements</w:t>
      </w:r>
      <w:bookmarkEnd w:id="67"/>
      <w:proofErr w:type="gramEnd"/>
    </w:p>
    <w:p w14:paraId="3016A821" w14:textId="77777777" w:rsidR="0083182E" w:rsidRPr="00787228" w:rsidRDefault="0083182E" w:rsidP="0083182E">
      <w:pPr>
        <w:ind w:left="709"/>
        <w:jc w:val="both"/>
        <w:rPr>
          <w:szCs w:val="24"/>
        </w:rPr>
      </w:pPr>
    </w:p>
    <w:tbl>
      <w:tblPr>
        <w:tblW w:w="841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867"/>
        <w:gridCol w:w="1867"/>
      </w:tblGrid>
      <w:tr w:rsidR="00670DBF" w:rsidRPr="00787228" w14:paraId="4ACD6A35" w14:textId="77777777" w:rsidTr="00611673">
        <w:trPr>
          <w:trHeight w:hRule="exact" w:val="564"/>
          <w:tblHeader/>
        </w:trPr>
        <w:tc>
          <w:tcPr>
            <w:tcW w:w="4680" w:type="dxa"/>
            <w:shd w:val="clear" w:color="auto" w:fill="BD2716"/>
          </w:tcPr>
          <w:p w14:paraId="703CCC55" w14:textId="77777777" w:rsidR="00670DBF" w:rsidRPr="00982FEC" w:rsidRDefault="00670DBF" w:rsidP="00670DBF">
            <w:pPr>
              <w:tabs>
                <w:tab w:val="left" w:pos="720"/>
                <w:tab w:val="center" w:pos="6930"/>
              </w:tabs>
              <w:rPr>
                <w:color w:val="FFFFFF" w:themeColor="background1"/>
                <w:szCs w:val="24"/>
              </w:rPr>
            </w:pPr>
          </w:p>
        </w:tc>
        <w:tc>
          <w:tcPr>
            <w:tcW w:w="1867" w:type="dxa"/>
            <w:shd w:val="clear" w:color="auto" w:fill="BD2716"/>
            <w:vAlign w:val="center"/>
          </w:tcPr>
          <w:p w14:paraId="4B925B2F" w14:textId="77777777" w:rsidR="00670DBF" w:rsidRPr="00982FEC" w:rsidRDefault="00670DBF" w:rsidP="00611673">
            <w:pPr>
              <w:jc w:val="right"/>
              <w:rPr>
                <w:color w:val="FFFFFF" w:themeColor="background1"/>
                <w:szCs w:val="24"/>
              </w:rPr>
            </w:pPr>
            <w:r w:rsidRPr="00982FEC">
              <w:rPr>
                <w:color w:val="FFFFFF" w:themeColor="background1"/>
                <w:szCs w:val="24"/>
              </w:rPr>
              <w:t>202</w:t>
            </w:r>
            <w:r w:rsidR="00A33179" w:rsidRPr="00982FEC">
              <w:rPr>
                <w:color w:val="FFFFFF" w:themeColor="background1"/>
                <w:szCs w:val="24"/>
              </w:rPr>
              <w:t>2</w:t>
            </w:r>
            <w:r w:rsidRPr="00982FEC">
              <w:rPr>
                <w:color w:val="FFFFFF" w:themeColor="background1"/>
                <w:szCs w:val="24"/>
              </w:rPr>
              <w:t>/2</w:t>
            </w:r>
            <w:r w:rsidR="00A33179" w:rsidRPr="00982FEC">
              <w:rPr>
                <w:color w:val="FFFFFF" w:themeColor="background1"/>
                <w:szCs w:val="24"/>
              </w:rPr>
              <w:t>3</w:t>
            </w:r>
          </w:p>
          <w:p w14:paraId="6777CA9E" w14:textId="196BEBDB" w:rsidR="00021F7E" w:rsidRPr="00982FEC" w:rsidRDefault="00021F7E" w:rsidP="00611673">
            <w:pPr>
              <w:jc w:val="right"/>
              <w:rPr>
                <w:color w:val="FFFFFF" w:themeColor="background1"/>
                <w:szCs w:val="24"/>
              </w:rPr>
            </w:pPr>
            <w:r w:rsidRPr="00982FEC">
              <w:rPr>
                <w:color w:val="FFFFFF" w:themeColor="background1"/>
                <w:szCs w:val="24"/>
              </w:rPr>
              <w:t>£000</w:t>
            </w:r>
          </w:p>
        </w:tc>
        <w:tc>
          <w:tcPr>
            <w:tcW w:w="1867" w:type="dxa"/>
            <w:shd w:val="clear" w:color="auto" w:fill="BD2716"/>
            <w:vAlign w:val="center"/>
          </w:tcPr>
          <w:p w14:paraId="33F77A49" w14:textId="77777777" w:rsidR="00670DBF" w:rsidRPr="00982FEC" w:rsidRDefault="00670DBF" w:rsidP="00611673">
            <w:pPr>
              <w:jc w:val="right"/>
              <w:rPr>
                <w:color w:val="FFFFFF" w:themeColor="background1"/>
                <w:szCs w:val="24"/>
              </w:rPr>
            </w:pPr>
            <w:r w:rsidRPr="00982FEC">
              <w:rPr>
                <w:color w:val="FFFFFF" w:themeColor="background1"/>
                <w:szCs w:val="24"/>
              </w:rPr>
              <w:t>202</w:t>
            </w:r>
            <w:r w:rsidR="00A33179" w:rsidRPr="00982FEC">
              <w:rPr>
                <w:color w:val="FFFFFF" w:themeColor="background1"/>
                <w:szCs w:val="24"/>
              </w:rPr>
              <w:t>1</w:t>
            </w:r>
            <w:r w:rsidRPr="00982FEC">
              <w:rPr>
                <w:color w:val="FFFFFF" w:themeColor="background1"/>
                <w:szCs w:val="24"/>
              </w:rPr>
              <w:t>/2</w:t>
            </w:r>
            <w:r w:rsidR="00A33179" w:rsidRPr="00982FEC">
              <w:rPr>
                <w:color w:val="FFFFFF" w:themeColor="background1"/>
                <w:szCs w:val="24"/>
              </w:rPr>
              <w:t>2</w:t>
            </w:r>
          </w:p>
          <w:p w14:paraId="19983810" w14:textId="192C15F9" w:rsidR="00021F7E" w:rsidRPr="00982FEC" w:rsidRDefault="00021F7E" w:rsidP="00611673">
            <w:pPr>
              <w:jc w:val="right"/>
              <w:rPr>
                <w:color w:val="FFFFFF" w:themeColor="background1"/>
                <w:szCs w:val="24"/>
              </w:rPr>
            </w:pPr>
            <w:r w:rsidRPr="00982FEC">
              <w:rPr>
                <w:color w:val="FFFFFF" w:themeColor="background1"/>
                <w:szCs w:val="24"/>
              </w:rPr>
              <w:t>£000</w:t>
            </w:r>
          </w:p>
        </w:tc>
      </w:tr>
      <w:tr w:rsidR="00A33179" w:rsidRPr="00787228" w14:paraId="4E13F36E" w14:textId="77777777" w:rsidTr="00746F3D">
        <w:trPr>
          <w:trHeight w:hRule="exact" w:val="300"/>
        </w:trPr>
        <w:tc>
          <w:tcPr>
            <w:tcW w:w="4680" w:type="dxa"/>
          </w:tcPr>
          <w:p w14:paraId="26DF27E4" w14:textId="77777777" w:rsidR="00A33179" w:rsidRPr="00787228" w:rsidRDefault="00A33179" w:rsidP="00A33179">
            <w:pPr>
              <w:tabs>
                <w:tab w:val="left" w:pos="720"/>
                <w:tab w:val="center" w:pos="6930"/>
              </w:tabs>
              <w:rPr>
                <w:szCs w:val="24"/>
              </w:rPr>
            </w:pPr>
            <w:r w:rsidRPr="00787228">
              <w:rPr>
                <w:szCs w:val="24"/>
              </w:rPr>
              <w:t>Depreciation</w:t>
            </w:r>
          </w:p>
        </w:tc>
        <w:tc>
          <w:tcPr>
            <w:tcW w:w="1867" w:type="dxa"/>
            <w:vAlign w:val="center"/>
          </w:tcPr>
          <w:p w14:paraId="5A0A0D33" w14:textId="0E4D0123" w:rsidR="00A33179" w:rsidRPr="00787228" w:rsidRDefault="0014526F" w:rsidP="00746F3D">
            <w:pPr>
              <w:tabs>
                <w:tab w:val="decimal" w:pos="1080"/>
              </w:tabs>
              <w:jc w:val="right"/>
              <w:rPr>
                <w:szCs w:val="24"/>
              </w:rPr>
            </w:pPr>
            <w:r w:rsidRPr="00787228">
              <w:rPr>
                <w:szCs w:val="24"/>
              </w:rPr>
              <w:t>5,588</w:t>
            </w:r>
          </w:p>
        </w:tc>
        <w:tc>
          <w:tcPr>
            <w:tcW w:w="1867" w:type="dxa"/>
            <w:vAlign w:val="center"/>
          </w:tcPr>
          <w:p w14:paraId="444952F8" w14:textId="3917AAD8" w:rsidR="00A33179" w:rsidRPr="00787228" w:rsidRDefault="00A33179" w:rsidP="00746F3D">
            <w:pPr>
              <w:tabs>
                <w:tab w:val="decimal" w:pos="1080"/>
              </w:tabs>
              <w:jc w:val="right"/>
              <w:rPr>
                <w:szCs w:val="24"/>
              </w:rPr>
            </w:pPr>
            <w:r w:rsidRPr="00787228">
              <w:rPr>
                <w:szCs w:val="24"/>
              </w:rPr>
              <w:t>4,791</w:t>
            </w:r>
          </w:p>
        </w:tc>
      </w:tr>
      <w:tr w:rsidR="00A33179" w:rsidRPr="00787228" w14:paraId="1C1D38C5" w14:textId="77777777" w:rsidTr="00746F3D">
        <w:trPr>
          <w:trHeight w:hRule="exact" w:val="277"/>
        </w:trPr>
        <w:tc>
          <w:tcPr>
            <w:tcW w:w="4680" w:type="dxa"/>
          </w:tcPr>
          <w:p w14:paraId="6E6EA4AA" w14:textId="77777777" w:rsidR="00A33179" w:rsidRPr="00787228" w:rsidRDefault="00A33179" w:rsidP="00A33179">
            <w:pPr>
              <w:tabs>
                <w:tab w:val="left" w:pos="720"/>
                <w:tab w:val="center" w:pos="6930"/>
              </w:tabs>
              <w:rPr>
                <w:szCs w:val="24"/>
              </w:rPr>
            </w:pPr>
            <w:r w:rsidRPr="00787228">
              <w:rPr>
                <w:szCs w:val="24"/>
              </w:rPr>
              <w:t>Impairment &amp; downwards valuations</w:t>
            </w:r>
          </w:p>
        </w:tc>
        <w:tc>
          <w:tcPr>
            <w:tcW w:w="1867" w:type="dxa"/>
            <w:vAlign w:val="center"/>
          </w:tcPr>
          <w:p w14:paraId="25B00891" w14:textId="3B316239" w:rsidR="00A33179" w:rsidRPr="00787228" w:rsidRDefault="0014526F" w:rsidP="00746F3D">
            <w:pPr>
              <w:tabs>
                <w:tab w:val="decimal" w:pos="1080"/>
              </w:tabs>
              <w:jc w:val="right"/>
              <w:rPr>
                <w:szCs w:val="24"/>
              </w:rPr>
            </w:pPr>
            <w:r w:rsidRPr="00787228">
              <w:rPr>
                <w:szCs w:val="24"/>
              </w:rPr>
              <w:t>271</w:t>
            </w:r>
          </w:p>
        </w:tc>
        <w:tc>
          <w:tcPr>
            <w:tcW w:w="1867" w:type="dxa"/>
            <w:vAlign w:val="center"/>
          </w:tcPr>
          <w:p w14:paraId="553CA341" w14:textId="4F8B414C" w:rsidR="00A33179" w:rsidRPr="00787228" w:rsidRDefault="00A33179" w:rsidP="00746F3D">
            <w:pPr>
              <w:tabs>
                <w:tab w:val="decimal" w:pos="1080"/>
              </w:tabs>
              <w:jc w:val="right"/>
              <w:rPr>
                <w:szCs w:val="24"/>
              </w:rPr>
            </w:pPr>
            <w:r w:rsidRPr="00787228">
              <w:rPr>
                <w:szCs w:val="24"/>
              </w:rPr>
              <w:t>72</w:t>
            </w:r>
          </w:p>
        </w:tc>
      </w:tr>
      <w:tr w:rsidR="00A33179" w:rsidRPr="00787228" w14:paraId="5F531D75" w14:textId="77777777" w:rsidTr="00746F3D">
        <w:trPr>
          <w:trHeight w:hRule="exact" w:val="277"/>
        </w:trPr>
        <w:tc>
          <w:tcPr>
            <w:tcW w:w="4680" w:type="dxa"/>
          </w:tcPr>
          <w:p w14:paraId="28178CD9" w14:textId="77777777" w:rsidR="00A33179" w:rsidRPr="00787228" w:rsidRDefault="00A33179" w:rsidP="00A33179">
            <w:pPr>
              <w:tabs>
                <w:tab w:val="left" w:pos="720"/>
                <w:tab w:val="center" w:pos="6930"/>
              </w:tabs>
              <w:rPr>
                <w:szCs w:val="24"/>
              </w:rPr>
            </w:pPr>
            <w:r w:rsidRPr="00787228">
              <w:rPr>
                <w:szCs w:val="24"/>
              </w:rPr>
              <w:t>Amortisation</w:t>
            </w:r>
          </w:p>
        </w:tc>
        <w:tc>
          <w:tcPr>
            <w:tcW w:w="1867" w:type="dxa"/>
            <w:vAlign w:val="center"/>
          </w:tcPr>
          <w:p w14:paraId="2A832BE9" w14:textId="7091FB9F" w:rsidR="00A33179" w:rsidRPr="00787228" w:rsidRDefault="0014526F" w:rsidP="00746F3D">
            <w:pPr>
              <w:tabs>
                <w:tab w:val="decimal" w:pos="1080"/>
              </w:tabs>
              <w:jc w:val="right"/>
              <w:rPr>
                <w:szCs w:val="24"/>
              </w:rPr>
            </w:pPr>
            <w:r w:rsidRPr="00787228">
              <w:rPr>
                <w:szCs w:val="24"/>
              </w:rPr>
              <w:t>94</w:t>
            </w:r>
          </w:p>
        </w:tc>
        <w:tc>
          <w:tcPr>
            <w:tcW w:w="1867" w:type="dxa"/>
            <w:vAlign w:val="center"/>
          </w:tcPr>
          <w:p w14:paraId="1D2E2D1B" w14:textId="50278A1C" w:rsidR="00A33179" w:rsidRPr="00787228" w:rsidRDefault="00A33179" w:rsidP="00746F3D">
            <w:pPr>
              <w:tabs>
                <w:tab w:val="decimal" w:pos="1080"/>
              </w:tabs>
              <w:jc w:val="right"/>
              <w:rPr>
                <w:szCs w:val="24"/>
              </w:rPr>
            </w:pPr>
            <w:r w:rsidRPr="00787228">
              <w:rPr>
                <w:szCs w:val="24"/>
              </w:rPr>
              <w:t>158</w:t>
            </w:r>
          </w:p>
        </w:tc>
      </w:tr>
      <w:tr w:rsidR="00A33179" w:rsidRPr="00787228" w14:paraId="46B3A49D" w14:textId="77777777" w:rsidTr="00746F3D">
        <w:trPr>
          <w:trHeight w:hRule="exact" w:val="277"/>
        </w:trPr>
        <w:tc>
          <w:tcPr>
            <w:tcW w:w="4680" w:type="dxa"/>
          </w:tcPr>
          <w:p w14:paraId="129E0905" w14:textId="77777777" w:rsidR="00A33179" w:rsidRPr="00787228" w:rsidRDefault="00A33179" w:rsidP="00A33179">
            <w:pPr>
              <w:tabs>
                <w:tab w:val="left" w:pos="720"/>
                <w:tab w:val="center" w:pos="6930"/>
              </w:tabs>
              <w:rPr>
                <w:szCs w:val="24"/>
              </w:rPr>
            </w:pPr>
            <w:r w:rsidRPr="00787228">
              <w:rPr>
                <w:szCs w:val="24"/>
              </w:rPr>
              <w:t>Increase/(decrease) in provisions</w:t>
            </w:r>
          </w:p>
        </w:tc>
        <w:tc>
          <w:tcPr>
            <w:tcW w:w="1867" w:type="dxa"/>
            <w:vAlign w:val="center"/>
          </w:tcPr>
          <w:p w14:paraId="53CCAD6D" w14:textId="5B1CA322" w:rsidR="00A33179" w:rsidRPr="00787228" w:rsidRDefault="0014526F" w:rsidP="00746F3D">
            <w:pPr>
              <w:tabs>
                <w:tab w:val="decimal" w:pos="1080"/>
              </w:tabs>
              <w:jc w:val="right"/>
              <w:rPr>
                <w:szCs w:val="24"/>
              </w:rPr>
            </w:pPr>
            <w:r w:rsidRPr="00787228">
              <w:rPr>
                <w:szCs w:val="24"/>
              </w:rPr>
              <w:t>(207)</w:t>
            </w:r>
          </w:p>
        </w:tc>
        <w:tc>
          <w:tcPr>
            <w:tcW w:w="1867" w:type="dxa"/>
            <w:vAlign w:val="center"/>
          </w:tcPr>
          <w:p w14:paraId="00D070E2" w14:textId="0F78094E" w:rsidR="00A33179" w:rsidRPr="00787228" w:rsidRDefault="00A33179" w:rsidP="00746F3D">
            <w:pPr>
              <w:tabs>
                <w:tab w:val="decimal" w:pos="1080"/>
              </w:tabs>
              <w:jc w:val="right"/>
              <w:rPr>
                <w:szCs w:val="24"/>
              </w:rPr>
            </w:pPr>
            <w:r w:rsidRPr="00787228">
              <w:rPr>
                <w:szCs w:val="24"/>
              </w:rPr>
              <w:t>48</w:t>
            </w:r>
          </w:p>
        </w:tc>
      </w:tr>
      <w:tr w:rsidR="00A33179" w:rsidRPr="00787228" w14:paraId="7CC9E0E9" w14:textId="77777777" w:rsidTr="00746F3D">
        <w:trPr>
          <w:trHeight w:hRule="exact" w:val="277"/>
        </w:trPr>
        <w:tc>
          <w:tcPr>
            <w:tcW w:w="4680" w:type="dxa"/>
          </w:tcPr>
          <w:p w14:paraId="74BEFFA9" w14:textId="77777777" w:rsidR="00A33179" w:rsidRPr="00787228" w:rsidRDefault="00A33179" w:rsidP="00A33179">
            <w:pPr>
              <w:tabs>
                <w:tab w:val="left" w:pos="720"/>
                <w:tab w:val="center" w:pos="6930"/>
              </w:tabs>
              <w:rPr>
                <w:szCs w:val="24"/>
              </w:rPr>
            </w:pPr>
            <w:r w:rsidRPr="00787228">
              <w:rPr>
                <w:szCs w:val="24"/>
              </w:rPr>
              <w:t>Increase/(decrease) in creditors</w:t>
            </w:r>
          </w:p>
        </w:tc>
        <w:tc>
          <w:tcPr>
            <w:tcW w:w="1867" w:type="dxa"/>
            <w:vAlign w:val="center"/>
          </w:tcPr>
          <w:p w14:paraId="5E62F46C" w14:textId="633ACBE6" w:rsidR="00A33179" w:rsidRPr="00787228" w:rsidRDefault="0014526F" w:rsidP="00746F3D">
            <w:pPr>
              <w:tabs>
                <w:tab w:val="decimal" w:pos="1080"/>
              </w:tabs>
              <w:jc w:val="right"/>
              <w:rPr>
                <w:szCs w:val="24"/>
              </w:rPr>
            </w:pPr>
            <w:r w:rsidRPr="00787228">
              <w:rPr>
                <w:szCs w:val="24"/>
              </w:rPr>
              <w:t>906</w:t>
            </w:r>
          </w:p>
        </w:tc>
        <w:tc>
          <w:tcPr>
            <w:tcW w:w="1867" w:type="dxa"/>
            <w:vAlign w:val="center"/>
          </w:tcPr>
          <w:p w14:paraId="7C614B9F" w14:textId="5A645D95" w:rsidR="00A33179" w:rsidRPr="00787228" w:rsidRDefault="00A33179" w:rsidP="00746F3D">
            <w:pPr>
              <w:tabs>
                <w:tab w:val="decimal" w:pos="1080"/>
              </w:tabs>
              <w:jc w:val="right"/>
              <w:rPr>
                <w:szCs w:val="24"/>
              </w:rPr>
            </w:pPr>
            <w:r w:rsidRPr="00787228">
              <w:rPr>
                <w:szCs w:val="24"/>
              </w:rPr>
              <w:t>(2,670)</w:t>
            </w:r>
          </w:p>
        </w:tc>
      </w:tr>
      <w:tr w:rsidR="00A33179" w:rsidRPr="00787228" w14:paraId="630F9869" w14:textId="77777777" w:rsidTr="00746F3D">
        <w:trPr>
          <w:trHeight w:hRule="exact" w:val="277"/>
        </w:trPr>
        <w:tc>
          <w:tcPr>
            <w:tcW w:w="4680" w:type="dxa"/>
          </w:tcPr>
          <w:p w14:paraId="67C6527D" w14:textId="77777777" w:rsidR="00A33179" w:rsidRPr="00787228" w:rsidRDefault="00A33179" w:rsidP="00A33179">
            <w:pPr>
              <w:tabs>
                <w:tab w:val="left" w:pos="720"/>
                <w:tab w:val="center" w:pos="6930"/>
              </w:tabs>
              <w:rPr>
                <w:szCs w:val="24"/>
              </w:rPr>
            </w:pPr>
            <w:r w:rsidRPr="00787228">
              <w:rPr>
                <w:szCs w:val="24"/>
              </w:rPr>
              <w:t>(Increase)/decrease in debtors</w:t>
            </w:r>
          </w:p>
        </w:tc>
        <w:tc>
          <w:tcPr>
            <w:tcW w:w="1867" w:type="dxa"/>
            <w:vAlign w:val="center"/>
          </w:tcPr>
          <w:p w14:paraId="3E576B63" w14:textId="61542F8E" w:rsidR="00A33179" w:rsidRPr="00787228" w:rsidRDefault="00A33179" w:rsidP="00746F3D">
            <w:pPr>
              <w:tabs>
                <w:tab w:val="decimal" w:pos="1080"/>
              </w:tabs>
              <w:jc w:val="right"/>
              <w:rPr>
                <w:szCs w:val="24"/>
              </w:rPr>
            </w:pPr>
            <w:r w:rsidRPr="00787228">
              <w:rPr>
                <w:szCs w:val="24"/>
              </w:rPr>
              <w:t>(</w:t>
            </w:r>
            <w:r w:rsidR="0014526F" w:rsidRPr="00787228">
              <w:rPr>
                <w:szCs w:val="24"/>
              </w:rPr>
              <w:t>3,783</w:t>
            </w:r>
            <w:r w:rsidRPr="00787228">
              <w:rPr>
                <w:szCs w:val="24"/>
              </w:rPr>
              <w:t>)</w:t>
            </w:r>
          </w:p>
        </w:tc>
        <w:tc>
          <w:tcPr>
            <w:tcW w:w="1867" w:type="dxa"/>
            <w:vAlign w:val="center"/>
          </w:tcPr>
          <w:p w14:paraId="6281AA10" w14:textId="24961456" w:rsidR="00A33179" w:rsidRPr="00787228" w:rsidRDefault="00A33179" w:rsidP="00746F3D">
            <w:pPr>
              <w:tabs>
                <w:tab w:val="decimal" w:pos="1080"/>
              </w:tabs>
              <w:jc w:val="right"/>
              <w:rPr>
                <w:szCs w:val="24"/>
              </w:rPr>
            </w:pPr>
            <w:r w:rsidRPr="00787228">
              <w:rPr>
                <w:szCs w:val="24"/>
              </w:rPr>
              <w:t>(2,003)</w:t>
            </w:r>
          </w:p>
        </w:tc>
      </w:tr>
      <w:tr w:rsidR="00A33179" w:rsidRPr="00787228" w14:paraId="1F20EE85" w14:textId="77777777" w:rsidTr="00746F3D">
        <w:trPr>
          <w:trHeight w:hRule="exact" w:val="277"/>
        </w:trPr>
        <w:tc>
          <w:tcPr>
            <w:tcW w:w="4680" w:type="dxa"/>
          </w:tcPr>
          <w:p w14:paraId="6856D8B2" w14:textId="77777777" w:rsidR="00A33179" w:rsidRPr="00787228" w:rsidRDefault="00A33179" w:rsidP="00A33179">
            <w:pPr>
              <w:tabs>
                <w:tab w:val="left" w:pos="720"/>
                <w:tab w:val="center" w:pos="6930"/>
              </w:tabs>
              <w:rPr>
                <w:szCs w:val="24"/>
              </w:rPr>
            </w:pPr>
            <w:r w:rsidRPr="00787228">
              <w:rPr>
                <w:szCs w:val="24"/>
              </w:rPr>
              <w:t>(Increase)/decrease in stock</w:t>
            </w:r>
          </w:p>
        </w:tc>
        <w:tc>
          <w:tcPr>
            <w:tcW w:w="1867" w:type="dxa"/>
            <w:vAlign w:val="center"/>
          </w:tcPr>
          <w:p w14:paraId="66C41BB9" w14:textId="74AB3C4B" w:rsidR="00A33179" w:rsidRPr="00787228" w:rsidRDefault="0014526F" w:rsidP="00746F3D">
            <w:pPr>
              <w:tabs>
                <w:tab w:val="decimal" w:pos="1080"/>
              </w:tabs>
              <w:jc w:val="right"/>
              <w:rPr>
                <w:szCs w:val="24"/>
              </w:rPr>
            </w:pPr>
            <w:r w:rsidRPr="00787228">
              <w:rPr>
                <w:szCs w:val="24"/>
              </w:rPr>
              <w:t>(5</w:t>
            </w:r>
            <w:r w:rsidR="00762A90" w:rsidRPr="00787228">
              <w:rPr>
                <w:szCs w:val="24"/>
              </w:rPr>
              <w:t>3</w:t>
            </w:r>
            <w:r w:rsidRPr="00787228">
              <w:rPr>
                <w:szCs w:val="24"/>
              </w:rPr>
              <w:t>)</w:t>
            </w:r>
          </w:p>
        </w:tc>
        <w:tc>
          <w:tcPr>
            <w:tcW w:w="1867" w:type="dxa"/>
            <w:vAlign w:val="center"/>
          </w:tcPr>
          <w:p w14:paraId="1CDE43E2" w14:textId="0F69C509" w:rsidR="00A33179" w:rsidRPr="00787228" w:rsidRDefault="00A33179" w:rsidP="00746F3D">
            <w:pPr>
              <w:tabs>
                <w:tab w:val="decimal" w:pos="1080"/>
              </w:tabs>
              <w:jc w:val="right"/>
              <w:rPr>
                <w:szCs w:val="24"/>
              </w:rPr>
            </w:pPr>
            <w:r w:rsidRPr="00787228">
              <w:rPr>
                <w:szCs w:val="24"/>
              </w:rPr>
              <w:t>21</w:t>
            </w:r>
          </w:p>
        </w:tc>
      </w:tr>
      <w:tr w:rsidR="00A33179" w:rsidRPr="00787228" w14:paraId="0F97996C" w14:textId="77777777" w:rsidTr="00746F3D">
        <w:trPr>
          <w:trHeight w:hRule="exact" w:val="277"/>
        </w:trPr>
        <w:tc>
          <w:tcPr>
            <w:tcW w:w="4680" w:type="dxa"/>
          </w:tcPr>
          <w:p w14:paraId="5038592C" w14:textId="7D4C31C2" w:rsidR="00A33179" w:rsidRPr="00787228" w:rsidRDefault="00A33179" w:rsidP="00A33179">
            <w:pPr>
              <w:tabs>
                <w:tab w:val="left" w:pos="720"/>
                <w:tab w:val="center" w:pos="6930"/>
              </w:tabs>
              <w:rPr>
                <w:szCs w:val="24"/>
              </w:rPr>
            </w:pPr>
            <w:r w:rsidRPr="00787228">
              <w:rPr>
                <w:szCs w:val="24"/>
              </w:rPr>
              <w:t>(Increase)/decrease in LGPS pension liability</w:t>
            </w:r>
          </w:p>
        </w:tc>
        <w:tc>
          <w:tcPr>
            <w:tcW w:w="1867" w:type="dxa"/>
            <w:vAlign w:val="center"/>
          </w:tcPr>
          <w:p w14:paraId="1CC1CB06" w14:textId="56538B8A" w:rsidR="00A33179" w:rsidRPr="00787228" w:rsidRDefault="00A33179" w:rsidP="00746F3D">
            <w:pPr>
              <w:tabs>
                <w:tab w:val="decimal" w:pos="1080"/>
              </w:tabs>
              <w:jc w:val="right"/>
              <w:rPr>
                <w:szCs w:val="24"/>
              </w:rPr>
            </w:pPr>
            <w:r w:rsidRPr="00787228">
              <w:rPr>
                <w:szCs w:val="24"/>
              </w:rPr>
              <w:t>2</w:t>
            </w:r>
            <w:r w:rsidR="0014526F" w:rsidRPr="00787228">
              <w:rPr>
                <w:szCs w:val="24"/>
              </w:rPr>
              <w:t>16</w:t>
            </w:r>
          </w:p>
        </w:tc>
        <w:tc>
          <w:tcPr>
            <w:tcW w:w="1867" w:type="dxa"/>
            <w:vAlign w:val="center"/>
          </w:tcPr>
          <w:p w14:paraId="2659073D" w14:textId="31EA0A27" w:rsidR="00A33179" w:rsidRPr="00787228" w:rsidRDefault="00A33179" w:rsidP="00746F3D">
            <w:pPr>
              <w:tabs>
                <w:tab w:val="decimal" w:pos="1080"/>
              </w:tabs>
              <w:jc w:val="right"/>
              <w:rPr>
                <w:szCs w:val="24"/>
              </w:rPr>
            </w:pPr>
            <w:r w:rsidRPr="00787228">
              <w:rPr>
                <w:szCs w:val="24"/>
              </w:rPr>
              <w:t>208</w:t>
            </w:r>
          </w:p>
        </w:tc>
      </w:tr>
      <w:tr w:rsidR="00A33179" w:rsidRPr="00787228" w14:paraId="7A616F14" w14:textId="77777777" w:rsidTr="00746F3D">
        <w:trPr>
          <w:trHeight w:hRule="exact" w:val="277"/>
        </w:trPr>
        <w:tc>
          <w:tcPr>
            <w:tcW w:w="4680" w:type="dxa"/>
          </w:tcPr>
          <w:p w14:paraId="4D6B2B33" w14:textId="77777777" w:rsidR="00A33179" w:rsidRPr="00787228" w:rsidRDefault="00A33179" w:rsidP="00A33179">
            <w:pPr>
              <w:tabs>
                <w:tab w:val="left" w:pos="720"/>
                <w:tab w:val="center" w:pos="6930"/>
              </w:tabs>
              <w:rPr>
                <w:szCs w:val="24"/>
              </w:rPr>
            </w:pPr>
            <w:r w:rsidRPr="00787228">
              <w:rPr>
                <w:szCs w:val="24"/>
              </w:rPr>
              <w:t>Movement in pension liability</w:t>
            </w:r>
          </w:p>
        </w:tc>
        <w:tc>
          <w:tcPr>
            <w:tcW w:w="1867" w:type="dxa"/>
            <w:vAlign w:val="center"/>
          </w:tcPr>
          <w:p w14:paraId="236516ED" w14:textId="1CC097B0" w:rsidR="00A33179" w:rsidRPr="00787228" w:rsidRDefault="0014526F" w:rsidP="00746F3D">
            <w:pPr>
              <w:tabs>
                <w:tab w:val="decimal" w:pos="1080"/>
              </w:tabs>
              <w:jc w:val="right"/>
              <w:rPr>
                <w:szCs w:val="24"/>
              </w:rPr>
            </w:pPr>
            <w:r w:rsidRPr="00787228">
              <w:rPr>
                <w:szCs w:val="24"/>
              </w:rPr>
              <w:t>12,879</w:t>
            </w:r>
          </w:p>
        </w:tc>
        <w:tc>
          <w:tcPr>
            <w:tcW w:w="1867" w:type="dxa"/>
            <w:vAlign w:val="center"/>
          </w:tcPr>
          <w:p w14:paraId="407168FB" w14:textId="261D1146" w:rsidR="00A33179" w:rsidRPr="00787228" w:rsidRDefault="00A33179" w:rsidP="00746F3D">
            <w:pPr>
              <w:tabs>
                <w:tab w:val="decimal" w:pos="1080"/>
              </w:tabs>
              <w:jc w:val="right"/>
              <w:rPr>
                <w:szCs w:val="24"/>
              </w:rPr>
            </w:pPr>
            <w:r w:rsidRPr="00787228">
              <w:rPr>
                <w:szCs w:val="24"/>
              </w:rPr>
              <w:t>9,130</w:t>
            </w:r>
          </w:p>
        </w:tc>
      </w:tr>
      <w:tr w:rsidR="0014526F" w:rsidRPr="00787228" w14:paraId="5C8F41CE" w14:textId="77777777" w:rsidTr="00746F3D">
        <w:trPr>
          <w:trHeight w:hRule="exact" w:val="277"/>
        </w:trPr>
        <w:tc>
          <w:tcPr>
            <w:tcW w:w="4680" w:type="dxa"/>
          </w:tcPr>
          <w:p w14:paraId="175BAAD6" w14:textId="5A064055" w:rsidR="0014526F" w:rsidRPr="00787228" w:rsidRDefault="0014526F" w:rsidP="00A33179">
            <w:pPr>
              <w:tabs>
                <w:tab w:val="left" w:pos="720"/>
                <w:tab w:val="center" w:pos="6930"/>
              </w:tabs>
              <w:rPr>
                <w:szCs w:val="24"/>
              </w:rPr>
            </w:pPr>
            <w:r w:rsidRPr="00787228">
              <w:rPr>
                <w:szCs w:val="24"/>
              </w:rPr>
              <w:t xml:space="preserve">NWFC 21/22 Capital Grants Unapplied </w:t>
            </w:r>
            <w:proofErr w:type="spellStart"/>
            <w:r w:rsidRPr="00787228">
              <w:rPr>
                <w:szCs w:val="24"/>
              </w:rPr>
              <w:t>Adj</w:t>
            </w:r>
            <w:proofErr w:type="spellEnd"/>
            <w:r w:rsidRPr="00787228">
              <w:rPr>
                <w:szCs w:val="24"/>
              </w:rPr>
              <w:t xml:space="preserve"> </w:t>
            </w:r>
          </w:p>
        </w:tc>
        <w:tc>
          <w:tcPr>
            <w:tcW w:w="1867" w:type="dxa"/>
            <w:vAlign w:val="center"/>
          </w:tcPr>
          <w:p w14:paraId="32B59D2C" w14:textId="238808B7" w:rsidR="0014526F" w:rsidRPr="00787228" w:rsidRDefault="0014526F" w:rsidP="00746F3D">
            <w:pPr>
              <w:tabs>
                <w:tab w:val="decimal" w:pos="1080"/>
              </w:tabs>
              <w:jc w:val="right"/>
              <w:rPr>
                <w:szCs w:val="24"/>
              </w:rPr>
            </w:pPr>
            <w:r w:rsidRPr="00787228">
              <w:rPr>
                <w:szCs w:val="24"/>
              </w:rPr>
              <w:t>29</w:t>
            </w:r>
          </w:p>
        </w:tc>
        <w:tc>
          <w:tcPr>
            <w:tcW w:w="1867" w:type="dxa"/>
            <w:vAlign w:val="center"/>
          </w:tcPr>
          <w:p w14:paraId="7C5B7B1F" w14:textId="34C31CCA" w:rsidR="0014526F" w:rsidRPr="00787228" w:rsidRDefault="00EF0ED9" w:rsidP="00746F3D">
            <w:pPr>
              <w:tabs>
                <w:tab w:val="decimal" w:pos="1080"/>
              </w:tabs>
              <w:jc w:val="right"/>
              <w:rPr>
                <w:szCs w:val="24"/>
              </w:rPr>
            </w:pPr>
            <w:r>
              <w:rPr>
                <w:szCs w:val="24"/>
              </w:rPr>
              <w:t>-</w:t>
            </w:r>
          </w:p>
        </w:tc>
      </w:tr>
      <w:tr w:rsidR="00A33179" w:rsidRPr="00787228" w14:paraId="0AFF733D" w14:textId="77777777" w:rsidTr="00BD79B2">
        <w:trPr>
          <w:trHeight w:hRule="exact" w:val="325"/>
        </w:trPr>
        <w:tc>
          <w:tcPr>
            <w:tcW w:w="4680" w:type="dxa"/>
          </w:tcPr>
          <w:p w14:paraId="06EF4D14" w14:textId="669EBEB8" w:rsidR="00A33179" w:rsidRPr="00787228" w:rsidRDefault="00787228" w:rsidP="00A33179">
            <w:pPr>
              <w:tabs>
                <w:tab w:val="left" w:pos="720"/>
                <w:tab w:val="center" w:pos="6930"/>
              </w:tabs>
              <w:rPr>
                <w:szCs w:val="24"/>
              </w:rPr>
            </w:pPr>
            <w:r>
              <w:rPr>
                <w:szCs w:val="24"/>
              </w:rPr>
              <w:t>Total</w:t>
            </w:r>
          </w:p>
        </w:tc>
        <w:tc>
          <w:tcPr>
            <w:tcW w:w="1867" w:type="dxa"/>
            <w:vAlign w:val="center"/>
          </w:tcPr>
          <w:p w14:paraId="256CA0A7" w14:textId="7017971C" w:rsidR="00A33179" w:rsidRPr="00787228" w:rsidRDefault="0014526F" w:rsidP="00746F3D">
            <w:pPr>
              <w:tabs>
                <w:tab w:val="decimal" w:pos="1080"/>
              </w:tabs>
              <w:jc w:val="right"/>
              <w:rPr>
                <w:szCs w:val="24"/>
              </w:rPr>
            </w:pPr>
            <w:r w:rsidRPr="00787228">
              <w:rPr>
                <w:szCs w:val="24"/>
              </w:rPr>
              <w:t>15,940</w:t>
            </w:r>
          </w:p>
        </w:tc>
        <w:tc>
          <w:tcPr>
            <w:tcW w:w="1867" w:type="dxa"/>
            <w:vAlign w:val="center"/>
          </w:tcPr>
          <w:p w14:paraId="639509B9" w14:textId="6EC5777A" w:rsidR="00A33179" w:rsidRPr="00787228" w:rsidRDefault="00A33179" w:rsidP="00746F3D">
            <w:pPr>
              <w:tabs>
                <w:tab w:val="decimal" w:pos="1080"/>
              </w:tabs>
              <w:jc w:val="right"/>
              <w:rPr>
                <w:szCs w:val="24"/>
              </w:rPr>
            </w:pPr>
            <w:r w:rsidRPr="00787228">
              <w:rPr>
                <w:szCs w:val="24"/>
              </w:rPr>
              <w:t>9,805</w:t>
            </w:r>
          </w:p>
        </w:tc>
      </w:tr>
    </w:tbl>
    <w:p w14:paraId="04F4A84E" w14:textId="77777777" w:rsidR="0008007D" w:rsidRPr="00470E44" w:rsidRDefault="0008007D">
      <w:pPr>
        <w:rPr>
          <w:b/>
          <w:sz w:val="22"/>
        </w:rPr>
      </w:pPr>
    </w:p>
    <w:p w14:paraId="38E97434" w14:textId="4FBFC0C4" w:rsidR="0083182E" w:rsidRPr="006563F1" w:rsidRDefault="001C592E" w:rsidP="000F38E6">
      <w:pPr>
        <w:pStyle w:val="Heading2"/>
        <w:ind w:left="720" w:hanging="720"/>
        <w:jc w:val="left"/>
        <w:rPr>
          <w:sz w:val="24"/>
          <w:szCs w:val="24"/>
        </w:rPr>
      </w:pPr>
      <w:bookmarkStart w:id="69" w:name="_Toc166761557"/>
      <w:r w:rsidRPr="006563F1">
        <w:rPr>
          <w:sz w:val="24"/>
          <w:szCs w:val="24"/>
        </w:rPr>
        <w:t>2</w:t>
      </w:r>
      <w:r w:rsidR="00535820" w:rsidRPr="006563F1">
        <w:rPr>
          <w:sz w:val="24"/>
          <w:szCs w:val="24"/>
        </w:rPr>
        <w:t>4</w:t>
      </w:r>
      <w:r w:rsidR="0083182E" w:rsidRPr="006563F1">
        <w:rPr>
          <w:sz w:val="24"/>
          <w:szCs w:val="24"/>
        </w:rPr>
        <w:tab/>
      </w:r>
      <w:bookmarkStart w:id="70" w:name="N24"/>
      <w:bookmarkEnd w:id="70"/>
      <w:r w:rsidR="0083182E" w:rsidRPr="006563F1">
        <w:rPr>
          <w:sz w:val="24"/>
          <w:szCs w:val="24"/>
        </w:rPr>
        <w:t xml:space="preserve">Adjust for items included in the net surplus/(deficit) on the provision of services that are investing and financing </w:t>
      </w:r>
      <w:proofErr w:type="gramStart"/>
      <w:r w:rsidR="0083182E" w:rsidRPr="006563F1">
        <w:rPr>
          <w:sz w:val="24"/>
          <w:szCs w:val="24"/>
        </w:rPr>
        <w:t>activities</w:t>
      </w:r>
      <w:bookmarkEnd w:id="69"/>
      <w:proofErr w:type="gramEnd"/>
    </w:p>
    <w:p w14:paraId="6F1BCDBF" w14:textId="77777777" w:rsidR="00D90216" w:rsidRPr="00787228" w:rsidRDefault="00D90216" w:rsidP="00D90216">
      <w:pPr>
        <w:ind w:left="709"/>
        <w:jc w:val="both"/>
        <w:rPr>
          <w:szCs w:val="24"/>
        </w:rPr>
      </w:pPr>
    </w:p>
    <w:tbl>
      <w:tblPr>
        <w:tblW w:w="841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867"/>
        <w:gridCol w:w="1867"/>
      </w:tblGrid>
      <w:tr w:rsidR="00670DBF" w:rsidRPr="00787228" w14:paraId="2B0533FB" w14:textId="77777777" w:rsidTr="00611673">
        <w:trPr>
          <w:trHeight w:hRule="exact" w:val="633"/>
          <w:tblHeader/>
        </w:trPr>
        <w:tc>
          <w:tcPr>
            <w:tcW w:w="4680" w:type="dxa"/>
            <w:shd w:val="clear" w:color="auto" w:fill="BD2716"/>
          </w:tcPr>
          <w:p w14:paraId="18B116F1" w14:textId="77777777" w:rsidR="00670DBF" w:rsidRPr="00982FEC" w:rsidRDefault="00670DBF" w:rsidP="00670DBF">
            <w:pPr>
              <w:tabs>
                <w:tab w:val="left" w:pos="720"/>
                <w:tab w:val="center" w:pos="6930"/>
              </w:tabs>
              <w:rPr>
                <w:color w:val="FFFFFF" w:themeColor="background1"/>
                <w:szCs w:val="24"/>
              </w:rPr>
            </w:pPr>
          </w:p>
        </w:tc>
        <w:tc>
          <w:tcPr>
            <w:tcW w:w="1867" w:type="dxa"/>
            <w:shd w:val="clear" w:color="auto" w:fill="BD2716"/>
            <w:vAlign w:val="center"/>
          </w:tcPr>
          <w:p w14:paraId="7714D0F4" w14:textId="77777777" w:rsidR="00670DBF" w:rsidRPr="00982FEC" w:rsidRDefault="00670DBF" w:rsidP="00611673">
            <w:pPr>
              <w:jc w:val="right"/>
              <w:rPr>
                <w:color w:val="FFFFFF" w:themeColor="background1"/>
                <w:szCs w:val="24"/>
              </w:rPr>
            </w:pPr>
            <w:r w:rsidRPr="00982FEC">
              <w:rPr>
                <w:color w:val="FFFFFF" w:themeColor="background1"/>
                <w:szCs w:val="24"/>
              </w:rPr>
              <w:t>202</w:t>
            </w:r>
            <w:r w:rsidR="00A33179" w:rsidRPr="00982FEC">
              <w:rPr>
                <w:color w:val="FFFFFF" w:themeColor="background1"/>
                <w:szCs w:val="24"/>
              </w:rPr>
              <w:t>2</w:t>
            </w:r>
            <w:r w:rsidRPr="00982FEC">
              <w:rPr>
                <w:color w:val="FFFFFF" w:themeColor="background1"/>
                <w:szCs w:val="24"/>
              </w:rPr>
              <w:t>/2</w:t>
            </w:r>
            <w:r w:rsidR="00A33179" w:rsidRPr="00982FEC">
              <w:rPr>
                <w:color w:val="FFFFFF" w:themeColor="background1"/>
                <w:szCs w:val="24"/>
              </w:rPr>
              <w:t>3</w:t>
            </w:r>
          </w:p>
          <w:p w14:paraId="5CC9ED72" w14:textId="2DE56827" w:rsidR="00021F7E" w:rsidRPr="00982FEC" w:rsidRDefault="00021F7E" w:rsidP="00611673">
            <w:pPr>
              <w:jc w:val="right"/>
              <w:rPr>
                <w:color w:val="FFFFFF" w:themeColor="background1"/>
                <w:szCs w:val="24"/>
              </w:rPr>
            </w:pPr>
            <w:r w:rsidRPr="00982FEC">
              <w:rPr>
                <w:color w:val="FFFFFF" w:themeColor="background1"/>
                <w:szCs w:val="24"/>
              </w:rPr>
              <w:t>£000</w:t>
            </w:r>
          </w:p>
        </w:tc>
        <w:tc>
          <w:tcPr>
            <w:tcW w:w="1867" w:type="dxa"/>
            <w:shd w:val="clear" w:color="auto" w:fill="BD2716"/>
            <w:vAlign w:val="center"/>
          </w:tcPr>
          <w:p w14:paraId="32DD566C" w14:textId="77777777" w:rsidR="00670DBF" w:rsidRPr="00982FEC" w:rsidRDefault="00670DBF" w:rsidP="00611673">
            <w:pPr>
              <w:jc w:val="right"/>
              <w:rPr>
                <w:color w:val="FFFFFF" w:themeColor="background1"/>
                <w:szCs w:val="24"/>
              </w:rPr>
            </w:pPr>
            <w:r w:rsidRPr="00982FEC">
              <w:rPr>
                <w:color w:val="FFFFFF" w:themeColor="background1"/>
                <w:szCs w:val="24"/>
              </w:rPr>
              <w:t>202</w:t>
            </w:r>
            <w:r w:rsidR="00A33179" w:rsidRPr="00982FEC">
              <w:rPr>
                <w:color w:val="FFFFFF" w:themeColor="background1"/>
                <w:szCs w:val="24"/>
              </w:rPr>
              <w:t>1</w:t>
            </w:r>
            <w:r w:rsidRPr="00982FEC">
              <w:rPr>
                <w:color w:val="FFFFFF" w:themeColor="background1"/>
                <w:szCs w:val="24"/>
              </w:rPr>
              <w:t>/2</w:t>
            </w:r>
            <w:r w:rsidR="00A33179" w:rsidRPr="00982FEC">
              <w:rPr>
                <w:color w:val="FFFFFF" w:themeColor="background1"/>
                <w:szCs w:val="24"/>
              </w:rPr>
              <w:t>2</w:t>
            </w:r>
          </w:p>
          <w:p w14:paraId="48CC5AD3" w14:textId="6A3C4A1A" w:rsidR="00021F7E" w:rsidRPr="00982FEC" w:rsidRDefault="00021F7E" w:rsidP="00611673">
            <w:pPr>
              <w:jc w:val="right"/>
              <w:rPr>
                <w:color w:val="FFFFFF" w:themeColor="background1"/>
                <w:szCs w:val="24"/>
              </w:rPr>
            </w:pPr>
            <w:r w:rsidRPr="00982FEC">
              <w:rPr>
                <w:color w:val="FFFFFF" w:themeColor="background1"/>
                <w:szCs w:val="24"/>
              </w:rPr>
              <w:t>£000</w:t>
            </w:r>
          </w:p>
        </w:tc>
      </w:tr>
      <w:tr w:rsidR="00A33179" w:rsidRPr="00787228" w14:paraId="4E9E2D50" w14:textId="77777777" w:rsidTr="00746F3D">
        <w:trPr>
          <w:trHeight w:hRule="exact" w:val="300"/>
        </w:trPr>
        <w:tc>
          <w:tcPr>
            <w:tcW w:w="4680" w:type="dxa"/>
          </w:tcPr>
          <w:p w14:paraId="6C76CCF2" w14:textId="77777777" w:rsidR="00A33179" w:rsidRPr="00787228" w:rsidRDefault="00A33179" w:rsidP="00A33179">
            <w:pPr>
              <w:tabs>
                <w:tab w:val="left" w:pos="720"/>
                <w:tab w:val="center" w:pos="6930"/>
              </w:tabs>
              <w:rPr>
                <w:szCs w:val="24"/>
              </w:rPr>
            </w:pPr>
            <w:r w:rsidRPr="00787228">
              <w:rPr>
                <w:szCs w:val="24"/>
              </w:rPr>
              <w:t>Interest received</w:t>
            </w:r>
          </w:p>
        </w:tc>
        <w:tc>
          <w:tcPr>
            <w:tcW w:w="1867" w:type="dxa"/>
            <w:vAlign w:val="center"/>
          </w:tcPr>
          <w:p w14:paraId="24A13FE6" w14:textId="3FF3AACC" w:rsidR="00A33179" w:rsidRPr="00787228" w:rsidRDefault="00A33179" w:rsidP="00746F3D">
            <w:pPr>
              <w:tabs>
                <w:tab w:val="decimal" w:pos="1080"/>
              </w:tabs>
              <w:jc w:val="right"/>
              <w:rPr>
                <w:szCs w:val="24"/>
              </w:rPr>
            </w:pPr>
            <w:r w:rsidRPr="00787228">
              <w:rPr>
                <w:szCs w:val="24"/>
              </w:rPr>
              <w:t>(6</w:t>
            </w:r>
            <w:r w:rsidR="0014526F" w:rsidRPr="00787228">
              <w:rPr>
                <w:szCs w:val="24"/>
              </w:rPr>
              <w:t>6</w:t>
            </w:r>
            <w:r w:rsidR="00420C75" w:rsidRPr="00787228">
              <w:rPr>
                <w:szCs w:val="24"/>
              </w:rPr>
              <w:t>7</w:t>
            </w:r>
            <w:r w:rsidRPr="00787228">
              <w:rPr>
                <w:szCs w:val="24"/>
              </w:rPr>
              <w:t>)</w:t>
            </w:r>
          </w:p>
        </w:tc>
        <w:tc>
          <w:tcPr>
            <w:tcW w:w="1867" w:type="dxa"/>
            <w:vAlign w:val="center"/>
          </w:tcPr>
          <w:p w14:paraId="7B291C64" w14:textId="67301820" w:rsidR="00A33179" w:rsidRPr="00787228" w:rsidRDefault="00A33179" w:rsidP="00746F3D">
            <w:pPr>
              <w:tabs>
                <w:tab w:val="decimal" w:pos="1080"/>
              </w:tabs>
              <w:jc w:val="right"/>
              <w:rPr>
                <w:szCs w:val="24"/>
              </w:rPr>
            </w:pPr>
            <w:r w:rsidRPr="00787228">
              <w:rPr>
                <w:szCs w:val="24"/>
              </w:rPr>
              <w:t>(67)</w:t>
            </w:r>
          </w:p>
        </w:tc>
      </w:tr>
      <w:tr w:rsidR="00A33179" w:rsidRPr="00787228" w14:paraId="40CF4BAA" w14:textId="77777777" w:rsidTr="00746F3D">
        <w:trPr>
          <w:trHeight w:hRule="exact" w:val="300"/>
        </w:trPr>
        <w:tc>
          <w:tcPr>
            <w:tcW w:w="4680" w:type="dxa"/>
          </w:tcPr>
          <w:p w14:paraId="253D3EE4" w14:textId="77777777" w:rsidR="00A33179" w:rsidRPr="00787228" w:rsidRDefault="00A33179" w:rsidP="00A33179">
            <w:pPr>
              <w:tabs>
                <w:tab w:val="left" w:pos="720"/>
                <w:tab w:val="center" w:pos="6930"/>
              </w:tabs>
              <w:rPr>
                <w:szCs w:val="24"/>
              </w:rPr>
            </w:pPr>
            <w:r w:rsidRPr="00787228">
              <w:rPr>
                <w:szCs w:val="24"/>
              </w:rPr>
              <w:t>Interest paid</w:t>
            </w:r>
          </w:p>
        </w:tc>
        <w:tc>
          <w:tcPr>
            <w:tcW w:w="1867" w:type="dxa"/>
            <w:vAlign w:val="center"/>
          </w:tcPr>
          <w:p w14:paraId="39A268BA" w14:textId="211C7C41" w:rsidR="00A33179" w:rsidRPr="00787228" w:rsidRDefault="00A33179" w:rsidP="00746F3D">
            <w:pPr>
              <w:tabs>
                <w:tab w:val="decimal" w:pos="1080"/>
              </w:tabs>
              <w:jc w:val="right"/>
              <w:rPr>
                <w:szCs w:val="24"/>
              </w:rPr>
            </w:pPr>
            <w:r w:rsidRPr="00787228">
              <w:rPr>
                <w:szCs w:val="24"/>
              </w:rPr>
              <w:t>1,3</w:t>
            </w:r>
            <w:r w:rsidR="0014526F" w:rsidRPr="00787228">
              <w:rPr>
                <w:szCs w:val="24"/>
              </w:rPr>
              <w:t>6</w:t>
            </w:r>
            <w:r w:rsidRPr="00787228">
              <w:rPr>
                <w:szCs w:val="24"/>
              </w:rPr>
              <w:t xml:space="preserve">6 </w:t>
            </w:r>
          </w:p>
        </w:tc>
        <w:tc>
          <w:tcPr>
            <w:tcW w:w="1867" w:type="dxa"/>
            <w:vAlign w:val="center"/>
          </w:tcPr>
          <w:p w14:paraId="09FD79E2" w14:textId="02C1B362" w:rsidR="00A33179" w:rsidRPr="00787228" w:rsidRDefault="00A33179" w:rsidP="00746F3D">
            <w:pPr>
              <w:tabs>
                <w:tab w:val="decimal" w:pos="1080"/>
              </w:tabs>
              <w:jc w:val="right"/>
              <w:rPr>
                <w:szCs w:val="24"/>
              </w:rPr>
            </w:pPr>
            <w:r w:rsidRPr="00787228">
              <w:rPr>
                <w:szCs w:val="24"/>
              </w:rPr>
              <w:t xml:space="preserve">1,386 </w:t>
            </w:r>
          </w:p>
        </w:tc>
      </w:tr>
    </w:tbl>
    <w:p w14:paraId="6B969D16" w14:textId="77777777" w:rsidR="00D90216" w:rsidRPr="00AF3DCD" w:rsidRDefault="00D90216" w:rsidP="00D90216">
      <w:pPr>
        <w:tabs>
          <w:tab w:val="left" w:pos="720"/>
          <w:tab w:val="right" w:pos="5580"/>
          <w:tab w:val="right" w:pos="7740"/>
        </w:tabs>
        <w:rPr>
          <w:sz w:val="16"/>
          <w:szCs w:val="16"/>
        </w:rPr>
      </w:pPr>
    </w:p>
    <w:p w14:paraId="0C153727" w14:textId="3A7A3850" w:rsidR="003B0AD2" w:rsidRPr="00787228" w:rsidRDefault="000B3A5D" w:rsidP="00787228">
      <w:pPr>
        <w:ind w:left="720"/>
        <w:rPr>
          <w:szCs w:val="24"/>
        </w:rPr>
      </w:pPr>
      <w:r w:rsidRPr="00787228">
        <w:rPr>
          <w:szCs w:val="24"/>
        </w:rPr>
        <w:t xml:space="preserve">Interest paid includes </w:t>
      </w:r>
      <w:r w:rsidR="0073567B" w:rsidRPr="00787228">
        <w:rPr>
          <w:szCs w:val="24"/>
        </w:rPr>
        <w:t xml:space="preserve">interest </w:t>
      </w:r>
      <w:r w:rsidRPr="00787228">
        <w:rPr>
          <w:szCs w:val="24"/>
        </w:rPr>
        <w:t xml:space="preserve">payments in respect of both finance leases and PFI schemes (see accounting policy </w:t>
      </w:r>
      <w:hyperlink w:anchor="N29" w:history="1">
        <w:r w:rsidR="00C52475" w:rsidRPr="00787228">
          <w:rPr>
            <w:rStyle w:val="Hyperlink"/>
            <w:szCs w:val="24"/>
          </w:rPr>
          <w:t>N</w:t>
        </w:r>
        <w:r w:rsidRPr="00787228">
          <w:rPr>
            <w:rStyle w:val="Hyperlink"/>
            <w:szCs w:val="24"/>
          </w:rPr>
          <w:t xml:space="preserve">ote </w:t>
        </w:r>
        <w:r w:rsidR="00AB47D7" w:rsidRPr="00787228">
          <w:rPr>
            <w:rStyle w:val="Hyperlink"/>
            <w:szCs w:val="24"/>
          </w:rPr>
          <w:t>29</w:t>
        </w:r>
      </w:hyperlink>
      <w:r w:rsidRPr="00787228">
        <w:rPr>
          <w:szCs w:val="24"/>
        </w:rPr>
        <w:t>, sectio</w:t>
      </w:r>
      <w:r w:rsidR="006F6C1D" w:rsidRPr="00787228">
        <w:rPr>
          <w:szCs w:val="24"/>
        </w:rPr>
        <w:t>n j</w:t>
      </w:r>
      <w:r w:rsidRPr="00787228">
        <w:rPr>
          <w:szCs w:val="24"/>
        </w:rPr>
        <w:t>)</w:t>
      </w:r>
    </w:p>
    <w:p w14:paraId="60823CB7" w14:textId="0CD1F0DC" w:rsidR="00EC0C46" w:rsidRDefault="00EC0C46">
      <w:pPr>
        <w:rPr>
          <w:b/>
          <w:sz w:val="22"/>
          <w:szCs w:val="22"/>
        </w:rPr>
      </w:pPr>
    </w:p>
    <w:p w14:paraId="7F60280C" w14:textId="16CEB979" w:rsidR="00925174" w:rsidRPr="006563F1" w:rsidRDefault="001C592E" w:rsidP="006563F1">
      <w:pPr>
        <w:pStyle w:val="Heading2"/>
        <w:jc w:val="left"/>
        <w:rPr>
          <w:sz w:val="24"/>
          <w:szCs w:val="24"/>
        </w:rPr>
      </w:pPr>
      <w:bookmarkStart w:id="71" w:name="_Toc166761558"/>
      <w:r w:rsidRPr="006563F1">
        <w:rPr>
          <w:sz w:val="24"/>
          <w:szCs w:val="24"/>
        </w:rPr>
        <w:lastRenderedPageBreak/>
        <w:t>2</w:t>
      </w:r>
      <w:r w:rsidR="00535820" w:rsidRPr="006563F1">
        <w:rPr>
          <w:sz w:val="24"/>
          <w:szCs w:val="24"/>
        </w:rPr>
        <w:t>5</w:t>
      </w:r>
      <w:r w:rsidR="0029602A" w:rsidRPr="006563F1">
        <w:rPr>
          <w:sz w:val="24"/>
          <w:szCs w:val="24"/>
        </w:rPr>
        <w:tab/>
      </w:r>
      <w:r w:rsidR="00925174" w:rsidRPr="006563F1">
        <w:rPr>
          <w:sz w:val="24"/>
          <w:szCs w:val="24"/>
        </w:rPr>
        <w:t>Reconciliation of liabilities arising from financing activities</w:t>
      </w:r>
      <w:bookmarkEnd w:id="71"/>
    </w:p>
    <w:p w14:paraId="26ED3FF5" w14:textId="77777777" w:rsidR="00925174" w:rsidRPr="00787228" w:rsidRDefault="00925174" w:rsidP="00F60A77">
      <w:pPr>
        <w:rPr>
          <w:szCs w:val="24"/>
        </w:rPr>
      </w:pPr>
    </w:p>
    <w:tbl>
      <w:tblPr>
        <w:tblStyle w:val="TableGrid"/>
        <w:tblW w:w="0" w:type="auto"/>
        <w:tblInd w:w="720" w:type="dxa"/>
        <w:tblLook w:val="04A0" w:firstRow="1" w:lastRow="0" w:firstColumn="1" w:lastColumn="0" w:noHBand="0" w:noVBand="1"/>
      </w:tblPr>
      <w:tblGrid>
        <w:gridCol w:w="2163"/>
        <w:gridCol w:w="1972"/>
        <w:gridCol w:w="1966"/>
        <w:gridCol w:w="1971"/>
        <w:gridCol w:w="1971"/>
      </w:tblGrid>
      <w:tr w:rsidR="0049343B" w:rsidRPr="00AF3DCD" w14:paraId="4BD3803D" w14:textId="77777777" w:rsidTr="00611673">
        <w:trPr>
          <w:tblHeader/>
        </w:trPr>
        <w:tc>
          <w:tcPr>
            <w:tcW w:w="2163" w:type="dxa"/>
            <w:shd w:val="clear" w:color="auto" w:fill="BD2716"/>
          </w:tcPr>
          <w:p w14:paraId="76BB6D8C" w14:textId="77777777" w:rsidR="0049343B" w:rsidRPr="00982FEC" w:rsidRDefault="0049343B" w:rsidP="00925174">
            <w:pPr>
              <w:rPr>
                <w:color w:val="FFFFFF" w:themeColor="background1"/>
                <w:szCs w:val="24"/>
              </w:rPr>
            </w:pPr>
          </w:p>
        </w:tc>
        <w:tc>
          <w:tcPr>
            <w:tcW w:w="1972" w:type="dxa"/>
            <w:shd w:val="clear" w:color="auto" w:fill="BD2716"/>
            <w:vAlign w:val="center"/>
          </w:tcPr>
          <w:p w14:paraId="0B49A580" w14:textId="77777777" w:rsidR="0049343B" w:rsidRPr="00982FEC" w:rsidRDefault="0049343B" w:rsidP="00611673">
            <w:pPr>
              <w:jc w:val="right"/>
              <w:rPr>
                <w:rFonts w:cs="Arial"/>
                <w:color w:val="FFFFFF" w:themeColor="background1"/>
                <w:szCs w:val="24"/>
              </w:rPr>
            </w:pPr>
            <w:r w:rsidRPr="00982FEC">
              <w:rPr>
                <w:rFonts w:cs="Arial"/>
                <w:color w:val="FFFFFF" w:themeColor="background1"/>
                <w:szCs w:val="24"/>
              </w:rPr>
              <w:t>Long</w:t>
            </w:r>
            <w:r w:rsidR="00A16368" w:rsidRPr="00982FEC">
              <w:rPr>
                <w:rFonts w:cs="Arial"/>
                <w:color w:val="FFFFFF" w:themeColor="background1"/>
                <w:szCs w:val="24"/>
              </w:rPr>
              <w:t>-</w:t>
            </w:r>
            <w:r w:rsidRPr="00982FEC">
              <w:rPr>
                <w:rFonts w:cs="Arial"/>
                <w:color w:val="FFFFFF" w:themeColor="background1"/>
                <w:szCs w:val="24"/>
              </w:rPr>
              <w:t>Term borrowings</w:t>
            </w:r>
          </w:p>
          <w:p w14:paraId="0F668202" w14:textId="00A2C79C" w:rsidR="001431C3" w:rsidRPr="00982FEC" w:rsidRDefault="001431C3" w:rsidP="00611673">
            <w:pPr>
              <w:jc w:val="right"/>
              <w:rPr>
                <w:rFonts w:cs="Arial"/>
                <w:color w:val="FFFFFF" w:themeColor="background1"/>
                <w:szCs w:val="24"/>
              </w:rPr>
            </w:pPr>
            <w:r w:rsidRPr="00982FEC">
              <w:rPr>
                <w:rFonts w:cs="Arial"/>
                <w:color w:val="FFFFFF" w:themeColor="background1"/>
                <w:szCs w:val="24"/>
              </w:rPr>
              <w:t>£000</w:t>
            </w:r>
          </w:p>
        </w:tc>
        <w:tc>
          <w:tcPr>
            <w:tcW w:w="1966" w:type="dxa"/>
            <w:shd w:val="clear" w:color="auto" w:fill="BD2716"/>
            <w:vAlign w:val="center"/>
          </w:tcPr>
          <w:p w14:paraId="7A4BEA8A" w14:textId="77777777" w:rsidR="0049343B" w:rsidRPr="00982FEC" w:rsidRDefault="0049343B" w:rsidP="00611673">
            <w:pPr>
              <w:jc w:val="right"/>
              <w:rPr>
                <w:rFonts w:cs="Arial"/>
                <w:color w:val="FFFFFF" w:themeColor="background1"/>
                <w:szCs w:val="24"/>
              </w:rPr>
            </w:pPr>
            <w:r w:rsidRPr="00982FEC">
              <w:rPr>
                <w:rFonts w:cs="Arial"/>
                <w:color w:val="FFFFFF" w:themeColor="background1"/>
                <w:szCs w:val="24"/>
              </w:rPr>
              <w:t>Short</w:t>
            </w:r>
            <w:r w:rsidR="00A16368" w:rsidRPr="00982FEC">
              <w:rPr>
                <w:rFonts w:cs="Arial"/>
                <w:color w:val="FFFFFF" w:themeColor="background1"/>
                <w:szCs w:val="24"/>
              </w:rPr>
              <w:t>-</w:t>
            </w:r>
            <w:r w:rsidRPr="00982FEC">
              <w:rPr>
                <w:rFonts w:cs="Arial"/>
                <w:color w:val="FFFFFF" w:themeColor="background1"/>
                <w:szCs w:val="24"/>
              </w:rPr>
              <w:t>Term borrowings</w:t>
            </w:r>
          </w:p>
          <w:p w14:paraId="6A963ACD" w14:textId="096F1019" w:rsidR="001431C3" w:rsidRPr="00982FEC" w:rsidRDefault="001431C3" w:rsidP="00611673">
            <w:pPr>
              <w:jc w:val="right"/>
              <w:rPr>
                <w:rFonts w:cs="Arial"/>
                <w:color w:val="FFFFFF" w:themeColor="background1"/>
                <w:szCs w:val="24"/>
              </w:rPr>
            </w:pPr>
            <w:r w:rsidRPr="00982FEC">
              <w:rPr>
                <w:rFonts w:cs="Arial"/>
                <w:color w:val="FFFFFF" w:themeColor="background1"/>
                <w:szCs w:val="24"/>
              </w:rPr>
              <w:t>£000</w:t>
            </w:r>
          </w:p>
        </w:tc>
        <w:tc>
          <w:tcPr>
            <w:tcW w:w="1971" w:type="dxa"/>
            <w:shd w:val="clear" w:color="auto" w:fill="BD2716"/>
            <w:vAlign w:val="center"/>
          </w:tcPr>
          <w:p w14:paraId="35C3B3E0" w14:textId="77777777" w:rsidR="0049343B" w:rsidRPr="00982FEC" w:rsidRDefault="0049343B" w:rsidP="00611673">
            <w:pPr>
              <w:jc w:val="right"/>
              <w:rPr>
                <w:rFonts w:cs="Arial"/>
                <w:color w:val="FFFFFF" w:themeColor="background1"/>
                <w:szCs w:val="24"/>
              </w:rPr>
            </w:pPr>
            <w:r w:rsidRPr="00982FEC">
              <w:rPr>
                <w:rFonts w:cs="Arial"/>
                <w:color w:val="FFFFFF" w:themeColor="background1"/>
                <w:szCs w:val="24"/>
              </w:rPr>
              <w:t xml:space="preserve">Lease </w:t>
            </w:r>
            <w:proofErr w:type="gramStart"/>
            <w:r w:rsidRPr="00982FEC">
              <w:rPr>
                <w:rFonts w:cs="Arial"/>
                <w:color w:val="FFFFFF" w:themeColor="background1"/>
                <w:szCs w:val="24"/>
              </w:rPr>
              <w:t>liabilities</w:t>
            </w:r>
            <w:proofErr w:type="gramEnd"/>
          </w:p>
          <w:p w14:paraId="205AAD88" w14:textId="3BAA8962" w:rsidR="001431C3" w:rsidRPr="00982FEC" w:rsidRDefault="001431C3" w:rsidP="00611673">
            <w:pPr>
              <w:jc w:val="right"/>
              <w:rPr>
                <w:rFonts w:cs="Arial"/>
                <w:color w:val="FFFFFF" w:themeColor="background1"/>
                <w:szCs w:val="24"/>
              </w:rPr>
            </w:pPr>
            <w:r w:rsidRPr="00982FEC">
              <w:rPr>
                <w:rFonts w:cs="Arial"/>
                <w:color w:val="FFFFFF" w:themeColor="background1"/>
                <w:szCs w:val="24"/>
              </w:rPr>
              <w:t>£000</w:t>
            </w:r>
          </w:p>
        </w:tc>
        <w:tc>
          <w:tcPr>
            <w:tcW w:w="1971" w:type="dxa"/>
            <w:shd w:val="clear" w:color="auto" w:fill="BD2716"/>
            <w:vAlign w:val="center"/>
          </w:tcPr>
          <w:p w14:paraId="030EA4C0" w14:textId="77777777" w:rsidR="0049343B" w:rsidRPr="00982FEC" w:rsidRDefault="0049343B" w:rsidP="00611673">
            <w:pPr>
              <w:jc w:val="right"/>
              <w:rPr>
                <w:rFonts w:cs="Arial"/>
                <w:color w:val="FFFFFF" w:themeColor="background1"/>
                <w:szCs w:val="24"/>
              </w:rPr>
            </w:pPr>
            <w:r w:rsidRPr="00982FEC">
              <w:rPr>
                <w:rFonts w:cs="Arial"/>
                <w:color w:val="FFFFFF" w:themeColor="background1"/>
                <w:szCs w:val="24"/>
              </w:rPr>
              <w:t>Total</w:t>
            </w:r>
          </w:p>
          <w:p w14:paraId="51BFF2D4" w14:textId="2D875BE9" w:rsidR="001431C3" w:rsidRPr="00982FEC" w:rsidRDefault="001431C3" w:rsidP="00611673">
            <w:pPr>
              <w:jc w:val="right"/>
              <w:rPr>
                <w:rFonts w:cs="Arial"/>
                <w:color w:val="FFFFFF" w:themeColor="background1"/>
                <w:szCs w:val="24"/>
              </w:rPr>
            </w:pPr>
            <w:r w:rsidRPr="00982FEC">
              <w:rPr>
                <w:rFonts w:cs="Arial"/>
                <w:color w:val="FFFFFF" w:themeColor="background1"/>
                <w:szCs w:val="24"/>
              </w:rPr>
              <w:t>£000</w:t>
            </w:r>
          </w:p>
        </w:tc>
      </w:tr>
      <w:tr w:rsidR="004E1871" w:rsidRPr="00AF3DCD" w14:paraId="2CE1AB02" w14:textId="77777777" w:rsidTr="00746F3D">
        <w:tc>
          <w:tcPr>
            <w:tcW w:w="2163" w:type="dxa"/>
          </w:tcPr>
          <w:p w14:paraId="21FB4E38" w14:textId="4D5746E7" w:rsidR="004E1871" w:rsidRPr="00787228" w:rsidRDefault="004E1871" w:rsidP="000F5BFB">
            <w:pPr>
              <w:rPr>
                <w:szCs w:val="24"/>
              </w:rPr>
            </w:pPr>
            <w:r w:rsidRPr="00787228">
              <w:rPr>
                <w:szCs w:val="24"/>
              </w:rPr>
              <w:t>1 April 202</w:t>
            </w:r>
            <w:r w:rsidR="00A33179" w:rsidRPr="00787228">
              <w:rPr>
                <w:szCs w:val="24"/>
              </w:rPr>
              <w:t>2</w:t>
            </w:r>
          </w:p>
        </w:tc>
        <w:tc>
          <w:tcPr>
            <w:tcW w:w="1972" w:type="dxa"/>
            <w:vAlign w:val="center"/>
          </w:tcPr>
          <w:p w14:paraId="40F47A68" w14:textId="6CA889C2" w:rsidR="004E1871" w:rsidRPr="00787228" w:rsidRDefault="00E22018" w:rsidP="00746F3D">
            <w:pPr>
              <w:tabs>
                <w:tab w:val="decimal" w:pos="1080"/>
              </w:tabs>
              <w:jc w:val="right"/>
              <w:rPr>
                <w:szCs w:val="24"/>
              </w:rPr>
            </w:pPr>
            <w:r w:rsidRPr="00787228">
              <w:rPr>
                <w:szCs w:val="24"/>
              </w:rPr>
              <w:t>14,350</w:t>
            </w:r>
          </w:p>
        </w:tc>
        <w:tc>
          <w:tcPr>
            <w:tcW w:w="1966" w:type="dxa"/>
            <w:vAlign w:val="center"/>
          </w:tcPr>
          <w:p w14:paraId="7E08CD3B" w14:textId="70F8507D" w:rsidR="004E1871" w:rsidRPr="00787228" w:rsidRDefault="00E22018" w:rsidP="00746F3D">
            <w:pPr>
              <w:tabs>
                <w:tab w:val="decimal" w:pos="1080"/>
              </w:tabs>
              <w:jc w:val="right"/>
              <w:rPr>
                <w:szCs w:val="24"/>
              </w:rPr>
            </w:pPr>
            <w:r w:rsidRPr="00787228">
              <w:rPr>
                <w:szCs w:val="24"/>
              </w:rPr>
              <w:t>444</w:t>
            </w:r>
          </w:p>
        </w:tc>
        <w:tc>
          <w:tcPr>
            <w:tcW w:w="1971" w:type="dxa"/>
            <w:vAlign w:val="center"/>
          </w:tcPr>
          <w:p w14:paraId="32B64E64" w14:textId="5FE62DD5" w:rsidR="004E1871" w:rsidRPr="00787228" w:rsidRDefault="00E22018" w:rsidP="00746F3D">
            <w:pPr>
              <w:tabs>
                <w:tab w:val="decimal" w:pos="1080"/>
              </w:tabs>
              <w:jc w:val="right"/>
              <w:rPr>
                <w:szCs w:val="24"/>
              </w:rPr>
            </w:pPr>
            <w:r w:rsidRPr="00787228">
              <w:rPr>
                <w:szCs w:val="24"/>
              </w:rPr>
              <w:t>76</w:t>
            </w:r>
          </w:p>
        </w:tc>
        <w:tc>
          <w:tcPr>
            <w:tcW w:w="1971" w:type="dxa"/>
            <w:vAlign w:val="center"/>
          </w:tcPr>
          <w:p w14:paraId="16EA12D8" w14:textId="3F05DF65" w:rsidR="004E1871" w:rsidRPr="00787228" w:rsidRDefault="00E22018" w:rsidP="00746F3D">
            <w:pPr>
              <w:tabs>
                <w:tab w:val="decimal" w:pos="1080"/>
              </w:tabs>
              <w:jc w:val="right"/>
              <w:rPr>
                <w:szCs w:val="24"/>
              </w:rPr>
            </w:pPr>
            <w:r w:rsidRPr="00787228">
              <w:rPr>
                <w:szCs w:val="24"/>
              </w:rPr>
              <w:t>14,870</w:t>
            </w:r>
          </w:p>
        </w:tc>
      </w:tr>
    </w:tbl>
    <w:p w14:paraId="73FC0C18" w14:textId="77777777" w:rsidR="00EC3487" w:rsidRDefault="00EC3487"/>
    <w:tbl>
      <w:tblPr>
        <w:tblStyle w:val="TableGrid"/>
        <w:tblW w:w="0" w:type="auto"/>
        <w:tblInd w:w="720" w:type="dxa"/>
        <w:tblLook w:val="04A0" w:firstRow="1" w:lastRow="0" w:firstColumn="1" w:lastColumn="0" w:noHBand="0" w:noVBand="1"/>
      </w:tblPr>
      <w:tblGrid>
        <w:gridCol w:w="2163"/>
        <w:gridCol w:w="1972"/>
        <w:gridCol w:w="1966"/>
        <w:gridCol w:w="1971"/>
        <w:gridCol w:w="1971"/>
      </w:tblGrid>
      <w:tr w:rsidR="00BA4CBD" w:rsidRPr="003B6C07" w14:paraId="5C94C1EC" w14:textId="77777777" w:rsidTr="00982FEC">
        <w:tc>
          <w:tcPr>
            <w:tcW w:w="10043" w:type="dxa"/>
            <w:gridSpan w:val="5"/>
            <w:shd w:val="clear" w:color="auto" w:fill="D9D9D9" w:themeFill="background1" w:themeFillShade="D9"/>
          </w:tcPr>
          <w:p w14:paraId="6185943D" w14:textId="7A2C2F00" w:rsidR="00BA4CBD" w:rsidRPr="00BD79B2" w:rsidRDefault="00BA4CBD" w:rsidP="000F5BFB">
            <w:pPr>
              <w:tabs>
                <w:tab w:val="decimal" w:pos="1080"/>
              </w:tabs>
              <w:rPr>
                <w:b/>
                <w:bCs/>
                <w:szCs w:val="24"/>
              </w:rPr>
            </w:pPr>
            <w:r w:rsidRPr="00BD79B2">
              <w:rPr>
                <w:b/>
                <w:bCs/>
                <w:szCs w:val="24"/>
              </w:rPr>
              <w:t>Cash flows:</w:t>
            </w:r>
          </w:p>
        </w:tc>
      </w:tr>
      <w:tr w:rsidR="0049343B" w:rsidRPr="003B6C07" w14:paraId="62E53A17" w14:textId="77777777" w:rsidTr="00746F3D">
        <w:tc>
          <w:tcPr>
            <w:tcW w:w="2163" w:type="dxa"/>
          </w:tcPr>
          <w:p w14:paraId="51E06BCD" w14:textId="77777777" w:rsidR="0049343B" w:rsidRPr="00787228" w:rsidRDefault="0049343B" w:rsidP="00EC3487">
            <w:pPr>
              <w:rPr>
                <w:szCs w:val="24"/>
              </w:rPr>
            </w:pPr>
            <w:r w:rsidRPr="00787228">
              <w:rPr>
                <w:szCs w:val="24"/>
              </w:rPr>
              <w:t>Repayment</w:t>
            </w:r>
          </w:p>
        </w:tc>
        <w:tc>
          <w:tcPr>
            <w:tcW w:w="1972" w:type="dxa"/>
            <w:vAlign w:val="center"/>
          </w:tcPr>
          <w:p w14:paraId="299474FC" w14:textId="5C47DB5D" w:rsidR="0049343B" w:rsidRPr="00787228" w:rsidRDefault="0089045A" w:rsidP="00746F3D">
            <w:pPr>
              <w:tabs>
                <w:tab w:val="decimal" w:pos="1080"/>
              </w:tabs>
              <w:jc w:val="right"/>
              <w:rPr>
                <w:szCs w:val="24"/>
              </w:rPr>
            </w:pPr>
            <w:r w:rsidRPr="00787228">
              <w:rPr>
                <w:szCs w:val="24"/>
              </w:rPr>
              <w:t>(</w:t>
            </w:r>
            <w:r w:rsidR="007B6E29" w:rsidRPr="00787228">
              <w:rPr>
                <w:szCs w:val="24"/>
              </w:rPr>
              <w:t>483</w:t>
            </w:r>
            <w:r w:rsidRPr="00787228">
              <w:rPr>
                <w:szCs w:val="24"/>
              </w:rPr>
              <w:t>)</w:t>
            </w:r>
          </w:p>
        </w:tc>
        <w:tc>
          <w:tcPr>
            <w:tcW w:w="1966" w:type="dxa"/>
            <w:vAlign w:val="center"/>
          </w:tcPr>
          <w:p w14:paraId="3F58B566" w14:textId="463D30F0" w:rsidR="0049343B" w:rsidRPr="00787228" w:rsidRDefault="007B6E29" w:rsidP="00746F3D">
            <w:pPr>
              <w:tabs>
                <w:tab w:val="decimal" w:pos="1080"/>
              </w:tabs>
              <w:jc w:val="right"/>
              <w:rPr>
                <w:szCs w:val="24"/>
              </w:rPr>
            </w:pPr>
            <w:r w:rsidRPr="00787228">
              <w:rPr>
                <w:szCs w:val="24"/>
              </w:rPr>
              <w:t>40</w:t>
            </w:r>
          </w:p>
        </w:tc>
        <w:tc>
          <w:tcPr>
            <w:tcW w:w="1971" w:type="dxa"/>
            <w:vAlign w:val="center"/>
          </w:tcPr>
          <w:p w14:paraId="4933D954" w14:textId="045893B6" w:rsidR="0049343B" w:rsidRPr="00787228" w:rsidRDefault="009D069A" w:rsidP="00746F3D">
            <w:pPr>
              <w:tabs>
                <w:tab w:val="decimal" w:pos="1080"/>
              </w:tabs>
              <w:jc w:val="right"/>
              <w:rPr>
                <w:szCs w:val="24"/>
              </w:rPr>
            </w:pPr>
            <w:r w:rsidRPr="00787228">
              <w:rPr>
                <w:szCs w:val="24"/>
              </w:rPr>
              <w:t>(</w:t>
            </w:r>
            <w:r w:rsidR="00BE1512" w:rsidRPr="00787228">
              <w:rPr>
                <w:szCs w:val="24"/>
              </w:rPr>
              <w:t>4</w:t>
            </w:r>
            <w:r w:rsidR="00414EEA" w:rsidRPr="00787228">
              <w:rPr>
                <w:szCs w:val="24"/>
              </w:rPr>
              <w:t>3</w:t>
            </w:r>
            <w:r w:rsidRPr="00787228">
              <w:rPr>
                <w:szCs w:val="24"/>
              </w:rPr>
              <w:t>)</w:t>
            </w:r>
          </w:p>
        </w:tc>
        <w:tc>
          <w:tcPr>
            <w:tcW w:w="1971" w:type="dxa"/>
            <w:vAlign w:val="center"/>
          </w:tcPr>
          <w:p w14:paraId="65254C19" w14:textId="6AE2B747" w:rsidR="0049343B" w:rsidRPr="00787228" w:rsidRDefault="00D01A7F" w:rsidP="00746F3D">
            <w:pPr>
              <w:tabs>
                <w:tab w:val="decimal" w:pos="1080"/>
              </w:tabs>
              <w:jc w:val="right"/>
              <w:rPr>
                <w:szCs w:val="24"/>
              </w:rPr>
            </w:pPr>
            <w:r w:rsidRPr="00787228">
              <w:rPr>
                <w:szCs w:val="24"/>
              </w:rPr>
              <w:t>(</w:t>
            </w:r>
            <w:r w:rsidR="00300FCE" w:rsidRPr="00787228">
              <w:rPr>
                <w:szCs w:val="24"/>
              </w:rPr>
              <w:t>4</w:t>
            </w:r>
            <w:r w:rsidR="00CE434E" w:rsidRPr="00787228">
              <w:rPr>
                <w:szCs w:val="24"/>
              </w:rPr>
              <w:t>8</w:t>
            </w:r>
            <w:r w:rsidR="00414EEA" w:rsidRPr="00787228">
              <w:rPr>
                <w:szCs w:val="24"/>
              </w:rPr>
              <w:t>7</w:t>
            </w:r>
            <w:r w:rsidRPr="00787228">
              <w:rPr>
                <w:szCs w:val="24"/>
              </w:rPr>
              <w:t>)</w:t>
            </w:r>
          </w:p>
        </w:tc>
      </w:tr>
      <w:tr w:rsidR="0049343B" w:rsidRPr="003B6C07" w14:paraId="4A68BDF3" w14:textId="77777777" w:rsidTr="00746F3D">
        <w:tc>
          <w:tcPr>
            <w:tcW w:w="2163" w:type="dxa"/>
          </w:tcPr>
          <w:p w14:paraId="0EF26A7C" w14:textId="77777777" w:rsidR="0049343B" w:rsidRPr="00787228" w:rsidRDefault="0049343B" w:rsidP="00EC3487">
            <w:pPr>
              <w:rPr>
                <w:szCs w:val="24"/>
              </w:rPr>
            </w:pPr>
            <w:r w:rsidRPr="00787228">
              <w:rPr>
                <w:szCs w:val="24"/>
              </w:rPr>
              <w:t>Proceeds</w:t>
            </w:r>
          </w:p>
        </w:tc>
        <w:tc>
          <w:tcPr>
            <w:tcW w:w="1972" w:type="dxa"/>
            <w:vAlign w:val="center"/>
          </w:tcPr>
          <w:p w14:paraId="04EBE0A1" w14:textId="77777777" w:rsidR="0049343B" w:rsidRPr="00787228" w:rsidRDefault="00F848F0" w:rsidP="00746F3D">
            <w:pPr>
              <w:tabs>
                <w:tab w:val="decimal" w:pos="1080"/>
              </w:tabs>
              <w:jc w:val="right"/>
              <w:rPr>
                <w:szCs w:val="24"/>
              </w:rPr>
            </w:pPr>
            <w:r w:rsidRPr="00787228">
              <w:rPr>
                <w:szCs w:val="24"/>
              </w:rPr>
              <w:t>-</w:t>
            </w:r>
          </w:p>
        </w:tc>
        <w:tc>
          <w:tcPr>
            <w:tcW w:w="1966" w:type="dxa"/>
            <w:vAlign w:val="center"/>
          </w:tcPr>
          <w:p w14:paraId="68154233" w14:textId="77777777" w:rsidR="0049343B" w:rsidRPr="00787228" w:rsidRDefault="00F848F0" w:rsidP="00746F3D">
            <w:pPr>
              <w:tabs>
                <w:tab w:val="decimal" w:pos="1080"/>
              </w:tabs>
              <w:jc w:val="right"/>
              <w:rPr>
                <w:szCs w:val="24"/>
              </w:rPr>
            </w:pPr>
            <w:r w:rsidRPr="00787228">
              <w:rPr>
                <w:szCs w:val="24"/>
              </w:rPr>
              <w:t>-</w:t>
            </w:r>
          </w:p>
        </w:tc>
        <w:tc>
          <w:tcPr>
            <w:tcW w:w="1971" w:type="dxa"/>
            <w:vAlign w:val="center"/>
          </w:tcPr>
          <w:p w14:paraId="129983D5" w14:textId="429A5D86" w:rsidR="0049343B" w:rsidRPr="00787228" w:rsidRDefault="00746F3D" w:rsidP="00746F3D">
            <w:pPr>
              <w:tabs>
                <w:tab w:val="decimal" w:pos="1080"/>
              </w:tabs>
              <w:jc w:val="right"/>
              <w:rPr>
                <w:szCs w:val="24"/>
              </w:rPr>
            </w:pPr>
            <w:r>
              <w:rPr>
                <w:szCs w:val="24"/>
              </w:rPr>
              <w:t>-</w:t>
            </w:r>
          </w:p>
        </w:tc>
        <w:tc>
          <w:tcPr>
            <w:tcW w:w="1971" w:type="dxa"/>
            <w:vAlign w:val="center"/>
          </w:tcPr>
          <w:p w14:paraId="26634C09" w14:textId="77777777" w:rsidR="0049343B" w:rsidRPr="00787228" w:rsidRDefault="00F848F0" w:rsidP="00746F3D">
            <w:pPr>
              <w:tabs>
                <w:tab w:val="decimal" w:pos="1080"/>
              </w:tabs>
              <w:jc w:val="right"/>
              <w:rPr>
                <w:szCs w:val="24"/>
              </w:rPr>
            </w:pPr>
            <w:r w:rsidRPr="00787228">
              <w:rPr>
                <w:szCs w:val="24"/>
              </w:rPr>
              <w:t>-</w:t>
            </w:r>
          </w:p>
        </w:tc>
      </w:tr>
    </w:tbl>
    <w:p w14:paraId="2768F346" w14:textId="77777777" w:rsidR="00EC3487" w:rsidRDefault="00EC3487"/>
    <w:tbl>
      <w:tblPr>
        <w:tblStyle w:val="TableGrid"/>
        <w:tblW w:w="0" w:type="auto"/>
        <w:tblInd w:w="720" w:type="dxa"/>
        <w:tblLook w:val="04A0" w:firstRow="1" w:lastRow="0" w:firstColumn="1" w:lastColumn="0" w:noHBand="0" w:noVBand="1"/>
      </w:tblPr>
      <w:tblGrid>
        <w:gridCol w:w="2163"/>
        <w:gridCol w:w="1972"/>
        <w:gridCol w:w="1966"/>
        <w:gridCol w:w="1971"/>
        <w:gridCol w:w="1971"/>
      </w:tblGrid>
      <w:tr w:rsidR="00BA4CBD" w:rsidRPr="003B6C07" w14:paraId="68521E9B" w14:textId="77777777" w:rsidTr="00982FEC">
        <w:tc>
          <w:tcPr>
            <w:tcW w:w="10043" w:type="dxa"/>
            <w:gridSpan w:val="5"/>
            <w:shd w:val="clear" w:color="auto" w:fill="D9D9D9" w:themeFill="background1" w:themeFillShade="D9"/>
          </w:tcPr>
          <w:p w14:paraId="560A685A" w14:textId="51DB85E9" w:rsidR="00BA4CBD" w:rsidRPr="00BD79B2" w:rsidRDefault="00BA4CBD" w:rsidP="000F5BFB">
            <w:pPr>
              <w:tabs>
                <w:tab w:val="decimal" w:pos="1080"/>
              </w:tabs>
              <w:rPr>
                <w:b/>
                <w:bCs/>
                <w:szCs w:val="24"/>
              </w:rPr>
            </w:pPr>
            <w:r w:rsidRPr="00BD79B2">
              <w:rPr>
                <w:b/>
                <w:bCs/>
                <w:szCs w:val="24"/>
              </w:rPr>
              <w:t>Non-cash:</w:t>
            </w:r>
          </w:p>
        </w:tc>
      </w:tr>
      <w:tr w:rsidR="0049343B" w:rsidRPr="003B6C07" w14:paraId="18E913C8" w14:textId="77777777" w:rsidTr="00EC3487">
        <w:tc>
          <w:tcPr>
            <w:tcW w:w="2163" w:type="dxa"/>
          </w:tcPr>
          <w:p w14:paraId="316D1F50" w14:textId="77777777" w:rsidR="0049343B" w:rsidRPr="00787228" w:rsidRDefault="0049343B" w:rsidP="00EC3487">
            <w:pPr>
              <w:rPr>
                <w:szCs w:val="24"/>
              </w:rPr>
            </w:pPr>
            <w:r w:rsidRPr="00787228">
              <w:rPr>
                <w:szCs w:val="24"/>
              </w:rPr>
              <w:t>Acquisition</w:t>
            </w:r>
          </w:p>
        </w:tc>
        <w:tc>
          <w:tcPr>
            <w:tcW w:w="1972" w:type="dxa"/>
          </w:tcPr>
          <w:p w14:paraId="42571555" w14:textId="77777777" w:rsidR="0049343B" w:rsidRPr="00787228" w:rsidRDefault="00F848F0" w:rsidP="000F5BFB">
            <w:pPr>
              <w:tabs>
                <w:tab w:val="decimal" w:pos="1080"/>
              </w:tabs>
              <w:jc w:val="right"/>
              <w:rPr>
                <w:szCs w:val="24"/>
              </w:rPr>
            </w:pPr>
            <w:r w:rsidRPr="00787228">
              <w:rPr>
                <w:szCs w:val="24"/>
              </w:rPr>
              <w:t>-</w:t>
            </w:r>
          </w:p>
        </w:tc>
        <w:tc>
          <w:tcPr>
            <w:tcW w:w="1966" w:type="dxa"/>
          </w:tcPr>
          <w:p w14:paraId="21DA2C7B" w14:textId="77777777" w:rsidR="0049343B" w:rsidRPr="00787228" w:rsidRDefault="00F848F0" w:rsidP="000F5BFB">
            <w:pPr>
              <w:tabs>
                <w:tab w:val="decimal" w:pos="1080"/>
              </w:tabs>
              <w:jc w:val="right"/>
              <w:rPr>
                <w:szCs w:val="24"/>
              </w:rPr>
            </w:pPr>
            <w:r w:rsidRPr="00787228">
              <w:rPr>
                <w:szCs w:val="24"/>
              </w:rPr>
              <w:t>-</w:t>
            </w:r>
          </w:p>
        </w:tc>
        <w:tc>
          <w:tcPr>
            <w:tcW w:w="1971" w:type="dxa"/>
          </w:tcPr>
          <w:p w14:paraId="49E932EA" w14:textId="3A1D7E5D" w:rsidR="0049343B" w:rsidRPr="00787228" w:rsidRDefault="00BA4CBD" w:rsidP="000F5BFB">
            <w:pPr>
              <w:tabs>
                <w:tab w:val="decimal" w:pos="1080"/>
              </w:tabs>
              <w:jc w:val="right"/>
              <w:rPr>
                <w:szCs w:val="24"/>
              </w:rPr>
            </w:pPr>
            <w:r>
              <w:rPr>
                <w:szCs w:val="24"/>
              </w:rPr>
              <w:t>-</w:t>
            </w:r>
          </w:p>
        </w:tc>
        <w:tc>
          <w:tcPr>
            <w:tcW w:w="1971" w:type="dxa"/>
          </w:tcPr>
          <w:p w14:paraId="125318BF" w14:textId="5892EB66" w:rsidR="0049343B" w:rsidRPr="00787228" w:rsidRDefault="00BA4CBD" w:rsidP="000F5BFB">
            <w:pPr>
              <w:tabs>
                <w:tab w:val="decimal" w:pos="1080"/>
              </w:tabs>
              <w:jc w:val="right"/>
              <w:rPr>
                <w:szCs w:val="24"/>
              </w:rPr>
            </w:pPr>
            <w:r>
              <w:rPr>
                <w:szCs w:val="24"/>
              </w:rPr>
              <w:t>-</w:t>
            </w:r>
          </w:p>
        </w:tc>
      </w:tr>
      <w:tr w:rsidR="0049343B" w:rsidRPr="003B6C07" w14:paraId="6C2143FD" w14:textId="77777777" w:rsidTr="00EC3487">
        <w:tc>
          <w:tcPr>
            <w:tcW w:w="2163" w:type="dxa"/>
          </w:tcPr>
          <w:p w14:paraId="0731A663" w14:textId="695D141D" w:rsidR="0049343B" w:rsidRPr="00787228" w:rsidRDefault="0049343B" w:rsidP="000F5BFB">
            <w:pPr>
              <w:rPr>
                <w:szCs w:val="24"/>
              </w:rPr>
            </w:pPr>
            <w:r w:rsidRPr="00787228">
              <w:rPr>
                <w:szCs w:val="24"/>
              </w:rPr>
              <w:t xml:space="preserve">31 March </w:t>
            </w:r>
            <w:r w:rsidR="00D01A7F" w:rsidRPr="00787228">
              <w:rPr>
                <w:szCs w:val="24"/>
              </w:rPr>
              <w:t>202</w:t>
            </w:r>
            <w:r w:rsidR="00A33179" w:rsidRPr="00787228">
              <w:rPr>
                <w:szCs w:val="24"/>
              </w:rPr>
              <w:t>3</w:t>
            </w:r>
          </w:p>
        </w:tc>
        <w:tc>
          <w:tcPr>
            <w:tcW w:w="1972" w:type="dxa"/>
          </w:tcPr>
          <w:p w14:paraId="16C8E36F" w14:textId="34DB5DF0" w:rsidR="0049343B" w:rsidRPr="00787228" w:rsidRDefault="007B6E29" w:rsidP="000F5BFB">
            <w:pPr>
              <w:tabs>
                <w:tab w:val="decimal" w:pos="1080"/>
              </w:tabs>
              <w:jc w:val="right"/>
              <w:rPr>
                <w:szCs w:val="24"/>
              </w:rPr>
            </w:pPr>
            <w:r w:rsidRPr="00787228">
              <w:rPr>
                <w:szCs w:val="24"/>
              </w:rPr>
              <w:t>13,867</w:t>
            </w:r>
          </w:p>
        </w:tc>
        <w:tc>
          <w:tcPr>
            <w:tcW w:w="1966" w:type="dxa"/>
          </w:tcPr>
          <w:p w14:paraId="33C9C708" w14:textId="6C04DF89" w:rsidR="0049343B" w:rsidRPr="00787228" w:rsidRDefault="007B6E29" w:rsidP="000F5BFB">
            <w:pPr>
              <w:tabs>
                <w:tab w:val="decimal" w:pos="1080"/>
              </w:tabs>
              <w:jc w:val="right"/>
              <w:rPr>
                <w:szCs w:val="24"/>
              </w:rPr>
            </w:pPr>
            <w:r w:rsidRPr="00787228">
              <w:rPr>
                <w:szCs w:val="24"/>
              </w:rPr>
              <w:t>484</w:t>
            </w:r>
          </w:p>
        </w:tc>
        <w:tc>
          <w:tcPr>
            <w:tcW w:w="1971" w:type="dxa"/>
          </w:tcPr>
          <w:p w14:paraId="5EE5501A" w14:textId="06A94712" w:rsidR="0049343B" w:rsidRPr="00787228" w:rsidRDefault="00414EEA" w:rsidP="000F5BFB">
            <w:pPr>
              <w:tabs>
                <w:tab w:val="decimal" w:pos="1080"/>
              </w:tabs>
              <w:jc w:val="right"/>
              <w:rPr>
                <w:szCs w:val="24"/>
              </w:rPr>
            </w:pPr>
            <w:r w:rsidRPr="00787228">
              <w:rPr>
                <w:szCs w:val="24"/>
              </w:rPr>
              <w:t>33</w:t>
            </w:r>
          </w:p>
        </w:tc>
        <w:tc>
          <w:tcPr>
            <w:tcW w:w="1971" w:type="dxa"/>
          </w:tcPr>
          <w:p w14:paraId="1E3ED941" w14:textId="2CD16476" w:rsidR="0049343B" w:rsidRPr="00787228" w:rsidRDefault="00414EEA" w:rsidP="000F5BFB">
            <w:pPr>
              <w:tabs>
                <w:tab w:val="decimal" w:pos="1080"/>
              </w:tabs>
              <w:jc w:val="right"/>
              <w:rPr>
                <w:szCs w:val="24"/>
              </w:rPr>
            </w:pPr>
            <w:r w:rsidRPr="00787228">
              <w:rPr>
                <w:szCs w:val="24"/>
              </w:rPr>
              <w:t>14,383</w:t>
            </w:r>
          </w:p>
        </w:tc>
      </w:tr>
    </w:tbl>
    <w:p w14:paraId="533A35A6" w14:textId="77777777" w:rsidR="00925174" w:rsidRPr="003B6C07" w:rsidRDefault="00925174" w:rsidP="00925174">
      <w:pPr>
        <w:ind w:left="720"/>
        <w:rPr>
          <w:sz w:val="22"/>
          <w:szCs w:val="22"/>
        </w:rPr>
      </w:pPr>
    </w:p>
    <w:p w14:paraId="7B28FB24" w14:textId="380C595E" w:rsidR="00DF4B1E" w:rsidRPr="006563F1" w:rsidRDefault="001C592E" w:rsidP="000F38E6">
      <w:pPr>
        <w:pStyle w:val="Heading2"/>
        <w:ind w:left="720" w:hanging="720"/>
        <w:jc w:val="left"/>
        <w:rPr>
          <w:sz w:val="24"/>
          <w:szCs w:val="24"/>
        </w:rPr>
      </w:pPr>
      <w:bookmarkStart w:id="72" w:name="_Toc166761559"/>
      <w:r w:rsidRPr="006563F1">
        <w:rPr>
          <w:sz w:val="24"/>
          <w:szCs w:val="24"/>
        </w:rPr>
        <w:t>2</w:t>
      </w:r>
      <w:r w:rsidR="00535820" w:rsidRPr="006563F1">
        <w:rPr>
          <w:sz w:val="24"/>
          <w:szCs w:val="24"/>
        </w:rPr>
        <w:t>6</w:t>
      </w:r>
      <w:r w:rsidR="00925174" w:rsidRPr="006563F1">
        <w:rPr>
          <w:sz w:val="24"/>
          <w:szCs w:val="24"/>
        </w:rPr>
        <w:tab/>
      </w:r>
      <w:bookmarkStart w:id="73" w:name="_Hlk156489206"/>
      <w:r w:rsidR="00DF4B1E" w:rsidRPr="006563F1">
        <w:rPr>
          <w:sz w:val="24"/>
          <w:szCs w:val="24"/>
        </w:rPr>
        <w:t xml:space="preserve">Assumptions made about the future and other major sources of estimation </w:t>
      </w:r>
      <w:r w:rsidR="008E01C3" w:rsidRPr="006563F1">
        <w:rPr>
          <w:sz w:val="24"/>
          <w:szCs w:val="24"/>
        </w:rPr>
        <w:t xml:space="preserve">and </w:t>
      </w:r>
      <w:proofErr w:type="gramStart"/>
      <w:r w:rsidR="00DF4B1E" w:rsidRPr="006563F1">
        <w:rPr>
          <w:sz w:val="24"/>
          <w:szCs w:val="24"/>
        </w:rPr>
        <w:t>uncertainty</w:t>
      </w:r>
      <w:bookmarkEnd w:id="73"/>
      <w:bookmarkEnd w:id="72"/>
      <w:proofErr w:type="gramEnd"/>
    </w:p>
    <w:p w14:paraId="6E378C1C" w14:textId="77777777" w:rsidR="00DF4B1E" w:rsidRPr="00787228" w:rsidRDefault="00DF4B1E" w:rsidP="000F5BFB">
      <w:pPr>
        <w:ind w:left="374" w:hanging="374"/>
        <w:rPr>
          <w:b/>
          <w:szCs w:val="24"/>
        </w:rPr>
      </w:pPr>
    </w:p>
    <w:p w14:paraId="64070E13" w14:textId="588290E8" w:rsidR="00DF4B1E" w:rsidRPr="00787228" w:rsidRDefault="00DF4B1E" w:rsidP="000F5BFB">
      <w:pPr>
        <w:ind w:left="720"/>
        <w:rPr>
          <w:szCs w:val="24"/>
        </w:rPr>
      </w:pPr>
      <w:r w:rsidRPr="00787228">
        <w:rPr>
          <w:szCs w:val="24"/>
        </w:rPr>
        <w:t xml:space="preserve">The Statement of Accounts contains estimated figures that are based on assumptions made by the Authority about the future or that are otherwise uncertain. Estimates are made </w:t>
      </w:r>
      <w:r w:rsidR="0094180B" w:rsidRPr="00787228">
        <w:rPr>
          <w:szCs w:val="24"/>
        </w:rPr>
        <w:t>considering</w:t>
      </w:r>
      <w:r w:rsidRPr="00787228">
        <w:rPr>
          <w:szCs w:val="24"/>
        </w:rPr>
        <w:t xml:space="preserve"> historical experience, current </w:t>
      </w:r>
      <w:r w:rsidR="00526A3B" w:rsidRPr="00787228">
        <w:rPr>
          <w:szCs w:val="24"/>
        </w:rPr>
        <w:t>trends,</w:t>
      </w:r>
      <w:r w:rsidRPr="00787228">
        <w:rPr>
          <w:szCs w:val="24"/>
        </w:rPr>
        <w:t xml:space="preserve"> and other relevant factors. However, because balances cannot be determined with certainty, actual results could be materially different from the assumptions and estimates.</w:t>
      </w:r>
    </w:p>
    <w:p w14:paraId="7DB3CB23" w14:textId="77777777" w:rsidR="00B71D39" w:rsidRPr="00787228" w:rsidRDefault="00B71D39" w:rsidP="000F5BFB">
      <w:pPr>
        <w:rPr>
          <w:szCs w:val="24"/>
        </w:rPr>
      </w:pPr>
    </w:p>
    <w:p w14:paraId="7584EE8E" w14:textId="5C5CCA03" w:rsidR="00DF4B1E" w:rsidRPr="00787228" w:rsidRDefault="00DF4B1E" w:rsidP="000F5BFB">
      <w:pPr>
        <w:ind w:left="720"/>
        <w:rPr>
          <w:szCs w:val="24"/>
        </w:rPr>
      </w:pPr>
      <w:r w:rsidRPr="00787228">
        <w:rPr>
          <w:szCs w:val="24"/>
        </w:rPr>
        <w:t xml:space="preserve">The items in the Authority’s Balance Sheet </w:t>
      </w:r>
      <w:proofErr w:type="gramStart"/>
      <w:r w:rsidRPr="00787228">
        <w:rPr>
          <w:szCs w:val="24"/>
        </w:rPr>
        <w:t>at</w:t>
      </w:r>
      <w:proofErr w:type="gramEnd"/>
      <w:r w:rsidRPr="00787228">
        <w:rPr>
          <w:szCs w:val="24"/>
        </w:rPr>
        <w:t xml:space="preserve"> 31 March 20</w:t>
      </w:r>
      <w:r w:rsidR="003A7ED4" w:rsidRPr="00787228">
        <w:rPr>
          <w:szCs w:val="24"/>
        </w:rPr>
        <w:t>2</w:t>
      </w:r>
      <w:r w:rsidR="00A33179" w:rsidRPr="00787228">
        <w:rPr>
          <w:szCs w:val="24"/>
        </w:rPr>
        <w:t>3</w:t>
      </w:r>
      <w:r w:rsidRPr="00787228">
        <w:rPr>
          <w:szCs w:val="24"/>
        </w:rPr>
        <w:t xml:space="preserve"> for which there is a significant risk of material adjustment in the forthcoming financial year are as follows:</w:t>
      </w:r>
    </w:p>
    <w:p w14:paraId="07C0ACB5" w14:textId="77777777" w:rsidR="00DF4B1E" w:rsidRPr="003B6C07" w:rsidRDefault="00DF4B1E" w:rsidP="00DF4B1E">
      <w:pPr>
        <w:ind w:left="374"/>
        <w:jc w:val="both"/>
        <w:rPr>
          <w:sz w:val="22"/>
          <w:szCs w:val="22"/>
        </w:rPr>
      </w:pPr>
    </w:p>
    <w:tbl>
      <w:tblPr>
        <w:tblW w:w="992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4084"/>
        <w:gridCol w:w="3969"/>
      </w:tblGrid>
      <w:tr w:rsidR="00DF4B1E" w:rsidRPr="003B6C07" w14:paraId="2B5806AF" w14:textId="77777777" w:rsidTr="00611673">
        <w:trPr>
          <w:tblHeader/>
        </w:trPr>
        <w:tc>
          <w:tcPr>
            <w:tcW w:w="1870" w:type="dxa"/>
            <w:shd w:val="clear" w:color="auto" w:fill="BD2716"/>
            <w:vAlign w:val="center"/>
          </w:tcPr>
          <w:p w14:paraId="05AE5D9F" w14:textId="77777777" w:rsidR="00DF4B1E" w:rsidRPr="00982FEC" w:rsidRDefault="00DF4B1E" w:rsidP="00611673">
            <w:pPr>
              <w:rPr>
                <w:color w:val="FFFFFF" w:themeColor="background1"/>
                <w:szCs w:val="24"/>
              </w:rPr>
            </w:pPr>
            <w:r w:rsidRPr="00982FEC">
              <w:rPr>
                <w:color w:val="FFFFFF" w:themeColor="background1"/>
                <w:szCs w:val="24"/>
              </w:rPr>
              <w:t>Item</w:t>
            </w:r>
          </w:p>
        </w:tc>
        <w:tc>
          <w:tcPr>
            <w:tcW w:w="4084" w:type="dxa"/>
            <w:shd w:val="clear" w:color="auto" w:fill="BD2716"/>
            <w:vAlign w:val="center"/>
          </w:tcPr>
          <w:p w14:paraId="0D4A4347" w14:textId="77777777" w:rsidR="00DF4B1E" w:rsidRPr="00982FEC" w:rsidRDefault="00DF4B1E" w:rsidP="00611673">
            <w:pPr>
              <w:rPr>
                <w:color w:val="FFFFFF" w:themeColor="background1"/>
                <w:szCs w:val="24"/>
              </w:rPr>
            </w:pPr>
            <w:r w:rsidRPr="00982FEC">
              <w:rPr>
                <w:color w:val="FFFFFF" w:themeColor="background1"/>
                <w:szCs w:val="24"/>
              </w:rPr>
              <w:t>Uncertainties</w:t>
            </w:r>
          </w:p>
        </w:tc>
        <w:tc>
          <w:tcPr>
            <w:tcW w:w="3969" w:type="dxa"/>
            <w:shd w:val="clear" w:color="auto" w:fill="BD2716"/>
            <w:vAlign w:val="center"/>
          </w:tcPr>
          <w:p w14:paraId="7503BC34" w14:textId="77777777" w:rsidR="00DF4B1E" w:rsidRPr="00982FEC" w:rsidRDefault="00DF4B1E" w:rsidP="00611673">
            <w:pPr>
              <w:rPr>
                <w:color w:val="FFFFFF" w:themeColor="background1"/>
                <w:szCs w:val="24"/>
              </w:rPr>
            </w:pPr>
            <w:r w:rsidRPr="00982FEC">
              <w:rPr>
                <w:color w:val="FFFFFF" w:themeColor="background1"/>
                <w:szCs w:val="24"/>
              </w:rPr>
              <w:t>Effect if actual results differ from assumptions</w:t>
            </w:r>
          </w:p>
        </w:tc>
      </w:tr>
      <w:tr w:rsidR="00F45BA0" w:rsidRPr="003B6C07" w14:paraId="7F342223" w14:textId="77777777" w:rsidTr="00397070">
        <w:tc>
          <w:tcPr>
            <w:tcW w:w="1870" w:type="dxa"/>
            <w:shd w:val="clear" w:color="auto" w:fill="auto"/>
          </w:tcPr>
          <w:p w14:paraId="1A4DBFCB" w14:textId="77777777" w:rsidR="00F45BA0" w:rsidRPr="007446B1" w:rsidRDefault="00F45BA0" w:rsidP="000F5BFB">
            <w:pPr>
              <w:rPr>
                <w:szCs w:val="24"/>
              </w:rPr>
            </w:pPr>
            <w:r w:rsidRPr="007446B1">
              <w:rPr>
                <w:szCs w:val="24"/>
              </w:rPr>
              <w:t>Property, Plant &amp; Equipment</w:t>
            </w:r>
          </w:p>
          <w:p w14:paraId="33C3988D" w14:textId="77777777" w:rsidR="00393CDF" w:rsidRPr="007446B1" w:rsidRDefault="00393CDF" w:rsidP="000F5BFB">
            <w:pPr>
              <w:rPr>
                <w:szCs w:val="24"/>
              </w:rPr>
            </w:pPr>
          </w:p>
          <w:p w14:paraId="71C02FD6" w14:textId="1B4520C6" w:rsidR="00393CDF" w:rsidRPr="007446B1" w:rsidRDefault="00716389" w:rsidP="000F5BFB">
            <w:pPr>
              <w:rPr>
                <w:szCs w:val="24"/>
              </w:rPr>
            </w:pPr>
            <w:r w:rsidRPr="007446B1">
              <w:rPr>
                <w:szCs w:val="24"/>
              </w:rPr>
              <w:t>Carrying value £</w:t>
            </w:r>
            <w:r w:rsidR="00EF46AF" w:rsidRPr="007446B1">
              <w:rPr>
                <w:szCs w:val="24"/>
              </w:rPr>
              <w:t xml:space="preserve">126m </w:t>
            </w:r>
            <w:r w:rsidRPr="007446B1">
              <w:rPr>
                <w:szCs w:val="24"/>
              </w:rPr>
              <w:t>(</w:t>
            </w:r>
            <w:r w:rsidR="00CF111B" w:rsidRPr="007446B1">
              <w:rPr>
                <w:szCs w:val="24"/>
              </w:rPr>
              <w:t>202</w:t>
            </w:r>
            <w:r w:rsidR="00A33179" w:rsidRPr="007446B1">
              <w:rPr>
                <w:szCs w:val="24"/>
              </w:rPr>
              <w:t>1</w:t>
            </w:r>
            <w:r w:rsidR="00CF111B" w:rsidRPr="007446B1">
              <w:rPr>
                <w:szCs w:val="24"/>
              </w:rPr>
              <w:t>/2</w:t>
            </w:r>
            <w:r w:rsidR="00A33179" w:rsidRPr="007446B1">
              <w:rPr>
                <w:szCs w:val="24"/>
              </w:rPr>
              <w:t>2</w:t>
            </w:r>
            <w:r w:rsidRPr="007446B1">
              <w:rPr>
                <w:szCs w:val="24"/>
              </w:rPr>
              <w:t>: £</w:t>
            </w:r>
            <w:r w:rsidR="00A33179" w:rsidRPr="007446B1">
              <w:rPr>
                <w:szCs w:val="24"/>
              </w:rPr>
              <w:t>108.93</w:t>
            </w:r>
            <w:r w:rsidRPr="007446B1">
              <w:rPr>
                <w:szCs w:val="24"/>
              </w:rPr>
              <w:t>m)</w:t>
            </w:r>
          </w:p>
        </w:tc>
        <w:tc>
          <w:tcPr>
            <w:tcW w:w="4084" w:type="dxa"/>
            <w:shd w:val="clear" w:color="auto" w:fill="auto"/>
          </w:tcPr>
          <w:p w14:paraId="74F8240B" w14:textId="3B11CAF9" w:rsidR="00F45BA0" w:rsidRPr="007446B1" w:rsidRDefault="00F45BA0" w:rsidP="000F5BFB">
            <w:pPr>
              <w:rPr>
                <w:szCs w:val="24"/>
              </w:rPr>
            </w:pPr>
            <w:r w:rsidRPr="007446B1">
              <w:rPr>
                <w:iCs/>
                <w:szCs w:val="24"/>
              </w:rPr>
              <w:t xml:space="preserve">As at the valuation date, </w:t>
            </w:r>
            <w:r w:rsidR="00716389" w:rsidRPr="007446B1">
              <w:rPr>
                <w:iCs/>
                <w:szCs w:val="24"/>
              </w:rPr>
              <w:t xml:space="preserve">the </w:t>
            </w:r>
            <w:r w:rsidRPr="007446B1">
              <w:rPr>
                <w:iCs/>
                <w:szCs w:val="24"/>
              </w:rPr>
              <w:t xml:space="preserve">RICS </w:t>
            </w:r>
            <w:r w:rsidR="00716389" w:rsidRPr="007446B1">
              <w:rPr>
                <w:iCs/>
                <w:szCs w:val="24"/>
              </w:rPr>
              <w:t>valuer notes continued market uncertainties in the wake of Brexit and Covid-19, and although materials costs remain high</w:t>
            </w:r>
            <w:r w:rsidR="004112DE" w:rsidRPr="007446B1">
              <w:rPr>
                <w:iCs/>
                <w:szCs w:val="24"/>
              </w:rPr>
              <w:t>.</w:t>
            </w:r>
          </w:p>
        </w:tc>
        <w:tc>
          <w:tcPr>
            <w:tcW w:w="3969" w:type="dxa"/>
            <w:shd w:val="clear" w:color="auto" w:fill="auto"/>
          </w:tcPr>
          <w:p w14:paraId="6E8BAB36" w14:textId="636DA159" w:rsidR="00F45BA0" w:rsidRPr="007446B1" w:rsidRDefault="0094180B" w:rsidP="000F5BFB">
            <w:pPr>
              <w:rPr>
                <w:szCs w:val="24"/>
              </w:rPr>
            </w:pPr>
            <w:r w:rsidRPr="007446B1">
              <w:rPr>
                <w:szCs w:val="24"/>
              </w:rPr>
              <w:t>Most of</w:t>
            </w:r>
            <w:r w:rsidR="00DC6C97" w:rsidRPr="007446B1">
              <w:rPr>
                <w:szCs w:val="24"/>
              </w:rPr>
              <w:t xml:space="preserve"> the Authorities Property assets are valued under the Depreciated Replacement Cost (DRC) method, as specialised assets. There is the possibility that DRC valuations will increase due to shortages of raw materials and labour. </w:t>
            </w:r>
            <w:r w:rsidR="00A77547" w:rsidRPr="007446B1">
              <w:rPr>
                <w:szCs w:val="24"/>
              </w:rPr>
              <w:t>It is estimated that a 1% increase in DRC valuations would increase the assets values by £</w:t>
            </w:r>
            <w:r w:rsidR="00A62775" w:rsidRPr="007446B1">
              <w:rPr>
                <w:szCs w:val="24"/>
              </w:rPr>
              <w:t>1</w:t>
            </w:r>
            <w:r w:rsidR="0041234B" w:rsidRPr="007446B1">
              <w:rPr>
                <w:szCs w:val="24"/>
              </w:rPr>
              <w:t>.</w:t>
            </w:r>
            <w:r w:rsidR="00EF46AF" w:rsidRPr="007446B1">
              <w:rPr>
                <w:szCs w:val="24"/>
              </w:rPr>
              <w:t>3</w:t>
            </w:r>
            <w:r w:rsidR="00A62775" w:rsidRPr="007446B1">
              <w:rPr>
                <w:szCs w:val="24"/>
              </w:rPr>
              <w:t>m</w:t>
            </w:r>
            <w:r w:rsidR="00A77547" w:rsidRPr="007446B1">
              <w:rPr>
                <w:szCs w:val="24"/>
              </w:rPr>
              <w:t>.</w:t>
            </w:r>
          </w:p>
        </w:tc>
      </w:tr>
      <w:tr w:rsidR="00D54463" w:rsidRPr="00AF3DCD" w14:paraId="7B211B85" w14:textId="77777777" w:rsidTr="00397070">
        <w:tc>
          <w:tcPr>
            <w:tcW w:w="1870" w:type="dxa"/>
            <w:shd w:val="clear" w:color="auto" w:fill="auto"/>
          </w:tcPr>
          <w:p w14:paraId="0E0E8BBC" w14:textId="77777777" w:rsidR="00D54463" w:rsidRPr="007446B1" w:rsidRDefault="00D54463" w:rsidP="000F5BFB">
            <w:pPr>
              <w:rPr>
                <w:szCs w:val="24"/>
              </w:rPr>
            </w:pPr>
            <w:r w:rsidRPr="007446B1">
              <w:rPr>
                <w:szCs w:val="24"/>
              </w:rPr>
              <w:t>Fair Value Measurements</w:t>
            </w:r>
            <w:r w:rsidR="00393CDF" w:rsidRPr="007446B1">
              <w:rPr>
                <w:szCs w:val="24"/>
              </w:rPr>
              <w:t xml:space="preserve"> – PFI schemes</w:t>
            </w:r>
          </w:p>
          <w:p w14:paraId="5F1357E1" w14:textId="77777777" w:rsidR="00393CDF" w:rsidRPr="007446B1" w:rsidRDefault="00393CDF" w:rsidP="000F5BFB">
            <w:pPr>
              <w:rPr>
                <w:szCs w:val="24"/>
              </w:rPr>
            </w:pPr>
          </w:p>
          <w:p w14:paraId="3881EA73" w14:textId="13988E6A" w:rsidR="00393CDF" w:rsidRPr="007446B1" w:rsidRDefault="0023055B" w:rsidP="000F5BFB">
            <w:pPr>
              <w:rPr>
                <w:szCs w:val="24"/>
              </w:rPr>
            </w:pPr>
            <w:r w:rsidRPr="007446B1">
              <w:rPr>
                <w:szCs w:val="24"/>
              </w:rPr>
              <w:t>Liability c</w:t>
            </w:r>
            <w:r w:rsidR="00393CDF" w:rsidRPr="007446B1">
              <w:rPr>
                <w:szCs w:val="24"/>
              </w:rPr>
              <w:t>arrying value</w:t>
            </w:r>
            <w:r w:rsidR="00470E44" w:rsidRPr="007446B1">
              <w:rPr>
                <w:szCs w:val="24"/>
              </w:rPr>
              <w:t xml:space="preserve">: </w:t>
            </w:r>
            <w:r w:rsidRPr="007446B1">
              <w:rPr>
                <w:szCs w:val="24"/>
              </w:rPr>
              <w:t>£1</w:t>
            </w:r>
            <w:r w:rsidR="00AE4165" w:rsidRPr="007446B1">
              <w:rPr>
                <w:szCs w:val="24"/>
              </w:rPr>
              <w:t>2.</w:t>
            </w:r>
            <w:r w:rsidR="002C390E" w:rsidRPr="007446B1">
              <w:rPr>
                <w:szCs w:val="24"/>
              </w:rPr>
              <w:t>3</w:t>
            </w:r>
            <w:r w:rsidRPr="007446B1">
              <w:rPr>
                <w:szCs w:val="24"/>
              </w:rPr>
              <w:t xml:space="preserve">m </w:t>
            </w:r>
            <w:r w:rsidR="00915C12" w:rsidRPr="007446B1">
              <w:rPr>
                <w:szCs w:val="24"/>
              </w:rPr>
              <w:t>(</w:t>
            </w:r>
            <w:r w:rsidR="00CF111B" w:rsidRPr="007446B1">
              <w:rPr>
                <w:szCs w:val="24"/>
              </w:rPr>
              <w:t>202</w:t>
            </w:r>
            <w:r w:rsidR="00A33179" w:rsidRPr="007446B1">
              <w:rPr>
                <w:szCs w:val="24"/>
              </w:rPr>
              <w:t>1</w:t>
            </w:r>
            <w:r w:rsidR="00CF111B" w:rsidRPr="007446B1">
              <w:rPr>
                <w:szCs w:val="24"/>
              </w:rPr>
              <w:t>/2</w:t>
            </w:r>
            <w:r w:rsidR="00A33179" w:rsidRPr="007446B1">
              <w:rPr>
                <w:szCs w:val="24"/>
              </w:rPr>
              <w:t>2</w:t>
            </w:r>
            <w:r w:rsidRPr="007446B1">
              <w:rPr>
                <w:szCs w:val="24"/>
              </w:rPr>
              <w:t xml:space="preserve">: </w:t>
            </w:r>
            <w:r w:rsidR="00393CDF" w:rsidRPr="007446B1">
              <w:rPr>
                <w:szCs w:val="24"/>
              </w:rPr>
              <w:t>£</w:t>
            </w:r>
            <w:r w:rsidR="00A33179" w:rsidRPr="007446B1">
              <w:rPr>
                <w:szCs w:val="24"/>
              </w:rPr>
              <w:t>12.8</w:t>
            </w:r>
            <w:r w:rsidR="003E43E5">
              <w:rPr>
                <w:szCs w:val="24"/>
              </w:rPr>
              <w:t>m</w:t>
            </w:r>
            <w:r w:rsidR="00915C12" w:rsidRPr="007446B1">
              <w:rPr>
                <w:szCs w:val="24"/>
              </w:rPr>
              <w:t>)</w:t>
            </w:r>
          </w:p>
          <w:p w14:paraId="4B5FE9A5" w14:textId="77777777" w:rsidR="0023055B" w:rsidRPr="007446B1" w:rsidRDefault="0023055B" w:rsidP="000F5BFB">
            <w:pPr>
              <w:rPr>
                <w:szCs w:val="24"/>
              </w:rPr>
            </w:pPr>
          </w:p>
          <w:p w14:paraId="041F2F81" w14:textId="051F8EBE" w:rsidR="0023055B" w:rsidRPr="007446B1" w:rsidRDefault="0023055B" w:rsidP="000F5BFB">
            <w:pPr>
              <w:rPr>
                <w:szCs w:val="24"/>
              </w:rPr>
            </w:pPr>
            <w:r w:rsidRPr="007446B1">
              <w:rPr>
                <w:szCs w:val="24"/>
              </w:rPr>
              <w:lastRenderedPageBreak/>
              <w:t>Fair value £1</w:t>
            </w:r>
            <w:r w:rsidR="002C390E" w:rsidRPr="007446B1">
              <w:rPr>
                <w:szCs w:val="24"/>
              </w:rPr>
              <w:t>3.5</w:t>
            </w:r>
            <w:r w:rsidRPr="007446B1">
              <w:rPr>
                <w:szCs w:val="24"/>
              </w:rPr>
              <w:t>m (</w:t>
            </w:r>
            <w:r w:rsidR="00CF111B" w:rsidRPr="007446B1">
              <w:rPr>
                <w:szCs w:val="24"/>
              </w:rPr>
              <w:t>202</w:t>
            </w:r>
            <w:r w:rsidR="00A33179" w:rsidRPr="007446B1">
              <w:rPr>
                <w:szCs w:val="24"/>
              </w:rPr>
              <w:t>1</w:t>
            </w:r>
            <w:r w:rsidR="00CF111B" w:rsidRPr="007446B1">
              <w:rPr>
                <w:szCs w:val="24"/>
              </w:rPr>
              <w:t>/2</w:t>
            </w:r>
            <w:r w:rsidR="00A33179" w:rsidRPr="007446B1">
              <w:rPr>
                <w:szCs w:val="24"/>
              </w:rPr>
              <w:t>2</w:t>
            </w:r>
            <w:r w:rsidRPr="007446B1">
              <w:rPr>
                <w:szCs w:val="24"/>
              </w:rPr>
              <w:t>: £</w:t>
            </w:r>
            <w:r w:rsidR="00A33179" w:rsidRPr="007446B1">
              <w:rPr>
                <w:szCs w:val="24"/>
              </w:rPr>
              <w:t>15.9m</w:t>
            </w:r>
            <w:r w:rsidRPr="007446B1">
              <w:rPr>
                <w:szCs w:val="24"/>
              </w:rPr>
              <w:t>)</w:t>
            </w:r>
          </w:p>
        </w:tc>
        <w:tc>
          <w:tcPr>
            <w:tcW w:w="4084" w:type="dxa"/>
            <w:shd w:val="clear" w:color="auto" w:fill="auto"/>
          </w:tcPr>
          <w:p w14:paraId="6758C2D6" w14:textId="228DB26F" w:rsidR="0023055B" w:rsidRPr="007446B1" w:rsidRDefault="002C390E" w:rsidP="000F5BFB">
            <w:pPr>
              <w:rPr>
                <w:szCs w:val="24"/>
              </w:rPr>
            </w:pPr>
            <w:r w:rsidRPr="007446B1">
              <w:rPr>
                <w:szCs w:val="24"/>
              </w:rPr>
              <w:lastRenderedPageBreak/>
              <w:t xml:space="preserve">The liability initial carrying value is calculated from the present value of the future payments due and grant received for the life of the PFI scheme. This carrying value is then updated each year to reflect any inflationary increases and any repayments made. The fair value is calculated using the forecast payments and grant income for the remaining life of the scheme and </w:t>
            </w:r>
            <w:r w:rsidRPr="007446B1">
              <w:rPr>
                <w:szCs w:val="24"/>
              </w:rPr>
              <w:lastRenderedPageBreak/>
              <w:t>applying a discount rate (we use the current AA rated bond yield rate forecast) to arrive at the fair value. The Fair Value is the estimated price at which the Authority would transfer the liability to another body.</w:t>
            </w:r>
          </w:p>
          <w:p w14:paraId="17846B49" w14:textId="77777777" w:rsidR="002C390E" w:rsidRPr="007446B1" w:rsidRDefault="002C390E" w:rsidP="000F5BFB">
            <w:pPr>
              <w:rPr>
                <w:szCs w:val="24"/>
              </w:rPr>
            </w:pPr>
          </w:p>
          <w:p w14:paraId="3B6E1665" w14:textId="31031F1F" w:rsidR="002C390E" w:rsidRPr="007446B1" w:rsidRDefault="002C390E" w:rsidP="000F5BFB">
            <w:pPr>
              <w:rPr>
                <w:szCs w:val="24"/>
              </w:rPr>
            </w:pPr>
            <w:r w:rsidRPr="007446B1">
              <w:rPr>
                <w:szCs w:val="24"/>
              </w:rPr>
              <w:t xml:space="preserve">The bond yield rate forecasts have increased since last year end, reflecting the increase in expected future Bank of England base rate forecasts. The reduction in the fair value of the liability, is a product of both the underlying reduction in the liability </w:t>
            </w:r>
            <w:r w:rsidR="0094180B" w:rsidRPr="007446B1">
              <w:rPr>
                <w:szCs w:val="24"/>
              </w:rPr>
              <w:t>because of</w:t>
            </w:r>
            <w:r w:rsidRPr="007446B1">
              <w:rPr>
                <w:szCs w:val="24"/>
              </w:rPr>
              <w:t xml:space="preserve"> repayments made during the year, and the increase in the future interest rates. </w:t>
            </w:r>
          </w:p>
        </w:tc>
        <w:tc>
          <w:tcPr>
            <w:tcW w:w="3969" w:type="dxa"/>
            <w:shd w:val="clear" w:color="auto" w:fill="auto"/>
          </w:tcPr>
          <w:p w14:paraId="095DF2D1" w14:textId="098D10BA" w:rsidR="00D54463" w:rsidRPr="007446B1" w:rsidRDefault="003076C2" w:rsidP="000F5BFB">
            <w:pPr>
              <w:rPr>
                <w:szCs w:val="24"/>
              </w:rPr>
            </w:pPr>
            <w:r w:rsidRPr="007446B1">
              <w:rPr>
                <w:szCs w:val="24"/>
              </w:rPr>
              <w:lastRenderedPageBreak/>
              <w:t xml:space="preserve">The Authority uses the </w:t>
            </w:r>
            <w:r w:rsidR="0050567D" w:rsidRPr="007446B1">
              <w:rPr>
                <w:szCs w:val="24"/>
              </w:rPr>
              <w:t>Discounted Cash Flow (</w:t>
            </w:r>
            <w:r w:rsidRPr="007446B1">
              <w:rPr>
                <w:szCs w:val="24"/>
              </w:rPr>
              <w:t>DCF</w:t>
            </w:r>
            <w:r w:rsidR="0050567D" w:rsidRPr="007446B1">
              <w:rPr>
                <w:szCs w:val="24"/>
              </w:rPr>
              <w:t>)</w:t>
            </w:r>
            <w:r w:rsidRPr="007446B1">
              <w:rPr>
                <w:szCs w:val="24"/>
              </w:rPr>
              <w:t xml:space="preserve"> model to measure the fair value of its PFI liabilities.</w:t>
            </w:r>
          </w:p>
          <w:p w14:paraId="5B7F4E9A" w14:textId="77777777" w:rsidR="0023055B" w:rsidRPr="007446B1" w:rsidRDefault="0023055B" w:rsidP="000F5BFB">
            <w:pPr>
              <w:rPr>
                <w:szCs w:val="24"/>
              </w:rPr>
            </w:pPr>
          </w:p>
          <w:p w14:paraId="547FAA34" w14:textId="247F55A0" w:rsidR="0023055B" w:rsidRPr="007446B1" w:rsidRDefault="00474B01" w:rsidP="000F5BFB">
            <w:pPr>
              <w:rPr>
                <w:szCs w:val="24"/>
              </w:rPr>
            </w:pPr>
            <w:r w:rsidRPr="007446B1">
              <w:rPr>
                <w:szCs w:val="24"/>
              </w:rPr>
              <w:t>F</w:t>
            </w:r>
            <w:r w:rsidR="00E41E0D" w:rsidRPr="007446B1">
              <w:rPr>
                <w:szCs w:val="24"/>
              </w:rPr>
              <w:t xml:space="preserve">air value is calculated </w:t>
            </w:r>
            <w:r w:rsidRPr="007446B1">
              <w:rPr>
                <w:szCs w:val="24"/>
              </w:rPr>
              <w:t>using the bond yield rates against the annual net cash flows.</w:t>
            </w:r>
          </w:p>
          <w:p w14:paraId="739904C1" w14:textId="77777777" w:rsidR="0023055B" w:rsidRPr="007446B1" w:rsidRDefault="0023055B" w:rsidP="000F5BFB">
            <w:pPr>
              <w:rPr>
                <w:szCs w:val="24"/>
              </w:rPr>
            </w:pPr>
          </w:p>
          <w:p w14:paraId="7438F265" w14:textId="0130A77D" w:rsidR="00E41E0D" w:rsidRPr="007446B1" w:rsidRDefault="00474B01" w:rsidP="000F5BFB">
            <w:pPr>
              <w:rPr>
                <w:szCs w:val="24"/>
              </w:rPr>
            </w:pPr>
            <w:r w:rsidRPr="007446B1">
              <w:rPr>
                <w:szCs w:val="24"/>
              </w:rPr>
              <w:lastRenderedPageBreak/>
              <w:t>It is estimated that a 1%</w:t>
            </w:r>
            <w:r w:rsidR="00E41E0D" w:rsidRPr="007446B1">
              <w:rPr>
                <w:szCs w:val="24"/>
              </w:rPr>
              <w:t xml:space="preserve"> </w:t>
            </w:r>
            <w:r w:rsidR="00814177" w:rsidRPr="007446B1">
              <w:rPr>
                <w:szCs w:val="24"/>
              </w:rPr>
              <w:t>decrease</w:t>
            </w:r>
            <w:r w:rsidR="00E41E0D" w:rsidRPr="007446B1">
              <w:rPr>
                <w:szCs w:val="24"/>
              </w:rPr>
              <w:t xml:space="preserve"> in the discount rate would </w:t>
            </w:r>
            <w:r w:rsidR="00477F99" w:rsidRPr="007446B1">
              <w:rPr>
                <w:szCs w:val="24"/>
              </w:rPr>
              <w:t>increase the fair value by £</w:t>
            </w:r>
            <w:r w:rsidR="00E4520B" w:rsidRPr="007446B1">
              <w:rPr>
                <w:szCs w:val="24"/>
              </w:rPr>
              <w:t>0</w:t>
            </w:r>
            <w:r w:rsidR="009F0CDF" w:rsidRPr="007446B1">
              <w:rPr>
                <w:szCs w:val="24"/>
              </w:rPr>
              <w:t>.</w:t>
            </w:r>
            <w:r w:rsidR="00E4520B" w:rsidRPr="007446B1">
              <w:rPr>
                <w:szCs w:val="24"/>
              </w:rPr>
              <w:t>1</w:t>
            </w:r>
            <w:r w:rsidR="007B08DE" w:rsidRPr="007446B1">
              <w:rPr>
                <w:szCs w:val="24"/>
              </w:rPr>
              <w:t>2</w:t>
            </w:r>
            <w:r w:rsidR="0023055B" w:rsidRPr="007446B1">
              <w:rPr>
                <w:szCs w:val="24"/>
              </w:rPr>
              <w:t>m</w:t>
            </w:r>
            <w:r w:rsidR="00814177" w:rsidRPr="007446B1">
              <w:rPr>
                <w:szCs w:val="24"/>
              </w:rPr>
              <w:t>.</w:t>
            </w:r>
          </w:p>
          <w:p w14:paraId="47B80EEB" w14:textId="77777777" w:rsidR="004D148C" w:rsidRPr="007446B1" w:rsidRDefault="004D148C" w:rsidP="000F5BFB">
            <w:pPr>
              <w:rPr>
                <w:szCs w:val="24"/>
              </w:rPr>
            </w:pPr>
          </w:p>
        </w:tc>
      </w:tr>
      <w:tr w:rsidR="00DF4B1E" w:rsidRPr="00AF3DCD" w14:paraId="220EEBC5" w14:textId="77777777" w:rsidTr="00397070">
        <w:tc>
          <w:tcPr>
            <w:tcW w:w="1870" w:type="dxa"/>
            <w:shd w:val="clear" w:color="auto" w:fill="auto"/>
          </w:tcPr>
          <w:p w14:paraId="4029A877" w14:textId="77777777" w:rsidR="00DF4B1E" w:rsidRPr="007446B1" w:rsidRDefault="00DF4B1E" w:rsidP="000F5BFB">
            <w:pPr>
              <w:rPr>
                <w:szCs w:val="24"/>
              </w:rPr>
            </w:pPr>
            <w:r w:rsidRPr="007446B1">
              <w:rPr>
                <w:szCs w:val="24"/>
              </w:rPr>
              <w:lastRenderedPageBreak/>
              <w:t>Pension Liability</w:t>
            </w:r>
          </w:p>
          <w:p w14:paraId="1930AD7B" w14:textId="77777777" w:rsidR="00393CDF" w:rsidRPr="007446B1" w:rsidRDefault="00393CDF" w:rsidP="000F5BFB">
            <w:pPr>
              <w:rPr>
                <w:szCs w:val="24"/>
              </w:rPr>
            </w:pPr>
          </w:p>
          <w:p w14:paraId="7B7C0FC3" w14:textId="5E19962D" w:rsidR="00393CDF" w:rsidRPr="007446B1" w:rsidRDefault="00393CDF" w:rsidP="000F5BFB">
            <w:pPr>
              <w:rPr>
                <w:szCs w:val="24"/>
              </w:rPr>
            </w:pPr>
            <w:r w:rsidRPr="007446B1">
              <w:rPr>
                <w:szCs w:val="24"/>
              </w:rPr>
              <w:t>Carrying value</w:t>
            </w:r>
            <w:r w:rsidR="002B7DD9" w:rsidRPr="007446B1">
              <w:rPr>
                <w:szCs w:val="24"/>
              </w:rPr>
              <w:t xml:space="preserve"> £</w:t>
            </w:r>
            <w:r w:rsidR="002C390E" w:rsidRPr="007446B1">
              <w:rPr>
                <w:szCs w:val="24"/>
              </w:rPr>
              <w:t>619.6</w:t>
            </w:r>
            <w:r w:rsidR="002B7DD9" w:rsidRPr="007446B1">
              <w:rPr>
                <w:szCs w:val="24"/>
              </w:rPr>
              <w:t>m (20</w:t>
            </w:r>
            <w:r w:rsidR="00426412" w:rsidRPr="007446B1">
              <w:rPr>
                <w:szCs w:val="24"/>
              </w:rPr>
              <w:t>2</w:t>
            </w:r>
            <w:r w:rsidR="00A33179" w:rsidRPr="007446B1">
              <w:rPr>
                <w:szCs w:val="24"/>
              </w:rPr>
              <w:t>1</w:t>
            </w:r>
            <w:r w:rsidR="00426412" w:rsidRPr="007446B1">
              <w:rPr>
                <w:szCs w:val="24"/>
              </w:rPr>
              <w:t>/2</w:t>
            </w:r>
            <w:r w:rsidR="00A33179" w:rsidRPr="007446B1">
              <w:rPr>
                <w:szCs w:val="24"/>
              </w:rPr>
              <w:t>2</w:t>
            </w:r>
            <w:r w:rsidR="002B7DD9" w:rsidRPr="007446B1">
              <w:rPr>
                <w:szCs w:val="24"/>
              </w:rPr>
              <w:t xml:space="preserve">: </w:t>
            </w:r>
            <w:r w:rsidRPr="007446B1">
              <w:rPr>
                <w:szCs w:val="24"/>
              </w:rPr>
              <w:t>£</w:t>
            </w:r>
            <w:r w:rsidR="00A33179" w:rsidRPr="007446B1">
              <w:rPr>
                <w:szCs w:val="24"/>
              </w:rPr>
              <w:t>883.4</w:t>
            </w:r>
            <w:r w:rsidR="00915C12" w:rsidRPr="007446B1">
              <w:rPr>
                <w:szCs w:val="24"/>
              </w:rPr>
              <w:t>)</w:t>
            </w:r>
          </w:p>
        </w:tc>
        <w:tc>
          <w:tcPr>
            <w:tcW w:w="4084" w:type="dxa"/>
            <w:shd w:val="clear" w:color="auto" w:fill="auto"/>
          </w:tcPr>
          <w:p w14:paraId="6175A200" w14:textId="5FCDB716" w:rsidR="00DF4B1E" w:rsidRPr="007446B1" w:rsidRDefault="00DF4B1E" w:rsidP="000F5BFB">
            <w:pPr>
              <w:rPr>
                <w:szCs w:val="24"/>
              </w:rPr>
            </w:pPr>
            <w:r w:rsidRPr="007446B1">
              <w:rPr>
                <w:szCs w:val="24"/>
              </w:rPr>
              <w:t xml:space="preserve">Estimation of the net liability to pay pensions depends on </w:t>
            </w:r>
            <w:r w:rsidR="0094180B" w:rsidRPr="007446B1">
              <w:rPr>
                <w:szCs w:val="24"/>
              </w:rPr>
              <w:t>several</w:t>
            </w:r>
            <w:r w:rsidRPr="007446B1">
              <w:rPr>
                <w:szCs w:val="24"/>
              </w:rPr>
              <w:t xml:space="preserve"> complex judgements relating to the discount rate used, the rate at which salaries are projected to increase, changes in retirement ages, mortality rates and expected returns on pension fund assets. </w:t>
            </w:r>
            <w:r w:rsidR="008F6E00" w:rsidRPr="007446B1">
              <w:rPr>
                <w:szCs w:val="24"/>
              </w:rPr>
              <w:t>C</w:t>
            </w:r>
            <w:r w:rsidRPr="007446B1">
              <w:rPr>
                <w:szCs w:val="24"/>
              </w:rPr>
              <w:t xml:space="preserve">onsulting actuaries </w:t>
            </w:r>
            <w:r w:rsidR="008F6E00" w:rsidRPr="007446B1">
              <w:rPr>
                <w:szCs w:val="24"/>
              </w:rPr>
              <w:t>are</w:t>
            </w:r>
            <w:r w:rsidRPr="007446B1">
              <w:rPr>
                <w:szCs w:val="24"/>
              </w:rPr>
              <w:t xml:space="preserve"> engaged to provide the Authority with expert advice about the assumptions to be applied</w:t>
            </w:r>
            <w:r w:rsidR="008F6E00" w:rsidRPr="007446B1">
              <w:rPr>
                <w:szCs w:val="24"/>
              </w:rPr>
              <w:t xml:space="preserve"> to each scheme</w:t>
            </w:r>
            <w:r w:rsidRPr="007446B1">
              <w:rPr>
                <w:szCs w:val="24"/>
              </w:rPr>
              <w:t>.</w:t>
            </w:r>
          </w:p>
        </w:tc>
        <w:tc>
          <w:tcPr>
            <w:tcW w:w="3969" w:type="dxa"/>
            <w:shd w:val="clear" w:color="auto" w:fill="auto"/>
          </w:tcPr>
          <w:p w14:paraId="4D5A7387" w14:textId="43724874" w:rsidR="00DF4B1E" w:rsidRPr="007446B1" w:rsidRDefault="002C390E" w:rsidP="000F5BFB">
            <w:pPr>
              <w:rPr>
                <w:szCs w:val="24"/>
              </w:rPr>
            </w:pPr>
            <w:r w:rsidRPr="007446B1">
              <w:rPr>
                <w:szCs w:val="24"/>
              </w:rPr>
              <w:t>It is estimated that, for both pension schemes combined, a 0.5% increase in the discount rate would decrease the liability by £47m (2021/22: £8</w:t>
            </w:r>
            <w:r w:rsidR="00E61EA6" w:rsidRPr="007446B1">
              <w:rPr>
                <w:szCs w:val="24"/>
              </w:rPr>
              <w:t>4.5</w:t>
            </w:r>
            <w:r w:rsidRPr="007446B1">
              <w:rPr>
                <w:szCs w:val="24"/>
              </w:rPr>
              <w:t>m), a 1% increase in pay growth would increase the liability by £13m (2021/22: £</w:t>
            </w:r>
            <w:r w:rsidR="00E61EA6" w:rsidRPr="007446B1">
              <w:rPr>
                <w:szCs w:val="24"/>
              </w:rPr>
              <w:t>11</w:t>
            </w:r>
            <w:r w:rsidRPr="007446B1">
              <w:rPr>
                <w:szCs w:val="24"/>
              </w:rPr>
              <w:t>m). In addition, a 1</w:t>
            </w:r>
            <w:r w:rsidR="00E4520B" w:rsidRPr="007446B1">
              <w:rPr>
                <w:szCs w:val="24"/>
              </w:rPr>
              <w:t>-</w:t>
            </w:r>
            <w:r w:rsidRPr="007446B1">
              <w:rPr>
                <w:szCs w:val="24"/>
              </w:rPr>
              <w:t>year increase in the assumed life expectancy would increase the liability by £17m (2021/22: £</w:t>
            </w:r>
            <w:r w:rsidR="00E61EA6" w:rsidRPr="007446B1">
              <w:rPr>
                <w:szCs w:val="24"/>
              </w:rPr>
              <w:t>33.5</w:t>
            </w:r>
            <w:r w:rsidRPr="007446B1">
              <w:rPr>
                <w:szCs w:val="24"/>
              </w:rPr>
              <w:t>m).</w:t>
            </w:r>
          </w:p>
        </w:tc>
      </w:tr>
      <w:tr w:rsidR="000F38E6" w:rsidRPr="00AF3DCD" w14:paraId="3720CCCA" w14:textId="77777777" w:rsidTr="00397070">
        <w:tc>
          <w:tcPr>
            <w:tcW w:w="1870" w:type="dxa"/>
            <w:shd w:val="clear" w:color="auto" w:fill="auto"/>
          </w:tcPr>
          <w:p w14:paraId="083CC251" w14:textId="77777777" w:rsidR="000F38E6" w:rsidRPr="0032529F" w:rsidRDefault="00B83AC7" w:rsidP="000F5BFB">
            <w:pPr>
              <w:rPr>
                <w:szCs w:val="24"/>
              </w:rPr>
            </w:pPr>
            <w:bookmarkStart w:id="74" w:name="_Hlk156489282"/>
            <w:r w:rsidRPr="0032529F">
              <w:rPr>
                <w:szCs w:val="24"/>
              </w:rPr>
              <w:t>LGPS Asset Ceiling</w:t>
            </w:r>
          </w:p>
          <w:p w14:paraId="330D096B" w14:textId="77777777" w:rsidR="00B83AC7" w:rsidRPr="0032529F" w:rsidRDefault="00B83AC7" w:rsidP="000F5BFB">
            <w:pPr>
              <w:rPr>
                <w:szCs w:val="24"/>
              </w:rPr>
            </w:pPr>
          </w:p>
          <w:p w14:paraId="4488DA2C" w14:textId="5039706F" w:rsidR="00B83AC7" w:rsidRPr="0032529F" w:rsidRDefault="00B83AC7" w:rsidP="000F5BFB">
            <w:pPr>
              <w:rPr>
                <w:szCs w:val="24"/>
              </w:rPr>
            </w:pPr>
            <w:r w:rsidRPr="0032529F">
              <w:rPr>
                <w:szCs w:val="24"/>
              </w:rPr>
              <w:t xml:space="preserve">Gross </w:t>
            </w:r>
            <w:r w:rsidR="005617F1" w:rsidRPr="0032529F">
              <w:rPr>
                <w:szCs w:val="24"/>
              </w:rPr>
              <w:t>defined benefit</w:t>
            </w:r>
            <w:r w:rsidRPr="0032529F">
              <w:rPr>
                <w:szCs w:val="24"/>
              </w:rPr>
              <w:t xml:space="preserve"> </w:t>
            </w:r>
            <w:r w:rsidR="005617F1" w:rsidRPr="0032529F">
              <w:rPr>
                <w:szCs w:val="24"/>
              </w:rPr>
              <w:t>asset</w:t>
            </w:r>
          </w:p>
          <w:p w14:paraId="3F1C8CE9" w14:textId="77777777" w:rsidR="00B83AC7" w:rsidRPr="0032529F" w:rsidRDefault="00B83AC7" w:rsidP="000F5BFB">
            <w:pPr>
              <w:rPr>
                <w:szCs w:val="24"/>
              </w:rPr>
            </w:pPr>
            <w:r w:rsidRPr="0032529F">
              <w:rPr>
                <w:szCs w:val="24"/>
              </w:rPr>
              <w:t>£19.9m</w:t>
            </w:r>
          </w:p>
          <w:p w14:paraId="67A07AD2" w14:textId="77777777" w:rsidR="00B83AC7" w:rsidRPr="0032529F" w:rsidRDefault="00B83AC7" w:rsidP="000F5BFB">
            <w:pPr>
              <w:rPr>
                <w:szCs w:val="24"/>
              </w:rPr>
            </w:pPr>
            <w:r w:rsidRPr="0032529F">
              <w:rPr>
                <w:szCs w:val="24"/>
              </w:rPr>
              <w:t>(2021/22</w:t>
            </w:r>
            <w:r w:rsidR="00DB72E6" w:rsidRPr="0032529F">
              <w:rPr>
                <w:szCs w:val="24"/>
              </w:rPr>
              <w:t>: (£7.5m))</w:t>
            </w:r>
          </w:p>
          <w:p w14:paraId="6EB95182" w14:textId="77777777" w:rsidR="00DB72E6" w:rsidRPr="0032529F" w:rsidRDefault="00DB72E6" w:rsidP="000F5BFB">
            <w:pPr>
              <w:rPr>
                <w:szCs w:val="24"/>
              </w:rPr>
            </w:pPr>
          </w:p>
          <w:p w14:paraId="6D1124C5" w14:textId="45C68778" w:rsidR="00DB72E6" w:rsidRPr="0032529F" w:rsidRDefault="00DB72E6" w:rsidP="000F5BFB">
            <w:pPr>
              <w:rPr>
                <w:szCs w:val="24"/>
              </w:rPr>
            </w:pPr>
            <w:r w:rsidRPr="0032529F">
              <w:rPr>
                <w:szCs w:val="24"/>
              </w:rPr>
              <w:t xml:space="preserve">Net </w:t>
            </w:r>
            <w:r w:rsidR="005617F1" w:rsidRPr="0032529F">
              <w:rPr>
                <w:szCs w:val="24"/>
              </w:rPr>
              <w:t>defined benefit asset</w:t>
            </w:r>
          </w:p>
          <w:p w14:paraId="2E57A351" w14:textId="77777777" w:rsidR="00DB72E6" w:rsidRPr="0032529F" w:rsidRDefault="00DB72E6" w:rsidP="000F5BFB">
            <w:pPr>
              <w:rPr>
                <w:szCs w:val="24"/>
              </w:rPr>
            </w:pPr>
            <w:r w:rsidRPr="0032529F">
              <w:rPr>
                <w:szCs w:val="24"/>
              </w:rPr>
              <w:t>£-</w:t>
            </w:r>
          </w:p>
          <w:p w14:paraId="4A892F95" w14:textId="503E1263" w:rsidR="00DB72E6" w:rsidRPr="0032529F" w:rsidRDefault="00DB72E6" w:rsidP="000F5BFB">
            <w:pPr>
              <w:rPr>
                <w:szCs w:val="24"/>
              </w:rPr>
            </w:pPr>
            <w:r w:rsidRPr="0032529F">
              <w:rPr>
                <w:szCs w:val="24"/>
              </w:rPr>
              <w:t>(2021/22: (£7.5m))</w:t>
            </w:r>
          </w:p>
        </w:tc>
        <w:tc>
          <w:tcPr>
            <w:tcW w:w="4084" w:type="dxa"/>
            <w:shd w:val="clear" w:color="auto" w:fill="auto"/>
          </w:tcPr>
          <w:p w14:paraId="0BF34DDC" w14:textId="679CF2ED" w:rsidR="00116F83" w:rsidRPr="0032529F" w:rsidRDefault="00116F83" w:rsidP="000F5BFB">
            <w:pPr>
              <w:rPr>
                <w:szCs w:val="24"/>
              </w:rPr>
            </w:pPr>
            <w:r w:rsidRPr="0032529F">
              <w:rPr>
                <w:szCs w:val="24"/>
              </w:rPr>
              <w:t>The assumptions used are like those used to calculate the pension liability and actuaries are consulted to provide expert advice on the assumptions to be used.</w:t>
            </w:r>
          </w:p>
        </w:tc>
        <w:tc>
          <w:tcPr>
            <w:tcW w:w="3969" w:type="dxa"/>
            <w:shd w:val="clear" w:color="auto" w:fill="auto"/>
          </w:tcPr>
          <w:p w14:paraId="6AFD40FC" w14:textId="34470AE6" w:rsidR="000F38E6" w:rsidRPr="0032529F" w:rsidRDefault="00116F83" w:rsidP="000F5BFB">
            <w:pPr>
              <w:rPr>
                <w:szCs w:val="24"/>
              </w:rPr>
            </w:pPr>
            <w:r w:rsidRPr="0032529F">
              <w:rPr>
                <w:szCs w:val="24"/>
              </w:rPr>
              <w:t xml:space="preserve">The Authority </w:t>
            </w:r>
            <w:r w:rsidR="00C7682B" w:rsidRPr="0032529F">
              <w:rPr>
                <w:szCs w:val="24"/>
              </w:rPr>
              <w:t xml:space="preserve">has reduced the scheme’s </w:t>
            </w:r>
            <w:r w:rsidR="00DD3316" w:rsidRPr="0032529F">
              <w:rPr>
                <w:szCs w:val="24"/>
              </w:rPr>
              <w:t>net</w:t>
            </w:r>
            <w:r w:rsidR="00C7682B" w:rsidRPr="0032529F">
              <w:rPr>
                <w:szCs w:val="24"/>
              </w:rPr>
              <w:t xml:space="preserve"> asset to nil based on this assessment.</w:t>
            </w:r>
          </w:p>
          <w:p w14:paraId="3A879DD5" w14:textId="77777777" w:rsidR="00C7682B" w:rsidRPr="0032529F" w:rsidRDefault="00C7682B" w:rsidP="000F5BFB">
            <w:pPr>
              <w:rPr>
                <w:szCs w:val="24"/>
              </w:rPr>
            </w:pPr>
          </w:p>
          <w:p w14:paraId="0FFEA586" w14:textId="4AAB0D74" w:rsidR="00C7682B" w:rsidRPr="0032529F" w:rsidRDefault="00C7682B" w:rsidP="000F5BFB">
            <w:pPr>
              <w:rPr>
                <w:szCs w:val="24"/>
              </w:rPr>
            </w:pPr>
            <w:r w:rsidRPr="0032529F">
              <w:rPr>
                <w:szCs w:val="24"/>
              </w:rPr>
              <w:t xml:space="preserve">It is estimated that a 1% increase in the future accounting service cost would have led to the Authority having a pension asset </w:t>
            </w:r>
            <w:r w:rsidR="00704E87" w:rsidRPr="0032529F">
              <w:rPr>
                <w:szCs w:val="24"/>
              </w:rPr>
              <w:t xml:space="preserve">ceiling </w:t>
            </w:r>
            <w:r w:rsidRPr="0032529F">
              <w:rPr>
                <w:szCs w:val="24"/>
              </w:rPr>
              <w:t>of £3.1m</w:t>
            </w:r>
            <w:r w:rsidR="00704E87" w:rsidRPr="0032529F">
              <w:rPr>
                <w:szCs w:val="24"/>
              </w:rPr>
              <w:t>.</w:t>
            </w:r>
          </w:p>
        </w:tc>
      </w:tr>
    </w:tbl>
    <w:bookmarkEnd w:id="74"/>
    <w:p w14:paraId="52731361" w14:textId="77777777" w:rsidR="00DF4B1E" w:rsidRPr="00AF3DCD" w:rsidRDefault="00DF4B1E" w:rsidP="00DF4B1E">
      <w:pPr>
        <w:ind w:left="374"/>
        <w:jc w:val="both"/>
        <w:rPr>
          <w:sz w:val="22"/>
          <w:szCs w:val="22"/>
        </w:rPr>
      </w:pPr>
      <w:r w:rsidRPr="00AF3DCD">
        <w:rPr>
          <w:sz w:val="22"/>
          <w:szCs w:val="22"/>
        </w:rPr>
        <w:t xml:space="preserve"> </w:t>
      </w:r>
    </w:p>
    <w:p w14:paraId="52685EC2" w14:textId="6DB26CE5" w:rsidR="006563F1" w:rsidRPr="00D93871" w:rsidRDefault="00DF4B1E" w:rsidP="00D93871">
      <w:pPr>
        <w:ind w:left="709"/>
        <w:rPr>
          <w:szCs w:val="24"/>
        </w:rPr>
      </w:pPr>
      <w:r w:rsidRPr="007446B1">
        <w:rPr>
          <w:szCs w:val="24"/>
        </w:rPr>
        <w:t>This list does not include assets and liabilities that are carried at fair value based on a recently observed market price.</w:t>
      </w:r>
    </w:p>
    <w:p w14:paraId="70982843" w14:textId="77777777" w:rsidR="00D93871" w:rsidRDefault="00D93871">
      <w:pPr>
        <w:rPr>
          <w:b/>
          <w:szCs w:val="24"/>
        </w:rPr>
      </w:pPr>
      <w:r>
        <w:rPr>
          <w:szCs w:val="24"/>
        </w:rPr>
        <w:br w:type="page"/>
      </w:r>
    </w:p>
    <w:p w14:paraId="6107AF67" w14:textId="71089063" w:rsidR="009B6F2A" w:rsidRPr="006563F1" w:rsidRDefault="001C592E" w:rsidP="006563F1">
      <w:pPr>
        <w:pStyle w:val="Heading2"/>
        <w:jc w:val="left"/>
        <w:rPr>
          <w:sz w:val="24"/>
          <w:szCs w:val="24"/>
        </w:rPr>
      </w:pPr>
      <w:bookmarkStart w:id="75" w:name="_Toc166761560"/>
      <w:r w:rsidRPr="006563F1">
        <w:rPr>
          <w:sz w:val="24"/>
          <w:szCs w:val="24"/>
        </w:rPr>
        <w:lastRenderedPageBreak/>
        <w:t>2</w:t>
      </w:r>
      <w:r w:rsidR="00535820" w:rsidRPr="006563F1">
        <w:rPr>
          <w:sz w:val="24"/>
          <w:szCs w:val="24"/>
        </w:rPr>
        <w:t>7</w:t>
      </w:r>
      <w:r w:rsidR="006626A8" w:rsidRPr="006563F1">
        <w:rPr>
          <w:sz w:val="24"/>
          <w:szCs w:val="24"/>
        </w:rPr>
        <w:tab/>
      </w:r>
      <w:r w:rsidR="00792963" w:rsidRPr="006563F1">
        <w:rPr>
          <w:sz w:val="24"/>
          <w:szCs w:val="24"/>
        </w:rPr>
        <w:t>Expenditure and Income Analysed by Nature</w:t>
      </w:r>
      <w:bookmarkEnd w:id="75"/>
      <w:r w:rsidR="00B669BB" w:rsidRPr="006563F1">
        <w:rPr>
          <w:sz w:val="24"/>
          <w:szCs w:val="24"/>
        </w:rPr>
        <w:t xml:space="preserve"> </w:t>
      </w:r>
    </w:p>
    <w:p w14:paraId="7EE0F6EE" w14:textId="77777777" w:rsidR="00DF4B1E" w:rsidRPr="007446B1" w:rsidRDefault="00DF4B1E" w:rsidP="000F5BFB">
      <w:pPr>
        <w:rPr>
          <w:szCs w:val="24"/>
        </w:rPr>
      </w:pPr>
    </w:p>
    <w:p w14:paraId="702777EB" w14:textId="65151043" w:rsidR="00B55DEC" w:rsidRDefault="00B55DEC" w:rsidP="000F5BFB">
      <w:pPr>
        <w:ind w:left="720"/>
        <w:rPr>
          <w:szCs w:val="24"/>
        </w:rPr>
      </w:pPr>
      <w:r w:rsidRPr="007446B1">
        <w:rPr>
          <w:szCs w:val="24"/>
        </w:rPr>
        <w:t>The Authority’s expenditure and income is analysed as follows:</w:t>
      </w:r>
    </w:p>
    <w:p w14:paraId="71C24F82" w14:textId="77777777" w:rsidR="00787228" w:rsidRPr="007446B1" w:rsidRDefault="00787228" w:rsidP="007446B1">
      <w:pPr>
        <w:ind w:left="720"/>
        <w:jc w:val="both"/>
        <w:rPr>
          <w:szCs w:val="24"/>
        </w:rPr>
      </w:pPr>
    </w:p>
    <w:tbl>
      <w:tblPr>
        <w:tblStyle w:val="TableGrid"/>
        <w:tblW w:w="8733" w:type="dxa"/>
        <w:tblInd w:w="720" w:type="dxa"/>
        <w:tblLook w:val="04A0" w:firstRow="1" w:lastRow="0" w:firstColumn="1" w:lastColumn="0" w:noHBand="0" w:noVBand="1"/>
      </w:tblPr>
      <w:tblGrid>
        <w:gridCol w:w="5342"/>
        <w:gridCol w:w="1635"/>
        <w:gridCol w:w="1756"/>
      </w:tblGrid>
      <w:tr w:rsidR="00670DBF" w:rsidRPr="007446B1" w14:paraId="5BB1E432" w14:textId="77777777" w:rsidTr="00611673">
        <w:trPr>
          <w:tblHeader/>
        </w:trPr>
        <w:tc>
          <w:tcPr>
            <w:tcW w:w="5342" w:type="dxa"/>
            <w:shd w:val="clear" w:color="auto" w:fill="BD2716"/>
          </w:tcPr>
          <w:p w14:paraId="353060D1" w14:textId="77777777" w:rsidR="00670DBF" w:rsidRPr="00982FEC" w:rsidRDefault="00670DBF" w:rsidP="00670DBF">
            <w:pPr>
              <w:jc w:val="both"/>
              <w:rPr>
                <w:color w:val="FFFFFF" w:themeColor="background1"/>
                <w:szCs w:val="24"/>
              </w:rPr>
            </w:pPr>
          </w:p>
        </w:tc>
        <w:tc>
          <w:tcPr>
            <w:tcW w:w="1635" w:type="dxa"/>
            <w:shd w:val="clear" w:color="auto" w:fill="BD2716"/>
            <w:vAlign w:val="center"/>
          </w:tcPr>
          <w:p w14:paraId="24FB8E3D" w14:textId="77777777" w:rsidR="00670DBF" w:rsidRPr="00982FEC" w:rsidRDefault="00670DBF" w:rsidP="00611673">
            <w:pPr>
              <w:jc w:val="right"/>
              <w:rPr>
                <w:color w:val="FFFFFF" w:themeColor="background1"/>
                <w:szCs w:val="24"/>
              </w:rPr>
            </w:pPr>
            <w:r w:rsidRPr="00982FEC">
              <w:rPr>
                <w:color w:val="FFFFFF" w:themeColor="background1"/>
                <w:szCs w:val="24"/>
              </w:rPr>
              <w:t>202</w:t>
            </w:r>
            <w:r w:rsidR="00A33179" w:rsidRPr="00982FEC">
              <w:rPr>
                <w:color w:val="FFFFFF" w:themeColor="background1"/>
                <w:szCs w:val="24"/>
              </w:rPr>
              <w:t>2</w:t>
            </w:r>
            <w:r w:rsidRPr="00982FEC">
              <w:rPr>
                <w:color w:val="FFFFFF" w:themeColor="background1"/>
                <w:szCs w:val="24"/>
              </w:rPr>
              <w:t>/2</w:t>
            </w:r>
            <w:r w:rsidR="00A33179" w:rsidRPr="00982FEC">
              <w:rPr>
                <w:color w:val="FFFFFF" w:themeColor="background1"/>
                <w:szCs w:val="24"/>
              </w:rPr>
              <w:t>3</w:t>
            </w:r>
          </w:p>
          <w:p w14:paraId="1BFF01E0" w14:textId="36B6C32D" w:rsidR="001431C3" w:rsidRPr="00982FEC" w:rsidRDefault="001431C3" w:rsidP="00611673">
            <w:pPr>
              <w:jc w:val="right"/>
              <w:rPr>
                <w:color w:val="FFFFFF" w:themeColor="background1"/>
                <w:szCs w:val="24"/>
              </w:rPr>
            </w:pPr>
            <w:r w:rsidRPr="00982FEC">
              <w:rPr>
                <w:color w:val="FFFFFF" w:themeColor="background1"/>
                <w:szCs w:val="24"/>
              </w:rPr>
              <w:t>£000</w:t>
            </w:r>
          </w:p>
        </w:tc>
        <w:tc>
          <w:tcPr>
            <w:tcW w:w="1756" w:type="dxa"/>
            <w:shd w:val="clear" w:color="auto" w:fill="BD2716"/>
            <w:vAlign w:val="center"/>
          </w:tcPr>
          <w:p w14:paraId="3A2716E3" w14:textId="77777777" w:rsidR="00670DBF" w:rsidRPr="00982FEC" w:rsidRDefault="00670DBF" w:rsidP="00611673">
            <w:pPr>
              <w:jc w:val="right"/>
              <w:rPr>
                <w:color w:val="FFFFFF" w:themeColor="background1"/>
                <w:szCs w:val="24"/>
              </w:rPr>
            </w:pPr>
            <w:r w:rsidRPr="00982FEC">
              <w:rPr>
                <w:color w:val="FFFFFF" w:themeColor="background1"/>
                <w:szCs w:val="24"/>
              </w:rPr>
              <w:t>202</w:t>
            </w:r>
            <w:r w:rsidR="00A33179" w:rsidRPr="00982FEC">
              <w:rPr>
                <w:color w:val="FFFFFF" w:themeColor="background1"/>
                <w:szCs w:val="24"/>
              </w:rPr>
              <w:t>1</w:t>
            </w:r>
            <w:r w:rsidRPr="00982FEC">
              <w:rPr>
                <w:color w:val="FFFFFF" w:themeColor="background1"/>
                <w:szCs w:val="24"/>
              </w:rPr>
              <w:t>/2</w:t>
            </w:r>
            <w:r w:rsidR="00A33179" w:rsidRPr="00982FEC">
              <w:rPr>
                <w:color w:val="FFFFFF" w:themeColor="background1"/>
                <w:szCs w:val="24"/>
              </w:rPr>
              <w:t>2</w:t>
            </w:r>
          </w:p>
          <w:p w14:paraId="459813D8" w14:textId="65C69300" w:rsidR="001431C3" w:rsidRPr="00982FEC" w:rsidRDefault="001431C3" w:rsidP="00611673">
            <w:pPr>
              <w:jc w:val="right"/>
              <w:rPr>
                <w:color w:val="FFFFFF" w:themeColor="background1"/>
                <w:szCs w:val="24"/>
              </w:rPr>
            </w:pPr>
            <w:r w:rsidRPr="00982FEC">
              <w:rPr>
                <w:color w:val="FFFFFF" w:themeColor="background1"/>
                <w:szCs w:val="24"/>
              </w:rPr>
              <w:t>£000</w:t>
            </w:r>
          </w:p>
        </w:tc>
      </w:tr>
      <w:tr w:rsidR="006563F1" w:rsidRPr="007446B1" w14:paraId="5253255C" w14:textId="77777777" w:rsidTr="00982FEC">
        <w:tc>
          <w:tcPr>
            <w:tcW w:w="8733" w:type="dxa"/>
            <w:gridSpan w:val="3"/>
            <w:shd w:val="clear" w:color="auto" w:fill="D9D9D9" w:themeFill="background1" w:themeFillShade="D9"/>
          </w:tcPr>
          <w:p w14:paraId="60FA43F0" w14:textId="26CE5BEB" w:rsidR="006563F1" w:rsidRPr="00BD79B2" w:rsidRDefault="006563F1" w:rsidP="006563F1">
            <w:pPr>
              <w:rPr>
                <w:b/>
                <w:bCs/>
                <w:szCs w:val="24"/>
              </w:rPr>
            </w:pPr>
            <w:r w:rsidRPr="00BD79B2">
              <w:rPr>
                <w:b/>
                <w:bCs/>
                <w:szCs w:val="24"/>
              </w:rPr>
              <w:t>Expenditure</w:t>
            </w:r>
          </w:p>
        </w:tc>
      </w:tr>
      <w:tr w:rsidR="002C390E" w:rsidRPr="007446B1" w14:paraId="30DDF015" w14:textId="77777777" w:rsidTr="00746F3D">
        <w:tc>
          <w:tcPr>
            <w:tcW w:w="5342" w:type="dxa"/>
          </w:tcPr>
          <w:p w14:paraId="5ACD2E8F" w14:textId="77777777" w:rsidR="002C390E" w:rsidRPr="007446B1" w:rsidRDefault="002C390E" w:rsidP="000F5BFB">
            <w:pPr>
              <w:rPr>
                <w:szCs w:val="24"/>
              </w:rPr>
            </w:pPr>
            <w:r w:rsidRPr="007446B1">
              <w:rPr>
                <w:szCs w:val="24"/>
              </w:rPr>
              <w:t>Employee benefits expenses</w:t>
            </w:r>
          </w:p>
        </w:tc>
        <w:tc>
          <w:tcPr>
            <w:tcW w:w="1635" w:type="dxa"/>
            <w:vAlign w:val="center"/>
          </w:tcPr>
          <w:p w14:paraId="0C80129F" w14:textId="1D10E113" w:rsidR="002C390E" w:rsidRPr="007446B1" w:rsidRDefault="002C390E" w:rsidP="00746F3D">
            <w:pPr>
              <w:tabs>
                <w:tab w:val="decimal" w:pos="1080"/>
              </w:tabs>
              <w:jc w:val="right"/>
              <w:rPr>
                <w:szCs w:val="24"/>
              </w:rPr>
            </w:pPr>
            <w:r w:rsidRPr="007446B1">
              <w:rPr>
                <w:szCs w:val="24"/>
              </w:rPr>
              <w:t>42,07</w:t>
            </w:r>
            <w:r w:rsidR="00A96AD0" w:rsidRPr="007446B1">
              <w:rPr>
                <w:szCs w:val="24"/>
              </w:rPr>
              <w:t>3</w:t>
            </w:r>
            <w:r w:rsidRPr="007446B1">
              <w:rPr>
                <w:szCs w:val="24"/>
              </w:rPr>
              <w:t xml:space="preserve"> </w:t>
            </w:r>
          </w:p>
        </w:tc>
        <w:tc>
          <w:tcPr>
            <w:tcW w:w="1756" w:type="dxa"/>
            <w:vAlign w:val="center"/>
          </w:tcPr>
          <w:p w14:paraId="2379FB8A" w14:textId="7E690A85" w:rsidR="002C390E" w:rsidRPr="007446B1" w:rsidRDefault="002C390E" w:rsidP="00746F3D">
            <w:pPr>
              <w:tabs>
                <w:tab w:val="decimal" w:pos="1080"/>
              </w:tabs>
              <w:jc w:val="right"/>
              <w:rPr>
                <w:szCs w:val="24"/>
              </w:rPr>
            </w:pPr>
            <w:r w:rsidRPr="007446B1">
              <w:rPr>
                <w:szCs w:val="24"/>
              </w:rPr>
              <w:t>40,247</w:t>
            </w:r>
          </w:p>
        </w:tc>
      </w:tr>
      <w:tr w:rsidR="002C390E" w:rsidRPr="007446B1" w14:paraId="5D019BE9" w14:textId="77777777" w:rsidTr="00746F3D">
        <w:tc>
          <w:tcPr>
            <w:tcW w:w="5342" w:type="dxa"/>
          </w:tcPr>
          <w:p w14:paraId="4D5018EA" w14:textId="77777777" w:rsidR="002C390E" w:rsidRPr="007446B1" w:rsidRDefault="002C390E" w:rsidP="000F5BFB">
            <w:pPr>
              <w:rPr>
                <w:szCs w:val="24"/>
              </w:rPr>
            </w:pPr>
            <w:r w:rsidRPr="007446B1">
              <w:rPr>
                <w:szCs w:val="24"/>
              </w:rPr>
              <w:t>Other services expenses</w:t>
            </w:r>
          </w:p>
        </w:tc>
        <w:tc>
          <w:tcPr>
            <w:tcW w:w="1635" w:type="dxa"/>
            <w:vAlign w:val="center"/>
          </w:tcPr>
          <w:p w14:paraId="14D8A732" w14:textId="0E7B25DE" w:rsidR="002C390E" w:rsidRPr="007446B1" w:rsidRDefault="002C390E" w:rsidP="00746F3D">
            <w:pPr>
              <w:tabs>
                <w:tab w:val="decimal" w:pos="1080"/>
              </w:tabs>
              <w:jc w:val="right"/>
              <w:rPr>
                <w:szCs w:val="24"/>
              </w:rPr>
            </w:pPr>
            <w:r w:rsidRPr="007446B1">
              <w:rPr>
                <w:szCs w:val="24"/>
              </w:rPr>
              <w:t>13,9</w:t>
            </w:r>
            <w:r w:rsidR="00800CFF" w:rsidRPr="007446B1">
              <w:rPr>
                <w:szCs w:val="24"/>
              </w:rPr>
              <w:t>80</w:t>
            </w:r>
            <w:r w:rsidRPr="007446B1">
              <w:rPr>
                <w:szCs w:val="24"/>
              </w:rPr>
              <w:t xml:space="preserve"> </w:t>
            </w:r>
          </w:p>
        </w:tc>
        <w:tc>
          <w:tcPr>
            <w:tcW w:w="1756" w:type="dxa"/>
            <w:vAlign w:val="center"/>
          </w:tcPr>
          <w:p w14:paraId="1BD8DEA7" w14:textId="19A84E46" w:rsidR="002C390E" w:rsidRPr="007446B1" w:rsidRDefault="002C390E" w:rsidP="00746F3D">
            <w:pPr>
              <w:tabs>
                <w:tab w:val="decimal" w:pos="1080"/>
              </w:tabs>
              <w:jc w:val="right"/>
              <w:rPr>
                <w:szCs w:val="24"/>
              </w:rPr>
            </w:pPr>
            <w:r w:rsidRPr="007446B1">
              <w:rPr>
                <w:szCs w:val="24"/>
              </w:rPr>
              <w:t>13,811</w:t>
            </w:r>
          </w:p>
        </w:tc>
      </w:tr>
      <w:tr w:rsidR="002C390E" w:rsidRPr="007446B1" w14:paraId="22BBC866" w14:textId="77777777" w:rsidTr="00746F3D">
        <w:tc>
          <w:tcPr>
            <w:tcW w:w="5342" w:type="dxa"/>
          </w:tcPr>
          <w:p w14:paraId="21C71D9A" w14:textId="77777777" w:rsidR="002C390E" w:rsidRPr="007446B1" w:rsidRDefault="002C390E" w:rsidP="000F5BFB">
            <w:pPr>
              <w:rPr>
                <w:szCs w:val="24"/>
              </w:rPr>
            </w:pPr>
            <w:r w:rsidRPr="007446B1">
              <w:rPr>
                <w:szCs w:val="24"/>
              </w:rPr>
              <w:t>Support service recharges</w:t>
            </w:r>
          </w:p>
        </w:tc>
        <w:tc>
          <w:tcPr>
            <w:tcW w:w="1635" w:type="dxa"/>
            <w:vAlign w:val="center"/>
          </w:tcPr>
          <w:p w14:paraId="6EC75C42" w14:textId="311FE79A" w:rsidR="002C390E" w:rsidRPr="007446B1" w:rsidRDefault="00800CFF" w:rsidP="00746F3D">
            <w:pPr>
              <w:tabs>
                <w:tab w:val="decimal" w:pos="1080"/>
              </w:tabs>
              <w:jc w:val="right"/>
              <w:rPr>
                <w:szCs w:val="24"/>
              </w:rPr>
            </w:pPr>
            <w:r w:rsidRPr="007446B1">
              <w:rPr>
                <w:szCs w:val="24"/>
              </w:rPr>
              <w:t>-</w:t>
            </w:r>
            <w:r w:rsidR="002C390E" w:rsidRPr="007446B1">
              <w:rPr>
                <w:szCs w:val="24"/>
              </w:rPr>
              <w:t xml:space="preserve"> </w:t>
            </w:r>
          </w:p>
        </w:tc>
        <w:tc>
          <w:tcPr>
            <w:tcW w:w="1756" w:type="dxa"/>
            <w:vAlign w:val="center"/>
          </w:tcPr>
          <w:p w14:paraId="2E83669D" w14:textId="7EA7CABB" w:rsidR="002C390E" w:rsidRPr="007446B1" w:rsidRDefault="002C390E" w:rsidP="00746F3D">
            <w:pPr>
              <w:tabs>
                <w:tab w:val="decimal" w:pos="1080"/>
              </w:tabs>
              <w:jc w:val="right"/>
              <w:rPr>
                <w:szCs w:val="24"/>
              </w:rPr>
            </w:pPr>
            <w:r w:rsidRPr="007446B1">
              <w:rPr>
                <w:szCs w:val="24"/>
              </w:rPr>
              <w:t>-</w:t>
            </w:r>
          </w:p>
        </w:tc>
      </w:tr>
      <w:tr w:rsidR="002C390E" w:rsidRPr="007446B1" w14:paraId="40D88B66" w14:textId="77777777" w:rsidTr="00746F3D">
        <w:tc>
          <w:tcPr>
            <w:tcW w:w="5342" w:type="dxa"/>
          </w:tcPr>
          <w:p w14:paraId="1903ADD3" w14:textId="61463E78" w:rsidR="002C390E" w:rsidRPr="007446B1" w:rsidRDefault="002C390E" w:rsidP="000F5BFB">
            <w:pPr>
              <w:rPr>
                <w:szCs w:val="24"/>
              </w:rPr>
            </w:pPr>
            <w:r w:rsidRPr="007446B1">
              <w:rPr>
                <w:szCs w:val="24"/>
              </w:rPr>
              <w:t xml:space="preserve">Depreciation, </w:t>
            </w:r>
            <w:r w:rsidR="00C2754B" w:rsidRPr="007446B1">
              <w:rPr>
                <w:szCs w:val="24"/>
              </w:rPr>
              <w:t>amortisation,</w:t>
            </w:r>
            <w:r w:rsidRPr="007446B1">
              <w:rPr>
                <w:szCs w:val="24"/>
              </w:rPr>
              <w:t xml:space="preserve"> and impairment </w:t>
            </w:r>
          </w:p>
        </w:tc>
        <w:tc>
          <w:tcPr>
            <w:tcW w:w="1635" w:type="dxa"/>
            <w:vAlign w:val="center"/>
          </w:tcPr>
          <w:p w14:paraId="3D30370B" w14:textId="480039D7" w:rsidR="002C390E" w:rsidRPr="007446B1" w:rsidRDefault="002C390E" w:rsidP="00746F3D">
            <w:pPr>
              <w:tabs>
                <w:tab w:val="decimal" w:pos="1080"/>
              </w:tabs>
              <w:jc w:val="right"/>
              <w:rPr>
                <w:szCs w:val="24"/>
              </w:rPr>
            </w:pPr>
            <w:r w:rsidRPr="007446B1">
              <w:rPr>
                <w:szCs w:val="24"/>
              </w:rPr>
              <w:t xml:space="preserve">5,953 </w:t>
            </w:r>
          </w:p>
        </w:tc>
        <w:tc>
          <w:tcPr>
            <w:tcW w:w="1756" w:type="dxa"/>
            <w:vAlign w:val="center"/>
          </w:tcPr>
          <w:p w14:paraId="7B13879A" w14:textId="17F935AC" w:rsidR="002C390E" w:rsidRPr="007446B1" w:rsidRDefault="002C390E" w:rsidP="00746F3D">
            <w:pPr>
              <w:tabs>
                <w:tab w:val="decimal" w:pos="1080"/>
              </w:tabs>
              <w:jc w:val="right"/>
              <w:rPr>
                <w:szCs w:val="24"/>
              </w:rPr>
            </w:pPr>
            <w:r w:rsidRPr="007446B1">
              <w:rPr>
                <w:szCs w:val="24"/>
              </w:rPr>
              <w:t>5,020</w:t>
            </w:r>
          </w:p>
        </w:tc>
      </w:tr>
      <w:tr w:rsidR="002C390E" w:rsidRPr="007446B1" w14:paraId="6E9A6706" w14:textId="77777777" w:rsidTr="00746F3D">
        <w:tc>
          <w:tcPr>
            <w:tcW w:w="5342" w:type="dxa"/>
          </w:tcPr>
          <w:p w14:paraId="4E68AB7C" w14:textId="77777777" w:rsidR="002C390E" w:rsidRPr="007446B1" w:rsidRDefault="002C390E" w:rsidP="000F5BFB">
            <w:pPr>
              <w:rPr>
                <w:szCs w:val="24"/>
              </w:rPr>
            </w:pPr>
            <w:r w:rsidRPr="007446B1">
              <w:rPr>
                <w:szCs w:val="24"/>
              </w:rPr>
              <w:t>Interest payments</w:t>
            </w:r>
          </w:p>
        </w:tc>
        <w:tc>
          <w:tcPr>
            <w:tcW w:w="1635" w:type="dxa"/>
            <w:vAlign w:val="center"/>
          </w:tcPr>
          <w:p w14:paraId="20878F50" w14:textId="645DC353" w:rsidR="002C390E" w:rsidRPr="007446B1" w:rsidRDefault="002C390E" w:rsidP="00746F3D">
            <w:pPr>
              <w:tabs>
                <w:tab w:val="decimal" w:pos="1080"/>
              </w:tabs>
              <w:jc w:val="right"/>
              <w:rPr>
                <w:szCs w:val="24"/>
              </w:rPr>
            </w:pPr>
            <w:r w:rsidRPr="007446B1">
              <w:rPr>
                <w:szCs w:val="24"/>
              </w:rPr>
              <w:t xml:space="preserve">24,634 </w:t>
            </w:r>
          </w:p>
        </w:tc>
        <w:tc>
          <w:tcPr>
            <w:tcW w:w="1756" w:type="dxa"/>
            <w:vAlign w:val="center"/>
          </w:tcPr>
          <w:p w14:paraId="1631B3FC" w14:textId="0C23308C" w:rsidR="002C390E" w:rsidRPr="007446B1" w:rsidRDefault="002C390E" w:rsidP="00746F3D">
            <w:pPr>
              <w:tabs>
                <w:tab w:val="decimal" w:pos="1080"/>
              </w:tabs>
              <w:jc w:val="right"/>
              <w:rPr>
                <w:szCs w:val="24"/>
              </w:rPr>
            </w:pPr>
            <w:r w:rsidRPr="007446B1">
              <w:rPr>
                <w:szCs w:val="24"/>
              </w:rPr>
              <w:t>19,056</w:t>
            </w:r>
          </w:p>
        </w:tc>
      </w:tr>
      <w:tr w:rsidR="002C390E" w:rsidRPr="007446B1" w14:paraId="2818003E" w14:textId="77777777" w:rsidTr="00746F3D">
        <w:tc>
          <w:tcPr>
            <w:tcW w:w="5342" w:type="dxa"/>
          </w:tcPr>
          <w:p w14:paraId="346F4CE3" w14:textId="77777777" w:rsidR="002C390E" w:rsidRPr="007446B1" w:rsidRDefault="002C390E" w:rsidP="000F5BFB">
            <w:pPr>
              <w:rPr>
                <w:szCs w:val="24"/>
              </w:rPr>
            </w:pPr>
            <w:r w:rsidRPr="007446B1">
              <w:rPr>
                <w:szCs w:val="24"/>
              </w:rPr>
              <w:t>Gain on disposal of fixed assets</w:t>
            </w:r>
          </w:p>
        </w:tc>
        <w:tc>
          <w:tcPr>
            <w:tcW w:w="1635" w:type="dxa"/>
            <w:vAlign w:val="center"/>
          </w:tcPr>
          <w:p w14:paraId="2CE5761C" w14:textId="3C3FCEBC" w:rsidR="002C390E" w:rsidRPr="007446B1" w:rsidRDefault="002C390E" w:rsidP="00746F3D">
            <w:pPr>
              <w:tabs>
                <w:tab w:val="decimal" w:pos="1080"/>
              </w:tabs>
              <w:jc w:val="right"/>
              <w:rPr>
                <w:szCs w:val="24"/>
              </w:rPr>
            </w:pPr>
            <w:r w:rsidRPr="007446B1">
              <w:rPr>
                <w:szCs w:val="24"/>
              </w:rPr>
              <w:t>(9)</w:t>
            </w:r>
          </w:p>
        </w:tc>
        <w:tc>
          <w:tcPr>
            <w:tcW w:w="1756" w:type="dxa"/>
            <w:vAlign w:val="center"/>
          </w:tcPr>
          <w:p w14:paraId="27C6007F" w14:textId="46888E71" w:rsidR="002C390E" w:rsidRPr="007446B1" w:rsidRDefault="002C390E" w:rsidP="00746F3D">
            <w:pPr>
              <w:tabs>
                <w:tab w:val="decimal" w:pos="1080"/>
              </w:tabs>
              <w:jc w:val="right"/>
              <w:rPr>
                <w:szCs w:val="24"/>
              </w:rPr>
            </w:pPr>
            <w:r w:rsidRPr="007446B1">
              <w:rPr>
                <w:szCs w:val="24"/>
              </w:rPr>
              <w:t>(3)</w:t>
            </w:r>
          </w:p>
        </w:tc>
      </w:tr>
      <w:tr w:rsidR="002C390E" w:rsidRPr="007446B1" w14:paraId="4AE3A16A" w14:textId="77777777" w:rsidTr="00746F3D">
        <w:tc>
          <w:tcPr>
            <w:tcW w:w="5342" w:type="dxa"/>
          </w:tcPr>
          <w:p w14:paraId="3BCE03D8" w14:textId="77777777" w:rsidR="002C390E" w:rsidRPr="007446B1" w:rsidRDefault="002C390E" w:rsidP="000F5BFB">
            <w:pPr>
              <w:rPr>
                <w:b/>
                <w:bCs/>
                <w:szCs w:val="24"/>
              </w:rPr>
            </w:pPr>
            <w:r w:rsidRPr="007446B1">
              <w:rPr>
                <w:b/>
                <w:bCs/>
                <w:szCs w:val="24"/>
              </w:rPr>
              <w:t>Total expenditure</w:t>
            </w:r>
          </w:p>
        </w:tc>
        <w:tc>
          <w:tcPr>
            <w:tcW w:w="1635" w:type="dxa"/>
            <w:vAlign w:val="center"/>
          </w:tcPr>
          <w:p w14:paraId="69764D95" w14:textId="6A75EB67" w:rsidR="002C390E" w:rsidRPr="00746F3D" w:rsidRDefault="002C390E" w:rsidP="00746F3D">
            <w:pPr>
              <w:tabs>
                <w:tab w:val="decimal" w:pos="1080"/>
              </w:tabs>
              <w:jc w:val="right"/>
              <w:rPr>
                <w:b/>
                <w:bCs/>
                <w:szCs w:val="24"/>
              </w:rPr>
            </w:pPr>
            <w:r w:rsidRPr="00746F3D">
              <w:rPr>
                <w:b/>
                <w:bCs/>
                <w:szCs w:val="24"/>
              </w:rPr>
              <w:t>86,</w:t>
            </w:r>
            <w:r w:rsidR="00800CFF" w:rsidRPr="00746F3D">
              <w:rPr>
                <w:b/>
                <w:bCs/>
                <w:szCs w:val="24"/>
              </w:rPr>
              <w:t>63</w:t>
            </w:r>
            <w:r w:rsidR="00A96AD0" w:rsidRPr="00746F3D">
              <w:rPr>
                <w:b/>
                <w:bCs/>
                <w:szCs w:val="24"/>
              </w:rPr>
              <w:t>1</w:t>
            </w:r>
            <w:r w:rsidRPr="00746F3D">
              <w:rPr>
                <w:b/>
                <w:bCs/>
                <w:szCs w:val="24"/>
              </w:rPr>
              <w:t xml:space="preserve"> </w:t>
            </w:r>
          </w:p>
        </w:tc>
        <w:tc>
          <w:tcPr>
            <w:tcW w:w="1756" w:type="dxa"/>
            <w:vAlign w:val="center"/>
          </w:tcPr>
          <w:p w14:paraId="175B7FC0" w14:textId="05F1B4AA" w:rsidR="002C390E" w:rsidRPr="00746F3D" w:rsidRDefault="002C390E" w:rsidP="00746F3D">
            <w:pPr>
              <w:tabs>
                <w:tab w:val="decimal" w:pos="1080"/>
              </w:tabs>
              <w:jc w:val="right"/>
              <w:rPr>
                <w:b/>
                <w:bCs/>
                <w:szCs w:val="24"/>
              </w:rPr>
            </w:pPr>
            <w:r w:rsidRPr="00746F3D">
              <w:rPr>
                <w:b/>
                <w:bCs/>
                <w:szCs w:val="24"/>
              </w:rPr>
              <w:t>78,131</w:t>
            </w:r>
          </w:p>
        </w:tc>
      </w:tr>
    </w:tbl>
    <w:p w14:paraId="00499655" w14:textId="77777777" w:rsidR="00EC3487" w:rsidRDefault="00EC3487"/>
    <w:tbl>
      <w:tblPr>
        <w:tblStyle w:val="TableGrid"/>
        <w:tblW w:w="8733" w:type="dxa"/>
        <w:tblInd w:w="720" w:type="dxa"/>
        <w:tblLook w:val="04A0" w:firstRow="1" w:lastRow="0" w:firstColumn="1" w:lastColumn="0" w:noHBand="0" w:noVBand="1"/>
      </w:tblPr>
      <w:tblGrid>
        <w:gridCol w:w="5342"/>
        <w:gridCol w:w="1635"/>
        <w:gridCol w:w="1756"/>
      </w:tblGrid>
      <w:tr w:rsidR="006563F1" w:rsidRPr="007446B1" w14:paraId="0BDC29F3" w14:textId="77777777" w:rsidTr="00982FEC">
        <w:tc>
          <w:tcPr>
            <w:tcW w:w="8733" w:type="dxa"/>
            <w:gridSpan w:val="3"/>
            <w:shd w:val="clear" w:color="auto" w:fill="D9D9D9" w:themeFill="background1" w:themeFillShade="D9"/>
          </w:tcPr>
          <w:p w14:paraId="524B03A5" w14:textId="4BCE9E2D" w:rsidR="006563F1" w:rsidRPr="00BD79B2" w:rsidRDefault="006563F1" w:rsidP="006563F1">
            <w:pPr>
              <w:ind w:right="410"/>
              <w:rPr>
                <w:b/>
                <w:bCs/>
                <w:szCs w:val="24"/>
              </w:rPr>
            </w:pPr>
            <w:r w:rsidRPr="00BD79B2">
              <w:rPr>
                <w:b/>
                <w:bCs/>
                <w:szCs w:val="24"/>
              </w:rPr>
              <w:t>Income</w:t>
            </w:r>
          </w:p>
        </w:tc>
      </w:tr>
      <w:tr w:rsidR="002C390E" w:rsidRPr="007446B1" w14:paraId="2C43A9A1" w14:textId="77777777" w:rsidTr="00EC3487">
        <w:tc>
          <w:tcPr>
            <w:tcW w:w="5342" w:type="dxa"/>
          </w:tcPr>
          <w:p w14:paraId="1841F412" w14:textId="6531D34F" w:rsidR="002C390E" w:rsidRPr="007446B1" w:rsidRDefault="002C390E" w:rsidP="000F5BFB">
            <w:pPr>
              <w:rPr>
                <w:szCs w:val="24"/>
              </w:rPr>
            </w:pPr>
            <w:r w:rsidRPr="007446B1">
              <w:rPr>
                <w:szCs w:val="24"/>
              </w:rPr>
              <w:t xml:space="preserve">Fees, </w:t>
            </w:r>
            <w:r w:rsidR="00C2754B" w:rsidRPr="007446B1">
              <w:rPr>
                <w:szCs w:val="24"/>
              </w:rPr>
              <w:t>charges,</w:t>
            </w:r>
            <w:r w:rsidRPr="007446B1">
              <w:rPr>
                <w:szCs w:val="24"/>
              </w:rPr>
              <w:t xml:space="preserve"> and other service income</w:t>
            </w:r>
          </w:p>
        </w:tc>
        <w:tc>
          <w:tcPr>
            <w:tcW w:w="1635" w:type="dxa"/>
          </w:tcPr>
          <w:p w14:paraId="353D1122" w14:textId="2F2560BC" w:rsidR="002C390E" w:rsidRPr="007446B1" w:rsidRDefault="002C390E" w:rsidP="00746F3D">
            <w:pPr>
              <w:tabs>
                <w:tab w:val="decimal" w:pos="1080"/>
              </w:tabs>
              <w:jc w:val="right"/>
              <w:rPr>
                <w:szCs w:val="24"/>
              </w:rPr>
            </w:pPr>
            <w:r w:rsidRPr="007446B1">
              <w:rPr>
                <w:szCs w:val="24"/>
              </w:rPr>
              <w:t>(2,542)</w:t>
            </w:r>
          </w:p>
        </w:tc>
        <w:tc>
          <w:tcPr>
            <w:tcW w:w="1756" w:type="dxa"/>
          </w:tcPr>
          <w:p w14:paraId="47C8006E" w14:textId="0E269BA0" w:rsidR="002C390E" w:rsidRPr="007446B1" w:rsidRDefault="002C390E" w:rsidP="00746F3D">
            <w:pPr>
              <w:tabs>
                <w:tab w:val="decimal" w:pos="1080"/>
              </w:tabs>
              <w:jc w:val="right"/>
              <w:rPr>
                <w:szCs w:val="24"/>
              </w:rPr>
            </w:pPr>
            <w:r w:rsidRPr="007446B1">
              <w:rPr>
                <w:szCs w:val="24"/>
              </w:rPr>
              <w:t>(2,271)</w:t>
            </w:r>
          </w:p>
        </w:tc>
      </w:tr>
      <w:tr w:rsidR="002C390E" w:rsidRPr="007446B1" w14:paraId="46248DBE" w14:textId="77777777" w:rsidTr="00EC3487">
        <w:tc>
          <w:tcPr>
            <w:tcW w:w="5342" w:type="dxa"/>
          </w:tcPr>
          <w:p w14:paraId="3ACF50F2" w14:textId="77777777" w:rsidR="002C390E" w:rsidRPr="007446B1" w:rsidRDefault="002C390E" w:rsidP="000F5BFB">
            <w:pPr>
              <w:rPr>
                <w:szCs w:val="24"/>
              </w:rPr>
            </w:pPr>
            <w:r w:rsidRPr="007446B1">
              <w:rPr>
                <w:szCs w:val="24"/>
              </w:rPr>
              <w:t>Interest and investment income</w:t>
            </w:r>
          </w:p>
        </w:tc>
        <w:tc>
          <w:tcPr>
            <w:tcW w:w="1635" w:type="dxa"/>
          </w:tcPr>
          <w:p w14:paraId="3E611B05" w14:textId="417F70E9" w:rsidR="002C390E" w:rsidRPr="007446B1" w:rsidRDefault="00800CFF" w:rsidP="00746F3D">
            <w:pPr>
              <w:tabs>
                <w:tab w:val="decimal" w:pos="1080"/>
              </w:tabs>
              <w:jc w:val="right"/>
              <w:rPr>
                <w:szCs w:val="24"/>
              </w:rPr>
            </w:pPr>
            <w:r w:rsidRPr="007446B1">
              <w:rPr>
                <w:szCs w:val="24"/>
              </w:rPr>
              <w:t>-</w:t>
            </w:r>
            <w:r w:rsidR="002C390E" w:rsidRPr="007446B1">
              <w:rPr>
                <w:szCs w:val="24"/>
              </w:rPr>
              <w:t xml:space="preserve"> </w:t>
            </w:r>
          </w:p>
        </w:tc>
        <w:tc>
          <w:tcPr>
            <w:tcW w:w="1756" w:type="dxa"/>
          </w:tcPr>
          <w:p w14:paraId="5414A429" w14:textId="292E8547" w:rsidR="002C390E" w:rsidRPr="007446B1" w:rsidRDefault="002C390E" w:rsidP="00746F3D">
            <w:pPr>
              <w:tabs>
                <w:tab w:val="decimal" w:pos="1080"/>
              </w:tabs>
              <w:jc w:val="right"/>
              <w:rPr>
                <w:szCs w:val="24"/>
              </w:rPr>
            </w:pPr>
            <w:r w:rsidRPr="007446B1">
              <w:rPr>
                <w:szCs w:val="24"/>
              </w:rPr>
              <w:t>(206)</w:t>
            </w:r>
          </w:p>
        </w:tc>
      </w:tr>
      <w:tr w:rsidR="002C390E" w:rsidRPr="007446B1" w14:paraId="177EA97B" w14:textId="77777777" w:rsidTr="00EC3487">
        <w:tc>
          <w:tcPr>
            <w:tcW w:w="5342" w:type="dxa"/>
          </w:tcPr>
          <w:p w14:paraId="035E95AF" w14:textId="541BB0CE" w:rsidR="002C390E" w:rsidRPr="007446B1" w:rsidRDefault="002C390E" w:rsidP="000F5BFB">
            <w:pPr>
              <w:rPr>
                <w:szCs w:val="24"/>
              </w:rPr>
            </w:pPr>
            <w:r w:rsidRPr="007446B1">
              <w:rPr>
                <w:szCs w:val="24"/>
              </w:rPr>
              <w:t>Income from council tax, business rates and revenue support grant</w:t>
            </w:r>
          </w:p>
        </w:tc>
        <w:tc>
          <w:tcPr>
            <w:tcW w:w="1635" w:type="dxa"/>
          </w:tcPr>
          <w:p w14:paraId="5EA0FE04" w14:textId="236FA4D2" w:rsidR="002C390E" w:rsidRPr="007446B1" w:rsidRDefault="002C390E" w:rsidP="00746F3D">
            <w:pPr>
              <w:tabs>
                <w:tab w:val="decimal" w:pos="1080"/>
              </w:tabs>
              <w:jc w:val="right"/>
              <w:rPr>
                <w:szCs w:val="24"/>
              </w:rPr>
            </w:pPr>
            <w:r w:rsidRPr="007446B1">
              <w:rPr>
                <w:szCs w:val="24"/>
              </w:rPr>
              <w:t>(59,61</w:t>
            </w:r>
            <w:r w:rsidR="00A96AD0" w:rsidRPr="007446B1">
              <w:rPr>
                <w:szCs w:val="24"/>
              </w:rPr>
              <w:t>1</w:t>
            </w:r>
            <w:r w:rsidRPr="007446B1">
              <w:rPr>
                <w:szCs w:val="24"/>
              </w:rPr>
              <w:t>)</w:t>
            </w:r>
          </w:p>
        </w:tc>
        <w:tc>
          <w:tcPr>
            <w:tcW w:w="1756" w:type="dxa"/>
          </w:tcPr>
          <w:p w14:paraId="611FFB8D" w14:textId="540A9B87" w:rsidR="002C390E" w:rsidRPr="007446B1" w:rsidRDefault="002C390E" w:rsidP="00746F3D">
            <w:pPr>
              <w:tabs>
                <w:tab w:val="decimal" w:pos="1080"/>
              </w:tabs>
              <w:jc w:val="right"/>
              <w:rPr>
                <w:szCs w:val="24"/>
              </w:rPr>
            </w:pPr>
            <w:r w:rsidRPr="007446B1">
              <w:rPr>
                <w:szCs w:val="24"/>
              </w:rPr>
              <w:t>(56,515)</w:t>
            </w:r>
          </w:p>
        </w:tc>
      </w:tr>
      <w:tr w:rsidR="002C390E" w:rsidRPr="007446B1" w14:paraId="0A633656" w14:textId="77777777" w:rsidTr="00EC3487">
        <w:tc>
          <w:tcPr>
            <w:tcW w:w="5342" w:type="dxa"/>
          </w:tcPr>
          <w:p w14:paraId="71389E76" w14:textId="77777777" w:rsidR="002C390E" w:rsidRPr="007446B1" w:rsidRDefault="002C390E" w:rsidP="000F5BFB">
            <w:pPr>
              <w:rPr>
                <w:szCs w:val="24"/>
              </w:rPr>
            </w:pPr>
            <w:r w:rsidRPr="007446B1">
              <w:rPr>
                <w:szCs w:val="24"/>
              </w:rPr>
              <w:t>Government grants and contributions</w:t>
            </w:r>
          </w:p>
        </w:tc>
        <w:tc>
          <w:tcPr>
            <w:tcW w:w="1635" w:type="dxa"/>
          </w:tcPr>
          <w:p w14:paraId="2423F959" w14:textId="1C454012" w:rsidR="002C390E" w:rsidRPr="007446B1" w:rsidRDefault="002C390E" w:rsidP="00746F3D">
            <w:pPr>
              <w:tabs>
                <w:tab w:val="decimal" w:pos="1080"/>
              </w:tabs>
              <w:jc w:val="right"/>
              <w:rPr>
                <w:szCs w:val="24"/>
              </w:rPr>
            </w:pPr>
            <w:r w:rsidRPr="007446B1">
              <w:rPr>
                <w:szCs w:val="24"/>
              </w:rPr>
              <w:t>(9,131)</w:t>
            </w:r>
          </w:p>
        </w:tc>
        <w:tc>
          <w:tcPr>
            <w:tcW w:w="1756" w:type="dxa"/>
          </w:tcPr>
          <w:p w14:paraId="28F70CBD" w14:textId="57158DF1" w:rsidR="002C390E" w:rsidRPr="007446B1" w:rsidRDefault="002C390E" w:rsidP="00746F3D">
            <w:pPr>
              <w:tabs>
                <w:tab w:val="decimal" w:pos="1080"/>
              </w:tabs>
              <w:jc w:val="right"/>
              <w:rPr>
                <w:szCs w:val="24"/>
              </w:rPr>
            </w:pPr>
            <w:r w:rsidRPr="007446B1">
              <w:rPr>
                <w:szCs w:val="24"/>
              </w:rPr>
              <w:t>(9,177)</w:t>
            </w:r>
          </w:p>
        </w:tc>
      </w:tr>
      <w:tr w:rsidR="002C390E" w:rsidRPr="007446B1" w14:paraId="333A40D6" w14:textId="77777777" w:rsidTr="00EC3487">
        <w:tc>
          <w:tcPr>
            <w:tcW w:w="5342" w:type="dxa"/>
          </w:tcPr>
          <w:p w14:paraId="1B2833D2" w14:textId="77777777" w:rsidR="002C390E" w:rsidRPr="007446B1" w:rsidRDefault="002C390E" w:rsidP="000F5BFB">
            <w:pPr>
              <w:rPr>
                <w:b/>
                <w:bCs/>
                <w:szCs w:val="24"/>
              </w:rPr>
            </w:pPr>
            <w:r w:rsidRPr="007446B1">
              <w:rPr>
                <w:b/>
                <w:bCs/>
                <w:szCs w:val="24"/>
              </w:rPr>
              <w:t>Total Income</w:t>
            </w:r>
          </w:p>
        </w:tc>
        <w:tc>
          <w:tcPr>
            <w:tcW w:w="1635" w:type="dxa"/>
          </w:tcPr>
          <w:p w14:paraId="7058CA11" w14:textId="27B7B587" w:rsidR="002C390E" w:rsidRPr="00746F3D" w:rsidRDefault="002C390E" w:rsidP="00746F3D">
            <w:pPr>
              <w:tabs>
                <w:tab w:val="decimal" w:pos="1080"/>
              </w:tabs>
              <w:jc w:val="right"/>
              <w:rPr>
                <w:b/>
                <w:bCs/>
                <w:szCs w:val="24"/>
              </w:rPr>
            </w:pPr>
            <w:r w:rsidRPr="00746F3D">
              <w:rPr>
                <w:b/>
                <w:bCs/>
                <w:szCs w:val="24"/>
              </w:rPr>
              <w:t>(71,284)</w:t>
            </w:r>
          </w:p>
        </w:tc>
        <w:tc>
          <w:tcPr>
            <w:tcW w:w="1756" w:type="dxa"/>
          </w:tcPr>
          <w:p w14:paraId="1668F413" w14:textId="3EAAE5F2" w:rsidR="002C390E" w:rsidRPr="00746F3D" w:rsidRDefault="002C390E" w:rsidP="00746F3D">
            <w:pPr>
              <w:tabs>
                <w:tab w:val="decimal" w:pos="1080"/>
              </w:tabs>
              <w:jc w:val="right"/>
              <w:rPr>
                <w:b/>
                <w:bCs/>
                <w:szCs w:val="24"/>
              </w:rPr>
            </w:pPr>
            <w:r w:rsidRPr="00746F3D">
              <w:rPr>
                <w:b/>
                <w:bCs/>
                <w:szCs w:val="24"/>
              </w:rPr>
              <w:t>(68,168)</w:t>
            </w:r>
          </w:p>
        </w:tc>
      </w:tr>
    </w:tbl>
    <w:p w14:paraId="0C40016D" w14:textId="77777777" w:rsidR="00746F3D" w:rsidRDefault="00746F3D"/>
    <w:tbl>
      <w:tblPr>
        <w:tblStyle w:val="TableGrid"/>
        <w:tblW w:w="8733" w:type="dxa"/>
        <w:tblInd w:w="720" w:type="dxa"/>
        <w:tblLook w:val="04A0" w:firstRow="1" w:lastRow="0" w:firstColumn="1" w:lastColumn="0" w:noHBand="0" w:noVBand="1"/>
      </w:tblPr>
      <w:tblGrid>
        <w:gridCol w:w="5342"/>
        <w:gridCol w:w="1635"/>
        <w:gridCol w:w="1756"/>
      </w:tblGrid>
      <w:tr w:rsidR="002C390E" w:rsidRPr="007446B1" w14:paraId="1AD2AFF0" w14:textId="77777777" w:rsidTr="00EC3487">
        <w:tc>
          <w:tcPr>
            <w:tcW w:w="5342" w:type="dxa"/>
          </w:tcPr>
          <w:p w14:paraId="2ED2A97A" w14:textId="2F200F8D" w:rsidR="002C390E" w:rsidRPr="007446B1" w:rsidRDefault="002C390E" w:rsidP="000F5BFB">
            <w:pPr>
              <w:rPr>
                <w:b/>
                <w:bCs/>
                <w:szCs w:val="24"/>
              </w:rPr>
            </w:pPr>
            <w:r w:rsidRPr="007446B1">
              <w:rPr>
                <w:b/>
                <w:bCs/>
                <w:szCs w:val="24"/>
              </w:rPr>
              <w:t>Surplus on the provision of services</w:t>
            </w:r>
          </w:p>
        </w:tc>
        <w:tc>
          <w:tcPr>
            <w:tcW w:w="1635" w:type="dxa"/>
          </w:tcPr>
          <w:p w14:paraId="62BC7CF8" w14:textId="19911EF8" w:rsidR="002C390E" w:rsidRPr="00746F3D" w:rsidRDefault="002C390E" w:rsidP="00746F3D">
            <w:pPr>
              <w:tabs>
                <w:tab w:val="decimal" w:pos="1080"/>
              </w:tabs>
              <w:jc w:val="right"/>
              <w:rPr>
                <w:b/>
                <w:bCs/>
                <w:szCs w:val="24"/>
              </w:rPr>
            </w:pPr>
            <w:r w:rsidRPr="00746F3D">
              <w:rPr>
                <w:b/>
                <w:bCs/>
                <w:szCs w:val="24"/>
              </w:rPr>
              <w:t>15,3</w:t>
            </w:r>
            <w:r w:rsidR="00800CFF" w:rsidRPr="00746F3D">
              <w:rPr>
                <w:b/>
                <w:bCs/>
                <w:szCs w:val="24"/>
              </w:rPr>
              <w:t>4</w:t>
            </w:r>
            <w:r w:rsidRPr="00746F3D">
              <w:rPr>
                <w:b/>
                <w:bCs/>
                <w:szCs w:val="24"/>
              </w:rPr>
              <w:t xml:space="preserve">7 </w:t>
            </w:r>
          </w:p>
        </w:tc>
        <w:tc>
          <w:tcPr>
            <w:tcW w:w="1756" w:type="dxa"/>
          </w:tcPr>
          <w:p w14:paraId="6F48481C" w14:textId="00999346" w:rsidR="002C390E" w:rsidRPr="00746F3D" w:rsidRDefault="002C390E" w:rsidP="00746F3D">
            <w:pPr>
              <w:tabs>
                <w:tab w:val="decimal" w:pos="1080"/>
              </w:tabs>
              <w:jc w:val="right"/>
              <w:rPr>
                <w:b/>
                <w:bCs/>
                <w:szCs w:val="24"/>
              </w:rPr>
            </w:pPr>
            <w:r w:rsidRPr="00746F3D">
              <w:rPr>
                <w:b/>
                <w:bCs/>
                <w:szCs w:val="24"/>
              </w:rPr>
              <w:t>9,962</w:t>
            </w:r>
          </w:p>
        </w:tc>
      </w:tr>
    </w:tbl>
    <w:p w14:paraId="62D09BDB" w14:textId="6A0239CA" w:rsidR="00B55DEC" w:rsidRDefault="00B55DEC" w:rsidP="00D90216">
      <w:pPr>
        <w:rPr>
          <w:sz w:val="22"/>
        </w:rPr>
      </w:pPr>
    </w:p>
    <w:p w14:paraId="59B77740" w14:textId="77777777" w:rsidR="00E61EA6" w:rsidRDefault="00E61EA6" w:rsidP="008C18A2">
      <w:pPr>
        <w:rPr>
          <w:b/>
          <w:sz w:val="22"/>
        </w:rPr>
      </w:pPr>
    </w:p>
    <w:p w14:paraId="77F81093" w14:textId="6E66CB08" w:rsidR="00920F2A" w:rsidRPr="006563F1" w:rsidRDefault="00C52475" w:rsidP="006563F1">
      <w:pPr>
        <w:pStyle w:val="Heading2"/>
        <w:jc w:val="left"/>
        <w:rPr>
          <w:sz w:val="24"/>
          <w:szCs w:val="24"/>
        </w:rPr>
      </w:pPr>
      <w:bookmarkStart w:id="76" w:name="_Toc166761561"/>
      <w:r w:rsidRPr="006563F1">
        <w:rPr>
          <w:sz w:val="24"/>
          <w:szCs w:val="24"/>
        </w:rPr>
        <w:t>2</w:t>
      </w:r>
      <w:r w:rsidR="00535820" w:rsidRPr="006563F1">
        <w:rPr>
          <w:sz w:val="24"/>
          <w:szCs w:val="24"/>
        </w:rPr>
        <w:t>8</w:t>
      </w:r>
      <w:r w:rsidR="00B71D39" w:rsidRPr="006563F1">
        <w:rPr>
          <w:sz w:val="24"/>
          <w:szCs w:val="24"/>
        </w:rPr>
        <w:tab/>
      </w:r>
      <w:bookmarkStart w:id="77" w:name="N28"/>
      <w:bookmarkEnd w:id="77"/>
      <w:r w:rsidR="00920F2A" w:rsidRPr="006563F1">
        <w:rPr>
          <w:sz w:val="24"/>
          <w:szCs w:val="24"/>
        </w:rPr>
        <w:t>Critical Judgements</w:t>
      </w:r>
      <w:bookmarkEnd w:id="76"/>
    </w:p>
    <w:p w14:paraId="02A0C673" w14:textId="77777777" w:rsidR="00920F2A" w:rsidRPr="000F5BFB" w:rsidRDefault="00920F2A" w:rsidP="007446B1">
      <w:pPr>
        <w:tabs>
          <w:tab w:val="decimal" w:pos="709"/>
        </w:tabs>
        <w:ind w:left="709"/>
        <w:rPr>
          <w:szCs w:val="24"/>
        </w:rPr>
      </w:pPr>
    </w:p>
    <w:p w14:paraId="6F7F8BE9" w14:textId="6ED2D7B7" w:rsidR="005E1E00" w:rsidRPr="000F5BFB" w:rsidRDefault="005E1E00" w:rsidP="007446B1">
      <w:pPr>
        <w:ind w:left="720"/>
        <w:rPr>
          <w:szCs w:val="24"/>
          <w:u w:val="single"/>
        </w:rPr>
      </w:pPr>
      <w:r w:rsidRPr="000F5BFB">
        <w:rPr>
          <w:szCs w:val="24"/>
          <w:u w:val="single"/>
        </w:rPr>
        <w:t xml:space="preserve">Joint Operation – </w:t>
      </w:r>
      <w:proofErr w:type="gramStart"/>
      <w:r w:rsidRPr="000F5BFB">
        <w:rPr>
          <w:szCs w:val="24"/>
          <w:u w:val="single"/>
        </w:rPr>
        <w:t>North West</w:t>
      </w:r>
      <w:proofErr w:type="gramEnd"/>
      <w:r w:rsidRPr="000F5BFB">
        <w:rPr>
          <w:szCs w:val="24"/>
          <w:u w:val="single"/>
        </w:rPr>
        <w:t xml:space="preserve"> </w:t>
      </w:r>
      <w:proofErr w:type="spellStart"/>
      <w:r w:rsidRPr="000F5BFB">
        <w:rPr>
          <w:szCs w:val="24"/>
          <w:u w:val="single"/>
        </w:rPr>
        <w:t>FireControl</w:t>
      </w:r>
      <w:proofErr w:type="spellEnd"/>
    </w:p>
    <w:p w14:paraId="5DF5D385" w14:textId="7AE7077A" w:rsidR="005E1E00" w:rsidRPr="000F5BFB" w:rsidRDefault="005E1E00" w:rsidP="007446B1">
      <w:pPr>
        <w:spacing w:after="240"/>
        <w:ind w:left="720"/>
        <w:rPr>
          <w:rFonts w:cs="Arial"/>
          <w:szCs w:val="24"/>
          <w:lang w:eastAsia="en-GB"/>
        </w:rPr>
      </w:pPr>
      <w:r w:rsidRPr="000F5BFB">
        <w:rPr>
          <w:rFonts w:cs="Arial"/>
          <w:szCs w:val="24"/>
          <w:lang w:eastAsia="en-GB"/>
        </w:rPr>
        <w:t>An assessment for Group Accounting requirements has taken place during 202</w:t>
      </w:r>
      <w:r w:rsidR="004C0FCB" w:rsidRPr="000F5BFB">
        <w:rPr>
          <w:rFonts w:cs="Arial"/>
          <w:szCs w:val="24"/>
          <w:lang w:eastAsia="en-GB"/>
        </w:rPr>
        <w:t>2</w:t>
      </w:r>
      <w:r w:rsidR="00CF111B" w:rsidRPr="000F5BFB">
        <w:rPr>
          <w:rFonts w:cs="Arial"/>
          <w:szCs w:val="24"/>
          <w:lang w:eastAsia="en-GB"/>
        </w:rPr>
        <w:t>/2</w:t>
      </w:r>
      <w:r w:rsidR="004C0FCB" w:rsidRPr="000F5BFB">
        <w:rPr>
          <w:rFonts w:cs="Arial"/>
          <w:szCs w:val="24"/>
          <w:lang w:eastAsia="en-GB"/>
        </w:rPr>
        <w:t>3</w:t>
      </w:r>
      <w:r w:rsidRPr="000F5BFB">
        <w:rPr>
          <w:rFonts w:cs="Arial"/>
          <w:szCs w:val="24"/>
          <w:lang w:eastAsia="en-GB"/>
        </w:rPr>
        <w:t xml:space="preserve"> in respect of NW </w:t>
      </w:r>
      <w:proofErr w:type="spellStart"/>
      <w:r w:rsidRPr="000F5BFB">
        <w:rPr>
          <w:rFonts w:cs="Arial"/>
          <w:szCs w:val="24"/>
          <w:lang w:eastAsia="en-GB"/>
        </w:rPr>
        <w:t>FireControl</w:t>
      </w:r>
      <w:proofErr w:type="spellEnd"/>
      <w:r w:rsidRPr="000F5BFB">
        <w:rPr>
          <w:rFonts w:cs="Arial"/>
          <w:szCs w:val="24"/>
          <w:lang w:eastAsia="en-GB"/>
        </w:rPr>
        <w:t xml:space="preserve"> Limited. This is in accordance with the Code of Practice on Local Authority Accounting in the United Kingdom Based on International Financial Reporting Standards (IFRS 10, 11 &amp; 12).</w:t>
      </w:r>
    </w:p>
    <w:p w14:paraId="3AC06EC8" w14:textId="305F3A0A" w:rsidR="005E1E00" w:rsidRPr="000F5BFB" w:rsidRDefault="005E1E00" w:rsidP="007446B1">
      <w:pPr>
        <w:spacing w:after="240"/>
        <w:ind w:left="720"/>
        <w:rPr>
          <w:rFonts w:cs="Arial"/>
          <w:szCs w:val="24"/>
          <w:lang w:eastAsia="en-GB"/>
        </w:rPr>
      </w:pPr>
      <w:r w:rsidRPr="000F5BFB">
        <w:rPr>
          <w:rFonts w:cs="Arial"/>
          <w:szCs w:val="24"/>
          <w:lang w:eastAsia="en-GB"/>
        </w:rPr>
        <w:t xml:space="preserve">It has been determined that the company is governed by Joint Control </w:t>
      </w:r>
      <w:r w:rsidR="000F5BFB" w:rsidRPr="000F5BFB">
        <w:rPr>
          <w:rFonts w:cs="Arial"/>
          <w:szCs w:val="24"/>
          <w:lang w:eastAsia="en-GB"/>
        </w:rPr>
        <w:t>since</w:t>
      </w:r>
      <w:r w:rsidRPr="000F5BFB">
        <w:rPr>
          <w:rFonts w:cs="Arial"/>
          <w:szCs w:val="24"/>
          <w:lang w:eastAsia="en-GB"/>
        </w:rPr>
        <w:t xml:space="preserve"> unanimous consent exists for key decisions and that each Authority has equal voting rights. This joint arrangement has been deemed to be a Joint Operation as the parties have rights to the assets, and obligations for the liabilities relating to the arrangement, and on this basis, the Authority’s 25% share of the transactions and balances of NW </w:t>
      </w:r>
      <w:proofErr w:type="spellStart"/>
      <w:r w:rsidRPr="000F5BFB">
        <w:rPr>
          <w:rFonts w:cs="Arial"/>
          <w:szCs w:val="24"/>
          <w:lang w:eastAsia="en-GB"/>
        </w:rPr>
        <w:t>FireControl</w:t>
      </w:r>
      <w:proofErr w:type="spellEnd"/>
      <w:r w:rsidRPr="000F5BFB">
        <w:rPr>
          <w:rFonts w:cs="Arial"/>
          <w:szCs w:val="24"/>
          <w:lang w:eastAsia="en-GB"/>
        </w:rPr>
        <w:t xml:space="preserve"> Limited have been recognised within the accounts.</w:t>
      </w:r>
    </w:p>
    <w:p w14:paraId="1ED1A0B1" w14:textId="4052C83C" w:rsidR="009B6F2A" w:rsidRPr="006563F1" w:rsidRDefault="00535820" w:rsidP="006563F1">
      <w:pPr>
        <w:pStyle w:val="Heading2"/>
        <w:jc w:val="left"/>
        <w:rPr>
          <w:sz w:val="24"/>
          <w:szCs w:val="24"/>
        </w:rPr>
      </w:pPr>
      <w:bookmarkStart w:id="78" w:name="_Toc166761562"/>
      <w:r w:rsidRPr="006563F1">
        <w:rPr>
          <w:sz w:val="24"/>
          <w:szCs w:val="24"/>
        </w:rPr>
        <w:t>29</w:t>
      </w:r>
      <w:r w:rsidR="00920F2A" w:rsidRPr="006563F1">
        <w:rPr>
          <w:sz w:val="24"/>
          <w:szCs w:val="24"/>
        </w:rPr>
        <w:tab/>
      </w:r>
      <w:bookmarkStart w:id="79" w:name="N29"/>
      <w:bookmarkEnd w:id="79"/>
      <w:r w:rsidR="009B6F2A" w:rsidRPr="006563F1">
        <w:rPr>
          <w:sz w:val="24"/>
          <w:szCs w:val="24"/>
        </w:rPr>
        <w:t>Accounting Policies</w:t>
      </w:r>
      <w:bookmarkEnd w:id="78"/>
    </w:p>
    <w:p w14:paraId="6B0E6E3B" w14:textId="77777777" w:rsidR="009B6F2A" w:rsidRPr="000F5BFB" w:rsidRDefault="009B6F2A" w:rsidP="007446B1">
      <w:pPr>
        <w:rPr>
          <w:b/>
          <w:szCs w:val="24"/>
        </w:rPr>
      </w:pPr>
    </w:p>
    <w:p w14:paraId="23A7B5A9" w14:textId="77777777" w:rsidR="00FB3503" w:rsidRPr="000F5BFB" w:rsidRDefault="00FB3503" w:rsidP="007446B1">
      <w:pPr>
        <w:ind w:left="720"/>
        <w:rPr>
          <w:b/>
          <w:szCs w:val="24"/>
        </w:rPr>
      </w:pPr>
      <w:r w:rsidRPr="000F5BFB">
        <w:rPr>
          <w:b/>
          <w:szCs w:val="24"/>
        </w:rPr>
        <w:t>a</w:t>
      </w:r>
      <w:r w:rsidRPr="000F5BFB">
        <w:rPr>
          <w:b/>
          <w:szCs w:val="24"/>
        </w:rPr>
        <w:tab/>
        <w:t>General Principles</w:t>
      </w:r>
    </w:p>
    <w:p w14:paraId="73F0E158" w14:textId="77777777" w:rsidR="00FB3503" w:rsidRPr="000F5BFB" w:rsidRDefault="00FB3503" w:rsidP="007446B1">
      <w:pPr>
        <w:pStyle w:val="Footer"/>
        <w:tabs>
          <w:tab w:val="clear" w:pos="4153"/>
          <w:tab w:val="clear" w:pos="8306"/>
        </w:tabs>
        <w:ind w:left="720"/>
        <w:rPr>
          <w:szCs w:val="24"/>
        </w:rPr>
      </w:pPr>
    </w:p>
    <w:p w14:paraId="7B01DBB6" w14:textId="6B134E97" w:rsidR="00FB3503" w:rsidRPr="000F5BFB" w:rsidRDefault="00BB513F" w:rsidP="007446B1">
      <w:pPr>
        <w:pStyle w:val="BodyTextIndent2"/>
        <w:ind w:left="1440" w:firstLine="0"/>
        <w:rPr>
          <w:szCs w:val="24"/>
        </w:rPr>
      </w:pPr>
      <w:r w:rsidRPr="000F5BFB">
        <w:rPr>
          <w:szCs w:val="24"/>
        </w:rPr>
        <w:t>The Statement of Accounts summarises the Authority’s transactions for the 20</w:t>
      </w:r>
      <w:r w:rsidR="00C52475" w:rsidRPr="000F5BFB">
        <w:rPr>
          <w:szCs w:val="24"/>
        </w:rPr>
        <w:t>2</w:t>
      </w:r>
      <w:r w:rsidR="00EB3118" w:rsidRPr="000F5BFB">
        <w:rPr>
          <w:szCs w:val="24"/>
        </w:rPr>
        <w:t>2</w:t>
      </w:r>
      <w:r w:rsidR="00CF111B" w:rsidRPr="000F5BFB">
        <w:rPr>
          <w:szCs w:val="24"/>
        </w:rPr>
        <w:t>/2</w:t>
      </w:r>
      <w:r w:rsidR="00EB3118" w:rsidRPr="000F5BFB">
        <w:rPr>
          <w:szCs w:val="24"/>
        </w:rPr>
        <w:t>3</w:t>
      </w:r>
      <w:r w:rsidRPr="000F5BFB">
        <w:rPr>
          <w:szCs w:val="24"/>
        </w:rPr>
        <w:t xml:space="preserve"> financial year and its position at the year end of 31 March 202</w:t>
      </w:r>
      <w:r w:rsidR="00EB3118" w:rsidRPr="000F5BFB">
        <w:rPr>
          <w:szCs w:val="24"/>
        </w:rPr>
        <w:t>3</w:t>
      </w:r>
      <w:r w:rsidRPr="000F5BFB">
        <w:rPr>
          <w:szCs w:val="24"/>
        </w:rPr>
        <w:t>.</w:t>
      </w:r>
      <w:r w:rsidR="00365CAA" w:rsidRPr="000F5BFB">
        <w:rPr>
          <w:szCs w:val="24"/>
        </w:rPr>
        <w:t xml:space="preserve"> </w:t>
      </w:r>
      <w:r w:rsidRPr="000F5BFB">
        <w:rPr>
          <w:szCs w:val="24"/>
        </w:rPr>
        <w:t>The Authority is required to prepare an annual Statement of Accounts by the Accounts and Audit Regulations 2015</w:t>
      </w:r>
      <w:r w:rsidR="00C52475" w:rsidRPr="000F5BFB">
        <w:rPr>
          <w:szCs w:val="24"/>
        </w:rPr>
        <w:t xml:space="preserve">, </w:t>
      </w:r>
      <w:r w:rsidR="00D01A7F" w:rsidRPr="000F5BFB">
        <w:rPr>
          <w:szCs w:val="24"/>
        </w:rPr>
        <w:t>as amended by the Accounts and Audit (Coronavirus)(Amendment) Regulations 202</w:t>
      </w:r>
      <w:r w:rsidR="00D63CF1" w:rsidRPr="000F5BFB">
        <w:rPr>
          <w:szCs w:val="24"/>
        </w:rPr>
        <w:t>1</w:t>
      </w:r>
      <w:r w:rsidRPr="000F5BFB">
        <w:rPr>
          <w:szCs w:val="24"/>
        </w:rPr>
        <w:t xml:space="preserve">, which those regulations require to be prepared in accordance with proper accounting practices. These practices primarily comprise the Code of Practice </w:t>
      </w:r>
      <w:r w:rsidRPr="000F5BFB">
        <w:rPr>
          <w:szCs w:val="24"/>
        </w:rPr>
        <w:lastRenderedPageBreak/>
        <w:t>on Local Authority Accounting in the United Kingdom – 20</w:t>
      </w:r>
      <w:r w:rsidR="00C52475" w:rsidRPr="000F5BFB">
        <w:rPr>
          <w:szCs w:val="24"/>
        </w:rPr>
        <w:t>2</w:t>
      </w:r>
      <w:r w:rsidR="00922CE2" w:rsidRPr="000F5BFB">
        <w:rPr>
          <w:szCs w:val="24"/>
        </w:rPr>
        <w:t>2</w:t>
      </w:r>
      <w:r w:rsidR="00CF111B" w:rsidRPr="000F5BFB">
        <w:rPr>
          <w:szCs w:val="24"/>
        </w:rPr>
        <w:t>/2</w:t>
      </w:r>
      <w:r w:rsidR="00922CE2" w:rsidRPr="000F5BFB">
        <w:rPr>
          <w:szCs w:val="24"/>
        </w:rPr>
        <w:t>3</w:t>
      </w:r>
      <w:r w:rsidRPr="000F5BFB">
        <w:rPr>
          <w:szCs w:val="24"/>
        </w:rPr>
        <w:t>, supported by International Financial Reporting Standards (IFRS).</w:t>
      </w:r>
    </w:p>
    <w:p w14:paraId="1156C0F1" w14:textId="77777777" w:rsidR="00FB3503" w:rsidRPr="000F5BFB" w:rsidRDefault="00FB3503" w:rsidP="007446B1">
      <w:pPr>
        <w:pStyle w:val="BodyTextIndent2"/>
        <w:ind w:left="1440" w:firstLine="0"/>
        <w:rPr>
          <w:szCs w:val="24"/>
          <w:highlight w:val="yellow"/>
        </w:rPr>
      </w:pPr>
    </w:p>
    <w:p w14:paraId="48349FB6" w14:textId="450D33BB" w:rsidR="00FB3503" w:rsidRPr="000F5BFB" w:rsidRDefault="00FB3503" w:rsidP="007446B1">
      <w:pPr>
        <w:pStyle w:val="BodyTextIndent2"/>
        <w:ind w:left="1440" w:firstLine="0"/>
        <w:rPr>
          <w:szCs w:val="24"/>
        </w:rPr>
      </w:pPr>
      <w:r w:rsidRPr="000F5BFB">
        <w:rPr>
          <w:szCs w:val="24"/>
        </w:rPr>
        <w:t>The accounting convention adopted in the Statement of Accounts is principally historical cost, modified by the revaluation of certain categories of non-current assets and financial instruments.</w:t>
      </w:r>
    </w:p>
    <w:p w14:paraId="25DFF1DE" w14:textId="77777777" w:rsidR="00FB3503" w:rsidRPr="000F5BFB" w:rsidRDefault="00FB3503" w:rsidP="007446B1">
      <w:pPr>
        <w:ind w:left="720"/>
        <w:rPr>
          <w:szCs w:val="24"/>
        </w:rPr>
      </w:pPr>
    </w:p>
    <w:p w14:paraId="1B4EA8F1" w14:textId="77777777" w:rsidR="00FB3503" w:rsidRPr="000F5BFB" w:rsidRDefault="00FB3503" w:rsidP="007446B1">
      <w:pPr>
        <w:ind w:left="720"/>
        <w:rPr>
          <w:szCs w:val="24"/>
        </w:rPr>
      </w:pPr>
      <w:r w:rsidRPr="000F5BFB">
        <w:rPr>
          <w:b/>
          <w:szCs w:val="24"/>
        </w:rPr>
        <w:t>b</w:t>
      </w:r>
      <w:r w:rsidRPr="000F5BFB">
        <w:rPr>
          <w:b/>
          <w:szCs w:val="24"/>
        </w:rPr>
        <w:tab/>
        <w:t>Accruals of income and expenditure</w:t>
      </w:r>
    </w:p>
    <w:p w14:paraId="33B3F07B" w14:textId="77777777" w:rsidR="00FB3503" w:rsidRPr="000F5BFB" w:rsidRDefault="00FB3503" w:rsidP="007446B1">
      <w:pPr>
        <w:ind w:left="720"/>
        <w:rPr>
          <w:szCs w:val="24"/>
        </w:rPr>
      </w:pPr>
    </w:p>
    <w:p w14:paraId="191D6ABD" w14:textId="5EBAE3CD" w:rsidR="00FB3503" w:rsidRPr="000F5BFB" w:rsidRDefault="00FB3503" w:rsidP="007446B1">
      <w:pPr>
        <w:pStyle w:val="BodyTextIndent"/>
        <w:ind w:left="1440"/>
        <w:rPr>
          <w:szCs w:val="24"/>
          <w:lang w:val="en-GB"/>
        </w:rPr>
      </w:pPr>
      <w:r w:rsidRPr="000F5BFB">
        <w:rPr>
          <w:szCs w:val="24"/>
          <w:lang w:val="en-GB"/>
        </w:rPr>
        <w:t>Activity is accounted for in the year that it takes place, not simply when cash payments are made or received. In particular:</w:t>
      </w:r>
    </w:p>
    <w:p w14:paraId="18949626" w14:textId="77777777" w:rsidR="00FB3503" w:rsidRPr="000F5BFB" w:rsidRDefault="00FB3503" w:rsidP="007446B1">
      <w:pPr>
        <w:pStyle w:val="BodyTextIndent"/>
        <w:numPr>
          <w:ilvl w:val="0"/>
          <w:numId w:val="9"/>
        </w:numPr>
        <w:rPr>
          <w:szCs w:val="24"/>
          <w:lang w:val="en-GB"/>
        </w:rPr>
      </w:pPr>
      <w:r w:rsidRPr="000F5BFB">
        <w:rPr>
          <w:szCs w:val="24"/>
          <w:lang w:val="en-GB"/>
        </w:rPr>
        <w:t>Supplies are recorded as expenditure when they are consumed – where there is a gap between the date supplies are received and their consumption, they are carried as inventories on the Balance Sheet.</w:t>
      </w:r>
    </w:p>
    <w:p w14:paraId="17510035" w14:textId="77777777" w:rsidR="00FB3503" w:rsidRPr="000F5BFB" w:rsidRDefault="00FB3503" w:rsidP="007446B1">
      <w:pPr>
        <w:pStyle w:val="BodyTextIndent"/>
        <w:numPr>
          <w:ilvl w:val="0"/>
          <w:numId w:val="9"/>
        </w:numPr>
        <w:rPr>
          <w:szCs w:val="24"/>
          <w:lang w:val="en-GB"/>
        </w:rPr>
      </w:pPr>
      <w:r w:rsidRPr="000F5BFB">
        <w:rPr>
          <w:szCs w:val="24"/>
          <w:lang w:val="en-GB"/>
        </w:rPr>
        <w:t>Expenses in relation to services received (including services provided by employees) are recorded as expenditure when the services are received rather than when payments are made.</w:t>
      </w:r>
    </w:p>
    <w:p w14:paraId="1981A0E9" w14:textId="70FDDCC6" w:rsidR="00FB3503" w:rsidRPr="000F5BFB" w:rsidRDefault="00FB3503" w:rsidP="007446B1">
      <w:pPr>
        <w:pStyle w:val="BodyTextIndent"/>
        <w:numPr>
          <w:ilvl w:val="0"/>
          <w:numId w:val="9"/>
        </w:numPr>
        <w:rPr>
          <w:szCs w:val="24"/>
          <w:lang w:val="en-GB"/>
        </w:rPr>
      </w:pPr>
      <w:r w:rsidRPr="000F5BFB">
        <w:rPr>
          <w:szCs w:val="24"/>
          <w:lang w:val="en-GB"/>
        </w:rPr>
        <w:t xml:space="preserve">Interest receivable on investments and payable on borrowings is accounted for respectively as income and expenditure </w:t>
      </w:r>
      <w:r w:rsidR="0094180B" w:rsidRPr="000F5BFB">
        <w:rPr>
          <w:szCs w:val="24"/>
          <w:lang w:val="en-GB"/>
        </w:rPr>
        <w:t>based on</w:t>
      </w:r>
      <w:r w:rsidRPr="000F5BFB">
        <w:rPr>
          <w:szCs w:val="24"/>
          <w:lang w:val="en-GB"/>
        </w:rPr>
        <w:t xml:space="preserve"> the effective interest rate for the relevant financial instrument rather than the cash flows fixed or determined by the contract. </w:t>
      </w:r>
    </w:p>
    <w:p w14:paraId="1D06D234" w14:textId="42C20D82" w:rsidR="00FB3503" w:rsidRPr="000F5BFB" w:rsidRDefault="00FB3503" w:rsidP="007446B1">
      <w:pPr>
        <w:pStyle w:val="BodyTextIndent"/>
        <w:numPr>
          <w:ilvl w:val="0"/>
          <w:numId w:val="9"/>
        </w:numPr>
        <w:rPr>
          <w:szCs w:val="24"/>
          <w:lang w:val="en-GB"/>
        </w:rPr>
      </w:pPr>
      <w:r w:rsidRPr="000F5BFB">
        <w:rPr>
          <w:szCs w:val="24"/>
          <w:lang w:val="en-GB"/>
        </w:rPr>
        <w:t>Where income and expenditure have been recognised but cash has not been received or paid, a debtor or a creditor for the relevant amount is recorded in the Balance Sheet. Where debts may not be settled, the balance of debtors is written down and a charge made to revenue for the income that might not be collected.</w:t>
      </w:r>
    </w:p>
    <w:p w14:paraId="29BADA47" w14:textId="77777777" w:rsidR="00703D67" w:rsidRPr="000F5BFB" w:rsidRDefault="00703D67" w:rsidP="007446B1">
      <w:pPr>
        <w:rPr>
          <w:b/>
          <w:szCs w:val="24"/>
        </w:rPr>
      </w:pPr>
    </w:p>
    <w:p w14:paraId="005490EA" w14:textId="77777777" w:rsidR="00FB3503" w:rsidRPr="000F5BFB" w:rsidRDefault="00FB3503" w:rsidP="007446B1">
      <w:pPr>
        <w:ind w:left="720"/>
        <w:rPr>
          <w:b/>
          <w:szCs w:val="24"/>
        </w:rPr>
      </w:pPr>
      <w:r w:rsidRPr="000F5BFB">
        <w:rPr>
          <w:b/>
          <w:szCs w:val="24"/>
        </w:rPr>
        <w:t>c</w:t>
      </w:r>
      <w:r w:rsidRPr="000F5BFB">
        <w:rPr>
          <w:b/>
          <w:szCs w:val="24"/>
        </w:rPr>
        <w:tab/>
        <w:t>Cash &amp; cash equivalents</w:t>
      </w:r>
    </w:p>
    <w:p w14:paraId="4748208C" w14:textId="77777777" w:rsidR="00FB3503" w:rsidRPr="000F5BFB" w:rsidRDefault="00FB3503" w:rsidP="007446B1">
      <w:pPr>
        <w:ind w:left="720"/>
        <w:rPr>
          <w:b/>
          <w:szCs w:val="24"/>
        </w:rPr>
      </w:pPr>
    </w:p>
    <w:p w14:paraId="351575E6" w14:textId="298D0C7E" w:rsidR="00FB3503" w:rsidRPr="000F5BFB" w:rsidRDefault="00FB3503" w:rsidP="007446B1">
      <w:pPr>
        <w:pStyle w:val="BodyTextIndent"/>
        <w:ind w:left="1440"/>
        <w:rPr>
          <w:szCs w:val="24"/>
        </w:rPr>
      </w:pPr>
      <w:r w:rsidRPr="000F5BFB">
        <w:rPr>
          <w:szCs w:val="24"/>
        </w:rPr>
        <w:t>Cash is represented by cash in hand and deposits repayable without penalty on notice of not more than 24 hours. Cash equivalents are investments that mature in three months or less from the date of acquisition and that are readily convertible to known amounts of cash with insignificant risk of change in value.</w:t>
      </w:r>
    </w:p>
    <w:p w14:paraId="1358D505" w14:textId="77777777" w:rsidR="00FB3503" w:rsidRPr="000F5BFB" w:rsidRDefault="00FB3503" w:rsidP="007446B1">
      <w:pPr>
        <w:pStyle w:val="BodyTextIndent"/>
        <w:ind w:left="1440"/>
        <w:rPr>
          <w:szCs w:val="24"/>
        </w:rPr>
      </w:pPr>
    </w:p>
    <w:p w14:paraId="51F0D9D6" w14:textId="77777777" w:rsidR="00FB3503" w:rsidRPr="000F5BFB" w:rsidRDefault="00FB3503" w:rsidP="007446B1">
      <w:pPr>
        <w:pStyle w:val="BodyTextIndent"/>
        <w:ind w:left="1440"/>
        <w:rPr>
          <w:szCs w:val="24"/>
        </w:rPr>
      </w:pPr>
      <w:r w:rsidRPr="000F5BFB">
        <w:rPr>
          <w:szCs w:val="24"/>
        </w:rPr>
        <w:t>In the Cash Flow Statement, cash and cash equivalents are shown net of bank overdrafts that are repayable on demand and form an integral part of the Authority’s cash management.</w:t>
      </w:r>
    </w:p>
    <w:p w14:paraId="33F636AC" w14:textId="761687A4" w:rsidR="00FB3503" w:rsidRPr="000F5BFB" w:rsidRDefault="00FB3503" w:rsidP="007446B1">
      <w:pPr>
        <w:rPr>
          <w:b/>
          <w:szCs w:val="24"/>
        </w:rPr>
      </w:pPr>
      <w:r w:rsidRPr="000F5BFB">
        <w:rPr>
          <w:b/>
          <w:szCs w:val="24"/>
        </w:rPr>
        <w:tab/>
      </w:r>
    </w:p>
    <w:p w14:paraId="079C2813" w14:textId="77777777" w:rsidR="00FB3503" w:rsidRPr="000F5BFB" w:rsidRDefault="00FB3503" w:rsidP="007446B1">
      <w:pPr>
        <w:ind w:left="720"/>
        <w:rPr>
          <w:szCs w:val="24"/>
        </w:rPr>
      </w:pPr>
      <w:r w:rsidRPr="000F5BFB">
        <w:rPr>
          <w:b/>
          <w:szCs w:val="24"/>
        </w:rPr>
        <w:t>d</w:t>
      </w:r>
      <w:r w:rsidRPr="000F5BFB">
        <w:rPr>
          <w:b/>
          <w:szCs w:val="24"/>
        </w:rPr>
        <w:tab/>
        <w:t>Charges to Revenue for Non-Current Assets</w:t>
      </w:r>
    </w:p>
    <w:p w14:paraId="0CBA0E3D" w14:textId="77777777" w:rsidR="00FB3503" w:rsidRPr="000F5BFB" w:rsidRDefault="00FB3503" w:rsidP="007446B1">
      <w:pPr>
        <w:ind w:left="720"/>
        <w:rPr>
          <w:szCs w:val="24"/>
        </w:rPr>
      </w:pPr>
    </w:p>
    <w:p w14:paraId="58C0E983" w14:textId="77777777" w:rsidR="00FB3503" w:rsidRPr="000F5BFB" w:rsidRDefault="00FB3503" w:rsidP="007446B1">
      <w:pPr>
        <w:pStyle w:val="BodyTextIndent"/>
        <w:ind w:left="1440"/>
        <w:rPr>
          <w:szCs w:val="24"/>
          <w:lang w:val="en-GB"/>
        </w:rPr>
      </w:pPr>
      <w:r w:rsidRPr="000F5BFB">
        <w:rPr>
          <w:szCs w:val="24"/>
          <w:lang w:val="en-GB"/>
        </w:rPr>
        <w:t>Services, support services and trading accounts are debited with the following amounts to record the cost of holding fixed assets during the year:</w:t>
      </w:r>
    </w:p>
    <w:p w14:paraId="7BCB3EFF" w14:textId="560B93A3" w:rsidR="00FB3503" w:rsidRPr="000F5BFB" w:rsidRDefault="00FB3503" w:rsidP="007446B1">
      <w:pPr>
        <w:pStyle w:val="BodyTextIndent"/>
        <w:numPr>
          <w:ilvl w:val="0"/>
          <w:numId w:val="10"/>
        </w:numPr>
        <w:rPr>
          <w:szCs w:val="24"/>
          <w:lang w:val="en-GB"/>
        </w:rPr>
      </w:pPr>
      <w:r w:rsidRPr="000F5BFB">
        <w:rPr>
          <w:szCs w:val="24"/>
          <w:lang w:val="en-GB"/>
        </w:rPr>
        <w:t>Depreciation attributable to the assets used by the relevant service</w:t>
      </w:r>
      <w:r w:rsidR="0094180B" w:rsidRPr="000F5BFB">
        <w:rPr>
          <w:szCs w:val="24"/>
          <w:lang w:val="en-GB"/>
        </w:rPr>
        <w:t>.</w:t>
      </w:r>
    </w:p>
    <w:p w14:paraId="3F3CB8DE" w14:textId="42BEC9E3" w:rsidR="00FB3503" w:rsidRPr="000F5BFB" w:rsidRDefault="00FB3503" w:rsidP="007446B1">
      <w:pPr>
        <w:pStyle w:val="BodyTextIndent"/>
        <w:numPr>
          <w:ilvl w:val="0"/>
          <w:numId w:val="10"/>
        </w:numPr>
        <w:rPr>
          <w:szCs w:val="24"/>
          <w:lang w:val="en-GB"/>
        </w:rPr>
      </w:pPr>
      <w:r w:rsidRPr="000F5BFB">
        <w:rPr>
          <w:szCs w:val="24"/>
          <w:lang w:val="en-GB"/>
        </w:rPr>
        <w:t xml:space="preserve">Revaluation and impairment losses on assets used by the service where there are no accumulated gains in the Revaluation Reserve against which the losses can be written </w:t>
      </w:r>
      <w:proofErr w:type="gramStart"/>
      <w:r w:rsidRPr="000F5BFB">
        <w:rPr>
          <w:szCs w:val="24"/>
          <w:lang w:val="en-GB"/>
        </w:rPr>
        <w:t>off</w:t>
      </w:r>
      <w:proofErr w:type="gramEnd"/>
    </w:p>
    <w:p w14:paraId="178CFCC9" w14:textId="77777777" w:rsidR="00FB3503" w:rsidRPr="000F5BFB" w:rsidRDefault="00FB3503" w:rsidP="007446B1">
      <w:pPr>
        <w:pStyle w:val="BodyTextIndent"/>
        <w:numPr>
          <w:ilvl w:val="0"/>
          <w:numId w:val="10"/>
        </w:numPr>
        <w:rPr>
          <w:szCs w:val="24"/>
          <w:lang w:val="en-GB"/>
        </w:rPr>
      </w:pPr>
      <w:r w:rsidRPr="000F5BFB">
        <w:rPr>
          <w:szCs w:val="24"/>
          <w:lang w:val="en-GB"/>
        </w:rPr>
        <w:t>Amortisation of intangible fixed assets attributable to the service.</w:t>
      </w:r>
    </w:p>
    <w:p w14:paraId="16CA6039" w14:textId="77777777" w:rsidR="00FB3503" w:rsidRPr="000F5BFB" w:rsidRDefault="00FB3503" w:rsidP="007446B1">
      <w:pPr>
        <w:rPr>
          <w:szCs w:val="24"/>
          <w:highlight w:val="yellow"/>
        </w:rPr>
      </w:pPr>
    </w:p>
    <w:p w14:paraId="6CDA1CD5" w14:textId="77AC35AC" w:rsidR="00FB3503" w:rsidRPr="000F5BFB" w:rsidRDefault="00FB3503" w:rsidP="007446B1">
      <w:pPr>
        <w:pStyle w:val="BodyTextIndent"/>
        <w:ind w:left="1440"/>
        <w:rPr>
          <w:szCs w:val="24"/>
          <w:lang w:val="en-GB"/>
        </w:rPr>
      </w:pPr>
      <w:r w:rsidRPr="000F5BFB">
        <w:rPr>
          <w:szCs w:val="24"/>
          <w:lang w:val="en-GB"/>
        </w:rPr>
        <w:t xml:space="preserve">The Authority is not required to raise council tax to cover these charges. However, it is required to make an annual contribution from revenue (Minimum Revenue Provision (MRP)) towards the reduction in its overall borrowing requirement equal to either an amount calculated on a prudent basis determined by the Authority in accordance with </w:t>
      </w:r>
      <w:r w:rsidRPr="000F5BFB">
        <w:rPr>
          <w:szCs w:val="24"/>
          <w:lang w:val="en-GB"/>
        </w:rPr>
        <w:lastRenderedPageBreak/>
        <w:t>statutory guidance, or a minimum of 4%</w:t>
      </w:r>
      <w:r w:rsidR="00F16F33" w:rsidRPr="000F5BFB">
        <w:rPr>
          <w:szCs w:val="24"/>
          <w:lang w:val="en-GB"/>
        </w:rPr>
        <w:t xml:space="preserve"> of the previous years’ Capital Financing Requirement balance</w:t>
      </w:r>
      <w:r w:rsidRPr="000F5BFB">
        <w:rPr>
          <w:szCs w:val="24"/>
          <w:lang w:val="en-GB"/>
        </w:rPr>
        <w:t xml:space="preserve">. In addition to the statutory MRP calculated, the Authority may also make voluntary MRP contributions in line with approved budgets and to reduce the ongoing borrowing requirement. Depreciation, impairment and impairment losses and amortisations are therefore replaced by the contribution in the General Fund Balance, by way of an adjusting transaction with the Capital Adjustment Account in the Movement in Reserves Statement for the difference between the two. </w:t>
      </w:r>
    </w:p>
    <w:p w14:paraId="047C80C0" w14:textId="595E8B4C" w:rsidR="00D45CFC" w:rsidRPr="000F5BFB" w:rsidRDefault="00D45CFC" w:rsidP="007446B1">
      <w:pPr>
        <w:rPr>
          <w:b/>
          <w:szCs w:val="24"/>
        </w:rPr>
      </w:pPr>
    </w:p>
    <w:p w14:paraId="3763E6DF" w14:textId="77777777" w:rsidR="00FB3503" w:rsidRPr="000F5BFB" w:rsidRDefault="00FB3503" w:rsidP="007446B1">
      <w:pPr>
        <w:ind w:left="720"/>
        <w:rPr>
          <w:b/>
          <w:szCs w:val="24"/>
        </w:rPr>
      </w:pPr>
      <w:r w:rsidRPr="000F5BFB">
        <w:rPr>
          <w:b/>
          <w:szCs w:val="24"/>
        </w:rPr>
        <w:t>e</w:t>
      </w:r>
      <w:r w:rsidRPr="000F5BFB">
        <w:rPr>
          <w:b/>
          <w:szCs w:val="24"/>
        </w:rPr>
        <w:tab/>
        <w:t>Employee Benefits</w:t>
      </w:r>
    </w:p>
    <w:p w14:paraId="0E9CB76E" w14:textId="77777777" w:rsidR="00FB3503" w:rsidRPr="000F5BFB" w:rsidRDefault="00FB3503" w:rsidP="007446B1">
      <w:pPr>
        <w:ind w:left="720"/>
        <w:rPr>
          <w:b/>
          <w:szCs w:val="24"/>
        </w:rPr>
      </w:pPr>
    </w:p>
    <w:p w14:paraId="2D35B634" w14:textId="77777777" w:rsidR="00FB3503" w:rsidRPr="000F5BFB" w:rsidRDefault="00FB3503" w:rsidP="007446B1">
      <w:pPr>
        <w:pStyle w:val="BodyTextIndent"/>
        <w:ind w:left="1440"/>
        <w:rPr>
          <w:b/>
          <w:szCs w:val="24"/>
        </w:rPr>
      </w:pPr>
      <w:r w:rsidRPr="000F5BFB">
        <w:rPr>
          <w:b/>
          <w:szCs w:val="24"/>
        </w:rPr>
        <w:t>Benefits Payable During Employment</w:t>
      </w:r>
    </w:p>
    <w:p w14:paraId="009BA80F" w14:textId="77777777" w:rsidR="00FB3503" w:rsidRPr="000F5BFB" w:rsidRDefault="00FB3503" w:rsidP="007446B1">
      <w:pPr>
        <w:pStyle w:val="BodyTextIndent"/>
        <w:ind w:left="1440"/>
        <w:rPr>
          <w:b/>
          <w:szCs w:val="24"/>
        </w:rPr>
      </w:pPr>
    </w:p>
    <w:p w14:paraId="6E8AFFA5" w14:textId="3F9D3832" w:rsidR="00FB3503" w:rsidRPr="000F5BFB" w:rsidRDefault="00FB3503" w:rsidP="007446B1">
      <w:pPr>
        <w:pStyle w:val="BodyTextIndent"/>
        <w:ind w:left="1440"/>
        <w:rPr>
          <w:szCs w:val="24"/>
          <w:lang w:val="en-GB"/>
        </w:rPr>
      </w:pPr>
      <w:r w:rsidRPr="000F5BFB">
        <w:rPr>
          <w:szCs w:val="24"/>
        </w:rPr>
        <w:t>Short-term employee benefits are those due to be settled within 12 months of the year end. They include such benefits as wages and salaries, paid annual leave and paid sick leave and non-monetary benefits (</w:t>
      </w:r>
      <w:proofErr w:type="spellStart"/>
      <w:r w:rsidRPr="000F5BFB">
        <w:rPr>
          <w:szCs w:val="24"/>
        </w:rPr>
        <w:t>eg</w:t>
      </w:r>
      <w:proofErr w:type="spellEnd"/>
      <w:r w:rsidRPr="000F5BFB">
        <w:rPr>
          <w:szCs w:val="24"/>
        </w:rPr>
        <w:t xml:space="preserve"> cars) for current employees and are </w:t>
      </w:r>
      <w:proofErr w:type="spellStart"/>
      <w:r w:rsidRPr="000F5BFB">
        <w:rPr>
          <w:szCs w:val="24"/>
        </w:rPr>
        <w:t>recognised</w:t>
      </w:r>
      <w:proofErr w:type="spellEnd"/>
      <w:r w:rsidRPr="000F5BFB">
        <w:rPr>
          <w:szCs w:val="24"/>
        </w:rPr>
        <w:t xml:space="preserve"> as an expense for services in the year in which employees render service to the Authority. An accrual is made for the cost of holiday entitlements (or any form of leave, </w:t>
      </w:r>
      <w:proofErr w:type="spellStart"/>
      <w:r w:rsidRPr="000F5BFB">
        <w:rPr>
          <w:szCs w:val="24"/>
          <w:lang w:val="en-GB"/>
        </w:rPr>
        <w:t>eg</w:t>
      </w:r>
      <w:proofErr w:type="spellEnd"/>
      <w:r w:rsidRPr="000F5BFB">
        <w:rPr>
          <w:szCs w:val="24"/>
        </w:rPr>
        <w:t xml:space="preserve"> time off in lieu) earned by employees but not taken before the year end which employees can carry forward into the next financial year. The accrual is made at the wage and salary rates applicable in the current financial year (the best estimate of future rates at the time of the accounts). The accrual is charged to the surplus or deficit on provision of services, but then reversed out through the </w:t>
      </w:r>
      <w:r w:rsidRPr="000F5BFB">
        <w:rPr>
          <w:szCs w:val="24"/>
          <w:lang w:val="en-GB"/>
        </w:rPr>
        <w:t>Movement in Reserves Statement so that holiday benefits are charged to revenue in the financial year in which the holiday absence occurs.</w:t>
      </w:r>
    </w:p>
    <w:p w14:paraId="657E3F9F" w14:textId="77777777" w:rsidR="00FB3503" w:rsidRPr="000F5BFB" w:rsidRDefault="00FB3503" w:rsidP="007446B1">
      <w:pPr>
        <w:pStyle w:val="BodyTextIndent"/>
        <w:ind w:left="1440"/>
        <w:rPr>
          <w:szCs w:val="24"/>
          <w:lang w:val="en-GB"/>
        </w:rPr>
      </w:pPr>
    </w:p>
    <w:p w14:paraId="375BA4AF" w14:textId="58495F8B" w:rsidR="00FB3503" w:rsidRPr="000F5BFB" w:rsidRDefault="00FB3503" w:rsidP="007446B1">
      <w:pPr>
        <w:pStyle w:val="BodyTextIndent"/>
        <w:ind w:left="1440"/>
        <w:rPr>
          <w:b/>
          <w:szCs w:val="24"/>
          <w:lang w:val="en-GB"/>
        </w:rPr>
      </w:pPr>
      <w:r w:rsidRPr="000F5BFB">
        <w:rPr>
          <w:b/>
          <w:szCs w:val="24"/>
          <w:lang w:val="en-GB"/>
        </w:rPr>
        <w:t>Post Employment Benefits</w:t>
      </w:r>
    </w:p>
    <w:p w14:paraId="51C992F5" w14:textId="77777777" w:rsidR="00FB3503" w:rsidRPr="000F5BFB" w:rsidRDefault="00FB3503" w:rsidP="007446B1">
      <w:pPr>
        <w:pStyle w:val="BodyTextIndent"/>
        <w:ind w:left="1440"/>
        <w:rPr>
          <w:b/>
          <w:szCs w:val="24"/>
          <w:lang w:val="en-GB"/>
        </w:rPr>
      </w:pPr>
    </w:p>
    <w:p w14:paraId="3D17A27C" w14:textId="77777777" w:rsidR="00FB3503" w:rsidRPr="000F5BFB" w:rsidRDefault="00FB3503" w:rsidP="007446B1">
      <w:pPr>
        <w:pStyle w:val="BodyTextIndent"/>
        <w:ind w:left="1440"/>
        <w:rPr>
          <w:szCs w:val="24"/>
          <w:lang w:val="en-GB"/>
        </w:rPr>
      </w:pPr>
      <w:r w:rsidRPr="000F5BFB">
        <w:rPr>
          <w:szCs w:val="24"/>
          <w:lang w:val="en-GB"/>
        </w:rPr>
        <w:t>Employees of the Authority are members of two separate pension schemes:</w:t>
      </w:r>
    </w:p>
    <w:p w14:paraId="4EC154F3" w14:textId="765FA40F" w:rsidR="00FB3503" w:rsidRPr="000F5BFB" w:rsidRDefault="00FB3503" w:rsidP="007446B1">
      <w:pPr>
        <w:pStyle w:val="BodyTextIndent"/>
        <w:numPr>
          <w:ilvl w:val="0"/>
          <w:numId w:val="11"/>
        </w:numPr>
        <w:rPr>
          <w:szCs w:val="24"/>
          <w:lang w:val="en-GB"/>
        </w:rPr>
      </w:pPr>
      <w:r w:rsidRPr="000F5BFB">
        <w:rPr>
          <w:szCs w:val="24"/>
          <w:lang w:val="en-GB"/>
        </w:rPr>
        <w:t>The Firefighters Pension Scheme, administered by Lancashire County Council</w:t>
      </w:r>
      <w:r w:rsidR="000A40E3" w:rsidRPr="000F5BFB">
        <w:rPr>
          <w:szCs w:val="24"/>
          <w:lang w:val="en-GB"/>
        </w:rPr>
        <w:t>.</w:t>
      </w:r>
    </w:p>
    <w:p w14:paraId="69E4C950" w14:textId="4E25D85F" w:rsidR="00FB3503" w:rsidRPr="000F5BFB" w:rsidRDefault="00FB3503" w:rsidP="007446B1">
      <w:pPr>
        <w:pStyle w:val="BodyTextIndent"/>
        <w:numPr>
          <w:ilvl w:val="0"/>
          <w:numId w:val="11"/>
        </w:numPr>
        <w:rPr>
          <w:szCs w:val="24"/>
          <w:lang w:val="en-GB"/>
        </w:rPr>
      </w:pPr>
      <w:r w:rsidRPr="000F5BFB">
        <w:rPr>
          <w:szCs w:val="24"/>
          <w:lang w:val="en-GB"/>
        </w:rPr>
        <w:t>The Local Government Pension Scheme, administered by Lancashire County Council</w:t>
      </w:r>
      <w:r w:rsidR="000A40E3" w:rsidRPr="000F5BFB">
        <w:rPr>
          <w:szCs w:val="24"/>
          <w:lang w:val="en-GB"/>
        </w:rPr>
        <w:t>.</w:t>
      </w:r>
    </w:p>
    <w:p w14:paraId="090BF681" w14:textId="77777777" w:rsidR="00FB3503" w:rsidRPr="000F5BFB" w:rsidRDefault="00FB3503" w:rsidP="007446B1">
      <w:pPr>
        <w:pStyle w:val="BodyTextIndent"/>
        <w:ind w:left="1440"/>
        <w:rPr>
          <w:szCs w:val="24"/>
          <w:lang w:val="en-GB"/>
        </w:rPr>
      </w:pPr>
      <w:r w:rsidRPr="000F5BFB">
        <w:rPr>
          <w:szCs w:val="24"/>
          <w:lang w:val="en-GB"/>
        </w:rPr>
        <w:t>Both schemes provided defined benefits to members (retirement lump sums and pensions), earned as employees worked for the Authority.</w:t>
      </w:r>
    </w:p>
    <w:p w14:paraId="2AFC70AE" w14:textId="77777777" w:rsidR="00703D67" w:rsidRPr="000F5BFB" w:rsidRDefault="00703D67" w:rsidP="007446B1">
      <w:pPr>
        <w:rPr>
          <w:szCs w:val="24"/>
          <w:highlight w:val="yellow"/>
          <w:u w:val="single"/>
        </w:rPr>
      </w:pPr>
    </w:p>
    <w:p w14:paraId="317B976E" w14:textId="77777777" w:rsidR="00FB3503" w:rsidRPr="000F5BFB" w:rsidRDefault="00FB3503" w:rsidP="007446B1">
      <w:pPr>
        <w:pStyle w:val="BodyTextIndent"/>
        <w:ind w:left="2160"/>
        <w:rPr>
          <w:szCs w:val="24"/>
          <w:u w:val="single"/>
          <w:lang w:val="en-GB"/>
        </w:rPr>
      </w:pPr>
      <w:r w:rsidRPr="000F5BFB">
        <w:rPr>
          <w:szCs w:val="24"/>
          <w:u w:val="single"/>
          <w:lang w:val="en-GB"/>
        </w:rPr>
        <w:t>The Firefighters’ Scheme</w:t>
      </w:r>
    </w:p>
    <w:p w14:paraId="6D6D3717" w14:textId="77777777" w:rsidR="00FB3503" w:rsidRPr="000F5BFB" w:rsidRDefault="00FB3503" w:rsidP="007446B1">
      <w:pPr>
        <w:ind w:left="720"/>
        <w:rPr>
          <w:szCs w:val="24"/>
        </w:rPr>
      </w:pPr>
    </w:p>
    <w:p w14:paraId="11E76F49" w14:textId="0DD6A375" w:rsidR="00FB3503" w:rsidRPr="000F5BFB" w:rsidRDefault="00FB3503" w:rsidP="007446B1">
      <w:pPr>
        <w:pStyle w:val="BodyTextIndent"/>
        <w:ind w:left="2160"/>
        <w:rPr>
          <w:szCs w:val="24"/>
          <w:lang w:val="en-GB"/>
        </w:rPr>
      </w:pPr>
      <w:r w:rsidRPr="000F5BFB">
        <w:rPr>
          <w:szCs w:val="24"/>
          <w:lang w:val="en-GB"/>
        </w:rPr>
        <w:t xml:space="preserve">Under IAS19 the future costs of retirement benefits </w:t>
      </w:r>
      <w:r w:rsidR="005431D6" w:rsidRPr="000F5BFB">
        <w:rPr>
          <w:szCs w:val="24"/>
          <w:lang w:val="en-GB"/>
        </w:rPr>
        <w:t>must</w:t>
      </w:r>
      <w:r w:rsidRPr="000F5BFB">
        <w:rPr>
          <w:szCs w:val="24"/>
          <w:lang w:val="en-GB"/>
        </w:rPr>
        <w:t xml:space="preserve"> be recognised in the accounts at the point at which the Authority becomes committed to paying them (the point when the benefits have been earned by the employee), even if the actual payment of benefits will be many years in the future.</w:t>
      </w:r>
    </w:p>
    <w:p w14:paraId="76A4F5CB" w14:textId="77777777" w:rsidR="00FB3503" w:rsidRPr="000F5BFB" w:rsidRDefault="00FB3503" w:rsidP="007446B1">
      <w:pPr>
        <w:pStyle w:val="BodyTextIndent"/>
        <w:ind w:left="1440"/>
        <w:rPr>
          <w:szCs w:val="24"/>
          <w:lang w:val="en-GB"/>
        </w:rPr>
      </w:pPr>
    </w:p>
    <w:p w14:paraId="31766861" w14:textId="11D59402" w:rsidR="00FB3503" w:rsidRPr="000F5BFB" w:rsidRDefault="00FB3503" w:rsidP="007446B1">
      <w:pPr>
        <w:ind w:left="2160"/>
        <w:rPr>
          <w:szCs w:val="24"/>
        </w:rPr>
      </w:pPr>
      <w:r w:rsidRPr="000F5BFB">
        <w:rPr>
          <w:szCs w:val="24"/>
        </w:rPr>
        <w:t>This obligation to pay pensions benefits in the future is recognised as a liability in the Authority’s Balance Sheet. In the service costs part of the Comprehensive Income and Expenditure Statement, transactions are recorded that indicate the change over the year in the pension liability. These are principally the future costs of pensions earned by Firefighters in service during the year. The transactions are not cash-</w:t>
      </w:r>
      <w:r w:rsidR="0094180B" w:rsidRPr="000F5BFB">
        <w:rPr>
          <w:szCs w:val="24"/>
        </w:rPr>
        <w:t>based but,</w:t>
      </w:r>
      <w:r w:rsidRPr="000F5BFB">
        <w:rPr>
          <w:szCs w:val="24"/>
        </w:rPr>
        <w:t xml:space="preserve"> are </w:t>
      </w:r>
      <w:proofErr w:type="gramStart"/>
      <w:r w:rsidR="0094180B" w:rsidRPr="000F5BFB">
        <w:rPr>
          <w:szCs w:val="24"/>
        </w:rPr>
        <w:t>actuarially-calculated</w:t>
      </w:r>
      <w:proofErr w:type="gramEnd"/>
      <w:r w:rsidRPr="000F5BFB">
        <w:rPr>
          <w:szCs w:val="24"/>
        </w:rPr>
        <w:t xml:space="preserve"> amounts that reflect more closely the true changes in the scheme’s long-term liabilities.</w:t>
      </w:r>
    </w:p>
    <w:p w14:paraId="268F1FFD" w14:textId="77777777" w:rsidR="00FB3503" w:rsidRPr="000F5BFB" w:rsidRDefault="00FB3503" w:rsidP="007446B1">
      <w:pPr>
        <w:ind w:left="2160"/>
        <w:rPr>
          <w:szCs w:val="24"/>
        </w:rPr>
      </w:pPr>
    </w:p>
    <w:p w14:paraId="5BCB0314" w14:textId="0F99C4F4" w:rsidR="00FB3503" w:rsidRPr="000F5BFB" w:rsidRDefault="00FB3503" w:rsidP="007446B1">
      <w:pPr>
        <w:pStyle w:val="BodyTextIndent"/>
        <w:ind w:left="2160"/>
        <w:rPr>
          <w:szCs w:val="24"/>
        </w:rPr>
      </w:pPr>
      <w:r w:rsidRPr="000F5BFB">
        <w:rPr>
          <w:szCs w:val="24"/>
        </w:rPr>
        <w:t xml:space="preserve">In calculating the liability for </w:t>
      </w:r>
      <w:r w:rsidR="00BB513F" w:rsidRPr="000F5BFB">
        <w:rPr>
          <w:szCs w:val="24"/>
        </w:rPr>
        <w:t>20</w:t>
      </w:r>
      <w:r w:rsidR="005C14FB" w:rsidRPr="000F5BFB">
        <w:rPr>
          <w:szCs w:val="24"/>
        </w:rPr>
        <w:t>2</w:t>
      </w:r>
      <w:r w:rsidR="00D15E0B" w:rsidRPr="000F5BFB">
        <w:rPr>
          <w:szCs w:val="24"/>
        </w:rPr>
        <w:t>2</w:t>
      </w:r>
      <w:r w:rsidR="00CF111B" w:rsidRPr="000F5BFB">
        <w:rPr>
          <w:szCs w:val="24"/>
        </w:rPr>
        <w:t>/2</w:t>
      </w:r>
      <w:r w:rsidR="00D15E0B" w:rsidRPr="000F5BFB">
        <w:rPr>
          <w:szCs w:val="24"/>
        </w:rPr>
        <w:t>3</w:t>
      </w:r>
      <w:r w:rsidRPr="000F5BFB">
        <w:rPr>
          <w:szCs w:val="24"/>
        </w:rPr>
        <w:t>, the actuary based the valuation on a roll forwards approach.</w:t>
      </w:r>
    </w:p>
    <w:p w14:paraId="1641EBC3" w14:textId="77777777" w:rsidR="00FB3503" w:rsidRPr="000F5BFB" w:rsidRDefault="00FB3503" w:rsidP="007446B1">
      <w:pPr>
        <w:pStyle w:val="BodyTextIndent"/>
        <w:ind w:left="2160"/>
        <w:rPr>
          <w:szCs w:val="24"/>
        </w:rPr>
      </w:pPr>
    </w:p>
    <w:p w14:paraId="79FE54FA" w14:textId="77777777" w:rsidR="00FB3503" w:rsidRPr="000F5BFB" w:rsidRDefault="00FB3503" w:rsidP="007446B1">
      <w:pPr>
        <w:pStyle w:val="BodyTextIndent"/>
        <w:ind w:left="2160"/>
        <w:rPr>
          <w:szCs w:val="24"/>
        </w:rPr>
      </w:pPr>
      <w:r w:rsidRPr="000F5BFB">
        <w:rPr>
          <w:szCs w:val="24"/>
        </w:rPr>
        <w:t xml:space="preserve">Top up grant received during the year from the Home Office to cover the pension costs of the above scheme are recognized in the Comprehensive Income and Expenditure Statement via adjustments in respect of the actuarial valuation. </w:t>
      </w:r>
    </w:p>
    <w:p w14:paraId="60D951ED" w14:textId="77777777" w:rsidR="003D76C3" w:rsidRPr="000F5BFB" w:rsidRDefault="003D76C3" w:rsidP="007446B1">
      <w:pPr>
        <w:rPr>
          <w:szCs w:val="24"/>
          <w:u w:val="single"/>
        </w:rPr>
      </w:pPr>
    </w:p>
    <w:p w14:paraId="3402D871" w14:textId="46A27117" w:rsidR="00FB3503" w:rsidRPr="000F5BFB" w:rsidRDefault="00FB3503" w:rsidP="007446B1">
      <w:pPr>
        <w:pStyle w:val="BodyTextIndent"/>
        <w:ind w:left="2160"/>
        <w:rPr>
          <w:szCs w:val="24"/>
          <w:u w:val="single"/>
          <w:lang w:val="en-GB"/>
        </w:rPr>
      </w:pPr>
      <w:r w:rsidRPr="000F5BFB">
        <w:rPr>
          <w:szCs w:val="24"/>
          <w:u w:val="single"/>
          <w:lang w:val="en-GB"/>
        </w:rPr>
        <w:t>The Local Government Pension Scheme</w:t>
      </w:r>
    </w:p>
    <w:p w14:paraId="6C364635" w14:textId="77777777" w:rsidR="00FB3503" w:rsidRPr="000F5BFB" w:rsidRDefault="00FB3503" w:rsidP="007446B1">
      <w:pPr>
        <w:pStyle w:val="BodyTextIndent"/>
        <w:ind w:left="2160"/>
        <w:rPr>
          <w:szCs w:val="24"/>
          <w:lang w:val="en-GB"/>
        </w:rPr>
      </w:pPr>
    </w:p>
    <w:p w14:paraId="79305351" w14:textId="6D990B96" w:rsidR="00FB3503" w:rsidRPr="000F5BFB" w:rsidRDefault="00FB3503" w:rsidP="007446B1">
      <w:pPr>
        <w:pStyle w:val="BodyTextIndent"/>
        <w:ind w:left="2160"/>
        <w:rPr>
          <w:szCs w:val="24"/>
          <w:lang w:val="en-GB"/>
        </w:rPr>
      </w:pPr>
      <w:r w:rsidRPr="000F5BFB">
        <w:rPr>
          <w:szCs w:val="24"/>
          <w:lang w:val="en-GB"/>
        </w:rPr>
        <w:t xml:space="preserve">The same basic principles apply to the local government scheme with the difference being </w:t>
      </w:r>
      <w:proofErr w:type="gramStart"/>
      <w:r w:rsidRPr="000F5BFB">
        <w:rPr>
          <w:szCs w:val="24"/>
          <w:lang w:val="en-GB"/>
        </w:rPr>
        <w:t>that, because</w:t>
      </w:r>
      <w:proofErr w:type="gramEnd"/>
      <w:r w:rsidRPr="000F5BFB">
        <w:rPr>
          <w:szCs w:val="24"/>
          <w:lang w:val="en-GB"/>
        </w:rPr>
        <w:t xml:space="preserve"> this is a funded scheme (</w:t>
      </w:r>
      <w:proofErr w:type="spellStart"/>
      <w:r w:rsidR="00FB5AD0" w:rsidRPr="000F5BFB">
        <w:rPr>
          <w:szCs w:val="24"/>
          <w:lang w:val="en-GB"/>
        </w:rPr>
        <w:t>ie</w:t>
      </w:r>
      <w:proofErr w:type="spellEnd"/>
      <w:r w:rsidRPr="000F5BFB">
        <w:rPr>
          <w:szCs w:val="24"/>
          <w:lang w:val="en-GB"/>
        </w:rPr>
        <w:t xml:space="preserve"> is backed by a portfolio of investments in equities, property etc), there are transactions recorded in the revenue account to reflect changes in the expected return on these assets.</w:t>
      </w:r>
      <w:r w:rsidR="00365CAA" w:rsidRPr="000F5BFB">
        <w:rPr>
          <w:szCs w:val="24"/>
          <w:lang w:val="en-GB"/>
        </w:rPr>
        <w:t xml:space="preserve"> </w:t>
      </w:r>
      <w:r w:rsidRPr="000F5BFB">
        <w:rPr>
          <w:szCs w:val="24"/>
          <w:lang w:val="en-GB"/>
        </w:rPr>
        <w:t xml:space="preserve">Like the transactions referred to above, these too, are </w:t>
      </w:r>
      <w:proofErr w:type="gramStart"/>
      <w:r w:rsidRPr="000F5BFB">
        <w:rPr>
          <w:szCs w:val="24"/>
          <w:lang w:val="en-GB"/>
        </w:rPr>
        <w:t>actuarially-calculated</w:t>
      </w:r>
      <w:proofErr w:type="gramEnd"/>
      <w:r w:rsidRPr="000F5BFB">
        <w:rPr>
          <w:szCs w:val="24"/>
          <w:lang w:val="en-GB"/>
        </w:rPr>
        <w:t xml:space="preserve"> figures.</w:t>
      </w:r>
    </w:p>
    <w:p w14:paraId="4DF93233" w14:textId="77777777" w:rsidR="00FB3503" w:rsidRPr="000F5BFB" w:rsidRDefault="00FB3503" w:rsidP="007446B1">
      <w:pPr>
        <w:pStyle w:val="BodyTextIndent"/>
        <w:ind w:left="1440"/>
        <w:rPr>
          <w:szCs w:val="24"/>
          <w:lang w:val="en-GB"/>
        </w:rPr>
      </w:pPr>
    </w:p>
    <w:p w14:paraId="6C07BE65" w14:textId="26A7BEDC" w:rsidR="00FB3503" w:rsidRPr="000F5BFB" w:rsidRDefault="00FB3503" w:rsidP="007446B1">
      <w:pPr>
        <w:pStyle w:val="BodyTextIndent"/>
        <w:ind w:left="2160"/>
        <w:rPr>
          <w:szCs w:val="24"/>
          <w:lang w:val="en-GB"/>
        </w:rPr>
      </w:pPr>
      <w:r w:rsidRPr="000F5BFB">
        <w:rPr>
          <w:szCs w:val="24"/>
          <w:lang w:val="en-GB"/>
        </w:rPr>
        <w:t xml:space="preserve">On the Balance Sheet, the liability to pay future pensions is balanced, although </w:t>
      </w:r>
      <w:r w:rsidR="00AC5949" w:rsidRPr="000F5BFB">
        <w:rPr>
          <w:szCs w:val="24"/>
          <w:lang w:val="en-GB"/>
        </w:rPr>
        <w:t>currently</w:t>
      </w:r>
      <w:r w:rsidRPr="000F5BFB">
        <w:rPr>
          <w:szCs w:val="24"/>
          <w:lang w:val="en-GB"/>
        </w:rPr>
        <w:t xml:space="preserve"> not fully, by the fund’s investment assets.</w:t>
      </w:r>
    </w:p>
    <w:p w14:paraId="002009CD" w14:textId="77777777" w:rsidR="00FB3503" w:rsidRPr="000F5BFB" w:rsidRDefault="00FB3503" w:rsidP="007446B1">
      <w:pPr>
        <w:rPr>
          <w:szCs w:val="24"/>
        </w:rPr>
      </w:pPr>
    </w:p>
    <w:p w14:paraId="6824C088" w14:textId="7090CAB1" w:rsidR="00FB3503" w:rsidRPr="000F5BFB" w:rsidRDefault="00FB3503" w:rsidP="007446B1">
      <w:pPr>
        <w:pStyle w:val="BodyTextIndent"/>
        <w:ind w:left="2160"/>
        <w:rPr>
          <w:szCs w:val="24"/>
        </w:rPr>
      </w:pPr>
      <w:r w:rsidRPr="000F5BFB">
        <w:rPr>
          <w:szCs w:val="24"/>
        </w:rPr>
        <w:t xml:space="preserve">In calculating the liability for </w:t>
      </w:r>
      <w:r w:rsidR="005C14FB" w:rsidRPr="000F5BFB">
        <w:rPr>
          <w:szCs w:val="24"/>
        </w:rPr>
        <w:t>202</w:t>
      </w:r>
      <w:r w:rsidR="00D15E0B" w:rsidRPr="000F5BFB">
        <w:rPr>
          <w:szCs w:val="24"/>
        </w:rPr>
        <w:t>2</w:t>
      </w:r>
      <w:r w:rsidR="00CF111B" w:rsidRPr="000F5BFB">
        <w:rPr>
          <w:szCs w:val="24"/>
        </w:rPr>
        <w:t>/2</w:t>
      </w:r>
      <w:r w:rsidR="00D15E0B" w:rsidRPr="000F5BFB">
        <w:rPr>
          <w:szCs w:val="24"/>
        </w:rPr>
        <w:t>3</w:t>
      </w:r>
      <w:r w:rsidRPr="000F5BFB">
        <w:rPr>
          <w:szCs w:val="24"/>
        </w:rPr>
        <w:t>, the actuary based the valuation on a roll forwards approach.</w:t>
      </w:r>
    </w:p>
    <w:p w14:paraId="64FB110D" w14:textId="77777777" w:rsidR="00FB3503" w:rsidRPr="000F5BFB" w:rsidRDefault="00FB3503" w:rsidP="007446B1">
      <w:pPr>
        <w:pStyle w:val="BodyTextIndent"/>
        <w:ind w:left="2160"/>
        <w:rPr>
          <w:szCs w:val="24"/>
        </w:rPr>
      </w:pPr>
    </w:p>
    <w:p w14:paraId="0EC9FA50" w14:textId="3F6FF7FC" w:rsidR="00FB3503" w:rsidRPr="000F5BFB" w:rsidRDefault="00FB3503" w:rsidP="007446B1">
      <w:pPr>
        <w:ind w:left="1440"/>
        <w:rPr>
          <w:szCs w:val="24"/>
        </w:rPr>
      </w:pPr>
      <w:r w:rsidRPr="000F5BFB">
        <w:rPr>
          <w:szCs w:val="24"/>
        </w:rPr>
        <w:t xml:space="preserve">In valuing the pension scheme assets for </w:t>
      </w:r>
      <w:r w:rsidR="005C14FB" w:rsidRPr="000F5BFB">
        <w:rPr>
          <w:szCs w:val="24"/>
        </w:rPr>
        <w:t>202</w:t>
      </w:r>
      <w:r w:rsidR="00D15E0B" w:rsidRPr="000F5BFB">
        <w:rPr>
          <w:szCs w:val="24"/>
        </w:rPr>
        <w:t>2</w:t>
      </w:r>
      <w:r w:rsidR="00CF111B" w:rsidRPr="000F5BFB">
        <w:rPr>
          <w:szCs w:val="24"/>
        </w:rPr>
        <w:t>/2</w:t>
      </w:r>
      <w:r w:rsidR="00D15E0B" w:rsidRPr="000F5BFB">
        <w:rPr>
          <w:szCs w:val="24"/>
        </w:rPr>
        <w:t>3</w:t>
      </w:r>
      <w:r w:rsidRPr="000F5BFB">
        <w:rPr>
          <w:szCs w:val="24"/>
        </w:rPr>
        <w:t>, the actuaries used fair value basis for both derivatives and investments.</w:t>
      </w:r>
    </w:p>
    <w:p w14:paraId="759499B0" w14:textId="77777777" w:rsidR="00FB3503" w:rsidRPr="000F5BFB" w:rsidRDefault="00FB3503" w:rsidP="007446B1">
      <w:pPr>
        <w:ind w:left="720"/>
        <w:rPr>
          <w:b/>
          <w:szCs w:val="24"/>
        </w:rPr>
      </w:pPr>
    </w:p>
    <w:p w14:paraId="60D8F1D7" w14:textId="77777777" w:rsidR="00FB3503" w:rsidRPr="000F5BFB" w:rsidRDefault="00FB3503" w:rsidP="007446B1">
      <w:pPr>
        <w:keepLines/>
        <w:widowControl w:val="0"/>
        <w:ind w:left="720"/>
        <w:rPr>
          <w:b/>
          <w:szCs w:val="24"/>
        </w:rPr>
      </w:pPr>
      <w:r w:rsidRPr="000F5BFB">
        <w:rPr>
          <w:b/>
          <w:szCs w:val="24"/>
        </w:rPr>
        <w:t>f</w:t>
      </w:r>
      <w:r w:rsidRPr="000F5BFB">
        <w:rPr>
          <w:szCs w:val="24"/>
        </w:rPr>
        <w:tab/>
      </w:r>
      <w:r w:rsidRPr="000F5BFB">
        <w:rPr>
          <w:b/>
          <w:szCs w:val="24"/>
        </w:rPr>
        <w:t>Financial Liabilities</w:t>
      </w:r>
    </w:p>
    <w:p w14:paraId="7DC2BD83" w14:textId="77777777" w:rsidR="00FB3503" w:rsidRPr="000F5BFB" w:rsidRDefault="00FB3503" w:rsidP="007446B1">
      <w:pPr>
        <w:keepLines/>
        <w:widowControl w:val="0"/>
        <w:tabs>
          <w:tab w:val="left" w:pos="0"/>
          <w:tab w:val="right" w:pos="9072"/>
        </w:tabs>
        <w:ind w:left="720"/>
        <w:rPr>
          <w:b/>
          <w:szCs w:val="24"/>
        </w:rPr>
      </w:pPr>
    </w:p>
    <w:p w14:paraId="32ED46D2" w14:textId="235E6FF5" w:rsidR="009408FE" w:rsidRPr="000F5BFB" w:rsidRDefault="00FB3503" w:rsidP="007446B1">
      <w:pPr>
        <w:keepLines/>
        <w:widowControl w:val="0"/>
        <w:ind w:left="1429"/>
        <w:rPr>
          <w:szCs w:val="24"/>
        </w:rPr>
      </w:pPr>
      <w:r w:rsidRPr="000F5BFB">
        <w:rPr>
          <w:szCs w:val="24"/>
        </w:rPr>
        <w:t xml:space="preserve">Financial liabilities are initially measured at fair value and carried at their amortised cost. For </w:t>
      </w:r>
      <w:r w:rsidR="007446B1" w:rsidRPr="000F5BFB">
        <w:rPr>
          <w:szCs w:val="24"/>
        </w:rPr>
        <w:t>all</w:t>
      </w:r>
      <w:r w:rsidRPr="000F5BFB">
        <w:rPr>
          <w:szCs w:val="24"/>
        </w:rPr>
        <w:t xml:space="preserve"> the borrowings the Authority has, this means that the amount presented in the Balance Sheet is the outstanding principle repayable plus accrued interest and the interest charged to the Comprehensive Income and Expenditure Statement is the amount payable for the year in the loan agreement.</w:t>
      </w:r>
    </w:p>
    <w:p w14:paraId="53C2C66C" w14:textId="77777777" w:rsidR="00D45CFC" w:rsidRPr="000F5BFB" w:rsidRDefault="00D45CFC" w:rsidP="007446B1">
      <w:pPr>
        <w:keepLines/>
        <w:widowControl w:val="0"/>
        <w:ind w:left="1429"/>
        <w:rPr>
          <w:b/>
          <w:szCs w:val="24"/>
        </w:rPr>
      </w:pPr>
    </w:p>
    <w:p w14:paraId="7242F8CB" w14:textId="53AC24A1" w:rsidR="00FB3503" w:rsidRPr="000F5BFB" w:rsidRDefault="00FB3503" w:rsidP="007446B1">
      <w:pPr>
        <w:keepLines/>
        <w:widowControl w:val="0"/>
        <w:ind w:left="720"/>
        <w:rPr>
          <w:b/>
          <w:szCs w:val="24"/>
        </w:rPr>
      </w:pPr>
      <w:r w:rsidRPr="000F5BFB">
        <w:rPr>
          <w:b/>
          <w:szCs w:val="24"/>
        </w:rPr>
        <w:t>g</w:t>
      </w:r>
      <w:r w:rsidRPr="000F5BFB">
        <w:rPr>
          <w:b/>
          <w:szCs w:val="24"/>
        </w:rPr>
        <w:tab/>
        <w:t>Financial Assets</w:t>
      </w:r>
      <w:r w:rsidR="00CA61E9" w:rsidRPr="000F5BFB">
        <w:rPr>
          <w:b/>
          <w:szCs w:val="24"/>
        </w:rPr>
        <w:t xml:space="preserve"> measured at amortised cost</w:t>
      </w:r>
    </w:p>
    <w:p w14:paraId="0E4F829A" w14:textId="77777777" w:rsidR="00FB3503" w:rsidRPr="000F5BFB" w:rsidRDefault="00FB3503" w:rsidP="007446B1">
      <w:pPr>
        <w:keepLines/>
        <w:widowControl w:val="0"/>
        <w:tabs>
          <w:tab w:val="left" w:pos="0"/>
          <w:tab w:val="right" w:pos="9072"/>
        </w:tabs>
        <w:ind w:left="720"/>
        <w:rPr>
          <w:b/>
          <w:szCs w:val="24"/>
        </w:rPr>
      </w:pPr>
    </w:p>
    <w:p w14:paraId="1B52155B" w14:textId="78F9C438" w:rsidR="00FB3503" w:rsidRPr="000F5BFB" w:rsidRDefault="00FB3503" w:rsidP="007446B1">
      <w:pPr>
        <w:keepLines/>
        <w:widowControl w:val="0"/>
        <w:tabs>
          <w:tab w:val="right" w:pos="9072"/>
        </w:tabs>
        <w:ind w:left="1429"/>
        <w:rPr>
          <w:szCs w:val="24"/>
        </w:rPr>
      </w:pPr>
      <w:r w:rsidRPr="000F5BFB">
        <w:rPr>
          <w:szCs w:val="24"/>
        </w:rPr>
        <w:t xml:space="preserve">The Authority holds only one type of financial asset, </w:t>
      </w:r>
      <w:r w:rsidR="0094180B" w:rsidRPr="000F5BFB">
        <w:rPr>
          <w:szCs w:val="24"/>
        </w:rPr>
        <w:t>loans,</w:t>
      </w:r>
      <w:r w:rsidRPr="000F5BFB">
        <w:rPr>
          <w:szCs w:val="24"/>
        </w:rPr>
        <w:t xml:space="preserve"> and receivables. These are its cash investments and debtors - assets that have fixed or determinable payments but are not quoted in an active market.</w:t>
      </w:r>
    </w:p>
    <w:p w14:paraId="3709FB82" w14:textId="77777777" w:rsidR="00FB3503" w:rsidRPr="000F5BFB" w:rsidRDefault="00FB3503" w:rsidP="007446B1">
      <w:pPr>
        <w:keepLines/>
        <w:widowControl w:val="0"/>
        <w:ind w:left="1429" w:hanging="709"/>
        <w:rPr>
          <w:b/>
          <w:szCs w:val="24"/>
        </w:rPr>
      </w:pPr>
    </w:p>
    <w:p w14:paraId="15026D97" w14:textId="3D545B9C" w:rsidR="00FB3503" w:rsidRPr="000F5BFB" w:rsidRDefault="00DF770E" w:rsidP="007446B1">
      <w:pPr>
        <w:ind w:left="1429"/>
        <w:rPr>
          <w:szCs w:val="24"/>
        </w:rPr>
      </w:pPr>
      <w:r w:rsidRPr="000F5BFB">
        <w:rPr>
          <w:szCs w:val="24"/>
        </w:rPr>
        <w:t>Investments</w:t>
      </w:r>
      <w:r w:rsidR="00FB3503" w:rsidRPr="000F5BFB">
        <w:rPr>
          <w:szCs w:val="24"/>
        </w:rPr>
        <w:t xml:space="preserve"> are initially measured at fair value and carried at their amortised cost. For </w:t>
      </w:r>
      <w:r w:rsidR="0094180B" w:rsidRPr="000F5BFB">
        <w:rPr>
          <w:szCs w:val="24"/>
        </w:rPr>
        <w:t>all</w:t>
      </w:r>
      <w:r w:rsidR="00FB3503" w:rsidRPr="000F5BFB">
        <w:rPr>
          <w:szCs w:val="24"/>
        </w:rPr>
        <w:t xml:space="preserve"> the investments that the Authority has made, this means that the amount presented in the Balance Sheet is the outstanding principal receivable. The interest credited to the Comprehensive Income and Expenditure Statement is the amount receivable for the year under the terms of the deposit agreement.</w:t>
      </w:r>
    </w:p>
    <w:p w14:paraId="1932F8A6" w14:textId="77777777" w:rsidR="00FB3503" w:rsidRPr="000F5BFB" w:rsidRDefault="00FB3503" w:rsidP="007446B1">
      <w:pPr>
        <w:ind w:left="1429"/>
        <w:rPr>
          <w:szCs w:val="24"/>
        </w:rPr>
      </w:pPr>
    </w:p>
    <w:p w14:paraId="5379B406" w14:textId="77777777" w:rsidR="00FB3503" w:rsidRPr="000F5BFB" w:rsidRDefault="00FB3503" w:rsidP="007446B1">
      <w:pPr>
        <w:ind w:left="720"/>
        <w:rPr>
          <w:b/>
          <w:szCs w:val="24"/>
        </w:rPr>
      </w:pPr>
      <w:r w:rsidRPr="000F5BFB">
        <w:rPr>
          <w:b/>
          <w:szCs w:val="24"/>
        </w:rPr>
        <w:t>h</w:t>
      </w:r>
      <w:r w:rsidRPr="000F5BFB">
        <w:rPr>
          <w:b/>
          <w:szCs w:val="24"/>
        </w:rPr>
        <w:tab/>
        <w:t>Government Grants &amp; Contributions</w:t>
      </w:r>
    </w:p>
    <w:p w14:paraId="7EFC1B19" w14:textId="77777777" w:rsidR="00FB3503" w:rsidRPr="000F5BFB" w:rsidRDefault="00FB3503" w:rsidP="007446B1">
      <w:pPr>
        <w:ind w:left="720"/>
        <w:rPr>
          <w:b/>
          <w:szCs w:val="24"/>
        </w:rPr>
      </w:pPr>
    </w:p>
    <w:p w14:paraId="28A894E1" w14:textId="77777777" w:rsidR="00FB3503" w:rsidRPr="000F5BFB" w:rsidRDefault="00FB3503" w:rsidP="007446B1">
      <w:pPr>
        <w:ind w:left="1429"/>
        <w:rPr>
          <w:szCs w:val="24"/>
        </w:rPr>
      </w:pPr>
      <w:r w:rsidRPr="000F5BFB">
        <w:rPr>
          <w:szCs w:val="24"/>
        </w:rPr>
        <w:t>Government grants and donations are recognised as due to the Authority when there is reasonable assurance that:</w:t>
      </w:r>
    </w:p>
    <w:p w14:paraId="66644CE2" w14:textId="77777777" w:rsidR="00FB3503" w:rsidRPr="000F5BFB" w:rsidRDefault="00FB3503" w:rsidP="007446B1">
      <w:pPr>
        <w:ind w:left="1429"/>
        <w:rPr>
          <w:szCs w:val="24"/>
        </w:rPr>
      </w:pPr>
    </w:p>
    <w:p w14:paraId="30E66F71" w14:textId="77777777" w:rsidR="00FB3503" w:rsidRPr="000F5BFB" w:rsidRDefault="00FB3503" w:rsidP="007446B1">
      <w:pPr>
        <w:numPr>
          <w:ilvl w:val="0"/>
          <w:numId w:val="12"/>
        </w:numPr>
        <w:rPr>
          <w:szCs w:val="24"/>
        </w:rPr>
      </w:pPr>
      <w:r w:rsidRPr="000F5BFB">
        <w:rPr>
          <w:szCs w:val="24"/>
        </w:rPr>
        <w:t>The Authority will comply with the conditions attached to the payments, and</w:t>
      </w:r>
    </w:p>
    <w:p w14:paraId="134E06C3" w14:textId="77777777" w:rsidR="00FB3503" w:rsidRPr="000F5BFB" w:rsidRDefault="00FB3503" w:rsidP="007446B1">
      <w:pPr>
        <w:numPr>
          <w:ilvl w:val="0"/>
          <w:numId w:val="12"/>
        </w:numPr>
        <w:rPr>
          <w:szCs w:val="24"/>
        </w:rPr>
      </w:pPr>
      <w:r w:rsidRPr="000F5BFB">
        <w:rPr>
          <w:szCs w:val="24"/>
        </w:rPr>
        <w:t>The grants or contributions will be received.</w:t>
      </w:r>
    </w:p>
    <w:p w14:paraId="33662FF9" w14:textId="77777777" w:rsidR="00FB3503" w:rsidRPr="000F5BFB" w:rsidRDefault="00FB3503" w:rsidP="007446B1">
      <w:pPr>
        <w:ind w:left="1429"/>
        <w:rPr>
          <w:szCs w:val="24"/>
        </w:rPr>
      </w:pPr>
    </w:p>
    <w:p w14:paraId="724B21B8" w14:textId="684B3940" w:rsidR="00FB3503" w:rsidRPr="000F5BFB" w:rsidRDefault="00FB3503" w:rsidP="007446B1">
      <w:pPr>
        <w:ind w:left="1429"/>
        <w:rPr>
          <w:szCs w:val="24"/>
        </w:rPr>
      </w:pPr>
      <w:r w:rsidRPr="000F5BFB">
        <w:rPr>
          <w:szCs w:val="24"/>
        </w:rPr>
        <w:lastRenderedPageBreak/>
        <w:t>Amounts recognised as due to the Authority are not credited to the Comprehensive Income and Expenditure Statement until conditions attached have been satisfied. When conditions have been satisfied, the grant is credited to the non-specific grant income line in the Comprehensive Income and Expenditure Statement.</w:t>
      </w:r>
    </w:p>
    <w:p w14:paraId="47598DDF" w14:textId="77777777" w:rsidR="00FB3503" w:rsidRPr="000F5BFB" w:rsidRDefault="00FB3503" w:rsidP="007446B1">
      <w:pPr>
        <w:ind w:left="1429"/>
        <w:rPr>
          <w:szCs w:val="24"/>
        </w:rPr>
      </w:pPr>
    </w:p>
    <w:p w14:paraId="51A491EE" w14:textId="3988E4D1" w:rsidR="00FB3503" w:rsidRPr="000F5BFB" w:rsidRDefault="00FB3503" w:rsidP="007446B1">
      <w:pPr>
        <w:ind w:left="1429"/>
        <w:rPr>
          <w:szCs w:val="24"/>
        </w:rPr>
      </w:pPr>
      <w:r w:rsidRPr="000F5BFB">
        <w:rPr>
          <w:szCs w:val="24"/>
        </w:rPr>
        <w:t>Where capital grants are credited to the Comprehensive Income and Expenditure Statement, they are reversed out of the General Fund Balance in the Movement in Reserves Statement.</w:t>
      </w:r>
    </w:p>
    <w:p w14:paraId="53BF07EE" w14:textId="77777777" w:rsidR="003D76C3" w:rsidRPr="000F5BFB" w:rsidRDefault="003D76C3" w:rsidP="007446B1">
      <w:pPr>
        <w:ind w:left="1429"/>
        <w:rPr>
          <w:szCs w:val="24"/>
        </w:rPr>
      </w:pPr>
    </w:p>
    <w:p w14:paraId="7A4229BB" w14:textId="6F91C7F1" w:rsidR="00FB3503" w:rsidRPr="000F5BFB" w:rsidRDefault="00FB3503" w:rsidP="007446B1">
      <w:pPr>
        <w:ind w:left="720"/>
        <w:rPr>
          <w:b/>
          <w:szCs w:val="24"/>
        </w:rPr>
      </w:pPr>
      <w:proofErr w:type="spellStart"/>
      <w:r w:rsidRPr="000F5BFB">
        <w:rPr>
          <w:b/>
          <w:szCs w:val="24"/>
        </w:rPr>
        <w:t>i</w:t>
      </w:r>
      <w:proofErr w:type="spellEnd"/>
      <w:r w:rsidRPr="000F5BFB">
        <w:rPr>
          <w:b/>
          <w:szCs w:val="24"/>
        </w:rPr>
        <w:tab/>
        <w:t>Non</w:t>
      </w:r>
      <w:r w:rsidR="0094180B" w:rsidRPr="000F5BFB">
        <w:rPr>
          <w:b/>
          <w:szCs w:val="24"/>
        </w:rPr>
        <w:t>-</w:t>
      </w:r>
      <w:r w:rsidRPr="000F5BFB">
        <w:rPr>
          <w:b/>
          <w:szCs w:val="24"/>
        </w:rPr>
        <w:t>Current Assets</w:t>
      </w:r>
    </w:p>
    <w:p w14:paraId="5747F733" w14:textId="77777777" w:rsidR="00FB3503" w:rsidRPr="000F5BFB" w:rsidRDefault="00FB3503" w:rsidP="007446B1">
      <w:pPr>
        <w:ind w:left="720"/>
        <w:rPr>
          <w:szCs w:val="24"/>
        </w:rPr>
      </w:pPr>
    </w:p>
    <w:p w14:paraId="7EE33A90" w14:textId="28E03454" w:rsidR="00FB3503" w:rsidRPr="000F5BFB" w:rsidRDefault="00FB3503" w:rsidP="007446B1">
      <w:pPr>
        <w:ind w:left="1440"/>
        <w:rPr>
          <w:szCs w:val="24"/>
        </w:rPr>
      </w:pPr>
      <w:r w:rsidRPr="000F5BFB">
        <w:rPr>
          <w:szCs w:val="24"/>
        </w:rPr>
        <w:t>Non</w:t>
      </w:r>
      <w:r w:rsidR="0094180B" w:rsidRPr="000F5BFB">
        <w:rPr>
          <w:szCs w:val="24"/>
        </w:rPr>
        <w:t>-</w:t>
      </w:r>
      <w:r w:rsidRPr="000F5BFB">
        <w:rPr>
          <w:szCs w:val="24"/>
        </w:rPr>
        <w:t>current assets are included in the Balance Sheet at the estimated current value of the asset. They comprise:</w:t>
      </w:r>
    </w:p>
    <w:p w14:paraId="6E4A9AC0" w14:textId="77777777" w:rsidR="00FB3503" w:rsidRPr="000F5BFB" w:rsidRDefault="00FB3503" w:rsidP="007446B1">
      <w:pPr>
        <w:ind w:left="1440"/>
        <w:rPr>
          <w:szCs w:val="24"/>
        </w:rPr>
      </w:pPr>
    </w:p>
    <w:p w14:paraId="3F1F9C14" w14:textId="77777777" w:rsidR="00FB3503" w:rsidRPr="000F5BFB" w:rsidRDefault="00FB3503" w:rsidP="007446B1">
      <w:pPr>
        <w:pStyle w:val="BodyTextIndent"/>
        <w:numPr>
          <w:ilvl w:val="0"/>
          <w:numId w:val="19"/>
        </w:numPr>
        <w:rPr>
          <w:i/>
          <w:szCs w:val="24"/>
        </w:rPr>
      </w:pPr>
      <w:r w:rsidRPr="000F5BFB">
        <w:rPr>
          <w:szCs w:val="24"/>
        </w:rPr>
        <w:t>Property, plant &amp; equipment - These are assets that have a physical substance which are used continuously to provide services or for administrative purposes.</w:t>
      </w:r>
    </w:p>
    <w:p w14:paraId="3AB38D7F" w14:textId="77777777" w:rsidR="00FB3503" w:rsidRPr="000F5BFB" w:rsidRDefault="00FB3503" w:rsidP="007446B1">
      <w:pPr>
        <w:pStyle w:val="BodyTextIndent"/>
        <w:numPr>
          <w:ilvl w:val="0"/>
          <w:numId w:val="8"/>
        </w:numPr>
        <w:ind w:left="2160"/>
        <w:rPr>
          <w:szCs w:val="24"/>
        </w:rPr>
      </w:pPr>
      <w:r w:rsidRPr="000F5BFB">
        <w:rPr>
          <w:szCs w:val="24"/>
        </w:rPr>
        <w:t xml:space="preserve">Intangible assets – Assets that do not have a physical substance but can be separately identified and controlled by the Authority (for example, software licenses). Spending on these assets is </w:t>
      </w:r>
      <w:proofErr w:type="spellStart"/>
      <w:r w:rsidRPr="000F5BFB">
        <w:rPr>
          <w:szCs w:val="24"/>
        </w:rPr>
        <w:t>capitalised</w:t>
      </w:r>
      <w:proofErr w:type="spellEnd"/>
      <w:r w:rsidRPr="000F5BFB">
        <w:rPr>
          <w:szCs w:val="24"/>
        </w:rPr>
        <w:t xml:space="preserve"> if the asset will bring benefit to the Authority for more than one financial year.</w:t>
      </w:r>
    </w:p>
    <w:p w14:paraId="0B0051D5" w14:textId="1B12D208" w:rsidR="00D45CFC" w:rsidRPr="000F5BFB" w:rsidRDefault="00D45CFC" w:rsidP="007446B1">
      <w:pPr>
        <w:rPr>
          <w:szCs w:val="24"/>
        </w:rPr>
      </w:pPr>
    </w:p>
    <w:p w14:paraId="265003D7" w14:textId="77777777" w:rsidR="00FB3503" w:rsidRPr="000F5BFB" w:rsidRDefault="00FB3503" w:rsidP="007446B1">
      <w:pPr>
        <w:ind w:left="2160" w:hanging="720"/>
        <w:rPr>
          <w:szCs w:val="24"/>
          <w:u w:val="single"/>
        </w:rPr>
      </w:pPr>
      <w:proofErr w:type="spellStart"/>
      <w:r w:rsidRPr="000F5BFB">
        <w:rPr>
          <w:szCs w:val="24"/>
        </w:rPr>
        <w:t>i</w:t>
      </w:r>
      <w:proofErr w:type="spellEnd"/>
      <w:r w:rsidRPr="000F5BFB">
        <w:rPr>
          <w:szCs w:val="24"/>
        </w:rPr>
        <w:t>)</w:t>
      </w:r>
      <w:r w:rsidRPr="000F5BFB">
        <w:rPr>
          <w:szCs w:val="24"/>
        </w:rPr>
        <w:tab/>
      </w:r>
      <w:r w:rsidRPr="000F5BFB">
        <w:rPr>
          <w:szCs w:val="24"/>
          <w:u w:val="single"/>
        </w:rPr>
        <w:t>Recognition</w:t>
      </w:r>
    </w:p>
    <w:p w14:paraId="66B01011" w14:textId="77777777" w:rsidR="00FB3503" w:rsidRPr="000F5BFB" w:rsidRDefault="00FB3503" w:rsidP="007446B1">
      <w:pPr>
        <w:pStyle w:val="BodyTextIndent3"/>
        <w:spacing w:after="0"/>
        <w:ind w:left="720"/>
        <w:rPr>
          <w:szCs w:val="24"/>
        </w:rPr>
      </w:pPr>
    </w:p>
    <w:p w14:paraId="0B654887" w14:textId="1E5C9E76" w:rsidR="00FB3503" w:rsidRPr="000F5BFB" w:rsidRDefault="00FB3503" w:rsidP="007446B1">
      <w:pPr>
        <w:pStyle w:val="BodyTextIndent3"/>
        <w:spacing w:after="0"/>
        <w:ind w:left="2160"/>
        <w:rPr>
          <w:strike/>
          <w:szCs w:val="24"/>
        </w:rPr>
      </w:pPr>
      <w:r w:rsidRPr="000F5BFB">
        <w:rPr>
          <w:szCs w:val="24"/>
        </w:rPr>
        <w:t>All capital expenditure over the value of £10,000 on the acquisition or enhancement of non</w:t>
      </w:r>
      <w:r w:rsidR="0094180B" w:rsidRPr="000F5BFB">
        <w:rPr>
          <w:szCs w:val="24"/>
        </w:rPr>
        <w:t>-</w:t>
      </w:r>
      <w:r w:rsidRPr="000F5BFB">
        <w:rPr>
          <w:szCs w:val="24"/>
        </w:rPr>
        <w:t xml:space="preserve">current assets is capitalised in the accounts on an </w:t>
      </w:r>
      <w:proofErr w:type="gramStart"/>
      <w:r w:rsidRPr="000F5BFB">
        <w:rPr>
          <w:szCs w:val="24"/>
        </w:rPr>
        <w:t>accruals</w:t>
      </w:r>
      <w:proofErr w:type="gramEnd"/>
      <w:r w:rsidRPr="000F5BFB">
        <w:rPr>
          <w:szCs w:val="24"/>
        </w:rPr>
        <w:t xml:space="preserve"> basis, in accordance with the relevant statute, with the exception of fleet vehicles, which are capitalised providing the cost is over £5,000 and the asset life is over 5 years.</w:t>
      </w:r>
    </w:p>
    <w:p w14:paraId="479C092E" w14:textId="77777777" w:rsidR="00FB3503" w:rsidRPr="000F5BFB" w:rsidRDefault="00FB3503" w:rsidP="007446B1">
      <w:pPr>
        <w:pStyle w:val="BodyTextIndent3"/>
        <w:spacing w:after="0"/>
        <w:ind w:left="720"/>
        <w:rPr>
          <w:szCs w:val="24"/>
        </w:rPr>
      </w:pPr>
    </w:p>
    <w:p w14:paraId="48191502" w14:textId="77777777" w:rsidR="00FB3503" w:rsidRPr="000F5BFB" w:rsidRDefault="00FB3503" w:rsidP="007446B1">
      <w:pPr>
        <w:ind w:left="2160" w:hanging="720"/>
        <w:rPr>
          <w:szCs w:val="24"/>
          <w:u w:val="single"/>
        </w:rPr>
      </w:pPr>
      <w:r w:rsidRPr="000F5BFB">
        <w:rPr>
          <w:szCs w:val="24"/>
        </w:rPr>
        <w:t>ii)</w:t>
      </w:r>
      <w:r w:rsidRPr="000F5BFB">
        <w:rPr>
          <w:szCs w:val="24"/>
        </w:rPr>
        <w:tab/>
      </w:r>
      <w:r w:rsidRPr="000F5BFB">
        <w:rPr>
          <w:szCs w:val="24"/>
          <w:u w:val="single"/>
        </w:rPr>
        <w:t>Measurement</w:t>
      </w:r>
    </w:p>
    <w:p w14:paraId="0547CBC4" w14:textId="77777777" w:rsidR="00FB3503" w:rsidRPr="000F5BFB" w:rsidRDefault="00FB3503" w:rsidP="007446B1">
      <w:pPr>
        <w:pStyle w:val="BodyTextIndent3"/>
        <w:spacing w:after="0"/>
        <w:ind w:left="720"/>
        <w:rPr>
          <w:szCs w:val="24"/>
        </w:rPr>
      </w:pPr>
    </w:p>
    <w:p w14:paraId="2E60D01B" w14:textId="77525271" w:rsidR="00FB3503" w:rsidRPr="000F5BFB" w:rsidRDefault="00FB3503" w:rsidP="007446B1">
      <w:pPr>
        <w:pStyle w:val="BodyTextIndent3"/>
        <w:spacing w:after="0"/>
        <w:ind w:left="2160"/>
        <w:rPr>
          <w:szCs w:val="24"/>
        </w:rPr>
      </w:pPr>
      <w:r w:rsidRPr="000F5BFB">
        <w:rPr>
          <w:szCs w:val="24"/>
        </w:rPr>
        <w:t xml:space="preserve">Land and buildings are revalued on a rolling </w:t>
      </w:r>
      <w:r w:rsidR="0094180B" w:rsidRPr="000F5BFB">
        <w:rPr>
          <w:szCs w:val="24"/>
        </w:rPr>
        <w:t>five-year</w:t>
      </w:r>
      <w:r w:rsidRPr="000F5BFB">
        <w:rPr>
          <w:szCs w:val="24"/>
        </w:rPr>
        <w:t xml:space="preserve"> basis by a suitably qualified surveyor. As </w:t>
      </w:r>
      <w:proofErr w:type="gramStart"/>
      <w:r w:rsidRPr="000F5BFB">
        <w:rPr>
          <w:szCs w:val="24"/>
        </w:rPr>
        <w:t>at</w:t>
      </w:r>
      <w:proofErr w:type="gramEnd"/>
      <w:r w:rsidRPr="000F5BFB">
        <w:rPr>
          <w:szCs w:val="24"/>
        </w:rPr>
        <w:t xml:space="preserve"> 31 March </w:t>
      </w:r>
      <w:r w:rsidR="009F7288" w:rsidRPr="000F5BFB">
        <w:rPr>
          <w:szCs w:val="24"/>
        </w:rPr>
        <w:t>202</w:t>
      </w:r>
      <w:r w:rsidR="00D15E0B" w:rsidRPr="000F5BFB">
        <w:rPr>
          <w:szCs w:val="24"/>
        </w:rPr>
        <w:t>3</w:t>
      </w:r>
      <w:r w:rsidRPr="000F5BFB">
        <w:rPr>
          <w:szCs w:val="24"/>
        </w:rPr>
        <w:t xml:space="preserve">, </w:t>
      </w:r>
      <w:proofErr w:type="spellStart"/>
      <w:r w:rsidRPr="000F5BFB">
        <w:rPr>
          <w:szCs w:val="24"/>
        </w:rPr>
        <w:t>Amcat</w:t>
      </w:r>
      <w:proofErr w:type="spellEnd"/>
      <w:r w:rsidRPr="000F5BFB">
        <w:rPr>
          <w:szCs w:val="24"/>
        </w:rPr>
        <w:t xml:space="preserve"> Limited, an external organisation, using surveyors qualified by the Royal Institution of Chartered Surveyors, carried out revaluations on the identified properties. All valuations are </w:t>
      </w:r>
      <w:r w:rsidR="0094180B" w:rsidRPr="000F5BFB">
        <w:rPr>
          <w:szCs w:val="24"/>
        </w:rPr>
        <w:t>based on</w:t>
      </w:r>
      <w:r w:rsidRPr="000F5BFB">
        <w:rPr>
          <w:szCs w:val="24"/>
        </w:rPr>
        <w:t xml:space="preserve"> depreciated replacement cost, </w:t>
      </w:r>
      <w:r w:rsidR="0094180B" w:rsidRPr="000F5BFB">
        <w:rPr>
          <w:szCs w:val="24"/>
        </w:rPr>
        <w:t>except for</w:t>
      </w:r>
      <w:r w:rsidRPr="000F5BFB">
        <w:rPr>
          <w:szCs w:val="24"/>
        </w:rPr>
        <w:t xml:space="preserve"> one property used as offices, valued at Existing Use Value. </w:t>
      </w:r>
    </w:p>
    <w:p w14:paraId="531C7499" w14:textId="77777777" w:rsidR="00FB3503" w:rsidRPr="000F5BFB" w:rsidRDefault="00FB3503" w:rsidP="007446B1">
      <w:pPr>
        <w:pStyle w:val="BodyTextIndent3"/>
        <w:spacing w:after="0"/>
        <w:ind w:left="2160"/>
        <w:rPr>
          <w:szCs w:val="24"/>
        </w:rPr>
      </w:pPr>
    </w:p>
    <w:p w14:paraId="05B1F4CA" w14:textId="7BE74585" w:rsidR="00FB3503" w:rsidRPr="000F5BFB" w:rsidRDefault="00FB3503" w:rsidP="007446B1">
      <w:pPr>
        <w:pStyle w:val="BodyTextIndent3"/>
        <w:spacing w:after="0"/>
        <w:ind w:left="2160"/>
        <w:rPr>
          <w:szCs w:val="24"/>
        </w:rPr>
      </w:pPr>
      <w:r w:rsidRPr="000F5BFB">
        <w:rPr>
          <w:szCs w:val="24"/>
        </w:rPr>
        <w:t xml:space="preserve">All other </w:t>
      </w:r>
      <w:r w:rsidR="0094180B" w:rsidRPr="000F5BFB">
        <w:rPr>
          <w:szCs w:val="24"/>
        </w:rPr>
        <w:t>non-current</w:t>
      </w:r>
      <w:r w:rsidRPr="000F5BFB">
        <w:rPr>
          <w:szCs w:val="24"/>
        </w:rPr>
        <w:t xml:space="preserve"> assets are valued at historic cost.</w:t>
      </w:r>
    </w:p>
    <w:p w14:paraId="1708AFBE" w14:textId="77777777" w:rsidR="00FB3503" w:rsidRPr="000F5BFB" w:rsidRDefault="00FB3503" w:rsidP="007446B1">
      <w:pPr>
        <w:pStyle w:val="BodyTextIndent3"/>
        <w:spacing w:after="0"/>
        <w:ind w:left="720"/>
        <w:rPr>
          <w:szCs w:val="24"/>
        </w:rPr>
      </w:pPr>
    </w:p>
    <w:p w14:paraId="434AD501" w14:textId="3C443975" w:rsidR="00FB3503" w:rsidRPr="000F5BFB" w:rsidRDefault="00FB3503" w:rsidP="007446B1">
      <w:pPr>
        <w:pStyle w:val="BodyTextIndent3"/>
        <w:spacing w:after="0"/>
        <w:ind w:left="2160"/>
        <w:rPr>
          <w:szCs w:val="24"/>
        </w:rPr>
      </w:pPr>
      <w:r w:rsidRPr="000F5BFB">
        <w:rPr>
          <w:szCs w:val="24"/>
        </w:rPr>
        <w:t>The Revaluation Reserve contains revaluation gains recognised since 1 April 2007, the date of its formal implementation. The Revaluation Reserve was created with effect from 31 March 2007 with a zero</w:t>
      </w:r>
      <w:r w:rsidR="0094180B" w:rsidRPr="000F5BFB">
        <w:rPr>
          <w:szCs w:val="24"/>
        </w:rPr>
        <w:t>-</w:t>
      </w:r>
      <w:r w:rsidRPr="000F5BFB">
        <w:rPr>
          <w:szCs w:val="24"/>
        </w:rPr>
        <w:t>opening balance. Gains arising before 1 April 2007 have been consolidated into the Capital Adjustment Account.</w:t>
      </w:r>
    </w:p>
    <w:p w14:paraId="28DA5E0F" w14:textId="77777777" w:rsidR="00703D67" w:rsidRPr="000F5BFB" w:rsidRDefault="00703D67" w:rsidP="007446B1">
      <w:pPr>
        <w:rPr>
          <w:szCs w:val="24"/>
        </w:rPr>
      </w:pPr>
    </w:p>
    <w:p w14:paraId="5C571EFE" w14:textId="77777777" w:rsidR="00FB3503" w:rsidRPr="000F5BFB" w:rsidRDefault="00FB3503" w:rsidP="007446B1">
      <w:pPr>
        <w:pStyle w:val="BodyTextIndent3"/>
        <w:spacing w:after="0"/>
        <w:rPr>
          <w:szCs w:val="24"/>
        </w:rPr>
      </w:pPr>
      <w:r w:rsidRPr="000F5BFB">
        <w:rPr>
          <w:szCs w:val="24"/>
        </w:rPr>
        <w:t>iii)</w:t>
      </w:r>
      <w:r w:rsidRPr="000F5BFB">
        <w:rPr>
          <w:szCs w:val="24"/>
        </w:rPr>
        <w:tab/>
      </w:r>
      <w:r w:rsidRPr="000F5BFB">
        <w:rPr>
          <w:szCs w:val="24"/>
          <w:u w:val="single"/>
        </w:rPr>
        <w:t>Impairment</w:t>
      </w:r>
    </w:p>
    <w:p w14:paraId="154CE34C" w14:textId="77777777" w:rsidR="00FB3503" w:rsidRPr="000F5BFB" w:rsidRDefault="00FB3503" w:rsidP="007446B1">
      <w:pPr>
        <w:pStyle w:val="BodyTextIndent3"/>
        <w:spacing w:after="0"/>
        <w:ind w:left="720"/>
        <w:rPr>
          <w:szCs w:val="24"/>
        </w:rPr>
      </w:pPr>
    </w:p>
    <w:p w14:paraId="41B8991A" w14:textId="538F30B1" w:rsidR="00FB3503" w:rsidRPr="000F5BFB" w:rsidRDefault="00FB3503" w:rsidP="007446B1">
      <w:pPr>
        <w:pStyle w:val="BodyTextIndent3"/>
        <w:spacing w:after="0"/>
        <w:ind w:left="2160"/>
        <w:rPr>
          <w:szCs w:val="24"/>
        </w:rPr>
      </w:pPr>
      <w:r w:rsidRPr="000F5BFB">
        <w:rPr>
          <w:szCs w:val="24"/>
        </w:rPr>
        <w:t>The Combined Fire Authority's non</w:t>
      </w:r>
      <w:r w:rsidR="0094180B" w:rsidRPr="000F5BFB">
        <w:rPr>
          <w:szCs w:val="24"/>
        </w:rPr>
        <w:t>-</w:t>
      </w:r>
      <w:r w:rsidRPr="000F5BFB">
        <w:rPr>
          <w:szCs w:val="24"/>
        </w:rPr>
        <w:t>current assets are considered for impairment at the end of each year by appropriately qualified Property Consultants.</w:t>
      </w:r>
    </w:p>
    <w:p w14:paraId="61D640A7" w14:textId="77777777" w:rsidR="00FB3503" w:rsidRPr="000F5BFB" w:rsidRDefault="00FB3503" w:rsidP="007446B1">
      <w:pPr>
        <w:pStyle w:val="BodyTextIndent3"/>
        <w:spacing w:after="0"/>
        <w:ind w:left="2160"/>
        <w:rPr>
          <w:szCs w:val="24"/>
        </w:rPr>
      </w:pPr>
    </w:p>
    <w:p w14:paraId="737B2812" w14:textId="77777777" w:rsidR="00FB3503" w:rsidRPr="000F5BFB" w:rsidRDefault="00FB3503" w:rsidP="007446B1">
      <w:pPr>
        <w:numPr>
          <w:ilvl w:val="0"/>
          <w:numId w:val="20"/>
        </w:numPr>
        <w:rPr>
          <w:szCs w:val="24"/>
          <w:u w:val="single"/>
        </w:rPr>
      </w:pPr>
      <w:r w:rsidRPr="000F5BFB">
        <w:rPr>
          <w:szCs w:val="24"/>
          <w:u w:val="single"/>
        </w:rPr>
        <w:lastRenderedPageBreak/>
        <w:t>Disposals</w:t>
      </w:r>
    </w:p>
    <w:p w14:paraId="56BD3FD6" w14:textId="77777777" w:rsidR="00FB3503" w:rsidRPr="000F5BFB" w:rsidRDefault="00FB3503" w:rsidP="007446B1">
      <w:pPr>
        <w:ind w:left="720"/>
        <w:rPr>
          <w:szCs w:val="24"/>
          <w:u w:val="single"/>
        </w:rPr>
      </w:pPr>
    </w:p>
    <w:p w14:paraId="793EF27C" w14:textId="475FC485" w:rsidR="00FB3503" w:rsidRPr="000F5BFB" w:rsidRDefault="005C14FB" w:rsidP="00AC5949">
      <w:pPr>
        <w:pStyle w:val="BodyTextIndent3"/>
        <w:spacing w:after="0"/>
        <w:ind w:left="2160"/>
        <w:rPr>
          <w:szCs w:val="24"/>
        </w:rPr>
      </w:pPr>
      <w:r w:rsidRPr="000F5BFB">
        <w:rPr>
          <w:szCs w:val="24"/>
        </w:rPr>
        <w:t xml:space="preserve">When an asset is disposed of the value of asset in the balance sheet is written off to the Comprehensive Income and Expenditure Statement (CIES) as part of the gain or loss on disposal. </w:t>
      </w:r>
      <w:r w:rsidR="00426412" w:rsidRPr="000F5BFB">
        <w:rPr>
          <w:szCs w:val="24"/>
        </w:rPr>
        <w:t>R</w:t>
      </w:r>
      <w:r w:rsidRPr="000F5BFB">
        <w:rPr>
          <w:szCs w:val="24"/>
        </w:rPr>
        <w:t xml:space="preserve">eceipts from disposals are credited to capital receipts, with the sale proceeds being recognised in the CIES. This treatment results in the netting </w:t>
      </w:r>
      <w:r w:rsidR="005431D6" w:rsidRPr="000F5BFB">
        <w:rPr>
          <w:szCs w:val="24"/>
        </w:rPr>
        <w:t>off</w:t>
      </w:r>
      <w:r w:rsidRPr="000F5BFB">
        <w:rPr>
          <w:szCs w:val="24"/>
        </w:rPr>
        <w:t xml:space="preserve"> receipts against the carrying value of the asset.</w:t>
      </w:r>
    </w:p>
    <w:p w14:paraId="40CD23CF" w14:textId="77777777" w:rsidR="003D76C3" w:rsidRPr="000F5BFB" w:rsidRDefault="003D76C3" w:rsidP="007446B1">
      <w:pPr>
        <w:pStyle w:val="BodyTextIndent3"/>
        <w:spacing w:after="0"/>
        <w:ind w:left="2160"/>
        <w:rPr>
          <w:szCs w:val="24"/>
        </w:rPr>
      </w:pPr>
    </w:p>
    <w:p w14:paraId="7EE988FD" w14:textId="77777777" w:rsidR="00FB3503" w:rsidRPr="000F5BFB" w:rsidRDefault="00FB3503" w:rsidP="007446B1">
      <w:pPr>
        <w:numPr>
          <w:ilvl w:val="0"/>
          <w:numId w:val="20"/>
        </w:numPr>
        <w:rPr>
          <w:szCs w:val="24"/>
          <w:u w:val="single"/>
        </w:rPr>
      </w:pPr>
      <w:r w:rsidRPr="000F5BFB">
        <w:rPr>
          <w:szCs w:val="24"/>
          <w:u w:val="single"/>
        </w:rPr>
        <w:t>Depreciation</w:t>
      </w:r>
    </w:p>
    <w:p w14:paraId="60393B2F" w14:textId="77777777" w:rsidR="00FB3503" w:rsidRPr="000F5BFB" w:rsidRDefault="00FB3503" w:rsidP="007446B1">
      <w:pPr>
        <w:ind w:left="720"/>
        <w:rPr>
          <w:szCs w:val="24"/>
          <w:u w:val="single"/>
        </w:rPr>
      </w:pPr>
    </w:p>
    <w:p w14:paraId="0EA05BDC" w14:textId="77777777" w:rsidR="00FB3503" w:rsidRPr="000F5BFB" w:rsidRDefault="00FB3503" w:rsidP="007446B1">
      <w:pPr>
        <w:pStyle w:val="BodyTextIndent3"/>
        <w:spacing w:after="0"/>
        <w:ind w:left="2160"/>
        <w:rPr>
          <w:szCs w:val="24"/>
        </w:rPr>
      </w:pPr>
      <w:r w:rsidRPr="000F5BFB">
        <w:rPr>
          <w:szCs w:val="24"/>
        </w:rPr>
        <w:t>Depreciation is charged on those assets which have a finite useful life, in the year after acquisition:</w:t>
      </w:r>
    </w:p>
    <w:p w14:paraId="38F0BBF9" w14:textId="77777777" w:rsidR="00FB3503" w:rsidRPr="000F5BFB" w:rsidRDefault="00FB3503" w:rsidP="007446B1">
      <w:pPr>
        <w:pStyle w:val="BodyTextIndent3"/>
        <w:spacing w:after="0"/>
        <w:rPr>
          <w:szCs w:val="24"/>
        </w:rPr>
      </w:pPr>
    </w:p>
    <w:p w14:paraId="06680A04" w14:textId="77777777" w:rsidR="00FB3503" w:rsidRPr="000F5BFB" w:rsidRDefault="00FB3503" w:rsidP="007446B1">
      <w:pPr>
        <w:pStyle w:val="BodyTextIndent3"/>
        <w:numPr>
          <w:ilvl w:val="0"/>
          <w:numId w:val="7"/>
        </w:numPr>
        <w:tabs>
          <w:tab w:val="clear" w:pos="1800"/>
          <w:tab w:val="num" w:pos="2847"/>
        </w:tabs>
        <w:spacing w:after="0"/>
        <w:ind w:left="2847" w:hanging="709"/>
        <w:rPr>
          <w:szCs w:val="24"/>
        </w:rPr>
      </w:pPr>
      <w:r w:rsidRPr="000F5BFB">
        <w:rPr>
          <w:szCs w:val="24"/>
        </w:rPr>
        <w:t>Intangible assets are assessed over their estimated useful life, 5 years.</w:t>
      </w:r>
    </w:p>
    <w:p w14:paraId="6054E4A9" w14:textId="77777777" w:rsidR="00FB3503" w:rsidRPr="000F5BFB" w:rsidRDefault="00FB3503" w:rsidP="007446B1">
      <w:pPr>
        <w:pStyle w:val="BodyTextIndent3"/>
        <w:numPr>
          <w:ilvl w:val="0"/>
          <w:numId w:val="5"/>
        </w:numPr>
        <w:tabs>
          <w:tab w:val="clear" w:pos="720"/>
          <w:tab w:val="num" w:pos="2880"/>
        </w:tabs>
        <w:spacing w:after="0"/>
        <w:ind w:left="2880"/>
        <w:rPr>
          <w:szCs w:val="24"/>
        </w:rPr>
      </w:pPr>
      <w:r w:rsidRPr="000F5BFB">
        <w:rPr>
          <w:szCs w:val="24"/>
        </w:rPr>
        <w:t>Land is assessed as having an infinite life, and therefore is not depreciated.</w:t>
      </w:r>
    </w:p>
    <w:p w14:paraId="33D523DA" w14:textId="77777777" w:rsidR="00FB3503" w:rsidRPr="000F5BFB" w:rsidRDefault="00FB3503" w:rsidP="007446B1">
      <w:pPr>
        <w:pStyle w:val="BodyTextIndent3"/>
        <w:numPr>
          <w:ilvl w:val="0"/>
          <w:numId w:val="5"/>
        </w:numPr>
        <w:tabs>
          <w:tab w:val="clear" w:pos="720"/>
          <w:tab w:val="num" w:pos="2880"/>
        </w:tabs>
        <w:spacing w:after="0"/>
        <w:ind w:left="2880"/>
        <w:rPr>
          <w:szCs w:val="24"/>
        </w:rPr>
      </w:pPr>
      <w:r w:rsidRPr="000F5BFB">
        <w:rPr>
          <w:szCs w:val="24"/>
        </w:rPr>
        <w:t>Building assets are assessed for an appropriate property life by property professionals, in 10-year bands up to a maximum of 50 years.</w:t>
      </w:r>
    </w:p>
    <w:p w14:paraId="12CD30B9" w14:textId="77777777" w:rsidR="00FB3503" w:rsidRPr="000F5BFB" w:rsidRDefault="00FB3503" w:rsidP="007446B1">
      <w:pPr>
        <w:pStyle w:val="BodyTextIndent3"/>
        <w:numPr>
          <w:ilvl w:val="0"/>
          <w:numId w:val="6"/>
        </w:numPr>
        <w:tabs>
          <w:tab w:val="clear" w:pos="720"/>
          <w:tab w:val="num" w:pos="2880"/>
        </w:tabs>
        <w:spacing w:after="0"/>
        <w:ind w:left="2880"/>
        <w:rPr>
          <w:szCs w:val="24"/>
        </w:rPr>
      </w:pPr>
      <w:r w:rsidRPr="000F5BFB">
        <w:rPr>
          <w:szCs w:val="24"/>
        </w:rPr>
        <w:t>Equipment is depreciated over their estimated useful life, ranging from 5 to 20 years.</w:t>
      </w:r>
    </w:p>
    <w:p w14:paraId="64D2EA78" w14:textId="5036BDAE" w:rsidR="00FB3503" w:rsidRPr="000F5BFB" w:rsidRDefault="00FB3503" w:rsidP="007446B1">
      <w:pPr>
        <w:pStyle w:val="BodyTextIndent3"/>
        <w:numPr>
          <w:ilvl w:val="0"/>
          <w:numId w:val="6"/>
        </w:numPr>
        <w:tabs>
          <w:tab w:val="clear" w:pos="720"/>
          <w:tab w:val="num" w:pos="2880"/>
        </w:tabs>
        <w:spacing w:after="0"/>
        <w:ind w:left="2880"/>
        <w:rPr>
          <w:szCs w:val="24"/>
        </w:rPr>
      </w:pPr>
      <w:r w:rsidRPr="000F5BFB">
        <w:rPr>
          <w:szCs w:val="24"/>
        </w:rPr>
        <w:t>Vehicles are depreciated over their estimated useful life, ranging from 5 to 15 years.</w:t>
      </w:r>
    </w:p>
    <w:p w14:paraId="0A79DF74" w14:textId="77777777" w:rsidR="00FB3503" w:rsidRPr="000F5BFB" w:rsidRDefault="00FB3503" w:rsidP="007446B1">
      <w:pPr>
        <w:pStyle w:val="BodyTextIndent3"/>
        <w:spacing w:after="0"/>
        <w:ind w:left="720"/>
        <w:rPr>
          <w:szCs w:val="24"/>
        </w:rPr>
      </w:pPr>
    </w:p>
    <w:p w14:paraId="007E212A" w14:textId="387D017F" w:rsidR="00FB3503" w:rsidRPr="000F5BFB" w:rsidRDefault="00FB3503" w:rsidP="007446B1">
      <w:pPr>
        <w:pStyle w:val="BodyTextIndent3"/>
        <w:spacing w:after="0"/>
        <w:ind w:left="2880"/>
        <w:rPr>
          <w:szCs w:val="24"/>
        </w:rPr>
      </w:pPr>
      <w:r w:rsidRPr="000F5BFB">
        <w:rPr>
          <w:szCs w:val="24"/>
        </w:rPr>
        <w:t xml:space="preserve">The charges are based on the opening net book value of assets at the start of the financial year and the estimated useful life of the </w:t>
      </w:r>
      <w:r w:rsidR="00AE2092" w:rsidRPr="000F5BFB">
        <w:rPr>
          <w:szCs w:val="24"/>
        </w:rPr>
        <w:t>asset and</w:t>
      </w:r>
      <w:r w:rsidRPr="000F5BFB">
        <w:rPr>
          <w:szCs w:val="24"/>
        </w:rPr>
        <w:t xml:space="preserve"> are calculated in such a way as to give an equal charge to the revenue account in each of the years the asset is used. </w:t>
      </w:r>
    </w:p>
    <w:p w14:paraId="603FAE77" w14:textId="3C103434" w:rsidR="00D45CFC" w:rsidRPr="000F5BFB" w:rsidRDefault="00D45CFC" w:rsidP="007446B1">
      <w:pPr>
        <w:rPr>
          <w:szCs w:val="24"/>
        </w:rPr>
      </w:pPr>
    </w:p>
    <w:p w14:paraId="0614E94E" w14:textId="77777777" w:rsidR="00FB3503" w:rsidRPr="000F5BFB" w:rsidRDefault="00FB3503" w:rsidP="007446B1">
      <w:pPr>
        <w:pStyle w:val="BodyTextIndent3"/>
        <w:spacing w:after="0"/>
        <w:rPr>
          <w:szCs w:val="24"/>
        </w:rPr>
      </w:pPr>
      <w:r w:rsidRPr="000F5BFB">
        <w:rPr>
          <w:szCs w:val="24"/>
        </w:rPr>
        <w:t>vi)</w:t>
      </w:r>
      <w:r w:rsidRPr="000F5BFB">
        <w:rPr>
          <w:szCs w:val="24"/>
        </w:rPr>
        <w:tab/>
      </w:r>
      <w:r w:rsidRPr="000F5BFB">
        <w:rPr>
          <w:szCs w:val="24"/>
          <w:u w:val="single"/>
        </w:rPr>
        <w:t>Componentisation</w:t>
      </w:r>
    </w:p>
    <w:p w14:paraId="6B4706F0" w14:textId="77777777" w:rsidR="00FB3503" w:rsidRPr="000F5BFB" w:rsidRDefault="00FB3503" w:rsidP="007446B1">
      <w:pPr>
        <w:pStyle w:val="BodyTextIndent3"/>
        <w:spacing w:after="0"/>
        <w:rPr>
          <w:szCs w:val="24"/>
          <w:u w:val="single"/>
        </w:rPr>
      </w:pPr>
    </w:p>
    <w:p w14:paraId="1EE20878" w14:textId="2A8D583C" w:rsidR="00FB3503" w:rsidRPr="000F5BFB" w:rsidRDefault="00FB3503" w:rsidP="007446B1">
      <w:pPr>
        <w:pStyle w:val="BodyTextIndent3"/>
        <w:spacing w:after="0"/>
        <w:ind w:left="2160"/>
        <w:rPr>
          <w:szCs w:val="24"/>
        </w:rPr>
      </w:pPr>
      <w:r w:rsidRPr="000F5BFB">
        <w:rPr>
          <w:szCs w:val="24"/>
        </w:rPr>
        <w:t>From 1 April 2010, the Authority is required to separately recognise, depreciate and de-recognise significant components of assets, where the significant component has a different useful life to the remainder of the asset. Assets with a carrying value of less than £</w:t>
      </w:r>
      <w:r w:rsidR="009A53AD" w:rsidRPr="000F5BFB">
        <w:rPr>
          <w:szCs w:val="24"/>
        </w:rPr>
        <w:t>1.0m</w:t>
      </w:r>
      <w:r w:rsidRPr="000F5BFB">
        <w:rPr>
          <w:szCs w:val="24"/>
        </w:rPr>
        <w:t xml:space="preserve"> will not be subject to componentisation rules, and a significant component is one of over 25% of the asset carrying value. Components will only be recognised on assets valued after 1 April 2010.</w:t>
      </w:r>
    </w:p>
    <w:p w14:paraId="606BB0FE" w14:textId="77777777" w:rsidR="00FB3503" w:rsidRPr="000F5BFB" w:rsidRDefault="00FB3503" w:rsidP="007446B1">
      <w:pPr>
        <w:pStyle w:val="BodyTextIndent3"/>
        <w:spacing w:after="0"/>
        <w:ind w:left="2160"/>
        <w:rPr>
          <w:szCs w:val="24"/>
        </w:rPr>
      </w:pPr>
    </w:p>
    <w:p w14:paraId="1E71F277" w14:textId="77777777" w:rsidR="00FB3503" w:rsidRPr="000F5BFB" w:rsidRDefault="00FB3503" w:rsidP="007446B1">
      <w:pPr>
        <w:pStyle w:val="BodyTextIndent3"/>
        <w:spacing w:after="0"/>
        <w:rPr>
          <w:szCs w:val="24"/>
        </w:rPr>
      </w:pPr>
      <w:r w:rsidRPr="000F5BFB">
        <w:rPr>
          <w:szCs w:val="24"/>
        </w:rPr>
        <w:t>vii)</w:t>
      </w:r>
      <w:r w:rsidRPr="000F5BFB">
        <w:rPr>
          <w:szCs w:val="24"/>
        </w:rPr>
        <w:tab/>
      </w:r>
      <w:r w:rsidRPr="000F5BFB">
        <w:rPr>
          <w:szCs w:val="24"/>
          <w:u w:val="single"/>
        </w:rPr>
        <w:t>Derecognition</w:t>
      </w:r>
    </w:p>
    <w:p w14:paraId="146F922E" w14:textId="77777777" w:rsidR="00FB3503" w:rsidRPr="000F5BFB" w:rsidRDefault="00FB3503" w:rsidP="007446B1">
      <w:pPr>
        <w:pStyle w:val="BodyTextIndent3"/>
        <w:spacing w:after="0"/>
        <w:rPr>
          <w:szCs w:val="24"/>
        </w:rPr>
      </w:pPr>
    </w:p>
    <w:p w14:paraId="3295F811" w14:textId="4FCC9F16" w:rsidR="00FB3503" w:rsidRPr="000F5BFB" w:rsidRDefault="00FB3503" w:rsidP="007446B1">
      <w:pPr>
        <w:pStyle w:val="BodyTextIndent3"/>
        <w:spacing w:after="0"/>
        <w:ind w:left="2160"/>
        <w:rPr>
          <w:szCs w:val="24"/>
        </w:rPr>
      </w:pPr>
      <w:r w:rsidRPr="000F5BFB">
        <w:rPr>
          <w:szCs w:val="24"/>
        </w:rPr>
        <w:t xml:space="preserve">Assets will be derecognised when no further economic benefits are expected from the asset’s use or disposal – </w:t>
      </w:r>
      <w:proofErr w:type="spellStart"/>
      <w:r w:rsidR="00FB5AD0" w:rsidRPr="000F5BFB">
        <w:rPr>
          <w:szCs w:val="24"/>
        </w:rPr>
        <w:t>ie</w:t>
      </w:r>
      <w:proofErr w:type="spellEnd"/>
      <w:r w:rsidRPr="000F5BFB">
        <w:rPr>
          <w:szCs w:val="24"/>
        </w:rPr>
        <w:t xml:space="preserve"> when the economic benefits inherent in the asset have been used up. </w:t>
      </w:r>
    </w:p>
    <w:p w14:paraId="79FC8CCA" w14:textId="77777777" w:rsidR="00FB3503" w:rsidRPr="000F5BFB" w:rsidRDefault="00FB3503" w:rsidP="007446B1">
      <w:pPr>
        <w:pStyle w:val="BodyTextIndent3"/>
        <w:spacing w:after="0"/>
        <w:ind w:left="720"/>
        <w:rPr>
          <w:szCs w:val="24"/>
        </w:rPr>
      </w:pPr>
    </w:p>
    <w:p w14:paraId="68B224F4" w14:textId="77777777" w:rsidR="00FB3503" w:rsidRPr="000F5BFB" w:rsidRDefault="00FB3503" w:rsidP="007446B1">
      <w:pPr>
        <w:ind w:left="720"/>
        <w:rPr>
          <w:szCs w:val="24"/>
        </w:rPr>
      </w:pPr>
      <w:r w:rsidRPr="000F5BFB">
        <w:rPr>
          <w:b/>
          <w:szCs w:val="24"/>
        </w:rPr>
        <w:t>j</w:t>
      </w:r>
      <w:r w:rsidRPr="000F5BFB">
        <w:rPr>
          <w:b/>
          <w:szCs w:val="24"/>
        </w:rPr>
        <w:tab/>
        <w:t>Private Finance Initiative (PFI) and similar contracts</w:t>
      </w:r>
    </w:p>
    <w:p w14:paraId="1540A359" w14:textId="77777777" w:rsidR="00FB3503" w:rsidRPr="000F5BFB" w:rsidRDefault="00FB3503" w:rsidP="007446B1">
      <w:pPr>
        <w:pStyle w:val="BodyTextIndent"/>
        <w:ind w:left="1440"/>
        <w:rPr>
          <w:szCs w:val="24"/>
          <w:u w:val="single"/>
          <w:lang w:val="en-GB"/>
        </w:rPr>
      </w:pPr>
    </w:p>
    <w:p w14:paraId="6BC746BA" w14:textId="6047D202" w:rsidR="00FB3503" w:rsidRPr="000F5BFB" w:rsidRDefault="00FB3503" w:rsidP="007446B1">
      <w:pPr>
        <w:pStyle w:val="BodyTextIndent"/>
        <w:ind w:left="1440"/>
        <w:rPr>
          <w:szCs w:val="24"/>
          <w:u w:val="single"/>
          <w:lang w:val="en-GB"/>
        </w:rPr>
      </w:pPr>
      <w:r w:rsidRPr="000F5BFB">
        <w:rPr>
          <w:szCs w:val="24"/>
          <w:u w:val="single"/>
          <w:lang w:val="en-GB"/>
        </w:rPr>
        <w:t xml:space="preserve">Current </w:t>
      </w:r>
      <w:r w:rsidR="0094180B" w:rsidRPr="000F5BFB">
        <w:rPr>
          <w:szCs w:val="24"/>
          <w:u w:val="single"/>
          <w:lang w:val="en-GB"/>
        </w:rPr>
        <w:t>S</w:t>
      </w:r>
      <w:r w:rsidRPr="000F5BFB">
        <w:rPr>
          <w:szCs w:val="24"/>
          <w:u w:val="single"/>
          <w:lang w:val="en-GB"/>
        </w:rPr>
        <w:t>tatus</w:t>
      </w:r>
    </w:p>
    <w:p w14:paraId="56F12CA7" w14:textId="77777777" w:rsidR="00FB3503" w:rsidRPr="000F5BFB" w:rsidRDefault="00FB3503" w:rsidP="007446B1">
      <w:pPr>
        <w:pStyle w:val="BodyTextIndent"/>
        <w:ind w:left="1440"/>
        <w:rPr>
          <w:szCs w:val="24"/>
          <w:lang w:val="en-GB"/>
        </w:rPr>
      </w:pPr>
    </w:p>
    <w:p w14:paraId="7D4AEFD6" w14:textId="77777777" w:rsidR="00FB3503" w:rsidRPr="000F5BFB" w:rsidRDefault="00FB3503" w:rsidP="007446B1">
      <w:pPr>
        <w:pStyle w:val="BodyTextIndent"/>
        <w:ind w:left="1440"/>
        <w:rPr>
          <w:szCs w:val="24"/>
          <w:lang w:val="en-GB"/>
        </w:rPr>
      </w:pPr>
      <w:r w:rsidRPr="000F5BFB">
        <w:rPr>
          <w:szCs w:val="24"/>
          <w:lang w:val="en-GB"/>
        </w:rPr>
        <w:t>The Authority has two existing PFI arrangements:</w:t>
      </w:r>
    </w:p>
    <w:p w14:paraId="3EDFD788" w14:textId="77777777" w:rsidR="00FB3503" w:rsidRPr="000F5BFB" w:rsidRDefault="00FB3503" w:rsidP="007446B1">
      <w:pPr>
        <w:pStyle w:val="BodyTextIndent"/>
        <w:numPr>
          <w:ilvl w:val="0"/>
          <w:numId w:val="21"/>
        </w:numPr>
        <w:rPr>
          <w:szCs w:val="24"/>
          <w:lang w:val="en-GB"/>
        </w:rPr>
      </w:pPr>
      <w:r w:rsidRPr="000F5BFB">
        <w:rPr>
          <w:szCs w:val="24"/>
          <w:lang w:val="en-GB"/>
        </w:rPr>
        <w:t xml:space="preserve">With PFF Lancashire for Hyndburn and Morecambe fire stations, which is a continuing commitment for 30 years from May 2003; and </w:t>
      </w:r>
    </w:p>
    <w:p w14:paraId="2C5C60BD" w14:textId="7EDF501B" w:rsidR="00FB3503" w:rsidRPr="000F5BFB" w:rsidRDefault="00FB3503" w:rsidP="007446B1">
      <w:pPr>
        <w:pStyle w:val="BodyTextIndent"/>
        <w:numPr>
          <w:ilvl w:val="0"/>
          <w:numId w:val="21"/>
        </w:numPr>
        <w:rPr>
          <w:szCs w:val="24"/>
          <w:lang w:val="en-GB"/>
        </w:rPr>
      </w:pPr>
      <w:r w:rsidRPr="000F5BFB">
        <w:rPr>
          <w:szCs w:val="24"/>
          <w:lang w:val="en-GB"/>
        </w:rPr>
        <w:lastRenderedPageBreak/>
        <w:t>With Fire and Rescue NW Limited to replace four fire stations in Lancashire as part of a wider scheme to replace 16 in total in conjunction with Merseyside Fire and Rescue Authority and Cumbria County Council. The contract will run for 25 years from the date of the final station being handed over during 2013/14.</w:t>
      </w:r>
    </w:p>
    <w:p w14:paraId="6EF7EE73" w14:textId="77777777" w:rsidR="00FB3503" w:rsidRPr="000F5BFB" w:rsidRDefault="00FB3503" w:rsidP="007446B1">
      <w:pPr>
        <w:pStyle w:val="BodyTextIndent"/>
        <w:ind w:left="1136"/>
        <w:rPr>
          <w:szCs w:val="24"/>
          <w:lang w:val="en-GB"/>
        </w:rPr>
      </w:pPr>
    </w:p>
    <w:p w14:paraId="3883B008" w14:textId="64B4FCA4" w:rsidR="00FB3503" w:rsidRPr="000F5BFB" w:rsidRDefault="00FB3503" w:rsidP="007446B1">
      <w:pPr>
        <w:pStyle w:val="BodyTextIndent"/>
        <w:ind w:left="1496"/>
        <w:rPr>
          <w:szCs w:val="24"/>
          <w:lang w:val="en-GB"/>
        </w:rPr>
      </w:pPr>
      <w:r w:rsidRPr="000F5BFB">
        <w:rPr>
          <w:szCs w:val="24"/>
          <w:lang w:val="en-GB"/>
        </w:rPr>
        <w:t xml:space="preserve">Revenue transactions relating to the above schemes are explained in </w:t>
      </w:r>
      <w:hyperlink w:anchor="N14" w:history="1">
        <w:r w:rsidRPr="000F5BFB">
          <w:rPr>
            <w:rStyle w:val="Hyperlink"/>
            <w:szCs w:val="24"/>
            <w:lang w:val="en-GB"/>
          </w:rPr>
          <w:t>Note 14</w:t>
        </w:r>
      </w:hyperlink>
      <w:r w:rsidRPr="000F5BFB">
        <w:rPr>
          <w:szCs w:val="24"/>
          <w:lang w:val="en-GB"/>
        </w:rPr>
        <w:t>.</w:t>
      </w:r>
    </w:p>
    <w:p w14:paraId="2F04FF4B" w14:textId="77777777" w:rsidR="00FB3503" w:rsidRPr="000F5BFB" w:rsidRDefault="00FB3503" w:rsidP="007446B1">
      <w:pPr>
        <w:pStyle w:val="BodyTextIndent"/>
        <w:ind w:left="1496"/>
        <w:rPr>
          <w:szCs w:val="24"/>
          <w:lang w:val="en-GB"/>
        </w:rPr>
      </w:pPr>
    </w:p>
    <w:p w14:paraId="6DC2B8A9" w14:textId="77777777" w:rsidR="00FB3503" w:rsidRPr="000F5BFB" w:rsidRDefault="00FB3503" w:rsidP="007446B1">
      <w:pPr>
        <w:pStyle w:val="BodyTextIndent"/>
        <w:ind w:left="1440"/>
        <w:rPr>
          <w:szCs w:val="24"/>
          <w:u w:val="single"/>
          <w:lang w:val="en-GB"/>
        </w:rPr>
      </w:pPr>
      <w:r w:rsidRPr="000F5BFB">
        <w:rPr>
          <w:szCs w:val="24"/>
          <w:u w:val="single"/>
          <w:lang w:val="en-GB"/>
        </w:rPr>
        <w:t>Accounting for PFI</w:t>
      </w:r>
    </w:p>
    <w:p w14:paraId="6233121F" w14:textId="77777777" w:rsidR="00FB3503" w:rsidRPr="000F5BFB" w:rsidRDefault="00FB3503" w:rsidP="007446B1">
      <w:pPr>
        <w:pStyle w:val="BodyTextIndent"/>
        <w:ind w:left="1440"/>
        <w:rPr>
          <w:szCs w:val="24"/>
          <w:lang w:val="en-GB"/>
        </w:rPr>
      </w:pPr>
    </w:p>
    <w:p w14:paraId="5C4B0A4C" w14:textId="18902868" w:rsidR="00FB3503" w:rsidRPr="000F5BFB" w:rsidRDefault="00FB3503" w:rsidP="007446B1">
      <w:pPr>
        <w:pStyle w:val="BodyTextIndent"/>
        <w:ind w:left="1440"/>
        <w:rPr>
          <w:szCs w:val="24"/>
          <w:lang w:val="en-GB"/>
        </w:rPr>
      </w:pPr>
      <w:r w:rsidRPr="000F5BFB">
        <w:rPr>
          <w:szCs w:val="24"/>
          <w:lang w:val="en-GB"/>
        </w:rPr>
        <w:t>PFI contracts are agreements to receive services, where responsibility for making available the non</w:t>
      </w:r>
      <w:r w:rsidR="0094180B" w:rsidRPr="000F5BFB">
        <w:rPr>
          <w:szCs w:val="24"/>
          <w:lang w:val="en-GB"/>
        </w:rPr>
        <w:t>-</w:t>
      </w:r>
      <w:r w:rsidRPr="000F5BFB">
        <w:rPr>
          <w:szCs w:val="24"/>
          <w:lang w:val="en-GB"/>
        </w:rPr>
        <w:t>current assets to provide services passes to the PFI contractor.</w:t>
      </w:r>
      <w:r w:rsidR="0094180B" w:rsidRPr="000F5BFB">
        <w:rPr>
          <w:szCs w:val="24"/>
          <w:lang w:val="en-GB"/>
        </w:rPr>
        <w:t xml:space="preserve"> </w:t>
      </w:r>
      <w:r w:rsidRPr="000F5BFB">
        <w:rPr>
          <w:szCs w:val="24"/>
          <w:lang w:val="en-GB"/>
        </w:rPr>
        <w:t>The PFI scheme is accounted for on a consistent basis to IFRIC 12.</w:t>
      </w:r>
    </w:p>
    <w:p w14:paraId="6F97FCF0" w14:textId="77777777" w:rsidR="003D76C3" w:rsidRPr="000F5BFB" w:rsidRDefault="003D76C3" w:rsidP="007446B1">
      <w:pPr>
        <w:pStyle w:val="BodyTextIndent"/>
        <w:ind w:left="0"/>
        <w:rPr>
          <w:szCs w:val="24"/>
          <w:highlight w:val="yellow"/>
          <w:u w:val="single"/>
          <w:lang w:val="en-GB"/>
        </w:rPr>
      </w:pPr>
    </w:p>
    <w:p w14:paraId="63438289" w14:textId="18E3A0AE" w:rsidR="00FB3503" w:rsidRPr="000F5BFB" w:rsidRDefault="00FB3503" w:rsidP="007446B1">
      <w:pPr>
        <w:pStyle w:val="BodyTextIndent"/>
        <w:ind w:left="1440"/>
        <w:rPr>
          <w:szCs w:val="24"/>
          <w:u w:val="single"/>
          <w:lang w:val="en-GB"/>
        </w:rPr>
      </w:pPr>
      <w:r w:rsidRPr="000F5BFB">
        <w:rPr>
          <w:szCs w:val="24"/>
          <w:u w:val="single"/>
          <w:lang w:val="en-GB"/>
        </w:rPr>
        <w:t>Recognition of assets and liabilities</w:t>
      </w:r>
    </w:p>
    <w:p w14:paraId="2FF3BC5B" w14:textId="77777777" w:rsidR="00FB3503" w:rsidRPr="000F5BFB" w:rsidRDefault="00FB3503" w:rsidP="007446B1">
      <w:pPr>
        <w:pStyle w:val="BodyTextIndent"/>
        <w:ind w:left="1440"/>
        <w:rPr>
          <w:szCs w:val="24"/>
          <w:lang w:val="en-GB"/>
        </w:rPr>
      </w:pPr>
    </w:p>
    <w:p w14:paraId="348DA8D4" w14:textId="5811060E" w:rsidR="00FB3503" w:rsidRPr="000F5BFB" w:rsidRDefault="00FB3503" w:rsidP="007446B1">
      <w:pPr>
        <w:pStyle w:val="BodyTextIndent"/>
        <w:ind w:left="1440"/>
        <w:rPr>
          <w:szCs w:val="24"/>
          <w:lang w:val="en-GB"/>
        </w:rPr>
      </w:pPr>
      <w:r w:rsidRPr="000F5BFB">
        <w:rPr>
          <w:szCs w:val="24"/>
          <w:lang w:val="en-GB"/>
        </w:rPr>
        <w:t>Fire stations provided under PFI contracts are recognised as non</w:t>
      </w:r>
      <w:r w:rsidR="0094180B" w:rsidRPr="000F5BFB">
        <w:rPr>
          <w:szCs w:val="24"/>
          <w:lang w:val="en-GB"/>
        </w:rPr>
        <w:t>-</w:t>
      </w:r>
      <w:r w:rsidRPr="000F5BFB">
        <w:rPr>
          <w:szCs w:val="24"/>
          <w:lang w:val="en-GB"/>
        </w:rPr>
        <w:t>current assets of the Authority. A related liability is also recognised. The asset and liability are recognised when the asset is made available for use. The related liability is initially measured at the value of the related asset and subsequently calculated using the same actuarial method used for finance leases.</w:t>
      </w:r>
    </w:p>
    <w:p w14:paraId="3992A894" w14:textId="77777777" w:rsidR="00FB3503" w:rsidRPr="000F5BFB" w:rsidRDefault="00FB3503" w:rsidP="007446B1">
      <w:pPr>
        <w:pStyle w:val="BodyTextIndent"/>
        <w:ind w:left="1440"/>
        <w:rPr>
          <w:szCs w:val="24"/>
          <w:lang w:val="en-GB"/>
        </w:rPr>
      </w:pPr>
    </w:p>
    <w:p w14:paraId="4A5A0E41" w14:textId="08E0C7DC" w:rsidR="00FB3503" w:rsidRPr="000F5BFB" w:rsidRDefault="00FB3503" w:rsidP="007446B1">
      <w:pPr>
        <w:pStyle w:val="BodyTextIndent"/>
        <w:ind w:left="1440"/>
        <w:rPr>
          <w:szCs w:val="24"/>
          <w:lang w:val="en-GB"/>
        </w:rPr>
      </w:pPr>
      <w:r w:rsidRPr="000F5BFB">
        <w:rPr>
          <w:szCs w:val="24"/>
          <w:lang w:val="en-GB"/>
        </w:rPr>
        <w:t>Once on the balance sheet the PFI assets will be treated in the same way as all other non</w:t>
      </w:r>
      <w:r w:rsidR="0094180B" w:rsidRPr="000F5BFB">
        <w:rPr>
          <w:szCs w:val="24"/>
          <w:lang w:val="en-GB"/>
        </w:rPr>
        <w:t>-</w:t>
      </w:r>
      <w:r w:rsidRPr="000F5BFB">
        <w:rPr>
          <w:szCs w:val="24"/>
          <w:lang w:val="en-GB"/>
        </w:rPr>
        <w:t xml:space="preserve">current assets of the same type including depreciation, </w:t>
      </w:r>
      <w:r w:rsidR="0094180B" w:rsidRPr="000F5BFB">
        <w:rPr>
          <w:szCs w:val="24"/>
          <w:lang w:val="en-GB"/>
        </w:rPr>
        <w:t>impairment,</w:t>
      </w:r>
      <w:r w:rsidRPr="000F5BFB">
        <w:rPr>
          <w:szCs w:val="24"/>
          <w:lang w:val="en-GB"/>
        </w:rPr>
        <w:t xml:space="preserve"> and revaluation.</w:t>
      </w:r>
    </w:p>
    <w:p w14:paraId="166976AB" w14:textId="77777777" w:rsidR="003D76C3" w:rsidRPr="000F5BFB" w:rsidRDefault="003D76C3" w:rsidP="007446B1">
      <w:pPr>
        <w:pStyle w:val="BodyTextIndent"/>
        <w:ind w:left="1440"/>
        <w:rPr>
          <w:szCs w:val="24"/>
          <w:lang w:val="en-GB"/>
        </w:rPr>
      </w:pPr>
    </w:p>
    <w:p w14:paraId="1EC1CA8B" w14:textId="77777777" w:rsidR="00FB3503" w:rsidRPr="000F5BFB" w:rsidRDefault="00FB3503" w:rsidP="007446B1">
      <w:pPr>
        <w:pStyle w:val="BodyTextIndent"/>
        <w:ind w:left="1440"/>
        <w:rPr>
          <w:szCs w:val="24"/>
          <w:u w:val="single"/>
          <w:lang w:val="en-GB"/>
        </w:rPr>
      </w:pPr>
      <w:r w:rsidRPr="000F5BFB">
        <w:rPr>
          <w:szCs w:val="24"/>
          <w:u w:val="single"/>
          <w:lang w:val="en-GB"/>
        </w:rPr>
        <w:t>Minimum Revenue Provision (MRP)</w:t>
      </w:r>
    </w:p>
    <w:p w14:paraId="0B83FE0E" w14:textId="77777777" w:rsidR="00FB3503" w:rsidRPr="000F5BFB" w:rsidRDefault="00FB3503" w:rsidP="007446B1">
      <w:pPr>
        <w:pStyle w:val="BodyTextIndent"/>
        <w:ind w:left="1440"/>
        <w:rPr>
          <w:szCs w:val="24"/>
          <w:lang w:val="en-GB"/>
        </w:rPr>
      </w:pPr>
    </w:p>
    <w:p w14:paraId="61B62478" w14:textId="4D509D98" w:rsidR="00FB3503" w:rsidRPr="000F5BFB" w:rsidRDefault="00FB3503" w:rsidP="007446B1">
      <w:pPr>
        <w:pStyle w:val="BodyTextIndent"/>
        <w:ind w:left="1440"/>
        <w:rPr>
          <w:szCs w:val="24"/>
          <w:lang w:val="en-GB"/>
        </w:rPr>
      </w:pPr>
      <w:r w:rsidRPr="000F5BFB">
        <w:rPr>
          <w:szCs w:val="24"/>
          <w:lang w:val="en-GB"/>
        </w:rPr>
        <w:t>Assets acquired under a PFI that are recognised on the balance sheet are subject to MRP in the same way as assets acquired using other forms of borrowing. The amounts of MRP are calculated in accordance with the appropriate regulations and statutory guidance. MRP is equal to that element of the unitary charge which is applied to repay the outstanding liability.</w:t>
      </w:r>
    </w:p>
    <w:p w14:paraId="23A1F114" w14:textId="77777777" w:rsidR="00FB3503" w:rsidRPr="000F5BFB" w:rsidRDefault="00FB3503" w:rsidP="007446B1">
      <w:pPr>
        <w:pStyle w:val="BodyTextIndent"/>
        <w:ind w:left="1440"/>
        <w:rPr>
          <w:szCs w:val="24"/>
          <w:highlight w:val="yellow"/>
          <w:u w:val="single"/>
          <w:lang w:val="en-GB"/>
        </w:rPr>
      </w:pPr>
    </w:p>
    <w:p w14:paraId="16AA4BCF" w14:textId="77777777" w:rsidR="00FB3503" w:rsidRPr="000F5BFB" w:rsidRDefault="00FB3503" w:rsidP="007446B1">
      <w:pPr>
        <w:pStyle w:val="BodyTextIndent"/>
        <w:ind w:left="1440"/>
        <w:rPr>
          <w:szCs w:val="24"/>
          <w:u w:val="single"/>
          <w:lang w:val="en-GB"/>
        </w:rPr>
      </w:pPr>
      <w:r w:rsidRPr="000F5BFB">
        <w:rPr>
          <w:szCs w:val="24"/>
          <w:u w:val="single"/>
          <w:lang w:val="en-GB"/>
        </w:rPr>
        <w:t>Unitary Payment</w:t>
      </w:r>
    </w:p>
    <w:p w14:paraId="1E2AF8E0" w14:textId="77777777" w:rsidR="00FB3503" w:rsidRPr="000F5BFB" w:rsidRDefault="00FB3503" w:rsidP="007446B1">
      <w:pPr>
        <w:pStyle w:val="BodyTextIndent"/>
        <w:ind w:left="1440"/>
        <w:rPr>
          <w:szCs w:val="24"/>
          <w:lang w:val="en-GB"/>
        </w:rPr>
      </w:pPr>
    </w:p>
    <w:p w14:paraId="719A7773" w14:textId="202236CE" w:rsidR="00FB3503" w:rsidRPr="000F5BFB" w:rsidRDefault="00FB3503" w:rsidP="007446B1">
      <w:pPr>
        <w:pStyle w:val="BodyTextIndent"/>
        <w:ind w:left="1440"/>
        <w:rPr>
          <w:szCs w:val="24"/>
          <w:lang w:val="en-GB"/>
        </w:rPr>
      </w:pPr>
      <w:r w:rsidRPr="000F5BFB">
        <w:rPr>
          <w:szCs w:val="24"/>
          <w:lang w:val="en-GB"/>
        </w:rPr>
        <w:t xml:space="preserve">The unitary payment is a monthly charge payable to the PFI contractor in return for the services provided. This payment is analysed into elements for the fair value of services, </w:t>
      </w:r>
      <w:proofErr w:type="gramStart"/>
      <w:r w:rsidRPr="000F5BFB">
        <w:rPr>
          <w:szCs w:val="24"/>
          <w:lang w:val="en-GB"/>
        </w:rPr>
        <w:t>capital</w:t>
      </w:r>
      <w:proofErr w:type="gramEnd"/>
      <w:r w:rsidRPr="000F5BFB">
        <w:rPr>
          <w:szCs w:val="24"/>
          <w:lang w:val="en-GB"/>
        </w:rPr>
        <w:t xml:space="preserve"> and revenue lifecycle (planned maintenance), contingent lease rentals, the repayment of the outstanding liability and interest payable on the outstanding liability. The fair value of the services and the revenue lifecycle element are charged to the revenue account. The capital lifecycle element is charged to the non</w:t>
      </w:r>
      <w:r w:rsidR="0094180B" w:rsidRPr="000F5BFB">
        <w:rPr>
          <w:szCs w:val="24"/>
          <w:lang w:val="en-GB"/>
        </w:rPr>
        <w:t>-</w:t>
      </w:r>
      <w:r w:rsidRPr="000F5BFB">
        <w:rPr>
          <w:szCs w:val="24"/>
          <w:lang w:val="en-GB"/>
        </w:rPr>
        <w:t>current assets and funded by a revenue contribution. The contingent lease rentals and interest payable are recorded in the “interest payable and similar charges” account outside the net cost of services but within net operating expenditure in the income and expenditure account.</w:t>
      </w:r>
    </w:p>
    <w:p w14:paraId="4DE55AF5" w14:textId="77777777" w:rsidR="00FB3503" w:rsidRPr="000F5BFB" w:rsidRDefault="00FB3503" w:rsidP="007446B1">
      <w:pPr>
        <w:pStyle w:val="BodyTextIndent"/>
        <w:ind w:left="1440"/>
        <w:rPr>
          <w:szCs w:val="24"/>
          <w:lang w:val="en-GB"/>
        </w:rPr>
      </w:pPr>
    </w:p>
    <w:p w14:paraId="72DF3D4C" w14:textId="77777777" w:rsidR="00FB3503" w:rsidRPr="000F5BFB" w:rsidRDefault="00FB3503" w:rsidP="007446B1">
      <w:pPr>
        <w:pStyle w:val="BodyTextIndent"/>
        <w:ind w:left="1440"/>
        <w:rPr>
          <w:szCs w:val="24"/>
          <w:u w:val="single"/>
          <w:lang w:val="en-GB"/>
        </w:rPr>
      </w:pPr>
      <w:r w:rsidRPr="000F5BFB">
        <w:rPr>
          <w:szCs w:val="24"/>
          <w:u w:val="single"/>
          <w:lang w:val="en-GB"/>
        </w:rPr>
        <w:t>Deductions from the Unitary Payment</w:t>
      </w:r>
    </w:p>
    <w:p w14:paraId="793F73B5" w14:textId="77777777" w:rsidR="00FB3503" w:rsidRPr="000F5BFB" w:rsidRDefault="00FB3503" w:rsidP="007446B1">
      <w:pPr>
        <w:pStyle w:val="BodyTextIndent"/>
        <w:ind w:left="1440"/>
        <w:rPr>
          <w:szCs w:val="24"/>
          <w:lang w:val="en-GB"/>
        </w:rPr>
      </w:pPr>
    </w:p>
    <w:p w14:paraId="1246E490" w14:textId="4B265549" w:rsidR="00FB3503" w:rsidRPr="000F5BFB" w:rsidRDefault="00FB3503" w:rsidP="007446B1">
      <w:pPr>
        <w:pStyle w:val="BodyTextIndent"/>
        <w:ind w:left="1440"/>
        <w:rPr>
          <w:szCs w:val="24"/>
          <w:lang w:val="en-GB"/>
        </w:rPr>
      </w:pPr>
      <w:r w:rsidRPr="000F5BFB">
        <w:rPr>
          <w:szCs w:val="24"/>
          <w:lang w:val="en-GB"/>
        </w:rPr>
        <w:t xml:space="preserve">The PFI contracts provide for deductions from the unitary payment in the case of </w:t>
      </w:r>
      <w:r w:rsidR="0094180B" w:rsidRPr="000F5BFB">
        <w:rPr>
          <w:szCs w:val="24"/>
          <w:lang w:val="en-GB"/>
        </w:rPr>
        <w:t>substandard</w:t>
      </w:r>
      <w:r w:rsidRPr="000F5BFB">
        <w:rPr>
          <w:szCs w:val="24"/>
          <w:lang w:val="en-GB"/>
        </w:rPr>
        <w:t xml:space="preserve"> performance or when the facilities are unavailable. Deductions for </w:t>
      </w:r>
      <w:r w:rsidR="0094180B" w:rsidRPr="000F5BFB">
        <w:rPr>
          <w:szCs w:val="24"/>
          <w:lang w:val="en-GB"/>
        </w:rPr>
        <w:t>substandard</w:t>
      </w:r>
      <w:r w:rsidRPr="000F5BFB">
        <w:rPr>
          <w:szCs w:val="24"/>
          <w:lang w:val="en-GB"/>
        </w:rPr>
        <w:t xml:space="preserve"> performance are accounted for as a reduction in the amount paid for the affected services. Deductions arising from the unavailability of the property are </w:t>
      </w:r>
      <w:r w:rsidRPr="000F5BFB">
        <w:rPr>
          <w:szCs w:val="24"/>
          <w:lang w:val="en-GB"/>
        </w:rPr>
        <w:lastRenderedPageBreak/>
        <w:t>apportioned pro rata to the proportions of the service and property elements of the unitary payment:</w:t>
      </w:r>
    </w:p>
    <w:p w14:paraId="44BB1AE4" w14:textId="59E09263" w:rsidR="00FB3503" w:rsidRPr="000F5BFB" w:rsidRDefault="00FB3503" w:rsidP="007446B1">
      <w:pPr>
        <w:pStyle w:val="BodyTextIndent"/>
        <w:numPr>
          <w:ilvl w:val="0"/>
          <w:numId w:val="7"/>
        </w:numPr>
        <w:tabs>
          <w:tab w:val="clear" w:pos="1800"/>
          <w:tab w:val="num" w:pos="2520"/>
        </w:tabs>
        <w:ind w:left="2520"/>
        <w:rPr>
          <w:szCs w:val="24"/>
          <w:lang w:val="en-GB"/>
        </w:rPr>
      </w:pPr>
      <w:r w:rsidRPr="000F5BFB">
        <w:rPr>
          <w:szCs w:val="24"/>
          <w:lang w:val="en-GB"/>
        </w:rPr>
        <w:t xml:space="preserve">A reduction for part or </w:t>
      </w:r>
      <w:r w:rsidR="0094180B" w:rsidRPr="000F5BFB">
        <w:rPr>
          <w:szCs w:val="24"/>
          <w:lang w:val="en-GB"/>
        </w:rPr>
        <w:t>all</w:t>
      </w:r>
      <w:r w:rsidRPr="000F5BFB">
        <w:rPr>
          <w:szCs w:val="24"/>
          <w:lang w:val="en-GB"/>
        </w:rPr>
        <w:t xml:space="preserve"> the property being unavailable for use – this will first be accounted for as an abatement of the contingent lease rentals, then finance costs if contingent rents are insufficient; and </w:t>
      </w:r>
    </w:p>
    <w:p w14:paraId="5903679B" w14:textId="77777777" w:rsidR="00FB3503" w:rsidRPr="000F5BFB" w:rsidRDefault="00FB3503" w:rsidP="007446B1">
      <w:pPr>
        <w:pStyle w:val="BodyTextIndent"/>
        <w:numPr>
          <w:ilvl w:val="0"/>
          <w:numId w:val="7"/>
        </w:numPr>
        <w:tabs>
          <w:tab w:val="clear" w:pos="1800"/>
          <w:tab w:val="num" w:pos="2520"/>
        </w:tabs>
        <w:ind w:left="2520"/>
        <w:rPr>
          <w:szCs w:val="24"/>
          <w:lang w:val="en-GB"/>
        </w:rPr>
      </w:pPr>
      <w:r w:rsidRPr="000F5BFB">
        <w:rPr>
          <w:szCs w:val="24"/>
          <w:lang w:val="en-GB"/>
        </w:rPr>
        <w:t>A reduction in the price paid for services whilst services are not being provided accounted for as a reduction in the amount paid for the affected services.</w:t>
      </w:r>
    </w:p>
    <w:p w14:paraId="72AA89C9" w14:textId="77777777" w:rsidR="00FB3503" w:rsidRPr="000F5BFB" w:rsidRDefault="00FB3503" w:rsidP="007446B1">
      <w:pPr>
        <w:pStyle w:val="BodyTextIndent"/>
        <w:ind w:left="1440"/>
        <w:rPr>
          <w:szCs w:val="24"/>
          <w:lang w:val="en-GB"/>
        </w:rPr>
      </w:pPr>
    </w:p>
    <w:p w14:paraId="1374D41E" w14:textId="77777777" w:rsidR="00FB3503" w:rsidRPr="000F5BFB" w:rsidRDefault="00FB3503" w:rsidP="007446B1">
      <w:pPr>
        <w:pStyle w:val="BodyTextIndent"/>
        <w:ind w:left="1440"/>
        <w:rPr>
          <w:szCs w:val="24"/>
          <w:lang w:val="en-GB"/>
        </w:rPr>
      </w:pPr>
      <w:r w:rsidRPr="000F5BFB">
        <w:rPr>
          <w:szCs w:val="24"/>
          <w:lang w:val="en-GB"/>
        </w:rPr>
        <w:t>Deductions of either type are accounted for when the Authority’s entitlement has been established and it is probable that the Authority will be able to make the deduction.</w:t>
      </w:r>
    </w:p>
    <w:p w14:paraId="03FA2C30" w14:textId="77777777" w:rsidR="00FB3503" w:rsidRPr="000F5BFB" w:rsidRDefault="00FB3503" w:rsidP="007446B1">
      <w:pPr>
        <w:pStyle w:val="BodyTextIndent"/>
        <w:ind w:left="1440"/>
        <w:rPr>
          <w:szCs w:val="24"/>
          <w:lang w:val="en-GB"/>
        </w:rPr>
      </w:pPr>
    </w:p>
    <w:p w14:paraId="2F7DE423" w14:textId="77777777" w:rsidR="00FB3503" w:rsidRPr="000F5BFB" w:rsidRDefault="00FB3503" w:rsidP="007446B1">
      <w:pPr>
        <w:ind w:firstLine="720"/>
        <w:rPr>
          <w:b/>
          <w:szCs w:val="24"/>
        </w:rPr>
      </w:pPr>
      <w:r w:rsidRPr="000F5BFB">
        <w:rPr>
          <w:b/>
          <w:szCs w:val="24"/>
        </w:rPr>
        <w:t>k</w:t>
      </w:r>
      <w:r w:rsidRPr="000F5BFB">
        <w:rPr>
          <w:b/>
          <w:szCs w:val="24"/>
        </w:rPr>
        <w:tab/>
        <w:t>PFI Equalisation Reserve</w:t>
      </w:r>
    </w:p>
    <w:p w14:paraId="0BA5DD1F" w14:textId="77777777" w:rsidR="00FB3503" w:rsidRPr="000F5BFB" w:rsidRDefault="00FB3503" w:rsidP="007446B1">
      <w:pPr>
        <w:ind w:left="720"/>
        <w:rPr>
          <w:szCs w:val="24"/>
        </w:rPr>
      </w:pPr>
    </w:p>
    <w:p w14:paraId="7520AFE5" w14:textId="77777777" w:rsidR="00FB3503" w:rsidRPr="000F5BFB" w:rsidRDefault="00FB3503" w:rsidP="007446B1">
      <w:pPr>
        <w:pStyle w:val="BodyTextIndent"/>
        <w:ind w:left="1440"/>
        <w:rPr>
          <w:szCs w:val="24"/>
          <w:lang w:val="en-GB"/>
        </w:rPr>
      </w:pPr>
      <w:r w:rsidRPr="000F5BFB">
        <w:rPr>
          <w:szCs w:val="24"/>
          <w:lang w:val="en-GB"/>
        </w:rPr>
        <w:t>The Authority holds two PFI equalisation reserves for the purpose of smoothing out, within the revenue account, the annual net cost to the Authority of payments under PFI contracts:</w:t>
      </w:r>
    </w:p>
    <w:p w14:paraId="0208E8E5" w14:textId="77777777" w:rsidR="00FB3503" w:rsidRPr="000F5BFB" w:rsidRDefault="00FB3503" w:rsidP="007446B1">
      <w:pPr>
        <w:pStyle w:val="BodyTextIndent"/>
        <w:ind w:left="1440"/>
        <w:rPr>
          <w:szCs w:val="24"/>
          <w:lang w:val="en-GB"/>
        </w:rPr>
      </w:pPr>
    </w:p>
    <w:p w14:paraId="2ADB40AE" w14:textId="330DABA3" w:rsidR="00FB3503" w:rsidRPr="000F5BFB" w:rsidRDefault="00FB3503" w:rsidP="007446B1">
      <w:pPr>
        <w:pStyle w:val="BodyTextIndent"/>
        <w:numPr>
          <w:ilvl w:val="0"/>
          <w:numId w:val="22"/>
        </w:numPr>
        <w:rPr>
          <w:szCs w:val="24"/>
          <w:lang w:val="en-GB"/>
        </w:rPr>
      </w:pPr>
      <w:r w:rsidRPr="000F5BFB">
        <w:rPr>
          <w:szCs w:val="24"/>
          <w:lang w:val="en-GB"/>
        </w:rPr>
        <w:t xml:space="preserve">In </w:t>
      </w:r>
      <w:r w:rsidRPr="000F5BFB">
        <w:rPr>
          <w:caps/>
          <w:szCs w:val="24"/>
        </w:rPr>
        <w:t xml:space="preserve">2003/04 </w:t>
      </w:r>
      <w:r w:rsidRPr="000F5BFB">
        <w:rPr>
          <w:szCs w:val="24"/>
          <w:lang w:val="en-GB"/>
        </w:rPr>
        <w:t xml:space="preserve">the Authority established a PFI equalisation reserve for the PFI contract with PFF Lancashire </w:t>
      </w:r>
      <w:r w:rsidRPr="000F5BFB">
        <w:rPr>
          <w:rFonts w:cs="Arial"/>
          <w:szCs w:val="24"/>
          <w:lang w:eastAsia="en-GB"/>
        </w:rPr>
        <w:t>Limited</w:t>
      </w:r>
      <w:r w:rsidRPr="000F5BFB">
        <w:rPr>
          <w:szCs w:val="24"/>
          <w:lang w:val="en-GB"/>
        </w:rPr>
        <w:t xml:space="preserve">. The contract relates to the provision and maintenance by PFF Lancashire Limited of two fire stations at Morecambe and Hyndburn; and </w:t>
      </w:r>
    </w:p>
    <w:p w14:paraId="384D227D" w14:textId="41210424" w:rsidR="00FB3503" w:rsidRPr="000F5BFB" w:rsidRDefault="00FB3503" w:rsidP="007446B1">
      <w:pPr>
        <w:pStyle w:val="BodyTextIndent"/>
        <w:numPr>
          <w:ilvl w:val="0"/>
          <w:numId w:val="22"/>
        </w:numPr>
        <w:rPr>
          <w:szCs w:val="24"/>
          <w:lang w:val="en-GB"/>
        </w:rPr>
      </w:pPr>
      <w:r w:rsidRPr="000F5BFB">
        <w:rPr>
          <w:szCs w:val="24"/>
          <w:lang w:val="en-GB"/>
        </w:rPr>
        <w:t>In 2011/12 the Authority created a new PFI equalisation reserve in relation to the Authority’s share of the PFI contract with Fire and Rescue NW Limited. The contract relates to the provision and maintenance of Blackburn, Burnley, Chorley, and Fleetwood fire stations.</w:t>
      </w:r>
    </w:p>
    <w:p w14:paraId="0230E6A3" w14:textId="77777777" w:rsidR="00FB3503" w:rsidRPr="000F5BFB" w:rsidRDefault="00FB3503" w:rsidP="007446B1">
      <w:pPr>
        <w:pStyle w:val="BodyTextIndent"/>
        <w:ind w:left="1080"/>
        <w:rPr>
          <w:szCs w:val="24"/>
          <w:lang w:val="en-GB"/>
        </w:rPr>
      </w:pPr>
    </w:p>
    <w:p w14:paraId="290CAACC" w14:textId="420B39A8" w:rsidR="00FB3503" w:rsidRPr="000F5BFB" w:rsidRDefault="00FB3503" w:rsidP="007446B1">
      <w:pPr>
        <w:pStyle w:val="BodyTextIndent"/>
        <w:ind w:left="1440"/>
        <w:rPr>
          <w:szCs w:val="24"/>
          <w:lang w:val="en-GB"/>
        </w:rPr>
      </w:pPr>
      <w:r w:rsidRPr="000F5BFB">
        <w:rPr>
          <w:szCs w:val="24"/>
          <w:lang w:val="en-GB"/>
        </w:rPr>
        <w:t>An annual revenue contribution in lieu of interest will be made to the reserve. The reserve balance will be reviewed each year at which time the amount of any revenue contribution to or from the reserve will be determined.</w:t>
      </w:r>
    </w:p>
    <w:p w14:paraId="660114B3" w14:textId="77777777" w:rsidR="00FB3503" w:rsidRPr="000F5BFB" w:rsidRDefault="00FB3503" w:rsidP="007446B1">
      <w:pPr>
        <w:pStyle w:val="BodyTextIndent"/>
        <w:ind w:left="1440"/>
        <w:rPr>
          <w:szCs w:val="24"/>
          <w:lang w:val="en-GB"/>
        </w:rPr>
      </w:pPr>
    </w:p>
    <w:p w14:paraId="5283F789" w14:textId="77777777" w:rsidR="00FB3503" w:rsidRPr="000F5BFB" w:rsidRDefault="00FB3503" w:rsidP="007446B1">
      <w:pPr>
        <w:ind w:left="720"/>
        <w:rPr>
          <w:szCs w:val="24"/>
        </w:rPr>
      </w:pPr>
      <w:r w:rsidRPr="000F5BFB">
        <w:rPr>
          <w:b/>
          <w:szCs w:val="24"/>
        </w:rPr>
        <w:t>l</w:t>
      </w:r>
      <w:r w:rsidRPr="000F5BFB">
        <w:rPr>
          <w:b/>
          <w:szCs w:val="24"/>
        </w:rPr>
        <w:tab/>
        <w:t>Provisions</w:t>
      </w:r>
    </w:p>
    <w:p w14:paraId="2BBC1AD0" w14:textId="77777777" w:rsidR="00FB3503" w:rsidRPr="000F5BFB" w:rsidRDefault="00FB3503" w:rsidP="007446B1">
      <w:pPr>
        <w:ind w:left="720"/>
        <w:rPr>
          <w:szCs w:val="24"/>
        </w:rPr>
      </w:pPr>
    </w:p>
    <w:p w14:paraId="57C86422" w14:textId="3D132808" w:rsidR="000C2384" w:rsidRPr="000F5BFB" w:rsidRDefault="000C2384" w:rsidP="007446B1">
      <w:pPr>
        <w:pStyle w:val="BodyTextIndent"/>
        <w:ind w:left="1440"/>
        <w:rPr>
          <w:szCs w:val="24"/>
          <w:lang w:val="en-GB"/>
        </w:rPr>
      </w:pPr>
      <w:r w:rsidRPr="000F5BFB">
        <w:rPr>
          <w:szCs w:val="24"/>
          <w:lang w:val="en-GB"/>
        </w:rPr>
        <w:t xml:space="preserve">Provisions are made where an event has taken place that gives the Authority a legal or constructive obligation that probably requires settlement by a transfer of economic benefits, and a reliable estimate can be made of the amount of the obligation. Provisions are charged as an expense to the appropriate service line in the Comprehensive Income and Expenditure Statement when the Authority has an obligation and are measured at the best estimate at the balance sheet date of the expenditure required to settle the obligation, </w:t>
      </w:r>
      <w:r w:rsidR="0094180B" w:rsidRPr="000F5BFB">
        <w:rPr>
          <w:szCs w:val="24"/>
          <w:lang w:val="en-GB"/>
        </w:rPr>
        <w:t>considering</w:t>
      </w:r>
      <w:r w:rsidRPr="000F5BFB">
        <w:rPr>
          <w:szCs w:val="24"/>
          <w:lang w:val="en-GB"/>
        </w:rPr>
        <w:t xml:space="preserve"> relevant risks and uncertainties.</w:t>
      </w:r>
    </w:p>
    <w:p w14:paraId="49FC2B5F" w14:textId="6A18ADEE" w:rsidR="000C2384" w:rsidRPr="000F5BFB" w:rsidRDefault="000C2384" w:rsidP="007446B1">
      <w:pPr>
        <w:pStyle w:val="BodyTextIndent"/>
        <w:ind w:left="1440"/>
        <w:rPr>
          <w:szCs w:val="24"/>
          <w:lang w:val="en-GB"/>
        </w:rPr>
      </w:pPr>
    </w:p>
    <w:p w14:paraId="4FD57C2B" w14:textId="43AFB833" w:rsidR="000C2384" w:rsidRPr="000F5BFB" w:rsidRDefault="000C2384" w:rsidP="007446B1">
      <w:pPr>
        <w:pStyle w:val="BodyTextIndent"/>
        <w:ind w:left="1440"/>
        <w:rPr>
          <w:szCs w:val="24"/>
          <w:lang w:val="en-GB"/>
        </w:rPr>
      </w:pPr>
      <w:r w:rsidRPr="000F5BFB">
        <w:rPr>
          <w:szCs w:val="24"/>
          <w:lang w:val="en-GB"/>
        </w:rPr>
        <w:t>When payments are eventually made, they are charged to the provision carried in the balance sheet. Estimated settlements are reviewed at the end of each financial year, and where it becomes less probable that a transfer of economic benefits will now be required (or a lower settlement than anticipated is made), the provision is reversed and credited back to the relevant service line.</w:t>
      </w:r>
    </w:p>
    <w:p w14:paraId="1858AD51" w14:textId="77777777" w:rsidR="000C2384" w:rsidRPr="000F5BFB" w:rsidRDefault="000C2384" w:rsidP="007446B1">
      <w:pPr>
        <w:pStyle w:val="BodyTextIndent"/>
        <w:ind w:left="1440"/>
        <w:rPr>
          <w:szCs w:val="24"/>
          <w:lang w:val="en-GB"/>
        </w:rPr>
      </w:pPr>
    </w:p>
    <w:p w14:paraId="6A5D6172" w14:textId="03B4918F" w:rsidR="00FB3503" w:rsidRPr="000F5BFB" w:rsidRDefault="00FB3503" w:rsidP="007446B1">
      <w:pPr>
        <w:pStyle w:val="BodyTextIndent"/>
        <w:ind w:left="1440"/>
        <w:rPr>
          <w:szCs w:val="24"/>
          <w:lang w:val="en-GB"/>
        </w:rPr>
      </w:pPr>
      <w:r w:rsidRPr="000F5BFB">
        <w:rPr>
          <w:szCs w:val="24"/>
          <w:lang w:val="en-GB"/>
        </w:rPr>
        <w:t xml:space="preserve">Details of the Authority’s provisions are given in </w:t>
      </w:r>
      <w:hyperlink w:anchor="N12" w:history="1">
        <w:r w:rsidR="00EF26ED" w:rsidRPr="000F5BFB">
          <w:rPr>
            <w:rStyle w:val="Hyperlink"/>
            <w:szCs w:val="24"/>
            <w:lang w:val="en-GB"/>
          </w:rPr>
          <w:t>N</w:t>
        </w:r>
        <w:r w:rsidRPr="000F5BFB">
          <w:rPr>
            <w:rStyle w:val="Hyperlink"/>
            <w:szCs w:val="24"/>
            <w:lang w:val="en-GB"/>
          </w:rPr>
          <w:t xml:space="preserve">ote </w:t>
        </w:r>
        <w:r w:rsidR="00ED35A7" w:rsidRPr="000F5BFB">
          <w:rPr>
            <w:rStyle w:val="Hyperlink"/>
            <w:szCs w:val="24"/>
            <w:lang w:val="en-GB"/>
          </w:rPr>
          <w:t>12</w:t>
        </w:r>
      </w:hyperlink>
      <w:r w:rsidR="00ED35A7" w:rsidRPr="000F5BFB">
        <w:rPr>
          <w:szCs w:val="24"/>
          <w:lang w:val="en-GB"/>
        </w:rPr>
        <w:t xml:space="preserve"> </w:t>
      </w:r>
      <w:r w:rsidRPr="000F5BFB">
        <w:rPr>
          <w:szCs w:val="24"/>
          <w:lang w:val="en-GB"/>
        </w:rPr>
        <w:t>to the Balance Sheet</w:t>
      </w:r>
      <w:r w:rsidR="000C2384" w:rsidRPr="000F5BFB">
        <w:rPr>
          <w:szCs w:val="24"/>
          <w:lang w:val="en-GB"/>
        </w:rPr>
        <w:t>, and currently comprise insurance liabilities and business rates appeals</w:t>
      </w:r>
      <w:r w:rsidRPr="000F5BFB">
        <w:rPr>
          <w:szCs w:val="24"/>
          <w:lang w:val="en-GB"/>
        </w:rPr>
        <w:t>.</w:t>
      </w:r>
    </w:p>
    <w:p w14:paraId="3CA025C8" w14:textId="54AF8AAD" w:rsidR="00D45CFC" w:rsidRPr="000F5BFB" w:rsidRDefault="00D45CFC" w:rsidP="007446B1">
      <w:pPr>
        <w:rPr>
          <w:b/>
          <w:szCs w:val="24"/>
          <w:highlight w:val="yellow"/>
        </w:rPr>
      </w:pPr>
    </w:p>
    <w:p w14:paraId="66D63D33" w14:textId="77777777" w:rsidR="00FB3503" w:rsidRPr="000F5BFB" w:rsidRDefault="00FB3503" w:rsidP="007446B1">
      <w:pPr>
        <w:keepLines/>
        <w:widowControl w:val="0"/>
        <w:ind w:left="720"/>
        <w:rPr>
          <w:b/>
          <w:szCs w:val="24"/>
        </w:rPr>
      </w:pPr>
      <w:r w:rsidRPr="000F5BFB">
        <w:rPr>
          <w:b/>
          <w:szCs w:val="24"/>
        </w:rPr>
        <w:lastRenderedPageBreak/>
        <w:t>m</w:t>
      </w:r>
      <w:r w:rsidRPr="000F5BFB">
        <w:rPr>
          <w:b/>
          <w:szCs w:val="24"/>
        </w:rPr>
        <w:tab/>
        <w:t>Reserves</w:t>
      </w:r>
    </w:p>
    <w:p w14:paraId="43F6BBAC" w14:textId="77777777" w:rsidR="00FB3503" w:rsidRPr="000F5BFB" w:rsidRDefault="00FB3503" w:rsidP="007446B1">
      <w:pPr>
        <w:ind w:left="720"/>
        <w:rPr>
          <w:szCs w:val="24"/>
        </w:rPr>
      </w:pPr>
    </w:p>
    <w:p w14:paraId="6B8A8FC5" w14:textId="5B9D5001" w:rsidR="00FB3503" w:rsidRPr="000F5BFB" w:rsidRDefault="00FB3503" w:rsidP="007446B1">
      <w:pPr>
        <w:pStyle w:val="BodyTextIndent"/>
        <w:ind w:left="1440"/>
        <w:rPr>
          <w:szCs w:val="24"/>
          <w:lang w:val="en-GB"/>
        </w:rPr>
      </w:pPr>
      <w:r w:rsidRPr="000F5BFB">
        <w:rPr>
          <w:szCs w:val="24"/>
          <w:lang w:val="en-GB"/>
        </w:rPr>
        <w:t>The Authority sets aside specific amounts as reserves for future policy purposes or to cover contingencies. Reserves are created by appropriating amounts out of the General Fund Balance in the Movement in Reserves Statement. When expenditure to be financed from a reserve is incurred, it is charged against the net cost of services in that year in the Comprehensive Income and Expenditure Statement. The reserve is then appropriated back into the General Fund Balance in the Movement in Reserves Statement so that there is no net charge against council tax for the expenditure.</w:t>
      </w:r>
    </w:p>
    <w:p w14:paraId="3DBA740C" w14:textId="77777777" w:rsidR="00FB3503" w:rsidRPr="000F5BFB" w:rsidRDefault="00FB3503" w:rsidP="007446B1">
      <w:pPr>
        <w:pStyle w:val="BodyTextIndent"/>
        <w:ind w:left="1440"/>
        <w:rPr>
          <w:szCs w:val="24"/>
          <w:lang w:val="en-GB"/>
        </w:rPr>
      </w:pPr>
    </w:p>
    <w:p w14:paraId="3502D763" w14:textId="77777777" w:rsidR="00FB3503" w:rsidRPr="000F5BFB" w:rsidRDefault="00FB3503" w:rsidP="007446B1">
      <w:pPr>
        <w:pStyle w:val="BodyTextIndent"/>
        <w:ind w:left="1440"/>
        <w:rPr>
          <w:szCs w:val="24"/>
          <w:lang w:val="en-GB"/>
        </w:rPr>
      </w:pPr>
      <w:r w:rsidRPr="000F5BFB">
        <w:rPr>
          <w:szCs w:val="24"/>
          <w:lang w:val="en-GB"/>
        </w:rPr>
        <w:t xml:space="preserve">Certain reserves are kept </w:t>
      </w:r>
      <w:proofErr w:type="gramStart"/>
      <w:r w:rsidRPr="000F5BFB">
        <w:rPr>
          <w:szCs w:val="24"/>
          <w:lang w:val="en-GB"/>
        </w:rPr>
        <w:t>to manage</w:t>
      </w:r>
      <w:proofErr w:type="gramEnd"/>
      <w:r w:rsidRPr="000F5BFB">
        <w:rPr>
          <w:szCs w:val="24"/>
          <w:lang w:val="en-GB"/>
        </w:rPr>
        <w:t xml:space="preserve"> the accounting processes for non-current assets, financial instruments, retirements and employee benefits and do not represent usable resources for the Authority.</w:t>
      </w:r>
    </w:p>
    <w:p w14:paraId="490DC170" w14:textId="77777777" w:rsidR="00FB3503" w:rsidRPr="000F5BFB" w:rsidRDefault="00FB3503" w:rsidP="007446B1">
      <w:pPr>
        <w:pStyle w:val="BodyTextIndent"/>
        <w:ind w:left="1440"/>
        <w:rPr>
          <w:szCs w:val="24"/>
          <w:lang w:val="en-GB"/>
        </w:rPr>
      </w:pPr>
    </w:p>
    <w:p w14:paraId="2FC2C2AD" w14:textId="77777777" w:rsidR="00FB3503" w:rsidRPr="000F5BFB" w:rsidRDefault="00FB3503" w:rsidP="007446B1">
      <w:pPr>
        <w:ind w:left="720"/>
        <w:rPr>
          <w:b/>
          <w:szCs w:val="24"/>
        </w:rPr>
      </w:pPr>
      <w:r w:rsidRPr="000F5BFB">
        <w:rPr>
          <w:b/>
          <w:szCs w:val="24"/>
        </w:rPr>
        <w:t>n</w:t>
      </w:r>
      <w:r w:rsidRPr="000F5BFB">
        <w:rPr>
          <w:b/>
          <w:szCs w:val="24"/>
        </w:rPr>
        <w:tab/>
        <w:t>Contingent liabilities</w:t>
      </w:r>
    </w:p>
    <w:p w14:paraId="5DB32A48" w14:textId="77777777" w:rsidR="00FB3503" w:rsidRPr="000F5BFB" w:rsidRDefault="00FB3503" w:rsidP="007446B1">
      <w:pPr>
        <w:pStyle w:val="BodyTextIndent"/>
        <w:ind w:left="1440"/>
        <w:rPr>
          <w:b/>
          <w:szCs w:val="24"/>
        </w:rPr>
      </w:pPr>
    </w:p>
    <w:p w14:paraId="3D69F847" w14:textId="22F38370" w:rsidR="00FB3503" w:rsidRPr="000F5BFB" w:rsidRDefault="00FB3503" w:rsidP="007446B1">
      <w:pPr>
        <w:pStyle w:val="BodyTextIndent"/>
        <w:ind w:left="1440"/>
        <w:rPr>
          <w:szCs w:val="24"/>
        </w:rPr>
      </w:pPr>
      <w:r w:rsidRPr="000F5BFB">
        <w:rPr>
          <w:szCs w:val="24"/>
        </w:rPr>
        <w:t xml:space="preserve">A contingent liability arises where an event has taken place that gives the Authority a possible obligation whose existence will only be confirmed by the occurrence or otherwise of uncertain future events not wholly within the control of the Authority. Contingent liabilities are not </w:t>
      </w:r>
      <w:proofErr w:type="spellStart"/>
      <w:r w:rsidRPr="000F5BFB">
        <w:rPr>
          <w:szCs w:val="24"/>
        </w:rPr>
        <w:t>recognised</w:t>
      </w:r>
      <w:proofErr w:type="spellEnd"/>
      <w:r w:rsidRPr="000F5BFB">
        <w:rPr>
          <w:szCs w:val="24"/>
        </w:rPr>
        <w:t xml:space="preserve"> in the Balance </w:t>
      </w:r>
      <w:r w:rsidR="00245686" w:rsidRPr="000F5BFB">
        <w:rPr>
          <w:szCs w:val="24"/>
        </w:rPr>
        <w:t>Sheet but</w:t>
      </w:r>
      <w:r w:rsidRPr="000F5BFB">
        <w:rPr>
          <w:szCs w:val="24"/>
        </w:rPr>
        <w:t xml:space="preserve"> disclosed in a note to the accounts. </w:t>
      </w:r>
    </w:p>
    <w:p w14:paraId="256699C1" w14:textId="77777777" w:rsidR="009408FE" w:rsidRPr="000F5BFB" w:rsidRDefault="009408FE" w:rsidP="007446B1">
      <w:pPr>
        <w:rPr>
          <w:b/>
          <w:szCs w:val="24"/>
        </w:rPr>
      </w:pPr>
    </w:p>
    <w:p w14:paraId="6C255268" w14:textId="77777777" w:rsidR="007528AB" w:rsidRPr="000F5BFB" w:rsidRDefault="00D573A1" w:rsidP="007446B1">
      <w:pPr>
        <w:ind w:left="720"/>
        <w:rPr>
          <w:b/>
          <w:szCs w:val="24"/>
        </w:rPr>
      </w:pPr>
      <w:r w:rsidRPr="000F5BFB">
        <w:rPr>
          <w:b/>
          <w:szCs w:val="24"/>
        </w:rPr>
        <w:t>o</w:t>
      </w:r>
      <w:r w:rsidR="007528AB" w:rsidRPr="000F5BFB">
        <w:rPr>
          <w:b/>
          <w:szCs w:val="24"/>
        </w:rPr>
        <w:tab/>
        <w:t>Going Concern</w:t>
      </w:r>
    </w:p>
    <w:p w14:paraId="6ED7630E" w14:textId="77777777" w:rsidR="007528AB" w:rsidRPr="000F5BFB" w:rsidRDefault="007528AB" w:rsidP="007446B1">
      <w:pPr>
        <w:ind w:left="720"/>
        <w:rPr>
          <w:szCs w:val="24"/>
        </w:rPr>
      </w:pPr>
    </w:p>
    <w:p w14:paraId="57FFF2EA" w14:textId="730632EE" w:rsidR="00EF26ED" w:rsidRPr="000F5BFB" w:rsidRDefault="00EF26ED" w:rsidP="007446B1">
      <w:pPr>
        <w:pStyle w:val="BodyTextIndent"/>
        <w:ind w:left="1440"/>
        <w:rPr>
          <w:szCs w:val="24"/>
        </w:rPr>
      </w:pPr>
      <w:r w:rsidRPr="000F5BFB">
        <w:rPr>
          <w:szCs w:val="24"/>
        </w:rPr>
        <w:t xml:space="preserve">These accounts are prepared on a going concern basis, on the assumption that the Authority’s functions will continue in operational existence for the foreseeable future. </w:t>
      </w:r>
      <w:r w:rsidR="00865F1A" w:rsidRPr="000F5BFB">
        <w:rPr>
          <w:szCs w:val="24"/>
        </w:rPr>
        <w:t xml:space="preserve">Our current Medium Term Financial Strategy (MTFS) shows a healthy reserves position, </w:t>
      </w:r>
      <w:r w:rsidR="00CF111B" w:rsidRPr="000F5BFB">
        <w:rPr>
          <w:szCs w:val="24"/>
        </w:rPr>
        <w:t>and a balanced</w:t>
      </w:r>
      <w:r w:rsidR="00865F1A" w:rsidRPr="000F5BFB">
        <w:rPr>
          <w:szCs w:val="24"/>
        </w:rPr>
        <w:t xml:space="preserve"> budget in the short and medium term. We await the outcome of </w:t>
      </w:r>
      <w:r w:rsidR="009566C1" w:rsidRPr="000F5BFB">
        <w:rPr>
          <w:szCs w:val="24"/>
        </w:rPr>
        <w:t xml:space="preserve">the </w:t>
      </w:r>
      <w:r w:rsidR="00CF111B" w:rsidRPr="000F5BFB">
        <w:rPr>
          <w:szCs w:val="24"/>
        </w:rPr>
        <w:t xml:space="preserve">multi-year settlement </w:t>
      </w:r>
      <w:r w:rsidR="00865F1A" w:rsidRPr="000F5BFB">
        <w:rPr>
          <w:szCs w:val="24"/>
        </w:rPr>
        <w:t>to clarify our estimates within our MTFS.</w:t>
      </w:r>
    </w:p>
    <w:p w14:paraId="1116EB54" w14:textId="77777777" w:rsidR="00D573A1" w:rsidRPr="000F5BFB" w:rsidRDefault="00D573A1" w:rsidP="007446B1">
      <w:pPr>
        <w:pStyle w:val="BodyTextIndent"/>
        <w:ind w:left="0"/>
        <w:rPr>
          <w:szCs w:val="24"/>
        </w:rPr>
      </w:pPr>
    </w:p>
    <w:p w14:paraId="374EB3B5" w14:textId="77777777" w:rsidR="00D573A1" w:rsidRPr="000F5BFB" w:rsidRDefault="00D573A1" w:rsidP="007446B1">
      <w:pPr>
        <w:ind w:left="1418" w:hanging="709"/>
        <w:rPr>
          <w:b/>
          <w:szCs w:val="24"/>
        </w:rPr>
      </w:pPr>
      <w:bookmarkStart w:id="80" w:name="_Hlk56594024"/>
      <w:r w:rsidRPr="000F5BFB">
        <w:rPr>
          <w:b/>
          <w:szCs w:val="24"/>
        </w:rPr>
        <w:t>p</w:t>
      </w:r>
      <w:r w:rsidRPr="000F5BFB">
        <w:rPr>
          <w:b/>
          <w:szCs w:val="24"/>
        </w:rPr>
        <w:tab/>
        <w:t>Prior Period Adjustments, Changes in Accounting Policies and Estimates and Errors</w:t>
      </w:r>
    </w:p>
    <w:p w14:paraId="6150F773" w14:textId="77777777" w:rsidR="00D573A1" w:rsidRPr="000F5BFB" w:rsidRDefault="00D573A1" w:rsidP="007446B1">
      <w:pPr>
        <w:ind w:left="720"/>
        <w:rPr>
          <w:b/>
          <w:szCs w:val="24"/>
        </w:rPr>
      </w:pPr>
    </w:p>
    <w:p w14:paraId="7A31E8AA" w14:textId="0A03D80B" w:rsidR="00D573A1" w:rsidRPr="000F5BFB" w:rsidRDefault="00D573A1" w:rsidP="007446B1">
      <w:pPr>
        <w:pStyle w:val="BodyTextIndent"/>
        <w:ind w:left="1440"/>
        <w:rPr>
          <w:szCs w:val="24"/>
        </w:rPr>
      </w:pPr>
      <w:r w:rsidRPr="000F5BFB">
        <w:rPr>
          <w:szCs w:val="24"/>
        </w:rPr>
        <w:t xml:space="preserve">Prior period adjustments may arise </w:t>
      </w:r>
      <w:r w:rsidR="0094180B" w:rsidRPr="000F5BFB">
        <w:rPr>
          <w:szCs w:val="24"/>
        </w:rPr>
        <w:t>due to</w:t>
      </w:r>
      <w:r w:rsidRPr="000F5BFB">
        <w:rPr>
          <w:szCs w:val="24"/>
        </w:rPr>
        <w:t xml:space="preserve"> </w:t>
      </w:r>
      <w:r w:rsidR="0094180B" w:rsidRPr="000F5BFB">
        <w:rPr>
          <w:szCs w:val="24"/>
        </w:rPr>
        <w:t xml:space="preserve">a </w:t>
      </w:r>
      <w:r w:rsidRPr="000F5BFB">
        <w:rPr>
          <w:szCs w:val="24"/>
        </w:rPr>
        <w:t xml:space="preserve">change in accounting policies or to correct a material error. Changes in accounting estimates are accounted for prospectively, </w:t>
      </w:r>
      <w:proofErr w:type="spellStart"/>
      <w:r w:rsidR="00FB5AD0" w:rsidRPr="000F5BFB">
        <w:rPr>
          <w:szCs w:val="24"/>
        </w:rPr>
        <w:t>ie</w:t>
      </w:r>
      <w:proofErr w:type="spellEnd"/>
      <w:r w:rsidRPr="000F5BFB">
        <w:rPr>
          <w:szCs w:val="24"/>
        </w:rPr>
        <w:t xml:space="preserve"> in the current and future years affected by the change and do not give rise to a prior period adjustment.</w:t>
      </w:r>
    </w:p>
    <w:p w14:paraId="67B7C58E" w14:textId="77777777" w:rsidR="00D573A1" w:rsidRPr="000F5BFB" w:rsidRDefault="00D573A1" w:rsidP="007446B1">
      <w:pPr>
        <w:pStyle w:val="BodyTextIndent"/>
        <w:ind w:left="1440"/>
        <w:rPr>
          <w:szCs w:val="24"/>
        </w:rPr>
      </w:pPr>
    </w:p>
    <w:p w14:paraId="1022C5E9" w14:textId="6AD44E77" w:rsidR="00276650" w:rsidRPr="000F5BFB" w:rsidRDefault="00D573A1" w:rsidP="007446B1">
      <w:pPr>
        <w:pStyle w:val="BodyTextIndent"/>
        <w:ind w:left="1440"/>
        <w:rPr>
          <w:rFonts w:ascii="Calibri" w:hAnsi="Calibri"/>
          <w:szCs w:val="24"/>
        </w:rPr>
      </w:pPr>
      <w:r w:rsidRPr="000F5BFB">
        <w:rPr>
          <w:szCs w:val="24"/>
        </w:rPr>
        <w:t>Changes in accounting policies are only made when required by proper accounting practices or the change provides more reliable or relevant information about the effect of transactions, other events and conditions on the Authority’s financial position or financial performance. Where a change is made, it is applied retrospectively (unless stated otherwise) by adjusting opening balances and comparative amounts for the prior period as if the new policy had always been applied.</w:t>
      </w:r>
      <w:bookmarkEnd w:id="80"/>
      <w:r w:rsidR="00276650" w:rsidRPr="000F5BFB">
        <w:rPr>
          <w:szCs w:val="24"/>
        </w:rPr>
        <w:t xml:space="preserve"> </w:t>
      </w:r>
      <w:r w:rsidR="00276650" w:rsidRPr="000F5BFB">
        <w:rPr>
          <w:color w:val="000000"/>
          <w:szCs w:val="24"/>
        </w:rPr>
        <w:t>Material errors discovered in prior period figures are corrected retrospectively by amending opening balances and comparative amounts for the prior period.</w:t>
      </w:r>
    </w:p>
    <w:p w14:paraId="123E266A" w14:textId="77777777" w:rsidR="00555960" w:rsidRPr="000F5BFB" w:rsidRDefault="00555960" w:rsidP="003E43E5">
      <w:pPr>
        <w:pStyle w:val="BodyTextIndent"/>
        <w:ind w:left="0"/>
        <w:rPr>
          <w:szCs w:val="24"/>
        </w:rPr>
      </w:pPr>
    </w:p>
    <w:p w14:paraId="75545F43" w14:textId="2E809C07" w:rsidR="00555960" w:rsidRPr="000F5BFB" w:rsidRDefault="00555960" w:rsidP="007446B1">
      <w:pPr>
        <w:ind w:firstLine="720"/>
        <w:rPr>
          <w:b/>
          <w:szCs w:val="24"/>
        </w:rPr>
      </w:pPr>
      <w:r w:rsidRPr="000F5BFB">
        <w:rPr>
          <w:b/>
          <w:szCs w:val="24"/>
        </w:rPr>
        <w:t>q</w:t>
      </w:r>
      <w:r w:rsidRPr="000F5BFB">
        <w:rPr>
          <w:b/>
          <w:szCs w:val="24"/>
        </w:rPr>
        <w:tab/>
        <w:t>Accounting Standards issued but not yet adopted</w:t>
      </w:r>
    </w:p>
    <w:p w14:paraId="40D7745E" w14:textId="77777777" w:rsidR="00555960" w:rsidRPr="000F5BFB" w:rsidRDefault="00555960" w:rsidP="007446B1">
      <w:pPr>
        <w:ind w:left="720"/>
        <w:rPr>
          <w:szCs w:val="24"/>
        </w:rPr>
      </w:pPr>
    </w:p>
    <w:p w14:paraId="0D464938" w14:textId="6E6C14B6" w:rsidR="00FD3E57" w:rsidRPr="000F5BFB" w:rsidRDefault="00FD3E57" w:rsidP="007446B1">
      <w:pPr>
        <w:ind w:left="1440"/>
        <w:rPr>
          <w:szCs w:val="24"/>
        </w:rPr>
      </w:pPr>
      <w:bookmarkStart w:id="81" w:name="_Hlk80358184"/>
      <w:r w:rsidRPr="000F5BFB">
        <w:rPr>
          <w:szCs w:val="24"/>
        </w:rPr>
        <w:t xml:space="preserve">The Authority is required to disclose the impact of an accounting change required by a new accounting standard that has been issued on or before 1 January but not yet </w:t>
      </w:r>
      <w:r w:rsidRPr="000F5BFB">
        <w:rPr>
          <w:szCs w:val="24"/>
        </w:rPr>
        <w:lastRenderedPageBreak/>
        <w:t xml:space="preserve">adopted by the Code of Practice on Local Authority Accounting in the United Kingdom (the Code). </w:t>
      </w:r>
      <w:r w:rsidR="00A678B5" w:rsidRPr="000F5BFB">
        <w:rPr>
          <w:szCs w:val="24"/>
        </w:rPr>
        <w:t>There have been no amendments to the code since 2021/22</w:t>
      </w:r>
      <w:r w:rsidR="00661532" w:rsidRPr="000F5BFB">
        <w:rPr>
          <w:szCs w:val="24"/>
        </w:rPr>
        <w:t>.</w:t>
      </w:r>
    </w:p>
    <w:p w14:paraId="4D2DBD7C" w14:textId="04E2537B" w:rsidR="00227088" w:rsidRPr="000F5BFB" w:rsidRDefault="00227088" w:rsidP="007446B1">
      <w:pPr>
        <w:ind w:left="1440"/>
        <w:rPr>
          <w:szCs w:val="24"/>
          <w:highlight w:val="red"/>
        </w:rPr>
      </w:pPr>
    </w:p>
    <w:p w14:paraId="24EAE198" w14:textId="1F9FD19B" w:rsidR="00A678B5" w:rsidRPr="000F5BFB" w:rsidRDefault="00A678B5" w:rsidP="007446B1">
      <w:pPr>
        <w:ind w:left="1440"/>
        <w:rPr>
          <w:szCs w:val="24"/>
        </w:rPr>
      </w:pPr>
      <w:r w:rsidRPr="000F5BFB">
        <w:rPr>
          <w:szCs w:val="24"/>
        </w:rPr>
        <w:t>Accounting of Leases (IFRS 16) implementation has been delayed until 1</w:t>
      </w:r>
      <w:r w:rsidRPr="000F5BFB">
        <w:rPr>
          <w:szCs w:val="24"/>
          <w:vertAlign w:val="superscript"/>
        </w:rPr>
        <w:t>st</w:t>
      </w:r>
      <w:r w:rsidRPr="000F5BFB">
        <w:rPr>
          <w:szCs w:val="24"/>
        </w:rPr>
        <w:t xml:space="preserve"> April 2024</w:t>
      </w:r>
      <w:r w:rsidR="000859CE" w:rsidRPr="000F5BFB">
        <w:rPr>
          <w:szCs w:val="24"/>
        </w:rPr>
        <w:t xml:space="preserve"> as agreed by CIPFA/LASAAC in spring 2022.</w:t>
      </w:r>
      <w:r w:rsidRPr="000F5BFB">
        <w:rPr>
          <w:szCs w:val="24"/>
        </w:rPr>
        <w:t xml:space="preserve"> However, both the 2022-23 and the 2023-24 codes allow for early adoption should an authority consider early implementation. Under the new standard, a right of use asset and lease liability will be recognised on the balance sheet. The depreciation of leased assets and interest on lease liabilities will go through the CIES</w:t>
      </w:r>
      <w:r w:rsidR="000859CE" w:rsidRPr="000F5BFB">
        <w:rPr>
          <w:szCs w:val="24"/>
        </w:rPr>
        <w:t>. These are accounting changes and will not impact the cost of leasing to the organisation</w:t>
      </w:r>
      <w:r w:rsidRPr="000F5BFB">
        <w:rPr>
          <w:szCs w:val="24"/>
        </w:rPr>
        <w:t xml:space="preserve">. </w:t>
      </w:r>
    </w:p>
    <w:bookmarkEnd w:id="81"/>
    <w:p w14:paraId="590C1288" w14:textId="77777777" w:rsidR="005C4093" w:rsidRPr="000F5BFB" w:rsidRDefault="005C4093" w:rsidP="007446B1">
      <w:pPr>
        <w:rPr>
          <w:szCs w:val="24"/>
        </w:rPr>
      </w:pPr>
    </w:p>
    <w:p w14:paraId="0335938F" w14:textId="08E40BE9" w:rsidR="005C4093" w:rsidRPr="000F5BFB" w:rsidRDefault="005C4093" w:rsidP="007446B1">
      <w:pPr>
        <w:ind w:left="720"/>
        <w:rPr>
          <w:b/>
          <w:szCs w:val="24"/>
        </w:rPr>
      </w:pPr>
      <w:r w:rsidRPr="000F5BFB">
        <w:rPr>
          <w:b/>
          <w:szCs w:val="24"/>
        </w:rPr>
        <w:t>r</w:t>
      </w:r>
      <w:r w:rsidRPr="000F5BFB">
        <w:rPr>
          <w:b/>
          <w:szCs w:val="24"/>
        </w:rPr>
        <w:tab/>
        <w:t>Joint Operations</w:t>
      </w:r>
    </w:p>
    <w:p w14:paraId="484280CA" w14:textId="77777777" w:rsidR="005C4093" w:rsidRPr="000F5BFB" w:rsidRDefault="005C4093" w:rsidP="007446B1">
      <w:pPr>
        <w:ind w:left="720"/>
        <w:rPr>
          <w:szCs w:val="24"/>
        </w:rPr>
      </w:pPr>
    </w:p>
    <w:p w14:paraId="44934166" w14:textId="68497AAF" w:rsidR="00CB4FDF" w:rsidRPr="000F5BFB" w:rsidRDefault="00CB4FDF" w:rsidP="007446B1">
      <w:pPr>
        <w:ind w:left="1440"/>
        <w:rPr>
          <w:szCs w:val="24"/>
          <w:highlight w:val="yellow"/>
        </w:rPr>
      </w:pPr>
      <w:r w:rsidRPr="000F5BFB">
        <w:rPr>
          <w:szCs w:val="24"/>
        </w:rPr>
        <w:t xml:space="preserve">Joint operations are arrangements where the parties that have joint control of the arrangement have rights to the assets and obligations for the liabilities relating to the arrangement. The activities undertaken by the Authority in conjunction with other joint operators involve the use of the assets and resources of those joint operators. The Authority has one joint operation, </w:t>
      </w:r>
      <w:proofErr w:type="gramStart"/>
      <w:r w:rsidRPr="000F5BFB">
        <w:rPr>
          <w:szCs w:val="24"/>
        </w:rPr>
        <w:t>North West</w:t>
      </w:r>
      <w:proofErr w:type="gramEnd"/>
      <w:r w:rsidRPr="000F5BFB">
        <w:rPr>
          <w:szCs w:val="24"/>
        </w:rPr>
        <w:t xml:space="preserve"> </w:t>
      </w:r>
      <w:proofErr w:type="spellStart"/>
      <w:r w:rsidRPr="000F5BFB">
        <w:rPr>
          <w:szCs w:val="24"/>
        </w:rPr>
        <w:t>FireControl</w:t>
      </w:r>
      <w:proofErr w:type="spellEnd"/>
      <w:r w:rsidRPr="000F5BFB">
        <w:rPr>
          <w:szCs w:val="24"/>
        </w:rPr>
        <w:t xml:space="preserve"> Ltd (see </w:t>
      </w:r>
      <w:hyperlink w:anchor="N22" w:history="1">
        <w:r w:rsidRPr="000F5BFB">
          <w:rPr>
            <w:rStyle w:val="Hyperlink"/>
            <w:szCs w:val="24"/>
          </w:rPr>
          <w:t>note 22</w:t>
        </w:r>
      </w:hyperlink>
      <w:r w:rsidRPr="000F5BFB">
        <w:rPr>
          <w:szCs w:val="24"/>
        </w:rPr>
        <w:t xml:space="preserve"> for details), and recognises:</w:t>
      </w:r>
    </w:p>
    <w:p w14:paraId="635F1F63" w14:textId="77777777" w:rsidR="00555960" w:rsidRPr="000F5BFB" w:rsidRDefault="00555960" w:rsidP="007446B1">
      <w:pPr>
        <w:rPr>
          <w:szCs w:val="24"/>
          <w:highlight w:val="yellow"/>
        </w:rPr>
      </w:pPr>
    </w:p>
    <w:p w14:paraId="5C313E24" w14:textId="1CEA9758" w:rsidR="00CB4FDF" w:rsidRPr="000F5BFB" w:rsidRDefault="0024304C" w:rsidP="00FA71D8">
      <w:pPr>
        <w:pStyle w:val="ListParagraph"/>
        <w:numPr>
          <w:ilvl w:val="0"/>
          <w:numId w:val="38"/>
        </w:numPr>
        <w:rPr>
          <w:szCs w:val="24"/>
        </w:rPr>
      </w:pPr>
      <w:r w:rsidRPr="000F5BFB">
        <w:rPr>
          <w:szCs w:val="24"/>
        </w:rPr>
        <w:t>its assets, including its share of any assets held jointly</w:t>
      </w:r>
      <w:r w:rsidR="000A40E3" w:rsidRPr="000F5BFB">
        <w:rPr>
          <w:szCs w:val="24"/>
        </w:rPr>
        <w:t>.</w:t>
      </w:r>
    </w:p>
    <w:p w14:paraId="34E444C4" w14:textId="6EBCD4D8" w:rsidR="0024304C" w:rsidRPr="000F5BFB" w:rsidRDefault="0024304C" w:rsidP="00FA71D8">
      <w:pPr>
        <w:pStyle w:val="ListParagraph"/>
        <w:numPr>
          <w:ilvl w:val="0"/>
          <w:numId w:val="38"/>
        </w:numPr>
        <w:rPr>
          <w:szCs w:val="24"/>
        </w:rPr>
      </w:pPr>
      <w:r w:rsidRPr="000F5BFB">
        <w:rPr>
          <w:szCs w:val="24"/>
        </w:rPr>
        <w:t>its liabilities, including its share of any liabilities held jointly</w:t>
      </w:r>
      <w:r w:rsidR="000A40E3" w:rsidRPr="000F5BFB">
        <w:rPr>
          <w:szCs w:val="24"/>
        </w:rPr>
        <w:t>.</w:t>
      </w:r>
    </w:p>
    <w:p w14:paraId="2AB18726" w14:textId="5D3E666B" w:rsidR="0024304C" w:rsidRPr="000F5BFB" w:rsidRDefault="0024304C" w:rsidP="00FA71D8">
      <w:pPr>
        <w:pStyle w:val="ListParagraph"/>
        <w:numPr>
          <w:ilvl w:val="0"/>
          <w:numId w:val="38"/>
        </w:numPr>
        <w:rPr>
          <w:szCs w:val="24"/>
        </w:rPr>
      </w:pPr>
      <w:r w:rsidRPr="000F5BFB">
        <w:rPr>
          <w:szCs w:val="24"/>
        </w:rPr>
        <w:t>its revenue from the sale of its share of the output arising from the joint operation</w:t>
      </w:r>
      <w:r w:rsidR="000A40E3" w:rsidRPr="000F5BFB">
        <w:rPr>
          <w:szCs w:val="24"/>
        </w:rPr>
        <w:t>.</w:t>
      </w:r>
    </w:p>
    <w:p w14:paraId="20740E16" w14:textId="3DEBEBC4" w:rsidR="0024304C" w:rsidRPr="000F5BFB" w:rsidRDefault="0024304C" w:rsidP="00FA71D8">
      <w:pPr>
        <w:pStyle w:val="ListParagraph"/>
        <w:numPr>
          <w:ilvl w:val="0"/>
          <w:numId w:val="38"/>
        </w:numPr>
        <w:rPr>
          <w:szCs w:val="24"/>
        </w:rPr>
      </w:pPr>
      <w:r w:rsidRPr="000F5BFB">
        <w:rPr>
          <w:szCs w:val="24"/>
        </w:rPr>
        <w:t>its share of the revenue from the sale of the output by the joint operation</w:t>
      </w:r>
      <w:r w:rsidR="000A40E3" w:rsidRPr="000F5BFB">
        <w:rPr>
          <w:szCs w:val="24"/>
        </w:rPr>
        <w:t>.</w:t>
      </w:r>
    </w:p>
    <w:p w14:paraId="4EB2DE14" w14:textId="6FA96023" w:rsidR="00E216EE" w:rsidRPr="000F5BFB" w:rsidRDefault="007446B1" w:rsidP="00FA71D8">
      <w:pPr>
        <w:pStyle w:val="ListParagraph"/>
        <w:numPr>
          <w:ilvl w:val="0"/>
          <w:numId w:val="38"/>
        </w:numPr>
        <w:rPr>
          <w:szCs w:val="24"/>
        </w:rPr>
      </w:pPr>
      <w:r w:rsidRPr="000F5BFB">
        <w:rPr>
          <w:szCs w:val="24"/>
        </w:rPr>
        <w:t>its expenses, including its share of any expenses incurred jointly.</w:t>
      </w:r>
    </w:p>
    <w:p w14:paraId="7DD84F6D" w14:textId="77777777" w:rsidR="007446B1" w:rsidRPr="000F5BFB" w:rsidRDefault="007446B1">
      <w:pPr>
        <w:rPr>
          <w:b/>
          <w:szCs w:val="24"/>
        </w:rPr>
      </w:pPr>
      <w:bookmarkStart w:id="82" w:name="FF_Pension"/>
      <w:bookmarkEnd w:id="82"/>
      <w:r w:rsidRPr="000F5BFB">
        <w:rPr>
          <w:szCs w:val="24"/>
        </w:rPr>
        <w:br w:type="page"/>
      </w:r>
    </w:p>
    <w:p w14:paraId="47985473" w14:textId="18086050" w:rsidR="00D90216" w:rsidRPr="002A4D26" w:rsidRDefault="006563F1" w:rsidP="000F5BFB">
      <w:pPr>
        <w:pStyle w:val="Heading1"/>
      </w:pPr>
      <w:bookmarkStart w:id="83" w:name="_Toc166761563"/>
      <w:r w:rsidRPr="002A4D26">
        <w:lastRenderedPageBreak/>
        <w:t xml:space="preserve">Fire Fighters Pension Fund Account </w:t>
      </w:r>
      <w:r>
        <w:t>a</w:t>
      </w:r>
      <w:r w:rsidRPr="002A4D26">
        <w:t>nd Net Assets Statement</w:t>
      </w:r>
      <w:bookmarkEnd w:id="83"/>
    </w:p>
    <w:p w14:paraId="39EC90A0" w14:textId="77777777" w:rsidR="00D90216" w:rsidRPr="00AF3DCD" w:rsidRDefault="00D90216" w:rsidP="00D90216">
      <w:pPr>
        <w:rPr>
          <w:sz w:val="22"/>
        </w:rPr>
      </w:pPr>
    </w:p>
    <w:tbl>
      <w:tblPr>
        <w:tblW w:w="89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07"/>
        <w:gridCol w:w="1418"/>
        <w:gridCol w:w="1275"/>
      </w:tblGrid>
      <w:tr w:rsidR="00670DBF" w:rsidRPr="00AF3DCD" w14:paraId="55AAD781" w14:textId="77777777" w:rsidTr="00982FEC">
        <w:trPr>
          <w:trHeight w:val="247"/>
        </w:trPr>
        <w:tc>
          <w:tcPr>
            <w:tcW w:w="6207" w:type="dxa"/>
            <w:shd w:val="clear" w:color="auto" w:fill="BD2716"/>
            <w:vAlign w:val="bottom"/>
          </w:tcPr>
          <w:p w14:paraId="43752397" w14:textId="77777777" w:rsidR="00670DBF" w:rsidRPr="00982FEC" w:rsidRDefault="00670DBF" w:rsidP="001431C3">
            <w:pPr>
              <w:rPr>
                <w:bCs/>
                <w:snapToGrid w:val="0"/>
                <w:color w:val="FFFFFF" w:themeColor="background1"/>
                <w:szCs w:val="24"/>
              </w:rPr>
            </w:pPr>
            <w:r w:rsidRPr="00982FEC">
              <w:rPr>
                <w:bCs/>
                <w:snapToGrid w:val="0"/>
                <w:color w:val="FFFFFF" w:themeColor="background1"/>
                <w:szCs w:val="24"/>
              </w:rPr>
              <w:t>Fund Account</w:t>
            </w:r>
          </w:p>
        </w:tc>
        <w:tc>
          <w:tcPr>
            <w:tcW w:w="1418" w:type="dxa"/>
            <w:shd w:val="clear" w:color="auto" w:fill="BD2716"/>
          </w:tcPr>
          <w:p w14:paraId="13E4C1F1" w14:textId="77777777" w:rsidR="00670DBF" w:rsidRPr="00982FEC" w:rsidRDefault="00670DBF" w:rsidP="00670DBF">
            <w:pPr>
              <w:jc w:val="center"/>
              <w:rPr>
                <w:color w:val="FFFFFF" w:themeColor="background1"/>
                <w:szCs w:val="24"/>
              </w:rPr>
            </w:pPr>
            <w:r w:rsidRPr="00982FEC">
              <w:rPr>
                <w:color w:val="FFFFFF" w:themeColor="background1"/>
                <w:szCs w:val="24"/>
              </w:rPr>
              <w:t>202</w:t>
            </w:r>
            <w:r w:rsidR="00FD216A" w:rsidRPr="00982FEC">
              <w:rPr>
                <w:color w:val="FFFFFF" w:themeColor="background1"/>
                <w:szCs w:val="24"/>
              </w:rPr>
              <w:t>2</w:t>
            </w:r>
            <w:r w:rsidRPr="00982FEC">
              <w:rPr>
                <w:color w:val="FFFFFF" w:themeColor="background1"/>
                <w:szCs w:val="24"/>
              </w:rPr>
              <w:t>/2</w:t>
            </w:r>
            <w:r w:rsidR="00FD216A" w:rsidRPr="00982FEC">
              <w:rPr>
                <w:color w:val="FFFFFF" w:themeColor="background1"/>
                <w:szCs w:val="24"/>
              </w:rPr>
              <w:t>3</w:t>
            </w:r>
          </w:p>
          <w:p w14:paraId="7FE32D0C" w14:textId="3534650E" w:rsidR="001431C3" w:rsidRPr="00982FEC" w:rsidRDefault="001431C3" w:rsidP="00670DBF">
            <w:pPr>
              <w:jc w:val="center"/>
              <w:rPr>
                <w:snapToGrid w:val="0"/>
                <w:color w:val="FFFFFF" w:themeColor="background1"/>
                <w:szCs w:val="24"/>
              </w:rPr>
            </w:pPr>
            <w:r w:rsidRPr="00982FEC">
              <w:rPr>
                <w:color w:val="FFFFFF" w:themeColor="background1"/>
                <w:szCs w:val="24"/>
              </w:rPr>
              <w:t>£000</w:t>
            </w:r>
          </w:p>
        </w:tc>
        <w:tc>
          <w:tcPr>
            <w:tcW w:w="1275" w:type="dxa"/>
            <w:shd w:val="clear" w:color="auto" w:fill="BD2716"/>
          </w:tcPr>
          <w:p w14:paraId="7738CD06" w14:textId="77777777" w:rsidR="00670DBF" w:rsidRPr="00982FEC" w:rsidRDefault="00670DBF" w:rsidP="00670DBF">
            <w:pPr>
              <w:jc w:val="center"/>
              <w:rPr>
                <w:snapToGrid w:val="0"/>
                <w:color w:val="FFFFFF" w:themeColor="background1"/>
                <w:szCs w:val="24"/>
              </w:rPr>
            </w:pPr>
            <w:r w:rsidRPr="00982FEC">
              <w:rPr>
                <w:snapToGrid w:val="0"/>
                <w:color w:val="FFFFFF" w:themeColor="background1"/>
                <w:szCs w:val="24"/>
              </w:rPr>
              <w:t>202</w:t>
            </w:r>
            <w:r w:rsidR="00FD216A" w:rsidRPr="00982FEC">
              <w:rPr>
                <w:snapToGrid w:val="0"/>
                <w:color w:val="FFFFFF" w:themeColor="background1"/>
                <w:szCs w:val="24"/>
              </w:rPr>
              <w:t>1</w:t>
            </w:r>
            <w:r w:rsidRPr="00982FEC">
              <w:rPr>
                <w:snapToGrid w:val="0"/>
                <w:color w:val="FFFFFF" w:themeColor="background1"/>
                <w:szCs w:val="24"/>
              </w:rPr>
              <w:t>/2</w:t>
            </w:r>
            <w:r w:rsidR="00FD216A" w:rsidRPr="00982FEC">
              <w:rPr>
                <w:snapToGrid w:val="0"/>
                <w:color w:val="FFFFFF" w:themeColor="background1"/>
                <w:szCs w:val="24"/>
              </w:rPr>
              <w:t>2</w:t>
            </w:r>
          </w:p>
          <w:p w14:paraId="53A75669" w14:textId="4956A7A4" w:rsidR="001431C3" w:rsidRPr="00982FEC" w:rsidRDefault="001431C3" w:rsidP="00670DBF">
            <w:pPr>
              <w:jc w:val="center"/>
              <w:rPr>
                <w:snapToGrid w:val="0"/>
                <w:color w:val="FFFFFF" w:themeColor="background1"/>
                <w:szCs w:val="24"/>
              </w:rPr>
            </w:pPr>
            <w:r w:rsidRPr="00982FEC">
              <w:rPr>
                <w:snapToGrid w:val="0"/>
                <w:color w:val="FFFFFF" w:themeColor="background1"/>
                <w:szCs w:val="24"/>
              </w:rPr>
              <w:t>£000</w:t>
            </w:r>
          </w:p>
        </w:tc>
      </w:tr>
      <w:tr w:rsidR="00526A3B" w:rsidRPr="00AF3DCD" w14:paraId="37AD83E1" w14:textId="77777777" w:rsidTr="00982FEC">
        <w:trPr>
          <w:trHeight w:val="247"/>
        </w:trPr>
        <w:tc>
          <w:tcPr>
            <w:tcW w:w="8900" w:type="dxa"/>
            <w:gridSpan w:val="3"/>
            <w:shd w:val="clear" w:color="auto" w:fill="D9D9D9" w:themeFill="background1" w:themeFillShade="D9"/>
          </w:tcPr>
          <w:p w14:paraId="0A108AE7" w14:textId="51755985" w:rsidR="00526A3B" w:rsidRPr="00BD79B2" w:rsidRDefault="00526A3B" w:rsidP="00FD216A">
            <w:pPr>
              <w:tabs>
                <w:tab w:val="decimal" w:pos="962"/>
              </w:tabs>
              <w:rPr>
                <w:b/>
                <w:snapToGrid w:val="0"/>
                <w:szCs w:val="24"/>
              </w:rPr>
            </w:pPr>
            <w:r w:rsidRPr="00BD79B2">
              <w:rPr>
                <w:b/>
                <w:snapToGrid w:val="0"/>
                <w:szCs w:val="24"/>
              </w:rPr>
              <w:t>Income to the fund</w:t>
            </w:r>
          </w:p>
        </w:tc>
      </w:tr>
      <w:tr w:rsidR="00526A3B" w:rsidRPr="00AF3DCD" w14:paraId="153574EE" w14:textId="77777777" w:rsidTr="00982FEC">
        <w:trPr>
          <w:trHeight w:val="247"/>
        </w:trPr>
        <w:tc>
          <w:tcPr>
            <w:tcW w:w="8900" w:type="dxa"/>
            <w:gridSpan w:val="3"/>
            <w:shd w:val="clear" w:color="auto" w:fill="D9D9D9" w:themeFill="background1" w:themeFillShade="D9"/>
          </w:tcPr>
          <w:p w14:paraId="27B63C56" w14:textId="19A5EF4F" w:rsidR="00526A3B" w:rsidRPr="00BD79B2" w:rsidRDefault="00526A3B" w:rsidP="00FD216A">
            <w:pPr>
              <w:tabs>
                <w:tab w:val="decimal" w:pos="962"/>
              </w:tabs>
              <w:rPr>
                <w:b/>
                <w:snapToGrid w:val="0"/>
                <w:szCs w:val="24"/>
              </w:rPr>
            </w:pPr>
            <w:r w:rsidRPr="00BD79B2">
              <w:rPr>
                <w:b/>
                <w:snapToGrid w:val="0"/>
                <w:szCs w:val="24"/>
              </w:rPr>
              <w:t>Contributions receivable:</w:t>
            </w:r>
          </w:p>
        </w:tc>
      </w:tr>
      <w:tr w:rsidR="00526A3B" w:rsidRPr="00AF3DCD" w14:paraId="3E68FB9D" w14:textId="77777777" w:rsidTr="00982FEC">
        <w:trPr>
          <w:trHeight w:val="247"/>
        </w:trPr>
        <w:tc>
          <w:tcPr>
            <w:tcW w:w="8900" w:type="dxa"/>
            <w:gridSpan w:val="3"/>
            <w:shd w:val="clear" w:color="auto" w:fill="D9D9D9" w:themeFill="background1" w:themeFillShade="D9"/>
          </w:tcPr>
          <w:p w14:paraId="294E5D96" w14:textId="1E6EFC29" w:rsidR="00526A3B" w:rsidRPr="00BD79B2" w:rsidRDefault="00526A3B" w:rsidP="00FA71D8">
            <w:pPr>
              <w:pStyle w:val="ListParagraph"/>
              <w:numPr>
                <w:ilvl w:val="0"/>
                <w:numId w:val="42"/>
              </w:numPr>
              <w:tabs>
                <w:tab w:val="decimal" w:pos="962"/>
              </w:tabs>
              <w:rPr>
                <w:b/>
                <w:snapToGrid w:val="0"/>
                <w:szCs w:val="24"/>
              </w:rPr>
            </w:pPr>
            <w:r w:rsidRPr="00BD79B2">
              <w:rPr>
                <w:b/>
                <w:snapToGrid w:val="0"/>
                <w:szCs w:val="24"/>
              </w:rPr>
              <w:t>From employer</w:t>
            </w:r>
          </w:p>
        </w:tc>
      </w:tr>
      <w:tr w:rsidR="00FD216A" w:rsidRPr="00AF3DCD" w14:paraId="173AECCD" w14:textId="77777777" w:rsidTr="00746F3D">
        <w:trPr>
          <w:trHeight w:val="80"/>
        </w:trPr>
        <w:tc>
          <w:tcPr>
            <w:tcW w:w="6207" w:type="dxa"/>
          </w:tcPr>
          <w:p w14:paraId="5C8991BF" w14:textId="77777777" w:rsidR="00FD216A" w:rsidRPr="007446B1" w:rsidRDefault="00FD216A" w:rsidP="00FA71D8">
            <w:pPr>
              <w:pStyle w:val="ListParagraph"/>
              <w:numPr>
                <w:ilvl w:val="0"/>
                <w:numId w:val="28"/>
              </w:numPr>
              <w:rPr>
                <w:snapToGrid w:val="0"/>
                <w:szCs w:val="24"/>
              </w:rPr>
            </w:pPr>
            <w:r w:rsidRPr="007446B1">
              <w:rPr>
                <w:snapToGrid w:val="0"/>
                <w:szCs w:val="24"/>
              </w:rPr>
              <w:t>contributions in relation to pensionable pay</w:t>
            </w:r>
          </w:p>
        </w:tc>
        <w:tc>
          <w:tcPr>
            <w:tcW w:w="1418" w:type="dxa"/>
            <w:vAlign w:val="center"/>
          </w:tcPr>
          <w:p w14:paraId="24A932D1" w14:textId="3848639A" w:rsidR="00FD216A" w:rsidRPr="007446B1" w:rsidRDefault="00FD216A" w:rsidP="00746F3D">
            <w:pPr>
              <w:tabs>
                <w:tab w:val="decimal" w:pos="1104"/>
              </w:tabs>
              <w:ind w:left="111"/>
              <w:jc w:val="right"/>
              <w:rPr>
                <w:szCs w:val="24"/>
              </w:rPr>
            </w:pPr>
            <w:r w:rsidRPr="007446B1">
              <w:rPr>
                <w:szCs w:val="24"/>
              </w:rPr>
              <w:t>(</w:t>
            </w:r>
            <w:r w:rsidR="00046E3D" w:rsidRPr="007446B1">
              <w:rPr>
                <w:szCs w:val="24"/>
              </w:rPr>
              <w:t>7,63</w:t>
            </w:r>
            <w:r w:rsidR="00BA7C0E" w:rsidRPr="007446B1">
              <w:rPr>
                <w:szCs w:val="24"/>
              </w:rPr>
              <w:t>1</w:t>
            </w:r>
            <w:r w:rsidRPr="007446B1">
              <w:rPr>
                <w:szCs w:val="24"/>
              </w:rPr>
              <w:t>)</w:t>
            </w:r>
          </w:p>
        </w:tc>
        <w:tc>
          <w:tcPr>
            <w:tcW w:w="1275" w:type="dxa"/>
            <w:vAlign w:val="center"/>
          </w:tcPr>
          <w:p w14:paraId="0557E00C" w14:textId="4C405479" w:rsidR="00FD216A" w:rsidRPr="007446B1" w:rsidRDefault="00FD216A" w:rsidP="00746F3D">
            <w:pPr>
              <w:tabs>
                <w:tab w:val="decimal" w:pos="1104"/>
              </w:tabs>
              <w:ind w:left="111"/>
              <w:jc w:val="right"/>
              <w:rPr>
                <w:szCs w:val="24"/>
              </w:rPr>
            </w:pPr>
            <w:r w:rsidRPr="007446B1">
              <w:rPr>
                <w:szCs w:val="24"/>
              </w:rPr>
              <w:t>(8,815)</w:t>
            </w:r>
          </w:p>
        </w:tc>
      </w:tr>
      <w:tr w:rsidR="00FD216A" w:rsidRPr="00AF3DCD" w14:paraId="01CD8CF1" w14:textId="77777777" w:rsidTr="00746F3D">
        <w:trPr>
          <w:trHeight w:val="80"/>
        </w:trPr>
        <w:tc>
          <w:tcPr>
            <w:tcW w:w="6207" w:type="dxa"/>
          </w:tcPr>
          <w:p w14:paraId="4A9B300A" w14:textId="77777777" w:rsidR="00FD216A" w:rsidRPr="007446B1" w:rsidRDefault="00FD216A" w:rsidP="00FA71D8">
            <w:pPr>
              <w:pStyle w:val="ListParagraph"/>
              <w:numPr>
                <w:ilvl w:val="0"/>
                <w:numId w:val="27"/>
              </w:numPr>
              <w:rPr>
                <w:snapToGrid w:val="0"/>
                <w:szCs w:val="24"/>
              </w:rPr>
            </w:pPr>
            <w:r w:rsidRPr="007446B1">
              <w:rPr>
                <w:snapToGrid w:val="0"/>
                <w:szCs w:val="24"/>
              </w:rPr>
              <w:t>other contributions</w:t>
            </w:r>
          </w:p>
        </w:tc>
        <w:tc>
          <w:tcPr>
            <w:tcW w:w="1418" w:type="dxa"/>
            <w:vAlign w:val="center"/>
          </w:tcPr>
          <w:p w14:paraId="3E8ED8FB" w14:textId="74CADD78" w:rsidR="00FD216A" w:rsidRPr="007446B1" w:rsidRDefault="00FD216A" w:rsidP="00746F3D">
            <w:pPr>
              <w:tabs>
                <w:tab w:val="decimal" w:pos="1104"/>
              </w:tabs>
              <w:jc w:val="right"/>
              <w:rPr>
                <w:szCs w:val="24"/>
              </w:rPr>
            </w:pPr>
            <w:r w:rsidRPr="007446B1">
              <w:rPr>
                <w:szCs w:val="24"/>
              </w:rPr>
              <w:t>(</w:t>
            </w:r>
            <w:r w:rsidR="00046E3D" w:rsidRPr="007446B1">
              <w:rPr>
                <w:szCs w:val="24"/>
              </w:rPr>
              <w:t>166</w:t>
            </w:r>
            <w:r w:rsidRPr="007446B1">
              <w:rPr>
                <w:szCs w:val="24"/>
              </w:rPr>
              <w:t>)</w:t>
            </w:r>
          </w:p>
        </w:tc>
        <w:tc>
          <w:tcPr>
            <w:tcW w:w="1275" w:type="dxa"/>
            <w:vAlign w:val="center"/>
          </w:tcPr>
          <w:p w14:paraId="37E5B13F" w14:textId="1879582C" w:rsidR="00FD216A" w:rsidRPr="007446B1" w:rsidRDefault="00FD216A" w:rsidP="00746F3D">
            <w:pPr>
              <w:tabs>
                <w:tab w:val="decimal" w:pos="1104"/>
              </w:tabs>
              <w:jc w:val="right"/>
              <w:rPr>
                <w:szCs w:val="24"/>
              </w:rPr>
            </w:pPr>
            <w:r w:rsidRPr="007446B1">
              <w:rPr>
                <w:szCs w:val="24"/>
              </w:rPr>
              <w:t>(278)</w:t>
            </w:r>
          </w:p>
        </w:tc>
      </w:tr>
      <w:tr w:rsidR="00FD216A" w:rsidRPr="00AF3DCD" w14:paraId="63755E1B" w14:textId="77777777" w:rsidTr="00746F3D">
        <w:trPr>
          <w:trHeight w:val="339"/>
        </w:trPr>
        <w:tc>
          <w:tcPr>
            <w:tcW w:w="6207" w:type="dxa"/>
          </w:tcPr>
          <w:p w14:paraId="45A49EDD" w14:textId="77777777" w:rsidR="00FD216A" w:rsidRPr="007446B1" w:rsidRDefault="00FD216A" w:rsidP="00FA71D8">
            <w:pPr>
              <w:pStyle w:val="ListParagraph"/>
              <w:numPr>
                <w:ilvl w:val="0"/>
                <w:numId w:val="26"/>
              </w:numPr>
              <w:rPr>
                <w:snapToGrid w:val="0"/>
                <w:szCs w:val="24"/>
              </w:rPr>
            </w:pPr>
            <w:r w:rsidRPr="007446B1">
              <w:rPr>
                <w:snapToGrid w:val="0"/>
                <w:szCs w:val="24"/>
              </w:rPr>
              <w:t>Members contributions</w:t>
            </w:r>
          </w:p>
        </w:tc>
        <w:tc>
          <w:tcPr>
            <w:tcW w:w="1418" w:type="dxa"/>
            <w:vAlign w:val="center"/>
          </w:tcPr>
          <w:p w14:paraId="576F6FA9" w14:textId="31014E2B" w:rsidR="00FD216A" w:rsidRPr="007446B1" w:rsidRDefault="00FD216A" w:rsidP="00746F3D">
            <w:pPr>
              <w:tabs>
                <w:tab w:val="decimal" w:pos="1104"/>
              </w:tabs>
              <w:jc w:val="right"/>
              <w:rPr>
                <w:szCs w:val="24"/>
              </w:rPr>
            </w:pPr>
            <w:r w:rsidRPr="007446B1">
              <w:rPr>
                <w:szCs w:val="24"/>
              </w:rPr>
              <w:t>(</w:t>
            </w:r>
            <w:r w:rsidR="00046E3D" w:rsidRPr="007446B1">
              <w:rPr>
                <w:szCs w:val="24"/>
              </w:rPr>
              <w:t>3,448</w:t>
            </w:r>
            <w:r w:rsidRPr="007446B1">
              <w:rPr>
                <w:szCs w:val="24"/>
              </w:rPr>
              <w:t>)</w:t>
            </w:r>
          </w:p>
        </w:tc>
        <w:tc>
          <w:tcPr>
            <w:tcW w:w="1275" w:type="dxa"/>
            <w:vAlign w:val="center"/>
          </w:tcPr>
          <w:p w14:paraId="5E7256B6" w14:textId="42A3817F" w:rsidR="00FD216A" w:rsidRPr="007446B1" w:rsidRDefault="00FD216A" w:rsidP="00746F3D">
            <w:pPr>
              <w:tabs>
                <w:tab w:val="decimal" w:pos="1104"/>
              </w:tabs>
              <w:jc w:val="right"/>
              <w:rPr>
                <w:szCs w:val="24"/>
              </w:rPr>
            </w:pPr>
            <w:r w:rsidRPr="007446B1">
              <w:rPr>
                <w:szCs w:val="24"/>
              </w:rPr>
              <w:t>(4,330)</w:t>
            </w:r>
          </w:p>
        </w:tc>
      </w:tr>
    </w:tbl>
    <w:p w14:paraId="2218DC73" w14:textId="77777777" w:rsidR="00EC3487" w:rsidRDefault="00EC3487"/>
    <w:tbl>
      <w:tblPr>
        <w:tblW w:w="89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07"/>
        <w:gridCol w:w="1418"/>
        <w:gridCol w:w="1275"/>
      </w:tblGrid>
      <w:tr w:rsidR="00AC5949" w:rsidRPr="00AF3DCD" w14:paraId="445662B5" w14:textId="77777777" w:rsidTr="00982FEC">
        <w:trPr>
          <w:trHeight w:val="80"/>
        </w:trPr>
        <w:tc>
          <w:tcPr>
            <w:tcW w:w="8900" w:type="dxa"/>
            <w:gridSpan w:val="3"/>
            <w:shd w:val="clear" w:color="auto" w:fill="D9D9D9" w:themeFill="background1" w:themeFillShade="D9"/>
          </w:tcPr>
          <w:p w14:paraId="4A554574" w14:textId="0A650FF8" w:rsidR="00AC5949" w:rsidRPr="00BD79B2" w:rsidRDefault="00AC5949" w:rsidP="00FD216A">
            <w:pPr>
              <w:tabs>
                <w:tab w:val="decimal" w:pos="1104"/>
              </w:tabs>
              <w:rPr>
                <w:b/>
                <w:snapToGrid w:val="0"/>
                <w:szCs w:val="24"/>
              </w:rPr>
            </w:pPr>
            <w:r w:rsidRPr="00BD79B2">
              <w:rPr>
                <w:b/>
                <w:snapToGrid w:val="0"/>
                <w:szCs w:val="24"/>
              </w:rPr>
              <w:t>Transfers in:</w:t>
            </w:r>
          </w:p>
        </w:tc>
      </w:tr>
      <w:tr w:rsidR="00FD216A" w:rsidRPr="00AF3DCD" w14:paraId="134117FD" w14:textId="77777777" w:rsidTr="00746F3D">
        <w:trPr>
          <w:trHeight w:val="247"/>
        </w:trPr>
        <w:tc>
          <w:tcPr>
            <w:tcW w:w="6207" w:type="dxa"/>
          </w:tcPr>
          <w:p w14:paraId="4115A55A" w14:textId="77777777" w:rsidR="00FD216A" w:rsidRPr="007446B1" w:rsidRDefault="00FD216A" w:rsidP="00FA71D8">
            <w:pPr>
              <w:pStyle w:val="ListParagraph"/>
              <w:numPr>
                <w:ilvl w:val="0"/>
                <w:numId w:val="25"/>
              </w:numPr>
              <w:rPr>
                <w:snapToGrid w:val="0"/>
                <w:szCs w:val="24"/>
              </w:rPr>
            </w:pPr>
            <w:r w:rsidRPr="007446B1">
              <w:rPr>
                <w:snapToGrid w:val="0"/>
                <w:szCs w:val="24"/>
              </w:rPr>
              <w:t>Individual transfers from other schemes</w:t>
            </w:r>
          </w:p>
        </w:tc>
        <w:tc>
          <w:tcPr>
            <w:tcW w:w="1418" w:type="dxa"/>
            <w:vAlign w:val="center"/>
          </w:tcPr>
          <w:p w14:paraId="7675413D" w14:textId="64F01B04" w:rsidR="00FD216A" w:rsidRPr="007446B1" w:rsidRDefault="00FD216A" w:rsidP="00746F3D">
            <w:pPr>
              <w:tabs>
                <w:tab w:val="decimal" w:pos="1104"/>
              </w:tabs>
              <w:jc w:val="right"/>
              <w:rPr>
                <w:snapToGrid w:val="0"/>
                <w:szCs w:val="24"/>
              </w:rPr>
            </w:pPr>
            <w:r w:rsidRPr="007446B1">
              <w:rPr>
                <w:snapToGrid w:val="0"/>
                <w:szCs w:val="24"/>
              </w:rPr>
              <w:t>(</w:t>
            </w:r>
            <w:r w:rsidR="00046E3D" w:rsidRPr="007446B1">
              <w:rPr>
                <w:snapToGrid w:val="0"/>
                <w:szCs w:val="24"/>
              </w:rPr>
              <w:t>182</w:t>
            </w:r>
            <w:r w:rsidRPr="007446B1">
              <w:rPr>
                <w:snapToGrid w:val="0"/>
                <w:szCs w:val="24"/>
              </w:rPr>
              <w:t>)</w:t>
            </w:r>
          </w:p>
        </w:tc>
        <w:tc>
          <w:tcPr>
            <w:tcW w:w="1275" w:type="dxa"/>
            <w:vAlign w:val="center"/>
          </w:tcPr>
          <w:p w14:paraId="4AD61DC6" w14:textId="7A48B44B" w:rsidR="00FD216A" w:rsidRPr="007446B1" w:rsidRDefault="00FD216A" w:rsidP="00746F3D">
            <w:pPr>
              <w:tabs>
                <w:tab w:val="decimal" w:pos="1104"/>
              </w:tabs>
              <w:jc w:val="right"/>
              <w:rPr>
                <w:snapToGrid w:val="0"/>
                <w:szCs w:val="24"/>
              </w:rPr>
            </w:pPr>
            <w:r w:rsidRPr="007446B1">
              <w:rPr>
                <w:snapToGrid w:val="0"/>
                <w:szCs w:val="24"/>
              </w:rPr>
              <w:t>(210)</w:t>
            </w:r>
          </w:p>
        </w:tc>
      </w:tr>
      <w:tr w:rsidR="00FD216A" w:rsidRPr="00AF3DCD" w14:paraId="70FB3365" w14:textId="77777777" w:rsidTr="00746F3D">
        <w:trPr>
          <w:trHeight w:val="247"/>
        </w:trPr>
        <w:tc>
          <w:tcPr>
            <w:tcW w:w="6207" w:type="dxa"/>
          </w:tcPr>
          <w:p w14:paraId="347EDC7C" w14:textId="77777777" w:rsidR="00FD216A" w:rsidRPr="007446B1" w:rsidRDefault="00FD216A" w:rsidP="007446B1">
            <w:pPr>
              <w:ind w:left="396" w:hanging="284"/>
              <w:rPr>
                <w:b/>
                <w:snapToGrid w:val="0"/>
                <w:szCs w:val="24"/>
              </w:rPr>
            </w:pPr>
            <w:r w:rsidRPr="007446B1">
              <w:rPr>
                <w:b/>
                <w:snapToGrid w:val="0"/>
                <w:szCs w:val="24"/>
              </w:rPr>
              <w:t>Total Income to the Fund</w:t>
            </w:r>
          </w:p>
        </w:tc>
        <w:tc>
          <w:tcPr>
            <w:tcW w:w="1418" w:type="dxa"/>
            <w:vAlign w:val="center"/>
          </w:tcPr>
          <w:p w14:paraId="01DD441D" w14:textId="0B5FA764" w:rsidR="00FD216A" w:rsidRPr="007446B1" w:rsidRDefault="00FD216A" w:rsidP="00746F3D">
            <w:pPr>
              <w:tabs>
                <w:tab w:val="decimal" w:pos="1104"/>
              </w:tabs>
              <w:jc w:val="right"/>
              <w:rPr>
                <w:b/>
                <w:snapToGrid w:val="0"/>
                <w:szCs w:val="24"/>
              </w:rPr>
            </w:pPr>
            <w:r w:rsidRPr="007446B1">
              <w:rPr>
                <w:b/>
                <w:snapToGrid w:val="0"/>
                <w:szCs w:val="24"/>
              </w:rPr>
              <w:t>(</w:t>
            </w:r>
            <w:r w:rsidR="00046E3D" w:rsidRPr="007446B1">
              <w:rPr>
                <w:b/>
                <w:snapToGrid w:val="0"/>
                <w:szCs w:val="24"/>
              </w:rPr>
              <w:t>11,42</w:t>
            </w:r>
            <w:r w:rsidR="00BA7C0E" w:rsidRPr="007446B1">
              <w:rPr>
                <w:b/>
                <w:snapToGrid w:val="0"/>
                <w:szCs w:val="24"/>
              </w:rPr>
              <w:t>7</w:t>
            </w:r>
            <w:r w:rsidRPr="007446B1">
              <w:rPr>
                <w:b/>
                <w:snapToGrid w:val="0"/>
                <w:szCs w:val="24"/>
              </w:rPr>
              <w:t>)</w:t>
            </w:r>
          </w:p>
        </w:tc>
        <w:tc>
          <w:tcPr>
            <w:tcW w:w="1275" w:type="dxa"/>
            <w:vAlign w:val="center"/>
          </w:tcPr>
          <w:p w14:paraId="0379C159" w14:textId="04DFEDF7" w:rsidR="00FD216A" w:rsidRPr="007446B1" w:rsidRDefault="00FD216A" w:rsidP="00746F3D">
            <w:pPr>
              <w:tabs>
                <w:tab w:val="decimal" w:pos="1104"/>
              </w:tabs>
              <w:jc w:val="right"/>
              <w:rPr>
                <w:b/>
                <w:snapToGrid w:val="0"/>
                <w:szCs w:val="24"/>
              </w:rPr>
            </w:pPr>
            <w:r w:rsidRPr="007446B1">
              <w:rPr>
                <w:b/>
                <w:snapToGrid w:val="0"/>
                <w:szCs w:val="24"/>
              </w:rPr>
              <w:t>(13,633)</w:t>
            </w:r>
          </w:p>
        </w:tc>
      </w:tr>
    </w:tbl>
    <w:p w14:paraId="2ECDE9A4" w14:textId="77777777" w:rsidR="00EC3487" w:rsidRDefault="00EC3487"/>
    <w:tbl>
      <w:tblPr>
        <w:tblW w:w="89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07"/>
        <w:gridCol w:w="1418"/>
        <w:gridCol w:w="1275"/>
      </w:tblGrid>
      <w:tr w:rsidR="00AC5949" w:rsidRPr="00AF3DCD" w14:paraId="52E0944A" w14:textId="77777777" w:rsidTr="00982FEC">
        <w:trPr>
          <w:trHeight w:val="247"/>
        </w:trPr>
        <w:tc>
          <w:tcPr>
            <w:tcW w:w="8900" w:type="dxa"/>
            <w:gridSpan w:val="3"/>
            <w:shd w:val="clear" w:color="auto" w:fill="D9D9D9" w:themeFill="background1" w:themeFillShade="D9"/>
          </w:tcPr>
          <w:p w14:paraId="6E62799E" w14:textId="4DDC0A4A" w:rsidR="00AC5949" w:rsidRPr="00BD79B2" w:rsidRDefault="00AC5949" w:rsidP="00FD216A">
            <w:pPr>
              <w:tabs>
                <w:tab w:val="decimal" w:pos="1104"/>
              </w:tabs>
              <w:rPr>
                <w:b/>
                <w:snapToGrid w:val="0"/>
                <w:szCs w:val="24"/>
              </w:rPr>
            </w:pPr>
            <w:r w:rsidRPr="00BD79B2">
              <w:rPr>
                <w:b/>
                <w:snapToGrid w:val="0"/>
                <w:szCs w:val="24"/>
              </w:rPr>
              <w:t>Spending by the fund</w:t>
            </w:r>
          </w:p>
        </w:tc>
      </w:tr>
      <w:tr w:rsidR="00AC5949" w:rsidRPr="00AF3DCD" w14:paraId="291BAA72" w14:textId="77777777" w:rsidTr="00982FEC">
        <w:trPr>
          <w:trHeight w:val="247"/>
        </w:trPr>
        <w:tc>
          <w:tcPr>
            <w:tcW w:w="8900" w:type="dxa"/>
            <w:gridSpan w:val="3"/>
            <w:shd w:val="clear" w:color="auto" w:fill="D9D9D9" w:themeFill="background1" w:themeFillShade="D9"/>
          </w:tcPr>
          <w:p w14:paraId="496454F2" w14:textId="055355E2" w:rsidR="00AC5949" w:rsidRPr="00BD79B2" w:rsidRDefault="00AC5949" w:rsidP="00FD216A">
            <w:pPr>
              <w:tabs>
                <w:tab w:val="decimal" w:pos="1104"/>
              </w:tabs>
              <w:rPr>
                <w:b/>
                <w:snapToGrid w:val="0"/>
                <w:szCs w:val="24"/>
              </w:rPr>
            </w:pPr>
            <w:r w:rsidRPr="00BD79B2">
              <w:rPr>
                <w:b/>
                <w:snapToGrid w:val="0"/>
                <w:szCs w:val="24"/>
              </w:rPr>
              <w:t>Benefits payable:</w:t>
            </w:r>
          </w:p>
        </w:tc>
      </w:tr>
      <w:tr w:rsidR="00FD216A" w:rsidRPr="00AF3DCD" w14:paraId="773EC1D3" w14:textId="77777777" w:rsidTr="00746F3D">
        <w:trPr>
          <w:trHeight w:val="247"/>
        </w:trPr>
        <w:tc>
          <w:tcPr>
            <w:tcW w:w="6207" w:type="dxa"/>
          </w:tcPr>
          <w:p w14:paraId="2566ABC9" w14:textId="77777777" w:rsidR="00FD216A" w:rsidRPr="007446B1" w:rsidRDefault="00FD216A" w:rsidP="00FA71D8">
            <w:pPr>
              <w:pStyle w:val="ListParagraph"/>
              <w:numPr>
                <w:ilvl w:val="0"/>
                <w:numId w:val="24"/>
              </w:numPr>
              <w:rPr>
                <w:snapToGrid w:val="0"/>
                <w:szCs w:val="24"/>
              </w:rPr>
            </w:pPr>
            <w:r w:rsidRPr="007446B1">
              <w:rPr>
                <w:snapToGrid w:val="0"/>
                <w:szCs w:val="24"/>
              </w:rPr>
              <w:t>Pension payments</w:t>
            </w:r>
          </w:p>
        </w:tc>
        <w:tc>
          <w:tcPr>
            <w:tcW w:w="1418" w:type="dxa"/>
            <w:vAlign w:val="center"/>
          </w:tcPr>
          <w:p w14:paraId="6ED905B9" w14:textId="48E9148F" w:rsidR="00FD216A" w:rsidRPr="007446B1" w:rsidRDefault="00046E3D" w:rsidP="00746F3D">
            <w:pPr>
              <w:tabs>
                <w:tab w:val="decimal" w:pos="1104"/>
              </w:tabs>
              <w:jc w:val="right"/>
              <w:rPr>
                <w:snapToGrid w:val="0"/>
                <w:szCs w:val="24"/>
              </w:rPr>
            </w:pPr>
            <w:r w:rsidRPr="007446B1">
              <w:rPr>
                <w:snapToGrid w:val="0"/>
                <w:szCs w:val="24"/>
              </w:rPr>
              <w:t>23,1</w:t>
            </w:r>
            <w:r w:rsidR="00BA7C0E" w:rsidRPr="007446B1">
              <w:rPr>
                <w:snapToGrid w:val="0"/>
                <w:szCs w:val="24"/>
              </w:rPr>
              <w:t>70</w:t>
            </w:r>
          </w:p>
        </w:tc>
        <w:tc>
          <w:tcPr>
            <w:tcW w:w="1275" w:type="dxa"/>
            <w:vAlign w:val="center"/>
          </w:tcPr>
          <w:p w14:paraId="7F799B10" w14:textId="53D0CD2E" w:rsidR="00FD216A" w:rsidRPr="007446B1" w:rsidRDefault="00FD216A" w:rsidP="00746F3D">
            <w:pPr>
              <w:tabs>
                <w:tab w:val="decimal" w:pos="1104"/>
              </w:tabs>
              <w:jc w:val="right"/>
              <w:rPr>
                <w:snapToGrid w:val="0"/>
                <w:szCs w:val="24"/>
              </w:rPr>
            </w:pPr>
            <w:r w:rsidRPr="007446B1">
              <w:rPr>
                <w:snapToGrid w:val="0"/>
                <w:szCs w:val="24"/>
              </w:rPr>
              <w:t>22,394</w:t>
            </w:r>
          </w:p>
        </w:tc>
      </w:tr>
      <w:tr w:rsidR="00FD216A" w:rsidRPr="00AF3DCD" w14:paraId="48ED29A6" w14:textId="77777777" w:rsidTr="00746F3D">
        <w:trPr>
          <w:trHeight w:val="247"/>
        </w:trPr>
        <w:tc>
          <w:tcPr>
            <w:tcW w:w="6207" w:type="dxa"/>
          </w:tcPr>
          <w:p w14:paraId="3D9EB629" w14:textId="77777777" w:rsidR="00FD216A" w:rsidRPr="007446B1" w:rsidRDefault="00FD216A" w:rsidP="00FA71D8">
            <w:pPr>
              <w:pStyle w:val="ListParagraph"/>
              <w:numPr>
                <w:ilvl w:val="0"/>
                <w:numId w:val="24"/>
              </w:numPr>
              <w:rPr>
                <w:snapToGrid w:val="0"/>
                <w:szCs w:val="24"/>
              </w:rPr>
            </w:pPr>
            <w:r w:rsidRPr="007446B1">
              <w:rPr>
                <w:snapToGrid w:val="0"/>
                <w:szCs w:val="24"/>
              </w:rPr>
              <w:t>Commutations of pensions and lump-sum retirement benefits</w:t>
            </w:r>
          </w:p>
        </w:tc>
        <w:tc>
          <w:tcPr>
            <w:tcW w:w="1418" w:type="dxa"/>
            <w:vAlign w:val="center"/>
          </w:tcPr>
          <w:p w14:paraId="0CBF1C23" w14:textId="2D8973AD" w:rsidR="00FD216A" w:rsidRPr="007446B1" w:rsidRDefault="00046E3D" w:rsidP="00746F3D">
            <w:pPr>
              <w:tabs>
                <w:tab w:val="decimal" w:pos="1104"/>
              </w:tabs>
              <w:jc w:val="right"/>
              <w:rPr>
                <w:snapToGrid w:val="0"/>
                <w:szCs w:val="24"/>
              </w:rPr>
            </w:pPr>
            <w:r w:rsidRPr="007446B1">
              <w:rPr>
                <w:snapToGrid w:val="0"/>
                <w:szCs w:val="24"/>
              </w:rPr>
              <w:t>6</w:t>
            </w:r>
            <w:r w:rsidR="00A96AD0" w:rsidRPr="007446B1">
              <w:rPr>
                <w:snapToGrid w:val="0"/>
                <w:szCs w:val="24"/>
              </w:rPr>
              <w:t>,</w:t>
            </w:r>
            <w:r w:rsidRPr="007446B1">
              <w:rPr>
                <w:snapToGrid w:val="0"/>
                <w:szCs w:val="24"/>
              </w:rPr>
              <w:t>041</w:t>
            </w:r>
          </w:p>
        </w:tc>
        <w:tc>
          <w:tcPr>
            <w:tcW w:w="1275" w:type="dxa"/>
            <w:vAlign w:val="center"/>
          </w:tcPr>
          <w:p w14:paraId="1A29995C" w14:textId="479E1B79" w:rsidR="00FD216A" w:rsidRPr="007446B1" w:rsidRDefault="00FD216A" w:rsidP="00746F3D">
            <w:pPr>
              <w:tabs>
                <w:tab w:val="decimal" w:pos="1104"/>
              </w:tabs>
              <w:jc w:val="right"/>
              <w:rPr>
                <w:snapToGrid w:val="0"/>
                <w:szCs w:val="24"/>
              </w:rPr>
            </w:pPr>
            <w:r w:rsidRPr="007446B1">
              <w:rPr>
                <w:snapToGrid w:val="0"/>
                <w:szCs w:val="24"/>
              </w:rPr>
              <w:t>7,284</w:t>
            </w:r>
          </w:p>
        </w:tc>
      </w:tr>
    </w:tbl>
    <w:p w14:paraId="2C8913D8" w14:textId="77777777" w:rsidR="00EC3487" w:rsidRDefault="00EC3487"/>
    <w:tbl>
      <w:tblPr>
        <w:tblW w:w="89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07"/>
        <w:gridCol w:w="1418"/>
        <w:gridCol w:w="1275"/>
      </w:tblGrid>
      <w:tr w:rsidR="00AC5949" w:rsidRPr="00AF3DCD" w14:paraId="30EF4847" w14:textId="77777777" w:rsidTr="00982FEC">
        <w:trPr>
          <w:trHeight w:val="247"/>
        </w:trPr>
        <w:tc>
          <w:tcPr>
            <w:tcW w:w="8900" w:type="dxa"/>
            <w:gridSpan w:val="3"/>
            <w:shd w:val="clear" w:color="auto" w:fill="D9D9D9" w:themeFill="background1" w:themeFillShade="D9"/>
          </w:tcPr>
          <w:p w14:paraId="00FE2572" w14:textId="1392B119" w:rsidR="00AC5949" w:rsidRPr="00BD79B2" w:rsidRDefault="00AC5949" w:rsidP="00FD216A">
            <w:pPr>
              <w:tabs>
                <w:tab w:val="decimal" w:pos="1104"/>
              </w:tabs>
              <w:rPr>
                <w:b/>
                <w:snapToGrid w:val="0"/>
                <w:szCs w:val="24"/>
              </w:rPr>
            </w:pPr>
            <w:r w:rsidRPr="00BD79B2">
              <w:rPr>
                <w:b/>
                <w:snapToGrid w:val="0"/>
                <w:szCs w:val="24"/>
              </w:rPr>
              <w:t>Transfers out:</w:t>
            </w:r>
          </w:p>
        </w:tc>
      </w:tr>
      <w:tr w:rsidR="00FD216A" w:rsidRPr="00AF3DCD" w14:paraId="54677730" w14:textId="77777777" w:rsidTr="00746F3D">
        <w:trPr>
          <w:trHeight w:val="381"/>
        </w:trPr>
        <w:tc>
          <w:tcPr>
            <w:tcW w:w="6207" w:type="dxa"/>
          </w:tcPr>
          <w:p w14:paraId="66B498AB" w14:textId="77777777" w:rsidR="00FD216A" w:rsidRPr="007446B1" w:rsidRDefault="00FD216A" w:rsidP="00FA71D8">
            <w:pPr>
              <w:pStyle w:val="ListParagraph"/>
              <w:numPr>
                <w:ilvl w:val="0"/>
                <w:numId w:val="23"/>
              </w:numPr>
              <w:rPr>
                <w:snapToGrid w:val="0"/>
                <w:szCs w:val="24"/>
              </w:rPr>
            </w:pPr>
            <w:r w:rsidRPr="007446B1">
              <w:rPr>
                <w:snapToGrid w:val="0"/>
                <w:szCs w:val="24"/>
              </w:rPr>
              <w:t>Individual transfers out to other schemes</w:t>
            </w:r>
          </w:p>
        </w:tc>
        <w:tc>
          <w:tcPr>
            <w:tcW w:w="1418" w:type="dxa"/>
            <w:vAlign w:val="center"/>
          </w:tcPr>
          <w:p w14:paraId="3951CB66" w14:textId="3EF05D46" w:rsidR="00FD216A" w:rsidRPr="007446B1" w:rsidRDefault="00FD216A" w:rsidP="00746F3D">
            <w:pPr>
              <w:tabs>
                <w:tab w:val="decimal" w:pos="1104"/>
              </w:tabs>
              <w:jc w:val="right"/>
              <w:rPr>
                <w:snapToGrid w:val="0"/>
                <w:szCs w:val="24"/>
              </w:rPr>
            </w:pPr>
            <w:r w:rsidRPr="007446B1">
              <w:rPr>
                <w:snapToGrid w:val="0"/>
                <w:szCs w:val="24"/>
              </w:rPr>
              <w:t>-</w:t>
            </w:r>
          </w:p>
        </w:tc>
        <w:tc>
          <w:tcPr>
            <w:tcW w:w="1275" w:type="dxa"/>
            <w:vAlign w:val="center"/>
          </w:tcPr>
          <w:p w14:paraId="7A48C2D6" w14:textId="673F1864" w:rsidR="00FD216A" w:rsidRPr="007446B1" w:rsidRDefault="00BA4CBD" w:rsidP="00746F3D">
            <w:pPr>
              <w:tabs>
                <w:tab w:val="decimal" w:pos="1104"/>
              </w:tabs>
              <w:jc w:val="right"/>
              <w:rPr>
                <w:snapToGrid w:val="0"/>
                <w:szCs w:val="24"/>
              </w:rPr>
            </w:pPr>
            <w:r>
              <w:rPr>
                <w:snapToGrid w:val="0"/>
                <w:szCs w:val="24"/>
              </w:rPr>
              <w:t>-</w:t>
            </w:r>
          </w:p>
        </w:tc>
      </w:tr>
      <w:tr w:rsidR="00FD216A" w:rsidRPr="00AF3DCD" w14:paraId="531585B2" w14:textId="77777777" w:rsidTr="00746F3D">
        <w:trPr>
          <w:trHeight w:val="80"/>
        </w:trPr>
        <w:tc>
          <w:tcPr>
            <w:tcW w:w="6207" w:type="dxa"/>
          </w:tcPr>
          <w:p w14:paraId="20545890" w14:textId="77777777" w:rsidR="00FD216A" w:rsidRPr="007446B1" w:rsidRDefault="00FD216A" w:rsidP="00FA71D8">
            <w:pPr>
              <w:pStyle w:val="ListParagraph"/>
              <w:numPr>
                <w:ilvl w:val="0"/>
                <w:numId w:val="23"/>
              </w:numPr>
              <w:rPr>
                <w:snapToGrid w:val="0"/>
                <w:szCs w:val="24"/>
              </w:rPr>
            </w:pPr>
            <w:r w:rsidRPr="007446B1">
              <w:rPr>
                <w:snapToGrid w:val="0"/>
                <w:szCs w:val="24"/>
              </w:rPr>
              <w:t>Refunds of contributions</w:t>
            </w:r>
          </w:p>
        </w:tc>
        <w:tc>
          <w:tcPr>
            <w:tcW w:w="1418" w:type="dxa"/>
            <w:vAlign w:val="center"/>
          </w:tcPr>
          <w:p w14:paraId="5ED643E8" w14:textId="77777777" w:rsidR="00FD216A" w:rsidRPr="007446B1" w:rsidRDefault="00FD216A" w:rsidP="00746F3D">
            <w:pPr>
              <w:tabs>
                <w:tab w:val="decimal" w:pos="1104"/>
              </w:tabs>
              <w:jc w:val="right"/>
              <w:rPr>
                <w:snapToGrid w:val="0"/>
                <w:szCs w:val="24"/>
              </w:rPr>
            </w:pPr>
            <w:r w:rsidRPr="007446B1">
              <w:rPr>
                <w:snapToGrid w:val="0"/>
                <w:szCs w:val="24"/>
              </w:rPr>
              <w:t>-</w:t>
            </w:r>
          </w:p>
        </w:tc>
        <w:tc>
          <w:tcPr>
            <w:tcW w:w="1275" w:type="dxa"/>
            <w:vAlign w:val="center"/>
          </w:tcPr>
          <w:p w14:paraId="33FB8477" w14:textId="646B7D5D" w:rsidR="00FD216A" w:rsidRPr="007446B1" w:rsidRDefault="00FD216A" w:rsidP="00746F3D">
            <w:pPr>
              <w:tabs>
                <w:tab w:val="decimal" w:pos="1104"/>
              </w:tabs>
              <w:jc w:val="right"/>
              <w:rPr>
                <w:snapToGrid w:val="0"/>
                <w:szCs w:val="24"/>
              </w:rPr>
            </w:pPr>
            <w:r w:rsidRPr="007446B1">
              <w:rPr>
                <w:snapToGrid w:val="0"/>
                <w:szCs w:val="24"/>
              </w:rPr>
              <w:t>-</w:t>
            </w:r>
          </w:p>
        </w:tc>
      </w:tr>
      <w:tr w:rsidR="00FD216A" w:rsidRPr="00AF3DCD" w14:paraId="5DB30FA0" w14:textId="77777777" w:rsidTr="00746F3D">
        <w:trPr>
          <w:trHeight w:val="247"/>
        </w:trPr>
        <w:tc>
          <w:tcPr>
            <w:tcW w:w="6207" w:type="dxa"/>
          </w:tcPr>
          <w:p w14:paraId="794EA8A8" w14:textId="77777777" w:rsidR="00FD216A" w:rsidRPr="007446B1" w:rsidRDefault="00FD216A" w:rsidP="007446B1">
            <w:pPr>
              <w:ind w:left="396" w:hanging="284"/>
              <w:rPr>
                <w:b/>
                <w:snapToGrid w:val="0"/>
                <w:szCs w:val="24"/>
              </w:rPr>
            </w:pPr>
            <w:r w:rsidRPr="007446B1">
              <w:rPr>
                <w:b/>
                <w:snapToGrid w:val="0"/>
                <w:szCs w:val="24"/>
              </w:rPr>
              <w:t>Total Spending by the fund</w:t>
            </w:r>
          </w:p>
        </w:tc>
        <w:tc>
          <w:tcPr>
            <w:tcW w:w="1418" w:type="dxa"/>
            <w:vAlign w:val="center"/>
          </w:tcPr>
          <w:p w14:paraId="59A92965" w14:textId="6C6EFD1C" w:rsidR="00FD216A" w:rsidRPr="007446B1" w:rsidRDefault="00046E3D" w:rsidP="00746F3D">
            <w:pPr>
              <w:tabs>
                <w:tab w:val="decimal" w:pos="1104"/>
              </w:tabs>
              <w:jc w:val="right"/>
              <w:rPr>
                <w:b/>
                <w:snapToGrid w:val="0"/>
                <w:szCs w:val="24"/>
              </w:rPr>
            </w:pPr>
            <w:r w:rsidRPr="007446B1">
              <w:rPr>
                <w:b/>
                <w:snapToGrid w:val="0"/>
                <w:szCs w:val="24"/>
              </w:rPr>
              <w:t>29,211</w:t>
            </w:r>
          </w:p>
        </w:tc>
        <w:tc>
          <w:tcPr>
            <w:tcW w:w="1275" w:type="dxa"/>
            <w:vAlign w:val="center"/>
          </w:tcPr>
          <w:p w14:paraId="7C4E2A20" w14:textId="64B7520B" w:rsidR="00FD216A" w:rsidRPr="007446B1" w:rsidRDefault="00FD216A" w:rsidP="00746F3D">
            <w:pPr>
              <w:tabs>
                <w:tab w:val="decimal" w:pos="1104"/>
              </w:tabs>
              <w:jc w:val="right"/>
              <w:rPr>
                <w:b/>
                <w:snapToGrid w:val="0"/>
                <w:szCs w:val="24"/>
              </w:rPr>
            </w:pPr>
            <w:r w:rsidRPr="007446B1">
              <w:rPr>
                <w:b/>
                <w:snapToGrid w:val="0"/>
                <w:szCs w:val="24"/>
              </w:rPr>
              <w:t>29,678</w:t>
            </w:r>
          </w:p>
        </w:tc>
      </w:tr>
      <w:tr w:rsidR="00FD216A" w:rsidRPr="00AF3DCD" w14:paraId="53C0577D" w14:textId="77777777" w:rsidTr="00746F3D">
        <w:trPr>
          <w:trHeight w:val="494"/>
        </w:trPr>
        <w:tc>
          <w:tcPr>
            <w:tcW w:w="6207" w:type="dxa"/>
          </w:tcPr>
          <w:p w14:paraId="3F07E890" w14:textId="6C9B4E0F" w:rsidR="00FD216A" w:rsidRPr="007446B1" w:rsidRDefault="00FD216A" w:rsidP="00AC5949">
            <w:pPr>
              <w:ind w:left="396" w:hanging="284"/>
              <w:rPr>
                <w:b/>
                <w:snapToGrid w:val="0"/>
                <w:szCs w:val="24"/>
              </w:rPr>
            </w:pPr>
            <w:r w:rsidRPr="007446B1">
              <w:rPr>
                <w:b/>
                <w:snapToGrid w:val="0"/>
                <w:szCs w:val="24"/>
              </w:rPr>
              <w:t xml:space="preserve">Net amount receivable for the year before </w:t>
            </w:r>
            <w:proofErr w:type="gramStart"/>
            <w:r w:rsidRPr="007446B1">
              <w:rPr>
                <w:b/>
                <w:snapToGrid w:val="0"/>
                <w:szCs w:val="24"/>
              </w:rPr>
              <w:t>top</w:t>
            </w:r>
            <w:proofErr w:type="gramEnd"/>
            <w:r w:rsidRPr="007446B1">
              <w:rPr>
                <w:b/>
                <w:snapToGrid w:val="0"/>
                <w:szCs w:val="24"/>
              </w:rPr>
              <w:t xml:space="preserve"> up</w:t>
            </w:r>
            <w:r w:rsidR="000F5BFB">
              <w:rPr>
                <w:b/>
                <w:snapToGrid w:val="0"/>
                <w:szCs w:val="24"/>
              </w:rPr>
              <w:t xml:space="preserve"> </w:t>
            </w:r>
            <w:r w:rsidRPr="007446B1">
              <w:rPr>
                <w:b/>
                <w:snapToGrid w:val="0"/>
                <w:szCs w:val="24"/>
              </w:rPr>
              <w:t>grant receivable from central government</w:t>
            </w:r>
          </w:p>
        </w:tc>
        <w:tc>
          <w:tcPr>
            <w:tcW w:w="1418" w:type="dxa"/>
            <w:vAlign w:val="center"/>
          </w:tcPr>
          <w:p w14:paraId="2D71B21B" w14:textId="76497CFD" w:rsidR="00FD216A" w:rsidRPr="007446B1" w:rsidRDefault="00046E3D" w:rsidP="00746F3D">
            <w:pPr>
              <w:tabs>
                <w:tab w:val="decimal" w:pos="1104"/>
              </w:tabs>
              <w:jc w:val="right"/>
              <w:rPr>
                <w:b/>
                <w:snapToGrid w:val="0"/>
                <w:szCs w:val="24"/>
              </w:rPr>
            </w:pPr>
            <w:r w:rsidRPr="007446B1">
              <w:rPr>
                <w:b/>
                <w:snapToGrid w:val="0"/>
                <w:szCs w:val="24"/>
              </w:rPr>
              <w:t>17,784</w:t>
            </w:r>
          </w:p>
        </w:tc>
        <w:tc>
          <w:tcPr>
            <w:tcW w:w="1275" w:type="dxa"/>
            <w:vAlign w:val="center"/>
          </w:tcPr>
          <w:p w14:paraId="5ED60666" w14:textId="34C94E9B" w:rsidR="00FD216A" w:rsidRPr="007446B1" w:rsidRDefault="00FD216A" w:rsidP="00746F3D">
            <w:pPr>
              <w:tabs>
                <w:tab w:val="decimal" w:pos="1104"/>
              </w:tabs>
              <w:jc w:val="right"/>
              <w:rPr>
                <w:b/>
                <w:snapToGrid w:val="0"/>
                <w:szCs w:val="24"/>
              </w:rPr>
            </w:pPr>
            <w:r w:rsidRPr="007446B1">
              <w:rPr>
                <w:b/>
                <w:snapToGrid w:val="0"/>
                <w:szCs w:val="24"/>
              </w:rPr>
              <w:t>16,045</w:t>
            </w:r>
          </w:p>
        </w:tc>
      </w:tr>
      <w:tr w:rsidR="00AC5949" w:rsidRPr="00AF3DCD" w14:paraId="259C04C7" w14:textId="77777777" w:rsidTr="00746F3D">
        <w:trPr>
          <w:trHeight w:val="247"/>
        </w:trPr>
        <w:tc>
          <w:tcPr>
            <w:tcW w:w="6207" w:type="dxa"/>
          </w:tcPr>
          <w:p w14:paraId="14E9277C" w14:textId="5F924341" w:rsidR="00AC5949" w:rsidRPr="007446B1" w:rsidRDefault="00AC5949" w:rsidP="00AC5949">
            <w:pPr>
              <w:ind w:left="396" w:hanging="284"/>
              <w:rPr>
                <w:snapToGrid w:val="0"/>
                <w:szCs w:val="24"/>
              </w:rPr>
            </w:pPr>
            <w:r w:rsidRPr="007446B1">
              <w:rPr>
                <w:snapToGrid w:val="0"/>
                <w:szCs w:val="24"/>
              </w:rPr>
              <w:t>Top up grant receivable from central government</w:t>
            </w:r>
          </w:p>
        </w:tc>
        <w:tc>
          <w:tcPr>
            <w:tcW w:w="1418" w:type="dxa"/>
            <w:vAlign w:val="center"/>
          </w:tcPr>
          <w:p w14:paraId="4F9C880D" w14:textId="092B0310" w:rsidR="00AC5949" w:rsidRPr="007446B1" w:rsidRDefault="00AC5949" w:rsidP="00746F3D">
            <w:pPr>
              <w:tabs>
                <w:tab w:val="decimal" w:pos="1104"/>
              </w:tabs>
              <w:jc w:val="right"/>
              <w:rPr>
                <w:snapToGrid w:val="0"/>
                <w:szCs w:val="24"/>
              </w:rPr>
            </w:pPr>
            <w:r w:rsidRPr="007446B1">
              <w:rPr>
                <w:snapToGrid w:val="0"/>
                <w:szCs w:val="24"/>
              </w:rPr>
              <w:t>(17,784)</w:t>
            </w:r>
          </w:p>
        </w:tc>
        <w:tc>
          <w:tcPr>
            <w:tcW w:w="1275" w:type="dxa"/>
            <w:vAlign w:val="center"/>
          </w:tcPr>
          <w:p w14:paraId="2F4C8521" w14:textId="52213D40" w:rsidR="00AC5949" w:rsidRPr="007446B1" w:rsidRDefault="00AC5949" w:rsidP="00746F3D">
            <w:pPr>
              <w:tabs>
                <w:tab w:val="decimal" w:pos="1104"/>
              </w:tabs>
              <w:jc w:val="right"/>
              <w:rPr>
                <w:snapToGrid w:val="0"/>
                <w:szCs w:val="24"/>
              </w:rPr>
            </w:pPr>
            <w:r w:rsidRPr="007446B1">
              <w:rPr>
                <w:snapToGrid w:val="0"/>
                <w:szCs w:val="24"/>
              </w:rPr>
              <w:t>(16,045)</w:t>
            </w:r>
          </w:p>
        </w:tc>
      </w:tr>
      <w:tr w:rsidR="00AC5949" w:rsidRPr="00AF3DCD" w14:paraId="79E6CF3F" w14:textId="77777777" w:rsidTr="00746F3D">
        <w:trPr>
          <w:trHeight w:val="247"/>
        </w:trPr>
        <w:tc>
          <w:tcPr>
            <w:tcW w:w="6207" w:type="dxa"/>
          </w:tcPr>
          <w:p w14:paraId="32E39142" w14:textId="20CC0BF3" w:rsidR="00AC5949" w:rsidRPr="007446B1" w:rsidRDefault="00AC5949" w:rsidP="007446B1">
            <w:pPr>
              <w:ind w:left="396" w:hanging="284"/>
              <w:rPr>
                <w:snapToGrid w:val="0"/>
                <w:szCs w:val="24"/>
              </w:rPr>
            </w:pPr>
            <w:r w:rsidRPr="007446B1">
              <w:rPr>
                <w:b/>
                <w:snapToGrid w:val="0"/>
                <w:szCs w:val="24"/>
              </w:rPr>
              <w:t>Net amount receivable for the year</w:t>
            </w:r>
          </w:p>
        </w:tc>
        <w:tc>
          <w:tcPr>
            <w:tcW w:w="1418" w:type="dxa"/>
            <w:vAlign w:val="center"/>
          </w:tcPr>
          <w:p w14:paraId="5F4872C2" w14:textId="4EF33853" w:rsidR="00AC5949" w:rsidRPr="007446B1" w:rsidRDefault="00AC5949" w:rsidP="00746F3D">
            <w:pPr>
              <w:tabs>
                <w:tab w:val="decimal" w:pos="1104"/>
              </w:tabs>
              <w:jc w:val="right"/>
              <w:rPr>
                <w:snapToGrid w:val="0"/>
                <w:szCs w:val="24"/>
              </w:rPr>
            </w:pPr>
            <w:r w:rsidRPr="007446B1">
              <w:rPr>
                <w:b/>
                <w:snapToGrid w:val="0"/>
                <w:szCs w:val="24"/>
              </w:rPr>
              <w:t>-</w:t>
            </w:r>
          </w:p>
        </w:tc>
        <w:tc>
          <w:tcPr>
            <w:tcW w:w="1275" w:type="dxa"/>
            <w:shd w:val="clear" w:color="auto" w:fill="auto"/>
            <w:vAlign w:val="center"/>
          </w:tcPr>
          <w:p w14:paraId="0CA39063" w14:textId="63C4BA31" w:rsidR="00AC5949" w:rsidRPr="007446B1" w:rsidRDefault="00AC5949" w:rsidP="00746F3D">
            <w:pPr>
              <w:tabs>
                <w:tab w:val="decimal" w:pos="1104"/>
              </w:tabs>
              <w:jc w:val="right"/>
              <w:rPr>
                <w:snapToGrid w:val="0"/>
                <w:szCs w:val="24"/>
              </w:rPr>
            </w:pPr>
            <w:r w:rsidRPr="007446B1">
              <w:rPr>
                <w:b/>
                <w:snapToGrid w:val="0"/>
                <w:szCs w:val="24"/>
              </w:rPr>
              <w:t>-</w:t>
            </w:r>
          </w:p>
        </w:tc>
      </w:tr>
    </w:tbl>
    <w:p w14:paraId="672507F4" w14:textId="77777777" w:rsidR="00EC3487" w:rsidRDefault="00EC3487"/>
    <w:tbl>
      <w:tblPr>
        <w:tblW w:w="89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07"/>
        <w:gridCol w:w="1418"/>
        <w:gridCol w:w="1275"/>
      </w:tblGrid>
      <w:tr w:rsidR="00AC5949" w:rsidRPr="00AF3DCD" w14:paraId="3C433FF2" w14:textId="77777777" w:rsidTr="00611673">
        <w:trPr>
          <w:trHeight w:val="247"/>
        </w:trPr>
        <w:tc>
          <w:tcPr>
            <w:tcW w:w="6207" w:type="dxa"/>
            <w:shd w:val="clear" w:color="auto" w:fill="BD2716"/>
            <w:vAlign w:val="center"/>
          </w:tcPr>
          <w:p w14:paraId="51FAAE03" w14:textId="1D0E7715" w:rsidR="00AC5949" w:rsidRPr="00982FEC" w:rsidRDefault="00AC5949" w:rsidP="00611673">
            <w:pPr>
              <w:rPr>
                <w:bCs/>
                <w:snapToGrid w:val="0"/>
                <w:szCs w:val="24"/>
              </w:rPr>
            </w:pPr>
            <w:r w:rsidRPr="00982FEC">
              <w:rPr>
                <w:bCs/>
                <w:snapToGrid w:val="0"/>
                <w:color w:val="FFFFFF" w:themeColor="background1"/>
                <w:szCs w:val="24"/>
              </w:rPr>
              <w:t>Net Assets Statement</w:t>
            </w:r>
          </w:p>
        </w:tc>
        <w:tc>
          <w:tcPr>
            <w:tcW w:w="1418" w:type="dxa"/>
            <w:shd w:val="clear" w:color="auto" w:fill="BD2716"/>
            <w:vAlign w:val="center"/>
          </w:tcPr>
          <w:p w14:paraId="69F14C9C" w14:textId="77777777" w:rsidR="00982FEC" w:rsidRDefault="00AC5949" w:rsidP="00611673">
            <w:pPr>
              <w:jc w:val="right"/>
              <w:rPr>
                <w:color w:val="FFFFFF" w:themeColor="background1"/>
                <w:szCs w:val="24"/>
              </w:rPr>
            </w:pPr>
            <w:r w:rsidRPr="00982FEC">
              <w:rPr>
                <w:color w:val="FFFFFF" w:themeColor="background1"/>
                <w:szCs w:val="24"/>
              </w:rPr>
              <w:t>2022/</w:t>
            </w:r>
            <w:r w:rsidR="00982FEC">
              <w:rPr>
                <w:color w:val="FFFFFF" w:themeColor="background1"/>
                <w:szCs w:val="24"/>
              </w:rPr>
              <w:t>23</w:t>
            </w:r>
          </w:p>
          <w:p w14:paraId="18F28AF3" w14:textId="6914FC93" w:rsidR="001C191E" w:rsidRPr="00982FEC" w:rsidRDefault="001C191E" w:rsidP="00611673">
            <w:pPr>
              <w:jc w:val="right"/>
              <w:rPr>
                <w:color w:val="FFFFFF" w:themeColor="background1"/>
                <w:szCs w:val="24"/>
              </w:rPr>
            </w:pPr>
            <w:r w:rsidRPr="00982FEC">
              <w:rPr>
                <w:color w:val="FFFFFF" w:themeColor="background1"/>
                <w:szCs w:val="24"/>
              </w:rPr>
              <w:t>£00</w:t>
            </w:r>
            <w:r w:rsidR="00982FEC">
              <w:rPr>
                <w:color w:val="FFFFFF" w:themeColor="background1"/>
                <w:szCs w:val="24"/>
              </w:rPr>
              <w:t>0</w:t>
            </w:r>
          </w:p>
        </w:tc>
        <w:tc>
          <w:tcPr>
            <w:tcW w:w="1275" w:type="dxa"/>
            <w:shd w:val="clear" w:color="auto" w:fill="BD2716"/>
            <w:vAlign w:val="center"/>
          </w:tcPr>
          <w:p w14:paraId="3ACDA4F0" w14:textId="77777777" w:rsidR="00AC5949" w:rsidRPr="00982FEC" w:rsidRDefault="00AC5949" w:rsidP="00611673">
            <w:pPr>
              <w:jc w:val="right"/>
              <w:rPr>
                <w:color w:val="FFFFFF" w:themeColor="background1"/>
                <w:szCs w:val="24"/>
              </w:rPr>
            </w:pPr>
            <w:r w:rsidRPr="00982FEC">
              <w:rPr>
                <w:color w:val="FFFFFF" w:themeColor="background1"/>
                <w:szCs w:val="24"/>
              </w:rPr>
              <w:t>2021/22</w:t>
            </w:r>
          </w:p>
          <w:p w14:paraId="63E7520A" w14:textId="5AA7754A" w:rsidR="001C191E" w:rsidRPr="00982FEC" w:rsidRDefault="001C191E" w:rsidP="00611673">
            <w:pPr>
              <w:jc w:val="right"/>
              <w:rPr>
                <w:color w:val="FFFFFF" w:themeColor="background1"/>
                <w:szCs w:val="24"/>
              </w:rPr>
            </w:pPr>
            <w:r w:rsidRPr="00982FEC">
              <w:rPr>
                <w:color w:val="FFFFFF" w:themeColor="background1"/>
                <w:szCs w:val="24"/>
              </w:rPr>
              <w:t>£000</w:t>
            </w:r>
          </w:p>
        </w:tc>
      </w:tr>
      <w:tr w:rsidR="00AC5949" w:rsidRPr="00AF3DCD" w14:paraId="58F87DB9" w14:textId="77777777" w:rsidTr="00EC3487">
        <w:trPr>
          <w:trHeight w:val="247"/>
        </w:trPr>
        <w:tc>
          <w:tcPr>
            <w:tcW w:w="8900" w:type="dxa"/>
            <w:gridSpan w:val="3"/>
          </w:tcPr>
          <w:p w14:paraId="3F41C392" w14:textId="72EFE345" w:rsidR="00AC5949" w:rsidRPr="007446B1" w:rsidRDefault="00AC5949" w:rsidP="00AC5949">
            <w:pPr>
              <w:rPr>
                <w:snapToGrid w:val="0"/>
                <w:szCs w:val="24"/>
              </w:rPr>
            </w:pPr>
            <w:r w:rsidRPr="007446B1">
              <w:rPr>
                <w:snapToGrid w:val="0"/>
                <w:szCs w:val="24"/>
              </w:rPr>
              <w:t>Net current assets and liabilities:</w:t>
            </w:r>
          </w:p>
        </w:tc>
      </w:tr>
      <w:tr w:rsidR="00AC5949" w:rsidRPr="00AF3DCD" w14:paraId="10B8EC4A" w14:textId="77777777" w:rsidTr="00746F3D">
        <w:trPr>
          <w:trHeight w:val="247"/>
        </w:trPr>
        <w:tc>
          <w:tcPr>
            <w:tcW w:w="6207" w:type="dxa"/>
          </w:tcPr>
          <w:p w14:paraId="13B72DAC" w14:textId="6ABD0A1D" w:rsidR="00AC5949" w:rsidRPr="007446B1" w:rsidRDefault="00AC5949" w:rsidP="007446B1">
            <w:pPr>
              <w:ind w:left="396" w:hanging="284"/>
              <w:rPr>
                <w:snapToGrid w:val="0"/>
                <w:szCs w:val="24"/>
              </w:rPr>
            </w:pPr>
            <w:r w:rsidRPr="007446B1">
              <w:rPr>
                <w:snapToGrid w:val="0"/>
                <w:szCs w:val="24"/>
              </w:rPr>
              <w:t>- pensions top up grant receivable from central government</w:t>
            </w:r>
          </w:p>
        </w:tc>
        <w:tc>
          <w:tcPr>
            <w:tcW w:w="1418" w:type="dxa"/>
            <w:vAlign w:val="center"/>
          </w:tcPr>
          <w:p w14:paraId="755FDF8C" w14:textId="7139FB7C" w:rsidR="00AC5949" w:rsidRPr="007446B1" w:rsidRDefault="00AC5949" w:rsidP="00746F3D">
            <w:pPr>
              <w:tabs>
                <w:tab w:val="decimal" w:pos="821"/>
              </w:tabs>
              <w:jc w:val="right"/>
              <w:rPr>
                <w:snapToGrid w:val="0"/>
                <w:szCs w:val="24"/>
              </w:rPr>
            </w:pPr>
            <w:r w:rsidRPr="007446B1">
              <w:rPr>
                <w:snapToGrid w:val="0"/>
                <w:szCs w:val="24"/>
              </w:rPr>
              <w:t>(5,996)</w:t>
            </w:r>
          </w:p>
        </w:tc>
        <w:tc>
          <w:tcPr>
            <w:tcW w:w="1275" w:type="dxa"/>
            <w:vAlign w:val="center"/>
          </w:tcPr>
          <w:p w14:paraId="4E904BCE" w14:textId="5871B50A" w:rsidR="00AC5949" w:rsidRPr="007446B1" w:rsidRDefault="00AC5949" w:rsidP="00746F3D">
            <w:pPr>
              <w:tabs>
                <w:tab w:val="decimal" w:pos="821"/>
              </w:tabs>
              <w:jc w:val="right"/>
              <w:rPr>
                <w:snapToGrid w:val="0"/>
                <w:szCs w:val="24"/>
              </w:rPr>
            </w:pPr>
            <w:r w:rsidRPr="007446B1">
              <w:rPr>
                <w:snapToGrid w:val="0"/>
                <w:szCs w:val="24"/>
              </w:rPr>
              <w:t>(5,086)</w:t>
            </w:r>
          </w:p>
        </w:tc>
      </w:tr>
      <w:tr w:rsidR="00AC5949" w:rsidRPr="00AF3DCD" w14:paraId="765A9275" w14:textId="77777777" w:rsidTr="00746F3D">
        <w:trPr>
          <w:trHeight w:val="247"/>
        </w:trPr>
        <w:tc>
          <w:tcPr>
            <w:tcW w:w="6207" w:type="dxa"/>
          </w:tcPr>
          <w:p w14:paraId="214D8D2E" w14:textId="7EF4EB51" w:rsidR="00AC5949" w:rsidRPr="007446B1" w:rsidRDefault="00AC5949" w:rsidP="007446B1">
            <w:pPr>
              <w:ind w:left="396" w:hanging="284"/>
              <w:rPr>
                <w:snapToGrid w:val="0"/>
                <w:szCs w:val="24"/>
              </w:rPr>
            </w:pPr>
            <w:r w:rsidRPr="007446B1">
              <w:rPr>
                <w:snapToGrid w:val="0"/>
                <w:szCs w:val="24"/>
              </w:rPr>
              <w:t>- other current assets and liabilities (other than liabilities and other than benefits in the future)</w:t>
            </w:r>
          </w:p>
        </w:tc>
        <w:tc>
          <w:tcPr>
            <w:tcW w:w="1418" w:type="dxa"/>
            <w:vAlign w:val="center"/>
          </w:tcPr>
          <w:p w14:paraId="372DDD53" w14:textId="01A07F1F" w:rsidR="00AC5949" w:rsidRPr="007446B1" w:rsidRDefault="00AC5949" w:rsidP="00746F3D">
            <w:pPr>
              <w:tabs>
                <w:tab w:val="decimal" w:pos="1104"/>
              </w:tabs>
              <w:jc w:val="right"/>
              <w:rPr>
                <w:snapToGrid w:val="0"/>
                <w:szCs w:val="24"/>
              </w:rPr>
            </w:pPr>
            <w:r w:rsidRPr="007446B1">
              <w:rPr>
                <w:snapToGrid w:val="0"/>
                <w:szCs w:val="24"/>
              </w:rPr>
              <w:t>5,996</w:t>
            </w:r>
          </w:p>
        </w:tc>
        <w:tc>
          <w:tcPr>
            <w:tcW w:w="1275" w:type="dxa"/>
            <w:vAlign w:val="center"/>
          </w:tcPr>
          <w:p w14:paraId="479D3DD9" w14:textId="08753D09" w:rsidR="00AC5949" w:rsidRPr="007446B1" w:rsidRDefault="00AC5949" w:rsidP="00746F3D">
            <w:pPr>
              <w:tabs>
                <w:tab w:val="decimal" w:pos="1104"/>
              </w:tabs>
              <w:jc w:val="right"/>
              <w:rPr>
                <w:snapToGrid w:val="0"/>
                <w:szCs w:val="24"/>
              </w:rPr>
            </w:pPr>
            <w:r w:rsidRPr="007446B1">
              <w:rPr>
                <w:snapToGrid w:val="0"/>
                <w:szCs w:val="24"/>
              </w:rPr>
              <w:t>5,086</w:t>
            </w:r>
          </w:p>
        </w:tc>
      </w:tr>
      <w:tr w:rsidR="00AC5949" w:rsidRPr="00AF3DCD" w14:paraId="164910DE" w14:textId="77777777" w:rsidTr="00746F3D">
        <w:trPr>
          <w:trHeight w:val="247"/>
        </w:trPr>
        <w:tc>
          <w:tcPr>
            <w:tcW w:w="6207" w:type="dxa"/>
          </w:tcPr>
          <w:p w14:paraId="1E2FCD06" w14:textId="24E46DBF" w:rsidR="00AC5949" w:rsidRPr="007446B1" w:rsidRDefault="00AC5949" w:rsidP="007446B1">
            <w:pPr>
              <w:ind w:left="396" w:hanging="284"/>
              <w:rPr>
                <w:snapToGrid w:val="0"/>
                <w:szCs w:val="24"/>
              </w:rPr>
            </w:pPr>
            <w:r w:rsidRPr="007446B1">
              <w:rPr>
                <w:b/>
                <w:snapToGrid w:val="0"/>
                <w:szCs w:val="24"/>
              </w:rPr>
              <w:t>Net current assets at the end of the year</w:t>
            </w:r>
          </w:p>
        </w:tc>
        <w:tc>
          <w:tcPr>
            <w:tcW w:w="1418" w:type="dxa"/>
            <w:vAlign w:val="center"/>
          </w:tcPr>
          <w:p w14:paraId="2AD92D42" w14:textId="6A52F4C7" w:rsidR="00AC5949" w:rsidRPr="007446B1" w:rsidRDefault="00AC5949" w:rsidP="00746F3D">
            <w:pPr>
              <w:tabs>
                <w:tab w:val="decimal" w:pos="962"/>
                <w:tab w:val="decimal" w:pos="1104"/>
              </w:tabs>
              <w:jc w:val="right"/>
              <w:rPr>
                <w:snapToGrid w:val="0"/>
                <w:szCs w:val="24"/>
              </w:rPr>
            </w:pPr>
            <w:r w:rsidRPr="007446B1">
              <w:rPr>
                <w:b/>
                <w:snapToGrid w:val="0"/>
                <w:szCs w:val="24"/>
              </w:rPr>
              <w:t>-</w:t>
            </w:r>
          </w:p>
        </w:tc>
        <w:tc>
          <w:tcPr>
            <w:tcW w:w="1275" w:type="dxa"/>
            <w:vAlign w:val="center"/>
          </w:tcPr>
          <w:p w14:paraId="5C0711F7" w14:textId="0B855F92" w:rsidR="00AC5949" w:rsidRPr="007446B1" w:rsidRDefault="00AC5949" w:rsidP="00746F3D">
            <w:pPr>
              <w:tabs>
                <w:tab w:val="decimal" w:pos="962"/>
                <w:tab w:val="decimal" w:pos="1103"/>
              </w:tabs>
              <w:jc w:val="right"/>
              <w:rPr>
                <w:snapToGrid w:val="0"/>
                <w:szCs w:val="24"/>
              </w:rPr>
            </w:pPr>
            <w:r w:rsidRPr="007446B1">
              <w:rPr>
                <w:b/>
                <w:snapToGrid w:val="0"/>
                <w:szCs w:val="24"/>
              </w:rPr>
              <w:t>-</w:t>
            </w:r>
          </w:p>
        </w:tc>
      </w:tr>
    </w:tbl>
    <w:p w14:paraId="729C40D0" w14:textId="77777777" w:rsidR="00D90216" w:rsidRPr="00AF3DCD" w:rsidRDefault="00D90216" w:rsidP="00D90216">
      <w:pPr>
        <w:rPr>
          <w:sz w:val="22"/>
        </w:rPr>
      </w:pPr>
      <w:r w:rsidRPr="00AF3DCD">
        <w:rPr>
          <w:sz w:val="22"/>
        </w:rPr>
        <w:br w:type="page"/>
      </w:r>
    </w:p>
    <w:p w14:paraId="6F6F5176" w14:textId="77777777" w:rsidR="00D90216" w:rsidRPr="006563F1" w:rsidRDefault="00D90216" w:rsidP="000F5BFB">
      <w:pPr>
        <w:rPr>
          <w:b/>
          <w:szCs w:val="24"/>
        </w:rPr>
      </w:pPr>
      <w:r w:rsidRPr="006563F1">
        <w:rPr>
          <w:b/>
          <w:szCs w:val="24"/>
        </w:rPr>
        <w:lastRenderedPageBreak/>
        <w:t>Firefighters Pension Fund Notes</w:t>
      </w:r>
    </w:p>
    <w:p w14:paraId="1C951D45" w14:textId="77777777" w:rsidR="00D90216" w:rsidRPr="007446B1" w:rsidRDefault="00D90216" w:rsidP="000F5BFB">
      <w:pPr>
        <w:rPr>
          <w:b/>
          <w:szCs w:val="24"/>
        </w:rPr>
      </w:pPr>
    </w:p>
    <w:p w14:paraId="1F90AE38" w14:textId="65F486D4" w:rsidR="00D90216" w:rsidRPr="007446B1" w:rsidRDefault="00D90216" w:rsidP="000F5BFB">
      <w:pPr>
        <w:rPr>
          <w:szCs w:val="24"/>
        </w:rPr>
      </w:pPr>
      <w:r w:rsidRPr="007446B1">
        <w:rPr>
          <w:szCs w:val="24"/>
        </w:rPr>
        <w:t xml:space="preserve">The </w:t>
      </w:r>
      <w:r w:rsidR="009C1C8D" w:rsidRPr="007446B1">
        <w:rPr>
          <w:szCs w:val="24"/>
        </w:rPr>
        <w:t xml:space="preserve">four </w:t>
      </w:r>
      <w:r w:rsidRPr="007446B1">
        <w:rPr>
          <w:szCs w:val="24"/>
        </w:rPr>
        <w:t xml:space="preserve">firefighters pension schemes </w:t>
      </w:r>
      <w:r w:rsidR="009C1C8D" w:rsidRPr="007446B1">
        <w:rPr>
          <w:szCs w:val="24"/>
        </w:rPr>
        <w:t xml:space="preserve">(1992 scheme, 2006 scheme, special members of the 2006 scheme and 2015 scheme) </w:t>
      </w:r>
      <w:r w:rsidRPr="007446B1">
        <w:rPr>
          <w:szCs w:val="24"/>
        </w:rPr>
        <w:t xml:space="preserve">are unfunded defined benefits schemes, meaning that there are no investment assets built up to meet the pensions liabilities, and cash </w:t>
      </w:r>
      <w:r w:rsidR="0094180B" w:rsidRPr="007446B1">
        <w:rPr>
          <w:szCs w:val="24"/>
        </w:rPr>
        <w:t>must</w:t>
      </w:r>
      <w:r w:rsidRPr="007446B1">
        <w:rPr>
          <w:szCs w:val="24"/>
        </w:rPr>
        <w:t xml:space="preserve"> be generated to meet the actual pension payments as they fall due. The Authority makes employers contributions into the schemes and the balance of funding required after pension payments are made is received from </w:t>
      </w:r>
      <w:r w:rsidRPr="007446B1">
        <w:rPr>
          <w:snapToGrid w:val="0"/>
          <w:szCs w:val="24"/>
        </w:rPr>
        <w:t>central government</w:t>
      </w:r>
      <w:r w:rsidRPr="007446B1">
        <w:rPr>
          <w:szCs w:val="24"/>
        </w:rPr>
        <w:t>.</w:t>
      </w:r>
    </w:p>
    <w:p w14:paraId="0C785F22" w14:textId="77777777" w:rsidR="00D90216" w:rsidRPr="007446B1" w:rsidRDefault="00D90216" w:rsidP="000F5BFB">
      <w:pPr>
        <w:rPr>
          <w:szCs w:val="24"/>
        </w:rPr>
      </w:pPr>
    </w:p>
    <w:p w14:paraId="00E64517" w14:textId="107FC12F" w:rsidR="00D90216" w:rsidRPr="007446B1" w:rsidRDefault="00D90216" w:rsidP="000F5BFB">
      <w:pPr>
        <w:rPr>
          <w:szCs w:val="24"/>
        </w:rPr>
      </w:pPr>
      <w:r w:rsidRPr="007446B1">
        <w:rPr>
          <w:szCs w:val="24"/>
        </w:rPr>
        <w:t xml:space="preserve">The above statement shows the financial position of the </w:t>
      </w:r>
      <w:r w:rsidR="00F05F09" w:rsidRPr="007446B1">
        <w:rPr>
          <w:szCs w:val="24"/>
        </w:rPr>
        <w:t>total</w:t>
      </w:r>
      <w:r w:rsidRPr="007446B1">
        <w:rPr>
          <w:szCs w:val="24"/>
        </w:rPr>
        <w:t xml:space="preserve"> fire fighters pension fund account, showing that as </w:t>
      </w:r>
      <w:proofErr w:type="gramStart"/>
      <w:r w:rsidRPr="007446B1">
        <w:rPr>
          <w:szCs w:val="24"/>
        </w:rPr>
        <w:t>at</w:t>
      </w:r>
      <w:proofErr w:type="gramEnd"/>
      <w:r w:rsidRPr="007446B1">
        <w:rPr>
          <w:szCs w:val="24"/>
        </w:rPr>
        <w:t xml:space="preserve"> 31 March 20</w:t>
      </w:r>
      <w:r w:rsidR="00B0722C" w:rsidRPr="007446B1">
        <w:rPr>
          <w:szCs w:val="24"/>
        </w:rPr>
        <w:t>2</w:t>
      </w:r>
      <w:r w:rsidR="00FD216A" w:rsidRPr="007446B1">
        <w:rPr>
          <w:szCs w:val="24"/>
        </w:rPr>
        <w:t>3</w:t>
      </w:r>
      <w:r w:rsidRPr="007446B1">
        <w:rPr>
          <w:szCs w:val="24"/>
        </w:rPr>
        <w:t xml:space="preserve"> the Authority is owed £</w:t>
      </w:r>
      <w:r w:rsidR="00E87DB3" w:rsidRPr="007446B1">
        <w:rPr>
          <w:szCs w:val="24"/>
        </w:rPr>
        <w:t>5.</w:t>
      </w:r>
      <w:r w:rsidR="00F25A7C" w:rsidRPr="007446B1">
        <w:rPr>
          <w:szCs w:val="24"/>
        </w:rPr>
        <w:t>996</w:t>
      </w:r>
      <w:r w:rsidRPr="007446B1">
        <w:rPr>
          <w:szCs w:val="24"/>
        </w:rPr>
        <w:t xml:space="preserve">m </w:t>
      </w:r>
      <w:r w:rsidR="00383862" w:rsidRPr="007446B1">
        <w:rPr>
          <w:szCs w:val="24"/>
        </w:rPr>
        <w:t>(20</w:t>
      </w:r>
      <w:r w:rsidR="00CF111B" w:rsidRPr="007446B1">
        <w:rPr>
          <w:szCs w:val="24"/>
        </w:rPr>
        <w:t>2</w:t>
      </w:r>
      <w:r w:rsidR="00FD216A" w:rsidRPr="007446B1">
        <w:rPr>
          <w:szCs w:val="24"/>
        </w:rPr>
        <w:t>1</w:t>
      </w:r>
      <w:r w:rsidR="00CF111B" w:rsidRPr="007446B1">
        <w:rPr>
          <w:szCs w:val="24"/>
        </w:rPr>
        <w:t>/2</w:t>
      </w:r>
      <w:r w:rsidR="00FD216A" w:rsidRPr="007446B1">
        <w:rPr>
          <w:szCs w:val="24"/>
        </w:rPr>
        <w:t>2</w:t>
      </w:r>
      <w:r w:rsidR="00383862" w:rsidRPr="007446B1">
        <w:rPr>
          <w:szCs w:val="24"/>
        </w:rPr>
        <w:t>: £</w:t>
      </w:r>
      <w:r w:rsidR="00FD216A" w:rsidRPr="007446B1">
        <w:rPr>
          <w:szCs w:val="24"/>
        </w:rPr>
        <w:t>5.086m</w:t>
      </w:r>
      <w:r w:rsidR="00383862" w:rsidRPr="007446B1">
        <w:rPr>
          <w:szCs w:val="24"/>
        </w:rPr>
        <w:t xml:space="preserve">) </w:t>
      </w:r>
      <w:r w:rsidRPr="007446B1">
        <w:rPr>
          <w:szCs w:val="24"/>
        </w:rPr>
        <w:t xml:space="preserve">by the </w:t>
      </w:r>
      <w:r w:rsidR="00153A2A" w:rsidRPr="007446B1">
        <w:rPr>
          <w:szCs w:val="24"/>
        </w:rPr>
        <w:t>Home Office</w:t>
      </w:r>
      <w:r w:rsidRPr="007446B1">
        <w:rPr>
          <w:szCs w:val="24"/>
        </w:rPr>
        <w:t xml:space="preserve"> in order to balance the account. The fund statements do not take account of liabilities after the period end, the Authority’s long</w:t>
      </w:r>
      <w:r w:rsidR="00A16368" w:rsidRPr="007446B1">
        <w:rPr>
          <w:szCs w:val="24"/>
        </w:rPr>
        <w:t>-</w:t>
      </w:r>
      <w:r w:rsidRPr="007446B1">
        <w:rPr>
          <w:szCs w:val="24"/>
        </w:rPr>
        <w:t xml:space="preserve">term pension obligations can be found in the Authority’s main </w:t>
      </w:r>
      <w:r w:rsidR="0094180B" w:rsidRPr="007446B1">
        <w:rPr>
          <w:szCs w:val="24"/>
        </w:rPr>
        <w:t>statements and</w:t>
      </w:r>
      <w:r w:rsidRPr="007446B1">
        <w:rPr>
          <w:szCs w:val="24"/>
        </w:rPr>
        <w:t xml:space="preserve"> </w:t>
      </w:r>
      <w:hyperlink w:anchor="N15" w:history="1">
        <w:r w:rsidR="00250205" w:rsidRPr="007446B1">
          <w:rPr>
            <w:rStyle w:val="Hyperlink"/>
            <w:szCs w:val="24"/>
          </w:rPr>
          <w:t>N</w:t>
        </w:r>
        <w:r w:rsidRPr="007446B1">
          <w:rPr>
            <w:rStyle w:val="Hyperlink"/>
            <w:szCs w:val="24"/>
          </w:rPr>
          <w:t xml:space="preserve">ote </w:t>
        </w:r>
        <w:r w:rsidR="007D318A" w:rsidRPr="007446B1">
          <w:rPr>
            <w:rStyle w:val="Hyperlink"/>
            <w:szCs w:val="24"/>
          </w:rPr>
          <w:t>1</w:t>
        </w:r>
        <w:r w:rsidR="0096743B" w:rsidRPr="007446B1">
          <w:rPr>
            <w:rStyle w:val="Hyperlink"/>
            <w:szCs w:val="24"/>
          </w:rPr>
          <w:t>5</w:t>
        </w:r>
      </w:hyperlink>
      <w:r w:rsidRPr="007446B1">
        <w:rPr>
          <w:szCs w:val="24"/>
        </w:rPr>
        <w:t xml:space="preserve"> to the accounts. The fund was established under the Firefighters’ Pension Scheme (Amendment) (England) Order 2006. The statement was prepared according to International Financial Reporting Standards (IFRS)</w:t>
      </w:r>
      <w:r w:rsidR="00383862" w:rsidRPr="007446B1">
        <w:rPr>
          <w:szCs w:val="24"/>
        </w:rPr>
        <w:t>.</w:t>
      </w:r>
    </w:p>
    <w:p w14:paraId="1CF53D81" w14:textId="77777777" w:rsidR="00383862" w:rsidRPr="007446B1" w:rsidRDefault="00383862" w:rsidP="000F5BFB">
      <w:pPr>
        <w:rPr>
          <w:szCs w:val="24"/>
          <w:highlight w:val="yellow"/>
        </w:rPr>
      </w:pPr>
    </w:p>
    <w:p w14:paraId="07452F8C" w14:textId="690F81E2" w:rsidR="00D90216" w:rsidRPr="007446B1" w:rsidRDefault="00D90216" w:rsidP="000F5BFB">
      <w:pPr>
        <w:rPr>
          <w:szCs w:val="24"/>
        </w:rPr>
      </w:pPr>
      <w:r w:rsidRPr="007446B1">
        <w:rPr>
          <w:szCs w:val="24"/>
        </w:rPr>
        <w:t xml:space="preserve">The note has been prepared in line with general accounting policies set in </w:t>
      </w:r>
      <w:hyperlink w:anchor="N29" w:history="1">
        <w:r w:rsidRPr="007446B1">
          <w:rPr>
            <w:rStyle w:val="Hyperlink"/>
            <w:szCs w:val="24"/>
          </w:rPr>
          <w:t xml:space="preserve">Note </w:t>
        </w:r>
        <w:r w:rsidR="00970877" w:rsidRPr="007446B1">
          <w:rPr>
            <w:rStyle w:val="Hyperlink"/>
            <w:szCs w:val="24"/>
          </w:rPr>
          <w:t>29</w:t>
        </w:r>
      </w:hyperlink>
      <w:r w:rsidR="00970877" w:rsidRPr="007446B1">
        <w:rPr>
          <w:szCs w:val="24"/>
        </w:rPr>
        <w:t xml:space="preserve"> </w:t>
      </w:r>
      <w:r w:rsidRPr="007446B1">
        <w:rPr>
          <w:szCs w:val="24"/>
        </w:rPr>
        <w:t xml:space="preserve">– accounting policies, in particular </w:t>
      </w:r>
      <w:r w:rsidR="00DD3B97" w:rsidRPr="007446B1">
        <w:rPr>
          <w:szCs w:val="24"/>
        </w:rPr>
        <w:t xml:space="preserve">section </w:t>
      </w:r>
      <w:r w:rsidR="005F5C95" w:rsidRPr="007446B1">
        <w:rPr>
          <w:szCs w:val="24"/>
        </w:rPr>
        <w:t>e</w:t>
      </w:r>
      <w:r w:rsidRPr="007446B1">
        <w:rPr>
          <w:szCs w:val="24"/>
        </w:rPr>
        <w:t>.</w:t>
      </w:r>
    </w:p>
    <w:p w14:paraId="043DB6E3" w14:textId="77777777" w:rsidR="00D90216" w:rsidRPr="007446B1" w:rsidRDefault="00D90216" w:rsidP="000F5BFB">
      <w:pPr>
        <w:rPr>
          <w:szCs w:val="24"/>
        </w:rPr>
      </w:pPr>
    </w:p>
    <w:p w14:paraId="4E9DD3F4" w14:textId="77777777" w:rsidR="00D90216" w:rsidRPr="007446B1" w:rsidRDefault="00D90216" w:rsidP="000F5BFB">
      <w:pPr>
        <w:ind w:right="-52"/>
        <w:rPr>
          <w:rFonts w:cs="Arial"/>
          <w:szCs w:val="24"/>
          <w:lang w:eastAsia="en-GB"/>
        </w:rPr>
      </w:pPr>
      <w:r w:rsidRPr="007446B1">
        <w:rPr>
          <w:rFonts w:cs="Arial"/>
          <w:szCs w:val="24"/>
          <w:u w:val="single"/>
          <w:lang w:eastAsia="en-GB"/>
        </w:rPr>
        <w:t>Contribution Rates</w:t>
      </w:r>
      <w:r w:rsidRPr="007446B1">
        <w:rPr>
          <w:rFonts w:cs="Arial"/>
          <w:szCs w:val="24"/>
          <w:lang w:eastAsia="en-GB"/>
        </w:rPr>
        <w:t xml:space="preserve"> </w:t>
      </w:r>
    </w:p>
    <w:p w14:paraId="6929FA61" w14:textId="18170DAE" w:rsidR="00633424" w:rsidRPr="007446B1" w:rsidRDefault="00D35AD6" w:rsidP="000F5BFB">
      <w:pPr>
        <w:ind w:right="-52"/>
        <w:rPr>
          <w:rFonts w:cs="Arial"/>
          <w:szCs w:val="24"/>
          <w:lang w:eastAsia="en-GB"/>
        </w:rPr>
      </w:pPr>
      <w:r w:rsidRPr="007446B1">
        <w:rPr>
          <w:rFonts w:cs="Arial"/>
          <w:szCs w:val="24"/>
          <w:lang w:eastAsia="en-GB"/>
        </w:rPr>
        <w:t xml:space="preserve">To remove future discrimination and ensure equal treatment, all remaining protected members in the 1992 and 2006 scheme were transferred to the 2015 scheme on the </w:t>
      </w:r>
      <w:proofErr w:type="gramStart"/>
      <w:r w:rsidRPr="007446B1">
        <w:rPr>
          <w:rFonts w:cs="Arial"/>
          <w:szCs w:val="24"/>
          <w:lang w:eastAsia="en-GB"/>
        </w:rPr>
        <w:t>1</w:t>
      </w:r>
      <w:r w:rsidRPr="007446B1">
        <w:rPr>
          <w:rFonts w:cs="Arial"/>
          <w:szCs w:val="24"/>
          <w:vertAlign w:val="superscript"/>
          <w:lang w:eastAsia="en-GB"/>
        </w:rPr>
        <w:t>st</w:t>
      </w:r>
      <w:proofErr w:type="gramEnd"/>
      <w:r w:rsidRPr="007446B1">
        <w:rPr>
          <w:rFonts w:cs="Arial"/>
          <w:szCs w:val="24"/>
          <w:lang w:eastAsia="en-GB"/>
        </w:rPr>
        <w:t xml:space="preserve"> April 2022. For the 2015 Firefighter pension scheme employer contributions are 28.8% and employees contribute </w:t>
      </w:r>
      <w:r w:rsidR="003D0845" w:rsidRPr="007446B1">
        <w:rPr>
          <w:rFonts w:cs="Arial"/>
          <w:szCs w:val="24"/>
          <w:lang w:eastAsia="en-GB"/>
        </w:rPr>
        <w:t>between 1</w:t>
      </w:r>
      <w:r w:rsidR="00060022" w:rsidRPr="007446B1">
        <w:rPr>
          <w:rFonts w:cs="Arial"/>
          <w:szCs w:val="24"/>
          <w:lang w:eastAsia="en-GB"/>
        </w:rPr>
        <w:t>1.0</w:t>
      </w:r>
      <w:r w:rsidR="003D0845" w:rsidRPr="007446B1">
        <w:rPr>
          <w:rFonts w:cs="Arial"/>
          <w:szCs w:val="24"/>
          <w:lang w:eastAsia="en-GB"/>
        </w:rPr>
        <w:t>% and 14.5% dependent on salary</w:t>
      </w:r>
      <w:r w:rsidRPr="007446B1">
        <w:rPr>
          <w:rFonts w:cs="Arial"/>
          <w:szCs w:val="24"/>
          <w:lang w:eastAsia="en-GB"/>
        </w:rPr>
        <w:t>.</w:t>
      </w:r>
    </w:p>
    <w:p w14:paraId="0A77542D" w14:textId="77777777" w:rsidR="00633424" w:rsidRPr="007446B1" w:rsidRDefault="00633424" w:rsidP="000F5BFB">
      <w:pPr>
        <w:ind w:right="-52"/>
        <w:rPr>
          <w:rFonts w:cs="Arial"/>
          <w:szCs w:val="24"/>
          <w:lang w:eastAsia="en-GB"/>
        </w:rPr>
      </w:pPr>
    </w:p>
    <w:p w14:paraId="1EE4FC45" w14:textId="1022D6AF" w:rsidR="00D90216" w:rsidRPr="007446B1" w:rsidRDefault="00D90216" w:rsidP="000F5BFB">
      <w:pPr>
        <w:ind w:right="-52"/>
        <w:rPr>
          <w:rFonts w:cs="Arial"/>
          <w:szCs w:val="24"/>
          <w:lang w:eastAsia="en-GB"/>
        </w:rPr>
      </w:pPr>
      <w:r w:rsidRPr="007446B1">
        <w:rPr>
          <w:rFonts w:cs="Arial"/>
          <w:szCs w:val="24"/>
          <w:lang w:eastAsia="en-GB"/>
        </w:rPr>
        <w:t xml:space="preserve">These contribution levels are set nationally by the </w:t>
      </w:r>
      <w:r w:rsidR="00A16368" w:rsidRPr="007446B1">
        <w:rPr>
          <w:rFonts w:cs="Arial"/>
          <w:szCs w:val="24"/>
          <w:lang w:eastAsia="en-GB"/>
        </w:rPr>
        <w:t>Government and</w:t>
      </w:r>
      <w:r w:rsidRPr="007446B1">
        <w:rPr>
          <w:rFonts w:cs="Arial"/>
          <w:szCs w:val="24"/>
          <w:lang w:eastAsia="en-GB"/>
        </w:rPr>
        <w:t xml:space="preserve"> are subject to triennial revaluations by the Government Actuary’s Department</w:t>
      </w:r>
      <w:r w:rsidR="00406AB0" w:rsidRPr="007446B1">
        <w:rPr>
          <w:rFonts w:cs="Arial"/>
          <w:szCs w:val="24"/>
          <w:lang w:eastAsia="en-GB"/>
        </w:rPr>
        <w:t xml:space="preserve">. </w:t>
      </w:r>
      <w:r w:rsidR="00E87DB3" w:rsidRPr="007446B1">
        <w:rPr>
          <w:rFonts w:cs="Arial"/>
          <w:szCs w:val="24"/>
          <w:lang w:eastAsia="en-GB"/>
        </w:rPr>
        <w:t>One</w:t>
      </w:r>
      <w:r w:rsidR="008D1BDB" w:rsidRPr="007446B1">
        <w:rPr>
          <w:rFonts w:cs="Arial"/>
          <w:szCs w:val="24"/>
          <w:lang w:eastAsia="en-GB"/>
        </w:rPr>
        <w:t xml:space="preserve"> </w:t>
      </w:r>
      <w:r w:rsidRPr="007446B1">
        <w:rPr>
          <w:rFonts w:cs="Arial"/>
          <w:szCs w:val="24"/>
          <w:lang w:eastAsia="en-GB"/>
        </w:rPr>
        <w:t>ill health retiremen</w:t>
      </w:r>
      <w:r w:rsidR="00F55B1C" w:rsidRPr="007446B1">
        <w:rPr>
          <w:rFonts w:cs="Arial"/>
          <w:szCs w:val="24"/>
          <w:lang w:eastAsia="en-GB"/>
        </w:rPr>
        <w:t>t</w:t>
      </w:r>
      <w:r w:rsidR="00406AB0" w:rsidRPr="007446B1">
        <w:rPr>
          <w:rFonts w:cs="Arial"/>
          <w:szCs w:val="24"/>
          <w:lang w:eastAsia="en-GB"/>
        </w:rPr>
        <w:t xml:space="preserve"> w</w:t>
      </w:r>
      <w:r w:rsidR="00E87DB3" w:rsidRPr="007446B1">
        <w:rPr>
          <w:rFonts w:cs="Arial"/>
          <w:szCs w:val="24"/>
          <w:lang w:eastAsia="en-GB"/>
        </w:rPr>
        <w:t>as</w:t>
      </w:r>
      <w:r w:rsidR="00406AB0" w:rsidRPr="007446B1">
        <w:rPr>
          <w:rFonts w:cs="Arial"/>
          <w:szCs w:val="24"/>
          <w:lang w:eastAsia="en-GB"/>
        </w:rPr>
        <w:t xml:space="preserve"> recognised</w:t>
      </w:r>
      <w:r w:rsidRPr="007446B1">
        <w:rPr>
          <w:rFonts w:cs="Arial"/>
          <w:szCs w:val="24"/>
          <w:lang w:eastAsia="en-GB"/>
        </w:rPr>
        <w:t xml:space="preserve"> during </w:t>
      </w:r>
      <w:r w:rsidR="00421B3D" w:rsidRPr="007446B1">
        <w:rPr>
          <w:rFonts w:cs="Arial"/>
          <w:szCs w:val="24"/>
          <w:lang w:eastAsia="en-GB"/>
        </w:rPr>
        <w:t>20</w:t>
      </w:r>
      <w:r w:rsidR="009F53C2" w:rsidRPr="007446B1">
        <w:rPr>
          <w:rFonts w:cs="Arial"/>
          <w:szCs w:val="24"/>
          <w:lang w:eastAsia="en-GB"/>
        </w:rPr>
        <w:t>2</w:t>
      </w:r>
      <w:r w:rsidR="00517AFF" w:rsidRPr="007446B1">
        <w:rPr>
          <w:rFonts w:cs="Arial"/>
          <w:szCs w:val="24"/>
          <w:lang w:eastAsia="en-GB"/>
        </w:rPr>
        <w:t>2/23</w:t>
      </w:r>
      <w:r w:rsidR="00421B3D" w:rsidRPr="007446B1">
        <w:rPr>
          <w:rFonts w:cs="Arial"/>
          <w:szCs w:val="24"/>
          <w:lang w:eastAsia="en-GB"/>
        </w:rPr>
        <w:t xml:space="preserve">, and </w:t>
      </w:r>
      <w:r w:rsidR="00517AFF" w:rsidRPr="007446B1">
        <w:rPr>
          <w:rFonts w:cs="Arial"/>
          <w:szCs w:val="24"/>
          <w:lang w:eastAsia="en-GB"/>
        </w:rPr>
        <w:t>one</w:t>
      </w:r>
      <w:r w:rsidR="00421B3D" w:rsidRPr="007446B1">
        <w:rPr>
          <w:rFonts w:cs="Arial"/>
          <w:szCs w:val="24"/>
          <w:lang w:eastAsia="en-GB"/>
        </w:rPr>
        <w:t xml:space="preserve"> in </w:t>
      </w:r>
      <w:r w:rsidRPr="007446B1">
        <w:rPr>
          <w:rFonts w:cs="Arial"/>
          <w:szCs w:val="24"/>
          <w:lang w:eastAsia="en-GB"/>
        </w:rPr>
        <w:t>20</w:t>
      </w:r>
      <w:r w:rsidR="00CF111B" w:rsidRPr="007446B1">
        <w:rPr>
          <w:rFonts w:cs="Arial"/>
          <w:szCs w:val="24"/>
          <w:lang w:eastAsia="en-GB"/>
        </w:rPr>
        <w:t>2</w:t>
      </w:r>
      <w:r w:rsidR="00517AFF" w:rsidRPr="007446B1">
        <w:rPr>
          <w:rFonts w:cs="Arial"/>
          <w:szCs w:val="24"/>
          <w:lang w:eastAsia="en-GB"/>
        </w:rPr>
        <w:t>1/22</w:t>
      </w:r>
      <w:r w:rsidRPr="007446B1">
        <w:rPr>
          <w:rFonts w:cs="Arial"/>
          <w:szCs w:val="24"/>
          <w:lang w:eastAsia="en-GB"/>
        </w:rPr>
        <w:t>.</w:t>
      </w:r>
    </w:p>
    <w:p w14:paraId="51AEA634" w14:textId="77777777" w:rsidR="00D90216" w:rsidRPr="007446B1" w:rsidRDefault="00D90216" w:rsidP="000F5BFB">
      <w:pPr>
        <w:ind w:left="284" w:right="-52"/>
        <w:rPr>
          <w:rFonts w:cs="Arial"/>
          <w:szCs w:val="24"/>
          <w:lang w:eastAsia="en-GB"/>
        </w:rPr>
      </w:pPr>
    </w:p>
    <w:p w14:paraId="342AE924" w14:textId="77777777" w:rsidR="00D90216" w:rsidRPr="007446B1" w:rsidRDefault="00D90216" w:rsidP="000F5BFB">
      <w:pPr>
        <w:ind w:right="-52"/>
        <w:rPr>
          <w:rFonts w:cs="Arial"/>
          <w:szCs w:val="24"/>
          <w:u w:val="single"/>
          <w:lang w:eastAsia="en-GB"/>
        </w:rPr>
      </w:pPr>
      <w:r w:rsidRPr="007446B1">
        <w:rPr>
          <w:rFonts w:cs="Arial"/>
          <w:szCs w:val="24"/>
          <w:u w:val="single"/>
          <w:lang w:eastAsia="en-GB"/>
        </w:rPr>
        <w:t>Benefits Paid</w:t>
      </w:r>
    </w:p>
    <w:p w14:paraId="6D3ED228" w14:textId="77777777" w:rsidR="00D90216" w:rsidRPr="007446B1" w:rsidRDefault="00D90216" w:rsidP="000F5BFB">
      <w:pPr>
        <w:ind w:right="-52"/>
        <w:rPr>
          <w:rFonts w:cs="Arial"/>
          <w:szCs w:val="24"/>
          <w:lang w:eastAsia="en-GB"/>
        </w:rPr>
      </w:pPr>
      <w:r w:rsidRPr="007446B1">
        <w:rPr>
          <w:rFonts w:cs="Arial"/>
          <w:szCs w:val="24"/>
          <w:lang w:eastAsia="en-GB"/>
        </w:rPr>
        <w:t>Pensions are paid to retired officers, their survivors and others who are eligible for benefits under new and existing pension schemes.</w:t>
      </w:r>
    </w:p>
    <w:p w14:paraId="1E113EB2" w14:textId="77777777" w:rsidR="00D90216" w:rsidRPr="007446B1" w:rsidRDefault="00D90216" w:rsidP="000F5BFB">
      <w:pPr>
        <w:ind w:left="284" w:right="-52"/>
        <w:rPr>
          <w:rFonts w:cs="Arial"/>
          <w:szCs w:val="24"/>
          <w:highlight w:val="yellow"/>
          <w:lang w:eastAsia="en-GB"/>
        </w:rPr>
      </w:pPr>
    </w:p>
    <w:p w14:paraId="169EF760" w14:textId="77777777" w:rsidR="00D90216" w:rsidRPr="007446B1" w:rsidRDefault="00153A2A" w:rsidP="000F5BFB">
      <w:pPr>
        <w:ind w:right="-52"/>
        <w:rPr>
          <w:rFonts w:cs="Arial"/>
          <w:szCs w:val="24"/>
          <w:u w:val="single"/>
          <w:lang w:val="en" w:eastAsia="en-GB"/>
        </w:rPr>
      </w:pPr>
      <w:r w:rsidRPr="007446B1">
        <w:rPr>
          <w:rFonts w:cs="Arial"/>
          <w:szCs w:val="24"/>
          <w:u w:val="single"/>
          <w:lang w:val="en" w:eastAsia="en-GB"/>
        </w:rPr>
        <w:t>Home Office</w:t>
      </w:r>
      <w:r w:rsidR="00D90216" w:rsidRPr="007446B1">
        <w:rPr>
          <w:rFonts w:cs="Arial"/>
          <w:szCs w:val="24"/>
          <w:u w:val="single"/>
          <w:lang w:val="en" w:eastAsia="en-GB"/>
        </w:rPr>
        <w:t xml:space="preserve"> Grant</w:t>
      </w:r>
    </w:p>
    <w:p w14:paraId="6B84E701" w14:textId="349EC753" w:rsidR="00D90216" w:rsidRPr="007446B1" w:rsidRDefault="00D90216" w:rsidP="000F5BFB">
      <w:pPr>
        <w:ind w:right="-52"/>
        <w:rPr>
          <w:rFonts w:cs="Arial"/>
          <w:szCs w:val="24"/>
          <w:lang w:eastAsia="en-GB"/>
        </w:rPr>
      </w:pPr>
      <w:r w:rsidRPr="007446B1">
        <w:rPr>
          <w:rFonts w:cs="Arial"/>
          <w:szCs w:val="24"/>
          <w:lang w:val="en" w:eastAsia="en-GB"/>
        </w:rPr>
        <w:t xml:space="preserve">There are no investment </w:t>
      </w:r>
      <w:r w:rsidR="00A16368" w:rsidRPr="007446B1">
        <w:rPr>
          <w:rFonts w:cs="Arial"/>
          <w:szCs w:val="24"/>
          <w:lang w:val="en" w:eastAsia="en-GB"/>
        </w:rPr>
        <w:t>assets,</w:t>
      </w:r>
      <w:r w:rsidRPr="007446B1">
        <w:rPr>
          <w:rFonts w:cs="Arial"/>
          <w:szCs w:val="24"/>
          <w:lang w:val="en" w:eastAsia="en-GB"/>
        </w:rPr>
        <w:t xml:space="preserve"> and the fund is balanced to zero each year by receipt of a top up grant from the </w:t>
      </w:r>
      <w:r w:rsidR="00153A2A" w:rsidRPr="007446B1">
        <w:rPr>
          <w:rFonts w:cs="Arial"/>
          <w:szCs w:val="24"/>
          <w:lang w:val="en" w:eastAsia="en-GB"/>
        </w:rPr>
        <w:t>Home Office</w:t>
      </w:r>
      <w:r w:rsidRPr="007446B1">
        <w:rPr>
          <w:rFonts w:cs="Arial"/>
          <w:szCs w:val="24"/>
          <w:lang w:val="en" w:eastAsia="en-GB"/>
        </w:rPr>
        <w:t>, if contributions are insufficient to meet the cost of pension payments, or by paying over any surplus grant.</w:t>
      </w:r>
    </w:p>
    <w:p w14:paraId="649EF5FD" w14:textId="77777777" w:rsidR="00D90216" w:rsidRPr="007446B1" w:rsidRDefault="00D90216" w:rsidP="000F5BFB">
      <w:pPr>
        <w:ind w:right="-52"/>
        <w:rPr>
          <w:rFonts w:cs="Arial"/>
          <w:szCs w:val="24"/>
          <w:highlight w:val="yellow"/>
          <w:lang w:eastAsia="en-GB"/>
        </w:rPr>
      </w:pPr>
    </w:p>
    <w:p w14:paraId="414FE904" w14:textId="77777777" w:rsidR="00D90216" w:rsidRPr="007446B1" w:rsidRDefault="00D90216" w:rsidP="000F5BFB">
      <w:pPr>
        <w:ind w:right="-52"/>
        <w:rPr>
          <w:rFonts w:cs="Arial"/>
          <w:szCs w:val="24"/>
          <w:u w:val="single"/>
          <w:lang w:val="en" w:eastAsia="en-GB"/>
        </w:rPr>
      </w:pPr>
      <w:r w:rsidRPr="007446B1">
        <w:rPr>
          <w:rFonts w:cs="Arial"/>
          <w:szCs w:val="24"/>
          <w:u w:val="single"/>
          <w:lang w:val="en" w:eastAsia="en-GB"/>
        </w:rPr>
        <w:t>Future Liabilities</w:t>
      </w:r>
    </w:p>
    <w:p w14:paraId="31AB0CD4" w14:textId="1EA729C6" w:rsidR="00D90216" w:rsidRPr="007446B1" w:rsidRDefault="00D90216" w:rsidP="000F5BFB">
      <w:pPr>
        <w:rPr>
          <w:szCs w:val="24"/>
        </w:rPr>
      </w:pPr>
      <w:r w:rsidRPr="007446B1">
        <w:rPr>
          <w:szCs w:val="24"/>
        </w:rPr>
        <w:t>The firefighters pension fund financial statements do not take account of liabilities to pay pensions and other benefits af</w:t>
      </w:r>
      <w:r w:rsidR="00467C60" w:rsidRPr="007446B1">
        <w:rPr>
          <w:szCs w:val="24"/>
        </w:rPr>
        <w:t xml:space="preserve">ter the period end, however details of the </w:t>
      </w:r>
      <w:r w:rsidR="0042437F" w:rsidRPr="007446B1">
        <w:rPr>
          <w:szCs w:val="24"/>
        </w:rPr>
        <w:t>firefighter’s</w:t>
      </w:r>
      <w:r w:rsidR="00467C60" w:rsidRPr="007446B1">
        <w:rPr>
          <w:szCs w:val="24"/>
        </w:rPr>
        <w:t xml:space="preserve"> pension fund long</w:t>
      </w:r>
      <w:r w:rsidR="00A16368" w:rsidRPr="007446B1">
        <w:rPr>
          <w:szCs w:val="24"/>
        </w:rPr>
        <w:t>-</w:t>
      </w:r>
      <w:r w:rsidR="00467C60" w:rsidRPr="007446B1">
        <w:rPr>
          <w:szCs w:val="24"/>
        </w:rPr>
        <w:t xml:space="preserve">term pension obligations are recognised in the Authorities financial statements, details can be found in </w:t>
      </w:r>
      <w:hyperlink w:anchor="N15" w:history="1">
        <w:r w:rsidR="00B23965" w:rsidRPr="007446B1">
          <w:rPr>
            <w:rStyle w:val="Hyperlink"/>
            <w:szCs w:val="24"/>
          </w:rPr>
          <w:t>N</w:t>
        </w:r>
        <w:r w:rsidR="00467C60" w:rsidRPr="007446B1">
          <w:rPr>
            <w:rStyle w:val="Hyperlink"/>
            <w:szCs w:val="24"/>
          </w:rPr>
          <w:t>ote 1</w:t>
        </w:r>
        <w:r w:rsidR="00B213CC" w:rsidRPr="007446B1">
          <w:rPr>
            <w:rStyle w:val="Hyperlink"/>
            <w:szCs w:val="24"/>
          </w:rPr>
          <w:t>5</w:t>
        </w:r>
      </w:hyperlink>
      <w:r w:rsidR="00467C60" w:rsidRPr="007446B1">
        <w:rPr>
          <w:szCs w:val="24"/>
        </w:rPr>
        <w:t>.</w:t>
      </w:r>
    </w:p>
    <w:p w14:paraId="0A17FAB5" w14:textId="77777777" w:rsidR="00D90216" w:rsidRPr="00AF3DCD" w:rsidRDefault="00D90216" w:rsidP="000F5BFB">
      <w:pPr>
        <w:rPr>
          <w:sz w:val="22"/>
        </w:rPr>
      </w:pPr>
    </w:p>
    <w:p w14:paraId="54F9B57D" w14:textId="77777777" w:rsidR="00D90216" w:rsidRPr="00AF3DCD" w:rsidRDefault="00D90216" w:rsidP="000F5BFB">
      <w:pPr>
        <w:rPr>
          <w:sz w:val="22"/>
        </w:rPr>
      </w:pPr>
    </w:p>
    <w:p w14:paraId="0AB45E0C" w14:textId="77777777" w:rsidR="00D90216" w:rsidRPr="00AF3DCD" w:rsidRDefault="00D90216" w:rsidP="000F5BFB">
      <w:pPr>
        <w:rPr>
          <w:sz w:val="22"/>
        </w:rPr>
      </w:pPr>
      <w:r w:rsidRPr="00AF3DCD">
        <w:rPr>
          <w:sz w:val="22"/>
        </w:rPr>
        <w:br w:type="page"/>
      </w:r>
    </w:p>
    <w:p w14:paraId="477489C1" w14:textId="3FC40053" w:rsidR="00D90216" w:rsidRPr="000F5BFB" w:rsidRDefault="006563F1" w:rsidP="000F5BFB">
      <w:pPr>
        <w:pStyle w:val="Heading1"/>
      </w:pPr>
      <w:bookmarkStart w:id="84" w:name="Terms"/>
      <w:bookmarkStart w:id="85" w:name="_Toc166761564"/>
      <w:bookmarkEnd w:id="84"/>
      <w:r w:rsidRPr="002A4D26">
        <w:lastRenderedPageBreak/>
        <w:t xml:space="preserve">Glossary </w:t>
      </w:r>
      <w:r>
        <w:t>o</w:t>
      </w:r>
      <w:r w:rsidRPr="002A4D26">
        <w:t>f Terms</w:t>
      </w:r>
      <w:bookmarkEnd w:id="85"/>
    </w:p>
    <w:p w14:paraId="5CD57FF0" w14:textId="77777777" w:rsidR="00D90216" w:rsidRPr="00AF3DCD" w:rsidRDefault="00D90216" w:rsidP="000F5BFB">
      <w:pPr>
        <w:rPr>
          <w:b/>
          <w:sz w:val="22"/>
        </w:rPr>
      </w:pPr>
    </w:p>
    <w:p w14:paraId="0599F754" w14:textId="77777777" w:rsidR="00D90216" w:rsidRPr="007446B1" w:rsidRDefault="00D90216" w:rsidP="000F5BFB">
      <w:pPr>
        <w:rPr>
          <w:szCs w:val="24"/>
        </w:rPr>
      </w:pPr>
      <w:r w:rsidRPr="007446B1">
        <w:rPr>
          <w:b/>
          <w:szCs w:val="24"/>
        </w:rPr>
        <w:t>Accrual</w:t>
      </w:r>
    </w:p>
    <w:p w14:paraId="7EB1FC85" w14:textId="77777777" w:rsidR="00D90216" w:rsidRPr="007446B1" w:rsidRDefault="00D90216" w:rsidP="000F5BFB">
      <w:pPr>
        <w:keepLines/>
        <w:widowControl w:val="0"/>
        <w:tabs>
          <w:tab w:val="left" w:pos="0"/>
          <w:tab w:val="right" w:pos="9072"/>
        </w:tabs>
        <w:rPr>
          <w:szCs w:val="24"/>
        </w:rPr>
      </w:pPr>
      <w:r w:rsidRPr="007446B1">
        <w:rPr>
          <w:szCs w:val="24"/>
        </w:rPr>
        <w:t>A sum included in the accounts to cover income or expenditure attributable to the accounting period covered by the accounts but for which payment had not been received/made at the Balance Sheet date.</w:t>
      </w:r>
    </w:p>
    <w:p w14:paraId="0D318490" w14:textId="77777777" w:rsidR="00D90216" w:rsidRPr="007446B1" w:rsidRDefault="00D90216" w:rsidP="000F5BFB">
      <w:pPr>
        <w:keepLines/>
        <w:widowControl w:val="0"/>
        <w:tabs>
          <w:tab w:val="left" w:pos="0"/>
          <w:tab w:val="right" w:pos="9072"/>
        </w:tabs>
        <w:rPr>
          <w:szCs w:val="24"/>
        </w:rPr>
      </w:pPr>
    </w:p>
    <w:p w14:paraId="3FB740BC" w14:textId="77777777" w:rsidR="00D90216" w:rsidRPr="007446B1" w:rsidRDefault="00D90216" w:rsidP="000F5BFB">
      <w:pPr>
        <w:rPr>
          <w:b/>
          <w:szCs w:val="24"/>
        </w:rPr>
      </w:pPr>
      <w:r w:rsidRPr="007446B1">
        <w:rPr>
          <w:b/>
          <w:szCs w:val="24"/>
        </w:rPr>
        <w:t>Amortised cost</w:t>
      </w:r>
    </w:p>
    <w:p w14:paraId="743B3D84" w14:textId="77777777" w:rsidR="00D90216" w:rsidRPr="007446B1" w:rsidRDefault="00D90216" w:rsidP="000F5BFB">
      <w:pPr>
        <w:rPr>
          <w:szCs w:val="24"/>
        </w:rPr>
      </w:pPr>
      <w:r w:rsidRPr="007446B1">
        <w:rPr>
          <w:szCs w:val="24"/>
        </w:rPr>
        <w:t>Amortised cost is a valuation basis for financial instruments that, in the case of this Authority’s assets and liabilities, is equal to their nominal value plus any interest accrued to the balance sheet date.</w:t>
      </w:r>
    </w:p>
    <w:p w14:paraId="1FB3ED43" w14:textId="77777777" w:rsidR="00D90216" w:rsidRPr="007446B1" w:rsidRDefault="00D90216" w:rsidP="000F5BFB">
      <w:pPr>
        <w:keepLines/>
        <w:widowControl w:val="0"/>
        <w:tabs>
          <w:tab w:val="left" w:pos="0"/>
          <w:tab w:val="right" w:pos="9072"/>
        </w:tabs>
        <w:rPr>
          <w:szCs w:val="24"/>
        </w:rPr>
      </w:pPr>
    </w:p>
    <w:p w14:paraId="54A1E401" w14:textId="77777777" w:rsidR="00D90216" w:rsidRPr="007446B1" w:rsidRDefault="00D90216" w:rsidP="000F5BFB">
      <w:pPr>
        <w:rPr>
          <w:szCs w:val="24"/>
        </w:rPr>
      </w:pPr>
      <w:r w:rsidRPr="007446B1">
        <w:rPr>
          <w:b/>
          <w:szCs w:val="24"/>
        </w:rPr>
        <w:t>Budget</w:t>
      </w:r>
    </w:p>
    <w:p w14:paraId="61B4CAD6" w14:textId="2392AA4E" w:rsidR="00D90216" w:rsidRPr="007446B1" w:rsidRDefault="00D90216" w:rsidP="000F5BFB">
      <w:pPr>
        <w:keepLines/>
        <w:widowControl w:val="0"/>
        <w:tabs>
          <w:tab w:val="left" w:pos="0"/>
          <w:tab w:val="right" w:pos="9072"/>
        </w:tabs>
        <w:rPr>
          <w:szCs w:val="24"/>
        </w:rPr>
      </w:pPr>
      <w:r w:rsidRPr="007446B1">
        <w:rPr>
          <w:szCs w:val="24"/>
        </w:rPr>
        <w:t xml:space="preserve">A statement which reflects the Authority’s policies in financial </w:t>
      </w:r>
      <w:r w:rsidR="0094180B" w:rsidRPr="007446B1">
        <w:rPr>
          <w:szCs w:val="24"/>
        </w:rPr>
        <w:t>terms,</w:t>
      </w:r>
      <w:r w:rsidRPr="007446B1">
        <w:rPr>
          <w:szCs w:val="24"/>
        </w:rPr>
        <w:t xml:space="preserve"> and which quantifies its plans for spending over a specified period. The Revenue Budget (</w:t>
      </w:r>
      <w:proofErr w:type="spellStart"/>
      <w:r w:rsidR="001D3299" w:rsidRPr="007446B1">
        <w:rPr>
          <w:szCs w:val="24"/>
        </w:rPr>
        <w:t>ie</w:t>
      </w:r>
      <w:proofErr w:type="spellEnd"/>
      <w:r w:rsidRPr="007446B1">
        <w:rPr>
          <w:szCs w:val="24"/>
        </w:rPr>
        <w:t xml:space="preserve"> spending other than capital expenditure) is normally finalised and approved in </w:t>
      </w:r>
      <w:r w:rsidR="004A769C" w:rsidRPr="007446B1">
        <w:rPr>
          <w:szCs w:val="24"/>
        </w:rPr>
        <w:t>Febr</w:t>
      </w:r>
      <w:r w:rsidRPr="007446B1">
        <w:rPr>
          <w:szCs w:val="24"/>
        </w:rPr>
        <w:t>uary prior to the commencement of the financial year.</w:t>
      </w:r>
    </w:p>
    <w:p w14:paraId="6FD650BA" w14:textId="77777777" w:rsidR="00D90216" w:rsidRPr="007446B1" w:rsidRDefault="00D90216" w:rsidP="000F5BFB">
      <w:pPr>
        <w:keepLines/>
        <w:widowControl w:val="0"/>
        <w:tabs>
          <w:tab w:val="left" w:pos="0"/>
          <w:tab w:val="right" w:pos="9072"/>
        </w:tabs>
        <w:rPr>
          <w:szCs w:val="24"/>
        </w:rPr>
      </w:pPr>
    </w:p>
    <w:p w14:paraId="0BE3D95F" w14:textId="77777777" w:rsidR="00D90216" w:rsidRPr="007446B1" w:rsidRDefault="00D90216" w:rsidP="000F5BFB">
      <w:pPr>
        <w:rPr>
          <w:szCs w:val="24"/>
        </w:rPr>
      </w:pPr>
      <w:r w:rsidRPr="007446B1">
        <w:rPr>
          <w:b/>
          <w:szCs w:val="24"/>
        </w:rPr>
        <w:t>Capital Expenditure</w:t>
      </w:r>
    </w:p>
    <w:p w14:paraId="3F16D745" w14:textId="1D38502D" w:rsidR="00D90216" w:rsidRPr="007446B1" w:rsidRDefault="00D90216" w:rsidP="000F5BFB">
      <w:pPr>
        <w:keepLines/>
        <w:widowControl w:val="0"/>
        <w:tabs>
          <w:tab w:val="left" w:pos="0"/>
          <w:tab w:val="right" w:pos="9072"/>
        </w:tabs>
        <w:rPr>
          <w:szCs w:val="24"/>
        </w:rPr>
      </w:pPr>
      <w:r w:rsidRPr="007446B1">
        <w:rPr>
          <w:szCs w:val="24"/>
        </w:rPr>
        <w:t xml:space="preserve">Payments made for the acquisition or provision of assets which will be of relatively long-term value to the Authority </w:t>
      </w:r>
      <w:proofErr w:type="spellStart"/>
      <w:r w:rsidR="001D3299" w:rsidRPr="007446B1">
        <w:rPr>
          <w:szCs w:val="24"/>
        </w:rPr>
        <w:t>eg</w:t>
      </w:r>
      <w:proofErr w:type="spellEnd"/>
      <w:r w:rsidRPr="007446B1">
        <w:rPr>
          <w:szCs w:val="24"/>
        </w:rPr>
        <w:t xml:space="preserve"> land, </w:t>
      </w:r>
      <w:proofErr w:type="gramStart"/>
      <w:r w:rsidRPr="007446B1">
        <w:rPr>
          <w:szCs w:val="24"/>
        </w:rPr>
        <w:t>buildings</w:t>
      </w:r>
      <w:proofErr w:type="gramEnd"/>
      <w:r w:rsidRPr="007446B1">
        <w:rPr>
          <w:szCs w:val="24"/>
        </w:rPr>
        <w:t xml:space="preserve"> and equipment. Also referred to as capital spending, capital outlay, or capital payments. The resulting capital assets are referred to as “fixed assets”.</w:t>
      </w:r>
    </w:p>
    <w:p w14:paraId="6A4D5006" w14:textId="77777777" w:rsidR="00D90216" w:rsidRPr="007446B1" w:rsidRDefault="00D90216" w:rsidP="000F5BFB">
      <w:pPr>
        <w:keepLines/>
        <w:widowControl w:val="0"/>
        <w:tabs>
          <w:tab w:val="left" w:pos="0"/>
          <w:tab w:val="right" w:pos="9072"/>
        </w:tabs>
        <w:rPr>
          <w:szCs w:val="24"/>
        </w:rPr>
      </w:pPr>
    </w:p>
    <w:p w14:paraId="3303EDD7" w14:textId="77777777" w:rsidR="00D90216" w:rsidRPr="007446B1" w:rsidRDefault="00D90216" w:rsidP="000F5BFB">
      <w:pPr>
        <w:rPr>
          <w:szCs w:val="24"/>
        </w:rPr>
      </w:pPr>
      <w:r w:rsidRPr="007446B1">
        <w:rPr>
          <w:b/>
          <w:szCs w:val="24"/>
        </w:rPr>
        <w:t>Capital Receipts</w:t>
      </w:r>
    </w:p>
    <w:p w14:paraId="38C82E04" w14:textId="0BBBC5A0" w:rsidR="00D90216" w:rsidRPr="007446B1" w:rsidRDefault="00D90216" w:rsidP="000F5BFB">
      <w:pPr>
        <w:keepLines/>
        <w:widowControl w:val="0"/>
        <w:tabs>
          <w:tab w:val="left" w:pos="0"/>
          <w:tab w:val="right" w:pos="9072"/>
        </w:tabs>
        <w:rPr>
          <w:szCs w:val="24"/>
        </w:rPr>
      </w:pPr>
      <w:r w:rsidRPr="007446B1">
        <w:rPr>
          <w:szCs w:val="24"/>
        </w:rPr>
        <w:t xml:space="preserve">Proceeds from the sale of capital assets. Such income may only be used for capital purposes, </w:t>
      </w:r>
      <w:proofErr w:type="spellStart"/>
      <w:r w:rsidR="001D3299" w:rsidRPr="007446B1">
        <w:rPr>
          <w:szCs w:val="24"/>
        </w:rPr>
        <w:t>ie</w:t>
      </w:r>
      <w:proofErr w:type="spellEnd"/>
      <w:r w:rsidRPr="007446B1">
        <w:rPr>
          <w:szCs w:val="24"/>
        </w:rPr>
        <w:t xml:space="preserve"> to repay existing loan debt, or to finance new capital expenditure in proportions determined by the Government. Any receipts which have not yet been utilised as described are referred to as “capital receipts unapplied”.</w:t>
      </w:r>
    </w:p>
    <w:p w14:paraId="729A3248" w14:textId="77777777" w:rsidR="00D90216" w:rsidRPr="007446B1" w:rsidRDefault="00D90216" w:rsidP="000F5BFB">
      <w:pPr>
        <w:keepLines/>
        <w:widowControl w:val="0"/>
        <w:tabs>
          <w:tab w:val="left" w:pos="0"/>
          <w:tab w:val="right" w:pos="9072"/>
        </w:tabs>
        <w:rPr>
          <w:szCs w:val="24"/>
        </w:rPr>
      </w:pPr>
    </w:p>
    <w:p w14:paraId="2087E467" w14:textId="77777777" w:rsidR="00D90216" w:rsidRPr="007446B1" w:rsidRDefault="00D90216" w:rsidP="000F5BFB">
      <w:pPr>
        <w:keepLines/>
        <w:widowControl w:val="0"/>
        <w:tabs>
          <w:tab w:val="left" w:pos="0"/>
          <w:tab w:val="right" w:pos="9072"/>
        </w:tabs>
        <w:rPr>
          <w:szCs w:val="24"/>
        </w:rPr>
      </w:pPr>
      <w:r w:rsidRPr="007446B1">
        <w:rPr>
          <w:b/>
          <w:szCs w:val="24"/>
        </w:rPr>
        <w:t>Comprehensive Income &amp; Expenditure Statement</w:t>
      </w:r>
    </w:p>
    <w:p w14:paraId="1851FACB" w14:textId="77777777" w:rsidR="00D90216" w:rsidRPr="007446B1" w:rsidRDefault="00D90216" w:rsidP="000F5BFB">
      <w:pPr>
        <w:keepLines/>
        <w:widowControl w:val="0"/>
        <w:tabs>
          <w:tab w:val="left" w:pos="0"/>
          <w:tab w:val="right" w:pos="9072"/>
        </w:tabs>
        <w:rPr>
          <w:szCs w:val="24"/>
        </w:rPr>
      </w:pPr>
      <w:r w:rsidRPr="007446B1">
        <w:rPr>
          <w:szCs w:val="24"/>
        </w:rPr>
        <w:t>An account which records an authority’s day to day expenditure and income on items such as salaries and wages, running costs of services and the financing</w:t>
      </w:r>
      <w:r w:rsidRPr="007446B1">
        <w:rPr>
          <w:b/>
          <w:szCs w:val="24"/>
        </w:rPr>
        <w:t xml:space="preserve"> </w:t>
      </w:r>
      <w:r w:rsidRPr="007446B1">
        <w:rPr>
          <w:szCs w:val="24"/>
        </w:rPr>
        <w:t>charges in respect of capital expenditure.</w:t>
      </w:r>
    </w:p>
    <w:p w14:paraId="1C0EFA24" w14:textId="77777777" w:rsidR="00D90216" w:rsidRPr="007446B1" w:rsidRDefault="00D90216" w:rsidP="000F5BFB">
      <w:pPr>
        <w:keepLines/>
        <w:widowControl w:val="0"/>
        <w:tabs>
          <w:tab w:val="left" w:pos="0"/>
          <w:tab w:val="right" w:pos="9072"/>
        </w:tabs>
        <w:rPr>
          <w:szCs w:val="24"/>
        </w:rPr>
      </w:pPr>
    </w:p>
    <w:p w14:paraId="059EF9FE" w14:textId="77777777" w:rsidR="00D90216" w:rsidRPr="007446B1" w:rsidRDefault="00D90216" w:rsidP="000F5BFB">
      <w:pPr>
        <w:rPr>
          <w:szCs w:val="24"/>
        </w:rPr>
      </w:pPr>
      <w:r w:rsidRPr="007446B1">
        <w:rPr>
          <w:b/>
          <w:szCs w:val="24"/>
        </w:rPr>
        <w:t>Creditors</w:t>
      </w:r>
    </w:p>
    <w:p w14:paraId="3EE9409E" w14:textId="77777777" w:rsidR="00D90216" w:rsidRPr="007446B1" w:rsidRDefault="00D90216" w:rsidP="000F5BFB">
      <w:pPr>
        <w:keepLines/>
        <w:widowControl w:val="0"/>
        <w:tabs>
          <w:tab w:val="left" w:pos="0"/>
          <w:tab w:val="right" w:pos="9072"/>
        </w:tabs>
        <w:rPr>
          <w:szCs w:val="24"/>
        </w:rPr>
      </w:pPr>
      <w:r w:rsidRPr="007446B1">
        <w:rPr>
          <w:szCs w:val="24"/>
        </w:rPr>
        <w:t>Amounts owed by the Authority for work done, goods received, or services rendered but for which payment had not been made at the date of the Balance Sheet.</w:t>
      </w:r>
    </w:p>
    <w:p w14:paraId="1560C1D8" w14:textId="77777777" w:rsidR="00D90216" w:rsidRPr="007446B1" w:rsidRDefault="00D90216" w:rsidP="000F5BFB">
      <w:pPr>
        <w:keepLines/>
        <w:widowControl w:val="0"/>
        <w:tabs>
          <w:tab w:val="left" w:pos="0"/>
          <w:tab w:val="right" w:pos="9072"/>
        </w:tabs>
        <w:rPr>
          <w:szCs w:val="24"/>
        </w:rPr>
      </w:pPr>
    </w:p>
    <w:p w14:paraId="3BF94A25" w14:textId="77777777" w:rsidR="00D90216" w:rsidRPr="007446B1" w:rsidRDefault="00D90216" w:rsidP="000F5BFB">
      <w:pPr>
        <w:rPr>
          <w:szCs w:val="24"/>
        </w:rPr>
      </w:pPr>
      <w:r w:rsidRPr="007446B1">
        <w:rPr>
          <w:b/>
          <w:szCs w:val="24"/>
        </w:rPr>
        <w:t>Debtors</w:t>
      </w:r>
    </w:p>
    <w:p w14:paraId="659E3CA3" w14:textId="77777777" w:rsidR="00D90216" w:rsidRPr="007446B1" w:rsidRDefault="00D90216" w:rsidP="000F5BFB">
      <w:pPr>
        <w:keepLines/>
        <w:widowControl w:val="0"/>
        <w:tabs>
          <w:tab w:val="left" w:pos="0"/>
          <w:tab w:val="right" w:pos="9072"/>
        </w:tabs>
        <w:rPr>
          <w:szCs w:val="24"/>
        </w:rPr>
      </w:pPr>
      <w:r w:rsidRPr="007446B1">
        <w:rPr>
          <w:szCs w:val="24"/>
        </w:rPr>
        <w:t>Sums of money due to the Authority in the relevant financial year but not received at the Balance Sheet date.</w:t>
      </w:r>
    </w:p>
    <w:p w14:paraId="02893932" w14:textId="77777777" w:rsidR="00D90216" w:rsidRPr="007446B1" w:rsidRDefault="00D90216" w:rsidP="000F5BFB">
      <w:pPr>
        <w:keepLines/>
        <w:widowControl w:val="0"/>
        <w:tabs>
          <w:tab w:val="left" w:pos="0"/>
          <w:tab w:val="right" w:pos="9072"/>
        </w:tabs>
        <w:rPr>
          <w:szCs w:val="24"/>
        </w:rPr>
      </w:pPr>
    </w:p>
    <w:p w14:paraId="6563EFEE" w14:textId="77777777" w:rsidR="00D90216" w:rsidRPr="007446B1" w:rsidRDefault="00D90216" w:rsidP="000F5BFB">
      <w:pPr>
        <w:rPr>
          <w:b/>
          <w:szCs w:val="24"/>
        </w:rPr>
      </w:pPr>
      <w:r w:rsidRPr="007446B1">
        <w:rPr>
          <w:b/>
          <w:szCs w:val="24"/>
        </w:rPr>
        <w:t>Fair Value</w:t>
      </w:r>
    </w:p>
    <w:p w14:paraId="45F86337" w14:textId="77777777" w:rsidR="00D90216" w:rsidRPr="007446B1" w:rsidRDefault="00D90216" w:rsidP="000F5BFB">
      <w:pPr>
        <w:rPr>
          <w:szCs w:val="24"/>
        </w:rPr>
      </w:pPr>
      <w:r w:rsidRPr="007446B1">
        <w:rPr>
          <w:szCs w:val="24"/>
        </w:rPr>
        <w:t>Fair value is a valuation basis for financial instruments that represents the amount at which the instruments could be exchanged in an open market transaction. If no market for a specific instrument exists, fair value can be estimated by a technique that is based on a comparison of the interest rate on the instrument with interest rates on similar instruments that are available in financial markets.</w:t>
      </w:r>
    </w:p>
    <w:p w14:paraId="65031915" w14:textId="77777777" w:rsidR="00D90216" w:rsidRPr="007446B1" w:rsidRDefault="00D90216" w:rsidP="000F5BFB">
      <w:pPr>
        <w:keepLines/>
        <w:widowControl w:val="0"/>
        <w:tabs>
          <w:tab w:val="left" w:pos="0"/>
          <w:tab w:val="right" w:pos="9072"/>
        </w:tabs>
        <w:rPr>
          <w:szCs w:val="24"/>
        </w:rPr>
      </w:pPr>
    </w:p>
    <w:p w14:paraId="42E62E3E" w14:textId="77777777" w:rsidR="00D90216" w:rsidRPr="007446B1" w:rsidRDefault="00D90216" w:rsidP="000F5BFB">
      <w:pPr>
        <w:keepLines/>
        <w:widowControl w:val="0"/>
        <w:tabs>
          <w:tab w:val="left" w:pos="0"/>
          <w:tab w:val="right" w:pos="9072"/>
        </w:tabs>
        <w:rPr>
          <w:b/>
          <w:szCs w:val="24"/>
        </w:rPr>
      </w:pPr>
      <w:r w:rsidRPr="007446B1">
        <w:rPr>
          <w:b/>
          <w:szCs w:val="24"/>
        </w:rPr>
        <w:t>Financial Instrument</w:t>
      </w:r>
    </w:p>
    <w:p w14:paraId="1388E4C8" w14:textId="77777777" w:rsidR="00D90216" w:rsidRPr="007446B1" w:rsidRDefault="00D90216" w:rsidP="000F5BFB">
      <w:pPr>
        <w:rPr>
          <w:szCs w:val="24"/>
        </w:rPr>
      </w:pPr>
      <w:r w:rsidRPr="007446B1">
        <w:rPr>
          <w:szCs w:val="24"/>
        </w:rPr>
        <w:t>A financial liability or asset such as a borrowing or an investment.</w:t>
      </w:r>
    </w:p>
    <w:p w14:paraId="05BD817C" w14:textId="77777777" w:rsidR="00D90216" w:rsidRPr="007446B1" w:rsidRDefault="00D90216" w:rsidP="000F5BFB">
      <w:pPr>
        <w:keepLines/>
        <w:widowControl w:val="0"/>
        <w:tabs>
          <w:tab w:val="left" w:pos="0"/>
          <w:tab w:val="right" w:pos="9072"/>
        </w:tabs>
        <w:rPr>
          <w:b/>
          <w:szCs w:val="24"/>
        </w:rPr>
      </w:pPr>
      <w:r w:rsidRPr="007446B1">
        <w:rPr>
          <w:b/>
          <w:szCs w:val="24"/>
        </w:rPr>
        <w:br w:type="page"/>
      </w:r>
    </w:p>
    <w:p w14:paraId="521D27B2" w14:textId="77777777" w:rsidR="009E43FA" w:rsidRPr="007446B1" w:rsidRDefault="009E43FA" w:rsidP="000F5BFB">
      <w:pPr>
        <w:keepLines/>
        <w:widowControl w:val="0"/>
        <w:tabs>
          <w:tab w:val="left" w:pos="0"/>
          <w:tab w:val="right" w:pos="9072"/>
        </w:tabs>
        <w:rPr>
          <w:b/>
          <w:szCs w:val="24"/>
        </w:rPr>
      </w:pPr>
    </w:p>
    <w:p w14:paraId="4388B39A" w14:textId="77777777" w:rsidR="00D90216" w:rsidRPr="007446B1" w:rsidRDefault="00D90216" w:rsidP="000F5BFB">
      <w:pPr>
        <w:keepLines/>
        <w:widowControl w:val="0"/>
        <w:tabs>
          <w:tab w:val="left" w:pos="0"/>
          <w:tab w:val="right" w:pos="9072"/>
        </w:tabs>
        <w:rPr>
          <w:b/>
          <w:szCs w:val="24"/>
        </w:rPr>
      </w:pPr>
      <w:r w:rsidRPr="007446B1">
        <w:rPr>
          <w:b/>
          <w:szCs w:val="24"/>
        </w:rPr>
        <w:t>Financial Year</w:t>
      </w:r>
    </w:p>
    <w:p w14:paraId="6E5EEFE9" w14:textId="57F34DDF" w:rsidR="00D90216" w:rsidRPr="007446B1" w:rsidRDefault="00D90216" w:rsidP="000F5BFB">
      <w:pPr>
        <w:keepLines/>
        <w:widowControl w:val="0"/>
        <w:tabs>
          <w:tab w:val="left" w:pos="0"/>
          <w:tab w:val="right" w:pos="9072"/>
        </w:tabs>
        <w:rPr>
          <w:szCs w:val="24"/>
        </w:rPr>
      </w:pPr>
      <w:r w:rsidRPr="007446B1">
        <w:rPr>
          <w:szCs w:val="24"/>
        </w:rPr>
        <w:t>The period of twelve months for which the accounts are comprised. For Fire Authorities the financial year (or accounting period as it is also known) commences on 1 April and finishes on the 31 March of the following year.</w:t>
      </w:r>
    </w:p>
    <w:p w14:paraId="4B26BD19" w14:textId="77777777" w:rsidR="00D90216" w:rsidRPr="007446B1" w:rsidRDefault="00D90216" w:rsidP="000F5BFB">
      <w:pPr>
        <w:keepLines/>
        <w:widowControl w:val="0"/>
        <w:tabs>
          <w:tab w:val="left" w:pos="0"/>
          <w:tab w:val="right" w:pos="9072"/>
        </w:tabs>
        <w:rPr>
          <w:szCs w:val="24"/>
        </w:rPr>
      </w:pPr>
    </w:p>
    <w:p w14:paraId="283140E0" w14:textId="77777777" w:rsidR="00D90216" w:rsidRPr="007446B1" w:rsidRDefault="00D90216" w:rsidP="000F5BFB">
      <w:pPr>
        <w:keepLines/>
        <w:widowControl w:val="0"/>
        <w:tabs>
          <w:tab w:val="left" w:pos="0"/>
          <w:tab w:val="right" w:pos="9072"/>
        </w:tabs>
        <w:rPr>
          <w:b/>
          <w:szCs w:val="24"/>
        </w:rPr>
      </w:pPr>
      <w:r w:rsidRPr="007446B1">
        <w:rPr>
          <w:b/>
          <w:szCs w:val="24"/>
        </w:rPr>
        <w:t>Financing Charges</w:t>
      </w:r>
    </w:p>
    <w:p w14:paraId="04928E39" w14:textId="2BFF401A" w:rsidR="00D90216" w:rsidRDefault="00D90216" w:rsidP="000F5BFB">
      <w:pPr>
        <w:keepLines/>
        <w:widowControl w:val="0"/>
        <w:tabs>
          <w:tab w:val="left" w:pos="0"/>
          <w:tab w:val="right" w:pos="9072"/>
        </w:tabs>
        <w:rPr>
          <w:szCs w:val="24"/>
        </w:rPr>
      </w:pPr>
      <w:r w:rsidRPr="007446B1">
        <w:rPr>
          <w:szCs w:val="24"/>
        </w:rPr>
        <w:t xml:space="preserve">Annual charges to the Authority’s Comprehensive Income and Expenditure Statement to cover the interest on and the repayment </w:t>
      </w:r>
      <w:r w:rsidR="0094180B" w:rsidRPr="007446B1">
        <w:rPr>
          <w:szCs w:val="24"/>
        </w:rPr>
        <w:t>of</w:t>
      </w:r>
      <w:r w:rsidRPr="007446B1">
        <w:rPr>
          <w:szCs w:val="24"/>
        </w:rPr>
        <w:t xml:space="preserve"> loans raised for capital expenditure. Annual lease rental payments are also included.</w:t>
      </w:r>
    </w:p>
    <w:p w14:paraId="682C5E57" w14:textId="77777777" w:rsidR="00116F83" w:rsidRDefault="00116F83" w:rsidP="000F5BFB">
      <w:pPr>
        <w:keepLines/>
        <w:widowControl w:val="0"/>
        <w:tabs>
          <w:tab w:val="left" w:pos="0"/>
          <w:tab w:val="right" w:pos="9072"/>
        </w:tabs>
        <w:rPr>
          <w:szCs w:val="24"/>
        </w:rPr>
      </w:pPr>
    </w:p>
    <w:p w14:paraId="51FB825F" w14:textId="77777777" w:rsidR="00D90216" w:rsidRPr="007446B1" w:rsidRDefault="00D90216" w:rsidP="000F5BFB">
      <w:pPr>
        <w:rPr>
          <w:b/>
          <w:szCs w:val="24"/>
        </w:rPr>
      </w:pPr>
      <w:r w:rsidRPr="007446B1">
        <w:rPr>
          <w:b/>
          <w:szCs w:val="24"/>
        </w:rPr>
        <w:t>Premiums and Discounts</w:t>
      </w:r>
    </w:p>
    <w:p w14:paraId="38C54D34" w14:textId="77777777" w:rsidR="00D90216" w:rsidRPr="007446B1" w:rsidRDefault="00D90216" w:rsidP="000F5BFB">
      <w:pPr>
        <w:rPr>
          <w:szCs w:val="24"/>
        </w:rPr>
      </w:pPr>
      <w:r w:rsidRPr="007446B1">
        <w:rPr>
          <w:szCs w:val="24"/>
        </w:rPr>
        <w:t>Premiums are payable and discounts receivable when loans are repaid to the Public Works Loan Board (PWLB) in advance of their contracted maturity date. The premium or discount is calculated with reference to the interest rate on the loan being repaid and the interest rate for similar new loans on the repayment date.</w:t>
      </w:r>
    </w:p>
    <w:p w14:paraId="042FA3CE" w14:textId="77777777" w:rsidR="00D90216" w:rsidRPr="007446B1" w:rsidRDefault="00D90216" w:rsidP="000F5BFB">
      <w:pPr>
        <w:keepLines/>
        <w:widowControl w:val="0"/>
        <w:tabs>
          <w:tab w:val="left" w:pos="0"/>
          <w:tab w:val="right" w:pos="9072"/>
        </w:tabs>
        <w:rPr>
          <w:szCs w:val="24"/>
        </w:rPr>
      </w:pPr>
    </w:p>
    <w:p w14:paraId="32ABB622" w14:textId="77777777" w:rsidR="00D90216" w:rsidRPr="007446B1" w:rsidRDefault="00D90216" w:rsidP="000F5BFB">
      <w:pPr>
        <w:keepLines/>
        <w:widowControl w:val="0"/>
        <w:tabs>
          <w:tab w:val="left" w:pos="0"/>
          <w:tab w:val="right" w:pos="9072"/>
        </w:tabs>
        <w:rPr>
          <w:b/>
          <w:szCs w:val="24"/>
        </w:rPr>
      </w:pPr>
      <w:r w:rsidRPr="007446B1">
        <w:rPr>
          <w:b/>
          <w:szCs w:val="24"/>
        </w:rPr>
        <w:t>Public Works Loan Board (PWLB)</w:t>
      </w:r>
    </w:p>
    <w:p w14:paraId="0076F4D9" w14:textId="77777777" w:rsidR="00D90216" w:rsidRPr="007446B1" w:rsidRDefault="00D90216" w:rsidP="000F5BFB">
      <w:pPr>
        <w:keepLines/>
        <w:widowControl w:val="0"/>
        <w:tabs>
          <w:tab w:val="left" w:pos="0"/>
          <w:tab w:val="right" w:pos="9072"/>
        </w:tabs>
        <w:rPr>
          <w:szCs w:val="24"/>
        </w:rPr>
      </w:pPr>
      <w:r w:rsidRPr="007446B1">
        <w:rPr>
          <w:szCs w:val="24"/>
        </w:rPr>
        <w:t>A government agency which provides longer-term loans to local authorities at interest rates only slightly higher than those at which the government itself can borrow.</w:t>
      </w:r>
    </w:p>
    <w:p w14:paraId="6E9BC8AD" w14:textId="77777777" w:rsidR="00D90216" w:rsidRPr="007446B1" w:rsidRDefault="00D90216" w:rsidP="000F5BFB">
      <w:pPr>
        <w:keepLines/>
        <w:widowControl w:val="0"/>
        <w:tabs>
          <w:tab w:val="left" w:pos="0"/>
          <w:tab w:val="right" w:pos="9072"/>
        </w:tabs>
        <w:rPr>
          <w:szCs w:val="24"/>
        </w:rPr>
      </w:pPr>
    </w:p>
    <w:p w14:paraId="696E7641" w14:textId="77777777" w:rsidR="00D90216" w:rsidRPr="007446B1" w:rsidRDefault="00D90216" w:rsidP="000F5BFB">
      <w:pPr>
        <w:keepLines/>
        <w:widowControl w:val="0"/>
        <w:tabs>
          <w:tab w:val="left" w:pos="0"/>
          <w:tab w:val="right" w:pos="9072"/>
        </w:tabs>
        <w:rPr>
          <w:szCs w:val="24"/>
        </w:rPr>
      </w:pPr>
      <w:r w:rsidRPr="007446B1">
        <w:rPr>
          <w:b/>
          <w:szCs w:val="24"/>
        </w:rPr>
        <w:t>Revenue Contribution to Capital Outlay</w:t>
      </w:r>
    </w:p>
    <w:p w14:paraId="4DBB8616" w14:textId="77777777" w:rsidR="00D90216" w:rsidRPr="007446B1" w:rsidRDefault="00D90216" w:rsidP="000F5BFB">
      <w:pPr>
        <w:keepLines/>
        <w:widowControl w:val="0"/>
        <w:tabs>
          <w:tab w:val="left" w:pos="0"/>
          <w:tab w:val="right" w:pos="9072"/>
        </w:tabs>
        <w:rPr>
          <w:szCs w:val="24"/>
        </w:rPr>
      </w:pPr>
      <w:r w:rsidRPr="007446B1">
        <w:rPr>
          <w:szCs w:val="24"/>
        </w:rPr>
        <w:t>The financing of capital expenditure by a direct contribution from revenue account, rather than by means of loan or other forms of finance.</w:t>
      </w:r>
    </w:p>
    <w:p w14:paraId="2E13D81B" w14:textId="77777777" w:rsidR="00D90216" w:rsidRPr="007446B1" w:rsidRDefault="00D90216" w:rsidP="000F5BFB">
      <w:pPr>
        <w:keepLines/>
        <w:widowControl w:val="0"/>
        <w:tabs>
          <w:tab w:val="left" w:pos="0"/>
          <w:tab w:val="right" w:pos="9072"/>
        </w:tabs>
        <w:rPr>
          <w:szCs w:val="24"/>
        </w:rPr>
      </w:pPr>
    </w:p>
    <w:p w14:paraId="4A563CAE" w14:textId="77777777" w:rsidR="00D90216" w:rsidRPr="007446B1" w:rsidRDefault="00D90216" w:rsidP="000F5BFB">
      <w:pPr>
        <w:keepLines/>
        <w:widowControl w:val="0"/>
        <w:tabs>
          <w:tab w:val="left" w:pos="0"/>
          <w:tab w:val="right" w:pos="9072"/>
        </w:tabs>
        <w:rPr>
          <w:szCs w:val="24"/>
        </w:rPr>
      </w:pPr>
      <w:r w:rsidRPr="007446B1">
        <w:rPr>
          <w:b/>
          <w:szCs w:val="24"/>
        </w:rPr>
        <w:t>Revenue Expenditure</w:t>
      </w:r>
    </w:p>
    <w:p w14:paraId="0FAEE6A1" w14:textId="28EA24A3" w:rsidR="00315853" w:rsidRDefault="00D90216" w:rsidP="000F5BFB">
      <w:pPr>
        <w:keepLines/>
        <w:widowControl w:val="0"/>
        <w:tabs>
          <w:tab w:val="left" w:pos="0"/>
          <w:tab w:val="right" w:pos="9072"/>
        </w:tabs>
        <w:rPr>
          <w:szCs w:val="24"/>
        </w:rPr>
      </w:pPr>
      <w:r w:rsidRPr="007446B1">
        <w:rPr>
          <w:szCs w:val="24"/>
        </w:rPr>
        <w:t>The day-to-day expenditure of the Authority, which is charged to the Comprehensive Income &amp; Expenditure Statement, comprising mainly salaries and wages, running costs, and financing charges.</w:t>
      </w:r>
    </w:p>
    <w:p w14:paraId="609B02BB" w14:textId="77777777" w:rsidR="00116F83" w:rsidRDefault="00116F83" w:rsidP="000F5BFB">
      <w:pPr>
        <w:keepLines/>
        <w:widowControl w:val="0"/>
        <w:tabs>
          <w:tab w:val="left" w:pos="0"/>
          <w:tab w:val="right" w:pos="9072"/>
        </w:tabs>
        <w:rPr>
          <w:szCs w:val="24"/>
        </w:rPr>
      </w:pPr>
    </w:p>
    <w:sectPr w:rsidR="00116F83" w:rsidSect="0050229D">
      <w:pgSz w:w="11907" w:h="16840" w:code="9"/>
      <w:pgMar w:top="454" w:right="567" w:bottom="397"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9EC6C" w14:textId="77777777" w:rsidR="00F46A9B" w:rsidRDefault="00F46A9B">
      <w:r>
        <w:separator/>
      </w:r>
    </w:p>
  </w:endnote>
  <w:endnote w:type="continuationSeparator" w:id="0">
    <w:p w14:paraId="28E1A883" w14:textId="77777777" w:rsidR="00F46A9B" w:rsidRDefault="00F4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bo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S Lola">
    <w:altName w:val="Cambria"/>
    <w:panose1 w:val="00000000000000000000"/>
    <w:charset w:val="00"/>
    <w:family w:val="roman"/>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FB48" w14:textId="77777777" w:rsidR="00865F1A" w:rsidRDefault="00865F1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0609" w14:textId="77777777" w:rsidR="00865F1A" w:rsidRDefault="00865F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48797CC2" w14:textId="77777777" w:rsidR="00865F1A" w:rsidRDefault="00865F1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AD442" w14:textId="77777777" w:rsidR="00F46A9B" w:rsidRDefault="00F46A9B">
      <w:r>
        <w:separator/>
      </w:r>
    </w:p>
  </w:footnote>
  <w:footnote w:type="continuationSeparator" w:id="0">
    <w:p w14:paraId="0D9BA81E" w14:textId="77777777" w:rsidR="00F46A9B" w:rsidRDefault="00F46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A239" w14:textId="6FF46FC6" w:rsidR="00FD6DAB" w:rsidRDefault="00FD6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05D8" w14:textId="0F710308" w:rsidR="00DA5036" w:rsidRDefault="00DA5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88D9" w14:textId="636334FB" w:rsidR="00FD6DAB" w:rsidRDefault="00FD6D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C936" w14:textId="4C975AC1" w:rsidR="00865F1A" w:rsidRDefault="00865F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A37C" w14:textId="65817BD9" w:rsidR="00865F1A" w:rsidRPr="003D7559" w:rsidRDefault="00865F1A" w:rsidP="002F318F">
    <w:pPr>
      <w:pStyle w:val="Header"/>
      <w:rPr>
        <w:sz w:val="22"/>
        <w:szCs w:val="22"/>
      </w:rPr>
    </w:pPr>
    <w:r w:rsidRPr="003D7559">
      <w:rPr>
        <w:sz w:val="22"/>
        <w:szCs w:val="22"/>
      </w:rPr>
      <w:t>Lancashire Combined Fire Authority</w:t>
    </w:r>
  </w:p>
  <w:p w14:paraId="15AE9E65" w14:textId="5FC69B94" w:rsidR="00865F1A" w:rsidRDefault="00865F1A">
    <w:pPr>
      <w:pStyle w:val="Header"/>
      <w:rPr>
        <w:sz w:val="22"/>
        <w:szCs w:val="22"/>
      </w:rPr>
    </w:pPr>
    <w:r w:rsidRPr="003D7559">
      <w:rPr>
        <w:sz w:val="22"/>
        <w:szCs w:val="22"/>
      </w:rPr>
      <w:t>Statement of Accounts 20</w:t>
    </w:r>
    <w:r>
      <w:rPr>
        <w:sz w:val="22"/>
        <w:szCs w:val="22"/>
      </w:rPr>
      <w:t>2</w:t>
    </w:r>
    <w:r w:rsidR="00B9618C">
      <w:rPr>
        <w:sz w:val="22"/>
        <w:szCs w:val="22"/>
      </w:rPr>
      <w:t>2</w:t>
    </w:r>
    <w:r w:rsidR="00172C6B">
      <w:rPr>
        <w:sz w:val="22"/>
        <w:szCs w:val="22"/>
      </w:rPr>
      <w:t>/2</w:t>
    </w:r>
    <w:r w:rsidR="00B9618C">
      <w:rPr>
        <w:sz w:val="22"/>
        <w:szCs w:val="22"/>
      </w:rPr>
      <w:t>3</w:t>
    </w:r>
  </w:p>
  <w:p w14:paraId="05C3AD74" w14:textId="77777777" w:rsidR="00ED21C2" w:rsidRPr="002F318F" w:rsidRDefault="00ED21C2">
    <w:pPr>
      <w:pStyle w:val="Header"/>
      <w:rPr>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1983" w14:textId="7D8E065F" w:rsidR="00865F1A" w:rsidRDefault="00865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403"/>
    <w:multiLevelType w:val="multilevel"/>
    <w:tmpl w:val="8F50608C"/>
    <w:lvl w:ilvl="0">
      <w:start w:val="1"/>
      <w:numFmt w:val="decimal"/>
      <w:pStyle w:val="Bodytextnumbered"/>
      <w:lvlText w:val="%1"/>
      <w:lvlJc w:val="right"/>
      <w:pPr>
        <w:tabs>
          <w:tab w:val="num" w:pos="397"/>
        </w:tabs>
        <w:ind w:left="397" w:hanging="227"/>
      </w:pPr>
      <w:rPr>
        <w:rFonts w:hint="default"/>
        <w:b/>
        <w:i w:val="0"/>
        <w:color w:val="083863"/>
        <w:sz w:val="20"/>
        <w:szCs w:val="2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b/>
        <w:i w:val="0"/>
        <w:color w:val="083863"/>
        <w:sz w:val="20"/>
        <w:szCs w:val="2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5A12543"/>
    <w:multiLevelType w:val="hybridMultilevel"/>
    <w:tmpl w:val="7ECAB368"/>
    <w:lvl w:ilvl="0" w:tplc="BF3E21C2">
      <w:start w:val="186"/>
      <w:numFmt w:val="bullet"/>
      <w:lvlText w:val="-"/>
      <w:lvlJc w:val="left"/>
      <w:pPr>
        <w:ind w:left="472" w:hanging="360"/>
      </w:pPr>
      <w:rPr>
        <w:rFonts w:ascii="Arial" w:eastAsia="Times New Roman" w:hAnsi="Arial" w:cs="Aria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2" w15:restartNumberingAfterBreak="0">
    <w:nsid w:val="06272E2D"/>
    <w:multiLevelType w:val="hybridMultilevel"/>
    <w:tmpl w:val="3814A038"/>
    <w:lvl w:ilvl="0" w:tplc="D6B461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5B521F"/>
    <w:multiLevelType w:val="hybridMultilevel"/>
    <w:tmpl w:val="33BAC5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E211F7"/>
    <w:multiLevelType w:val="hybridMultilevel"/>
    <w:tmpl w:val="11680D6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C06A5D"/>
    <w:multiLevelType w:val="hybridMultilevel"/>
    <w:tmpl w:val="99DE52A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7DD2716"/>
    <w:multiLevelType w:val="hybridMultilevel"/>
    <w:tmpl w:val="767E5DF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9AC066C"/>
    <w:multiLevelType w:val="hybridMultilevel"/>
    <w:tmpl w:val="F2EABE9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DE92C84"/>
    <w:multiLevelType w:val="hybridMultilevel"/>
    <w:tmpl w:val="8BFEF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0540B"/>
    <w:multiLevelType w:val="hybridMultilevel"/>
    <w:tmpl w:val="BC8E098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1F61496"/>
    <w:multiLevelType w:val="hybridMultilevel"/>
    <w:tmpl w:val="F52AF7D6"/>
    <w:lvl w:ilvl="0" w:tplc="FED4AA18">
      <w:start w:val="186"/>
      <w:numFmt w:val="bullet"/>
      <w:lvlText w:val="-"/>
      <w:lvlJc w:val="left"/>
      <w:pPr>
        <w:ind w:left="472" w:hanging="360"/>
      </w:pPr>
      <w:rPr>
        <w:rFonts w:ascii="Arial" w:eastAsia="Times New Roman" w:hAnsi="Arial" w:cs="Aria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11" w15:restartNumberingAfterBreak="0">
    <w:nsid w:val="2C323D44"/>
    <w:multiLevelType w:val="hybridMultilevel"/>
    <w:tmpl w:val="DE167D20"/>
    <w:lvl w:ilvl="0" w:tplc="08090003">
      <w:start w:val="1"/>
      <w:numFmt w:val="bullet"/>
      <w:lvlText w:val="o"/>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F7D0B9E"/>
    <w:multiLevelType w:val="hybridMultilevel"/>
    <w:tmpl w:val="A62421B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338D7242"/>
    <w:multiLevelType w:val="hybridMultilevel"/>
    <w:tmpl w:val="C97C27EA"/>
    <w:lvl w:ilvl="0" w:tplc="9516EDE4">
      <w:start w:val="18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3F15DEA"/>
    <w:multiLevelType w:val="hybridMultilevel"/>
    <w:tmpl w:val="528EA10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35E54D0C"/>
    <w:multiLevelType w:val="singleLevel"/>
    <w:tmpl w:val="F02C6FD0"/>
    <w:lvl w:ilvl="0">
      <w:start w:val="1"/>
      <w:numFmt w:val="bullet"/>
      <w:pStyle w:val="Bullets"/>
      <w:lvlText w:val=""/>
      <w:lvlJc w:val="left"/>
      <w:pPr>
        <w:tabs>
          <w:tab w:val="num" w:pos="397"/>
        </w:tabs>
        <w:ind w:left="397" w:hanging="397"/>
      </w:pPr>
      <w:rPr>
        <w:rFonts w:ascii="Wingdings" w:hAnsi="Wingdings" w:hint="default"/>
        <w:sz w:val="12"/>
      </w:rPr>
    </w:lvl>
  </w:abstractNum>
  <w:abstractNum w:abstractNumId="16" w15:restartNumberingAfterBreak="0">
    <w:nsid w:val="36F46C96"/>
    <w:multiLevelType w:val="hybridMultilevel"/>
    <w:tmpl w:val="0FA21E5A"/>
    <w:lvl w:ilvl="0" w:tplc="08090001">
      <w:start w:val="1"/>
      <w:numFmt w:val="bullet"/>
      <w:lvlText w:val=""/>
      <w:lvlJc w:val="left"/>
      <w:pPr>
        <w:tabs>
          <w:tab w:val="num" w:pos="2149"/>
        </w:tabs>
        <w:ind w:left="2149" w:hanging="360"/>
      </w:pPr>
      <w:rPr>
        <w:rFonts w:ascii="Symbol" w:hAnsi="Symbol" w:hint="default"/>
      </w:rPr>
    </w:lvl>
    <w:lvl w:ilvl="1" w:tplc="08090003" w:tentative="1">
      <w:start w:val="1"/>
      <w:numFmt w:val="bullet"/>
      <w:lvlText w:val="o"/>
      <w:lvlJc w:val="left"/>
      <w:pPr>
        <w:tabs>
          <w:tab w:val="num" w:pos="2869"/>
        </w:tabs>
        <w:ind w:left="2869" w:hanging="360"/>
      </w:pPr>
      <w:rPr>
        <w:rFonts w:ascii="Courier New" w:hAnsi="Courier New" w:cs="Courier New" w:hint="default"/>
      </w:rPr>
    </w:lvl>
    <w:lvl w:ilvl="2" w:tplc="08090005" w:tentative="1">
      <w:start w:val="1"/>
      <w:numFmt w:val="bullet"/>
      <w:lvlText w:val=""/>
      <w:lvlJc w:val="left"/>
      <w:pPr>
        <w:tabs>
          <w:tab w:val="num" w:pos="3589"/>
        </w:tabs>
        <w:ind w:left="3589" w:hanging="360"/>
      </w:pPr>
      <w:rPr>
        <w:rFonts w:ascii="Wingdings" w:hAnsi="Wingdings" w:hint="default"/>
      </w:rPr>
    </w:lvl>
    <w:lvl w:ilvl="3" w:tplc="08090001" w:tentative="1">
      <w:start w:val="1"/>
      <w:numFmt w:val="bullet"/>
      <w:lvlText w:val=""/>
      <w:lvlJc w:val="left"/>
      <w:pPr>
        <w:tabs>
          <w:tab w:val="num" w:pos="4309"/>
        </w:tabs>
        <w:ind w:left="4309" w:hanging="360"/>
      </w:pPr>
      <w:rPr>
        <w:rFonts w:ascii="Symbol" w:hAnsi="Symbol" w:hint="default"/>
      </w:rPr>
    </w:lvl>
    <w:lvl w:ilvl="4" w:tplc="08090003" w:tentative="1">
      <w:start w:val="1"/>
      <w:numFmt w:val="bullet"/>
      <w:lvlText w:val="o"/>
      <w:lvlJc w:val="left"/>
      <w:pPr>
        <w:tabs>
          <w:tab w:val="num" w:pos="5029"/>
        </w:tabs>
        <w:ind w:left="5029" w:hanging="360"/>
      </w:pPr>
      <w:rPr>
        <w:rFonts w:ascii="Courier New" w:hAnsi="Courier New" w:cs="Courier New" w:hint="default"/>
      </w:rPr>
    </w:lvl>
    <w:lvl w:ilvl="5" w:tplc="08090005" w:tentative="1">
      <w:start w:val="1"/>
      <w:numFmt w:val="bullet"/>
      <w:lvlText w:val=""/>
      <w:lvlJc w:val="left"/>
      <w:pPr>
        <w:tabs>
          <w:tab w:val="num" w:pos="5749"/>
        </w:tabs>
        <w:ind w:left="5749" w:hanging="360"/>
      </w:pPr>
      <w:rPr>
        <w:rFonts w:ascii="Wingdings" w:hAnsi="Wingdings" w:hint="default"/>
      </w:rPr>
    </w:lvl>
    <w:lvl w:ilvl="6" w:tplc="08090001" w:tentative="1">
      <w:start w:val="1"/>
      <w:numFmt w:val="bullet"/>
      <w:lvlText w:val=""/>
      <w:lvlJc w:val="left"/>
      <w:pPr>
        <w:tabs>
          <w:tab w:val="num" w:pos="6469"/>
        </w:tabs>
        <w:ind w:left="6469" w:hanging="360"/>
      </w:pPr>
      <w:rPr>
        <w:rFonts w:ascii="Symbol" w:hAnsi="Symbol" w:hint="default"/>
      </w:rPr>
    </w:lvl>
    <w:lvl w:ilvl="7" w:tplc="08090003" w:tentative="1">
      <w:start w:val="1"/>
      <w:numFmt w:val="bullet"/>
      <w:lvlText w:val="o"/>
      <w:lvlJc w:val="left"/>
      <w:pPr>
        <w:tabs>
          <w:tab w:val="num" w:pos="7189"/>
        </w:tabs>
        <w:ind w:left="7189" w:hanging="360"/>
      </w:pPr>
      <w:rPr>
        <w:rFonts w:ascii="Courier New" w:hAnsi="Courier New" w:cs="Courier New" w:hint="default"/>
      </w:rPr>
    </w:lvl>
    <w:lvl w:ilvl="8" w:tplc="08090005" w:tentative="1">
      <w:start w:val="1"/>
      <w:numFmt w:val="bullet"/>
      <w:lvlText w:val=""/>
      <w:lvlJc w:val="left"/>
      <w:pPr>
        <w:tabs>
          <w:tab w:val="num" w:pos="7909"/>
        </w:tabs>
        <w:ind w:left="7909" w:hanging="360"/>
      </w:pPr>
      <w:rPr>
        <w:rFonts w:ascii="Wingdings" w:hAnsi="Wingdings" w:hint="default"/>
      </w:rPr>
    </w:lvl>
  </w:abstractNum>
  <w:abstractNum w:abstractNumId="17" w15:restartNumberingAfterBreak="0">
    <w:nsid w:val="383D36BA"/>
    <w:multiLevelType w:val="hybridMultilevel"/>
    <w:tmpl w:val="89B2E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CD5E37"/>
    <w:multiLevelType w:val="hybridMultilevel"/>
    <w:tmpl w:val="FE3CF5BC"/>
    <w:lvl w:ilvl="0" w:tplc="1A2EC33A">
      <w:start w:val="38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1DE34B4"/>
    <w:multiLevelType w:val="hybridMultilevel"/>
    <w:tmpl w:val="648E1CFA"/>
    <w:lvl w:ilvl="0" w:tplc="9516EDE4">
      <w:start w:val="1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C3B5B"/>
    <w:multiLevelType w:val="hybridMultilevel"/>
    <w:tmpl w:val="995A9A00"/>
    <w:lvl w:ilvl="0" w:tplc="07243122">
      <w:start w:val="4"/>
      <w:numFmt w:val="lowerRoman"/>
      <w:lvlText w:val="%1)"/>
      <w:lvlJc w:val="left"/>
      <w:pPr>
        <w:tabs>
          <w:tab w:val="num" w:pos="2160"/>
        </w:tabs>
        <w:ind w:left="2160" w:hanging="720"/>
      </w:pPr>
      <w:rPr>
        <w:rFonts w:hint="default"/>
      </w:rPr>
    </w:lvl>
    <w:lvl w:ilvl="1" w:tplc="5F906F5C">
      <w:start w:val="8"/>
      <w:numFmt w:val="decimal"/>
      <w:lvlText w:val="%2"/>
      <w:lvlJc w:val="left"/>
      <w:pPr>
        <w:tabs>
          <w:tab w:val="num" w:pos="2880"/>
        </w:tabs>
        <w:ind w:left="2880" w:hanging="720"/>
      </w:pPr>
      <w:rPr>
        <w:rFont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1" w15:restartNumberingAfterBreak="0">
    <w:nsid w:val="44A24F3B"/>
    <w:multiLevelType w:val="multilevel"/>
    <w:tmpl w:val="CBC28D86"/>
    <w:lvl w:ilvl="0">
      <w:start w:val="1"/>
      <w:numFmt w:val="bullet"/>
      <w:pStyle w:val="Bullet1"/>
      <w:lvlText w:val=""/>
      <w:lvlJc w:val="left"/>
      <w:pPr>
        <w:tabs>
          <w:tab w:val="num" w:pos="794"/>
        </w:tabs>
        <w:ind w:left="794" w:hanging="397"/>
      </w:pPr>
      <w:rPr>
        <w:rFonts w:ascii="Symbol" w:hAnsi="Symbol" w:hint="default"/>
      </w:rPr>
    </w:lvl>
    <w:lvl w:ilvl="1">
      <w:start w:val="1"/>
      <w:numFmt w:val="bullet"/>
      <w:lvlText w:val="o"/>
      <w:lvlJc w:val="left"/>
      <w:pPr>
        <w:tabs>
          <w:tab w:val="num" w:pos="1440"/>
        </w:tabs>
        <w:ind w:left="1440" w:hanging="360"/>
      </w:pPr>
      <w:rPr>
        <w:rFonts w:ascii="Courier New" w:hAnsi="Courier New" w:cs="Sabo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Sabo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Sabon"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B97D12"/>
    <w:multiLevelType w:val="hybridMultilevel"/>
    <w:tmpl w:val="E152A368"/>
    <w:lvl w:ilvl="0" w:tplc="8C342F3E">
      <w:start w:val="186"/>
      <w:numFmt w:val="bullet"/>
      <w:lvlText w:val="-"/>
      <w:lvlJc w:val="left"/>
      <w:pPr>
        <w:ind w:left="472" w:hanging="360"/>
      </w:pPr>
      <w:rPr>
        <w:rFonts w:ascii="Arial" w:eastAsia="Times New Roman" w:hAnsi="Arial" w:cs="Aria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23" w15:restartNumberingAfterBreak="0">
    <w:nsid w:val="47A7026C"/>
    <w:multiLevelType w:val="hybridMultilevel"/>
    <w:tmpl w:val="1E32C058"/>
    <w:lvl w:ilvl="0" w:tplc="08090001">
      <w:start w:val="1"/>
      <w:numFmt w:val="bullet"/>
      <w:lvlText w:val=""/>
      <w:lvlJc w:val="left"/>
      <w:pPr>
        <w:tabs>
          <w:tab w:val="num" w:pos="1490"/>
        </w:tabs>
        <w:ind w:left="1490" w:hanging="360"/>
      </w:pPr>
      <w:rPr>
        <w:rFonts w:ascii="Symbol" w:hAnsi="Symbol" w:hint="default"/>
      </w:rPr>
    </w:lvl>
    <w:lvl w:ilvl="1" w:tplc="08090003" w:tentative="1">
      <w:start w:val="1"/>
      <w:numFmt w:val="bullet"/>
      <w:lvlText w:val="o"/>
      <w:lvlJc w:val="left"/>
      <w:pPr>
        <w:tabs>
          <w:tab w:val="num" w:pos="2210"/>
        </w:tabs>
        <w:ind w:left="2210" w:hanging="360"/>
      </w:pPr>
      <w:rPr>
        <w:rFonts w:ascii="Courier New" w:hAnsi="Courier New" w:cs="Courier New" w:hint="default"/>
      </w:rPr>
    </w:lvl>
    <w:lvl w:ilvl="2" w:tplc="08090005" w:tentative="1">
      <w:start w:val="1"/>
      <w:numFmt w:val="bullet"/>
      <w:lvlText w:val=""/>
      <w:lvlJc w:val="left"/>
      <w:pPr>
        <w:tabs>
          <w:tab w:val="num" w:pos="2930"/>
        </w:tabs>
        <w:ind w:left="2930" w:hanging="360"/>
      </w:pPr>
      <w:rPr>
        <w:rFonts w:ascii="Wingdings" w:hAnsi="Wingdings" w:hint="default"/>
      </w:rPr>
    </w:lvl>
    <w:lvl w:ilvl="3" w:tplc="08090001" w:tentative="1">
      <w:start w:val="1"/>
      <w:numFmt w:val="bullet"/>
      <w:lvlText w:val=""/>
      <w:lvlJc w:val="left"/>
      <w:pPr>
        <w:tabs>
          <w:tab w:val="num" w:pos="3650"/>
        </w:tabs>
        <w:ind w:left="3650" w:hanging="360"/>
      </w:pPr>
      <w:rPr>
        <w:rFonts w:ascii="Symbol" w:hAnsi="Symbol" w:hint="default"/>
      </w:rPr>
    </w:lvl>
    <w:lvl w:ilvl="4" w:tplc="08090003" w:tentative="1">
      <w:start w:val="1"/>
      <w:numFmt w:val="bullet"/>
      <w:lvlText w:val="o"/>
      <w:lvlJc w:val="left"/>
      <w:pPr>
        <w:tabs>
          <w:tab w:val="num" w:pos="4370"/>
        </w:tabs>
        <w:ind w:left="4370" w:hanging="360"/>
      </w:pPr>
      <w:rPr>
        <w:rFonts w:ascii="Courier New" w:hAnsi="Courier New" w:cs="Courier New" w:hint="default"/>
      </w:rPr>
    </w:lvl>
    <w:lvl w:ilvl="5" w:tplc="08090005" w:tentative="1">
      <w:start w:val="1"/>
      <w:numFmt w:val="bullet"/>
      <w:lvlText w:val=""/>
      <w:lvlJc w:val="left"/>
      <w:pPr>
        <w:tabs>
          <w:tab w:val="num" w:pos="5090"/>
        </w:tabs>
        <w:ind w:left="5090" w:hanging="360"/>
      </w:pPr>
      <w:rPr>
        <w:rFonts w:ascii="Wingdings" w:hAnsi="Wingdings" w:hint="default"/>
      </w:rPr>
    </w:lvl>
    <w:lvl w:ilvl="6" w:tplc="08090001" w:tentative="1">
      <w:start w:val="1"/>
      <w:numFmt w:val="bullet"/>
      <w:lvlText w:val=""/>
      <w:lvlJc w:val="left"/>
      <w:pPr>
        <w:tabs>
          <w:tab w:val="num" w:pos="5810"/>
        </w:tabs>
        <w:ind w:left="5810" w:hanging="360"/>
      </w:pPr>
      <w:rPr>
        <w:rFonts w:ascii="Symbol" w:hAnsi="Symbol" w:hint="default"/>
      </w:rPr>
    </w:lvl>
    <w:lvl w:ilvl="7" w:tplc="08090003" w:tentative="1">
      <w:start w:val="1"/>
      <w:numFmt w:val="bullet"/>
      <w:lvlText w:val="o"/>
      <w:lvlJc w:val="left"/>
      <w:pPr>
        <w:tabs>
          <w:tab w:val="num" w:pos="6530"/>
        </w:tabs>
        <w:ind w:left="6530" w:hanging="360"/>
      </w:pPr>
      <w:rPr>
        <w:rFonts w:ascii="Courier New" w:hAnsi="Courier New" w:cs="Courier New" w:hint="default"/>
      </w:rPr>
    </w:lvl>
    <w:lvl w:ilvl="8" w:tplc="08090005" w:tentative="1">
      <w:start w:val="1"/>
      <w:numFmt w:val="bullet"/>
      <w:lvlText w:val=""/>
      <w:lvlJc w:val="left"/>
      <w:pPr>
        <w:tabs>
          <w:tab w:val="num" w:pos="7250"/>
        </w:tabs>
        <w:ind w:left="7250" w:hanging="360"/>
      </w:pPr>
      <w:rPr>
        <w:rFonts w:ascii="Wingdings" w:hAnsi="Wingdings" w:hint="default"/>
      </w:rPr>
    </w:lvl>
  </w:abstractNum>
  <w:abstractNum w:abstractNumId="24" w15:restartNumberingAfterBreak="0">
    <w:nsid w:val="480C43AD"/>
    <w:multiLevelType w:val="singleLevel"/>
    <w:tmpl w:val="23A48BB8"/>
    <w:lvl w:ilvl="0">
      <w:start w:val="1"/>
      <w:numFmt w:val="bullet"/>
      <w:lvlText w:val=""/>
      <w:lvlJc w:val="left"/>
      <w:pPr>
        <w:tabs>
          <w:tab w:val="num" w:pos="720"/>
        </w:tabs>
        <w:ind w:left="720" w:hanging="720"/>
      </w:pPr>
      <w:rPr>
        <w:rFonts w:ascii="Symbol" w:hAnsi="Symbol" w:hint="default"/>
      </w:rPr>
    </w:lvl>
  </w:abstractNum>
  <w:abstractNum w:abstractNumId="25" w15:restartNumberingAfterBreak="0">
    <w:nsid w:val="4F773D89"/>
    <w:multiLevelType w:val="hybridMultilevel"/>
    <w:tmpl w:val="CB400B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4B21E4"/>
    <w:multiLevelType w:val="hybridMultilevel"/>
    <w:tmpl w:val="A49C751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51EA56AB"/>
    <w:multiLevelType w:val="hybridMultilevel"/>
    <w:tmpl w:val="F4B6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4375D0"/>
    <w:multiLevelType w:val="hybridMultilevel"/>
    <w:tmpl w:val="EF4239A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9" w15:restartNumberingAfterBreak="0">
    <w:nsid w:val="58395677"/>
    <w:multiLevelType w:val="hybridMultilevel"/>
    <w:tmpl w:val="F8FC877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ECC761C"/>
    <w:multiLevelType w:val="hybridMultilevel"/>
    <w:tmpl w:val="E46A6498"/>
    <w:lvl w:ilvl="0" w:tplc="08090001">
      <w:start w:val="1"/>
      <w:numFmt w:val="bullet"/>
      <w:lvlText w:val=""/>
      <w:lvlJc w:val="left"/>
      <w:pPr>
        <w:tabs>
          <w:tab w:val="num" w:pos="2216"/>
        </w:tabs>
        <w:ind w:left="2216" w:hanging="360"/>
      </w:pPr>
      <w:rPr>
        <w:rFonts w:ascii="Symbol" w:hAnsi="Symbol" w:hint="default"/>
      </w:rPr>
    </w:lvl>
    <w:lvl w:ilvl="1" w:tplc="08090003" w:tentative="1">
      <w:start w:val="1"/>
      <w:numFmt w:val="bullet"/>
      <w:lvlText w:val="o"/>
      <w:lvlJc w:val="left"/>
      <w:pPr>
        <w:tabs>
          <w:tab w:val="num" w:pos="2936"/>
        </w:tabs>
        <w:ind w:left="2936" w:hanging="360"/>
      </w:pPr>
      <w:rPr>
        <w:rFonts w:ascii="Courier New" w:hAnsi="Courier New" w:cs="Courier New" w:hint="default"/>
      </w:rPr>
    </w:lvl>
    <w:lvl w:ilvl="2" w:tplc="08090005" w:tentative="1">
      <w:start w:val="1"/>
      <w:numFmt w:val="bullet"/>
      <w:lvlText w:val=""/>
      <w:lvlJc w:val="left"/>
      <w:pPr>
        <w:tabs>
          <w:tab w:val="num" w:pos="3656"/>
        </w:tabs>
        <w:ind w:left="3656" w:hanging="360"/>
      </w:pPr>
      <w:rPr>
        <w:rFonts w:ascii="Wingdings" w:hAnsi="Wingdings" w:hint="default"/>
      </w:rPr>
    </w:lvl>
    <w:lvl w:ilvl="3" w:tplc="08090001" w:tentative="1">
      <w:start w:val="1"/>
      <w:numFmt w:val="bullet"/>
      <w:lvlText w:val=""/>
      <w:lvlJc w:val="left"/>
      <w:pPr>
        <w:tabs>
          <w:tab w:val="num" w:pos="4376"/>
        </w:tabs>
        <w:ind w:left="4376" w:hanging="360"/>
      </w:pPr>
      <w:rPr>
        <w:rFonts w:ascii="Symbol" w:hAnsi="Symbol" w:hint="default"/>
      </w:rPr>
    </w:lvl>
    <w:lvl w:ilvl="4" w:tplc="08090003" w:tentative="1">
      <w:start w:val="1"/>
      <w:numFmt w:val="bullet"/>
      <w:lvlText w:val="o"/>
      <w:lvlJc w:val="left"/>
      <w:pPr>
        <w:tabs>
          <w:tab w:val="num" w:pos="5096"/>
        </w:tabs>
        <w:ind w:left="5096" w:hanging="360"/>
      </w:pPr>
      <w:rPr>
        <w:rFonts w:ascii="Courier New" w:hAnsi="Courier New" w:cs="Courier New" w:hint="default"/>
      </w:rPr>
    </w:lvl>
    <w:lvl w:ilvl="5" w:tplc="08090005" w:tentative="1">
      <w:start w:val="1"/>
      <w:numFmt w:val="bullet"/>
      <w:lvlText w:val=""/>
      <w:lvlJc w:val="left"/>
      <w:pPr>
        <w:tabs>
          <w:tab w:val="num" w:pos="5816"/>
        </w:tabs>
        <w:ind w:left="5816" w:hanging="360"/>
      </w:pPr>
      <w:rPr>
        <w:rFonts w:ascii="Wingdings" w:hAnsi="Wingdings" w:hint="default"/>
      </w:rPr>
    </w:lvl>
    <w:lvl w:ilvl="6" w:tplc="08090001" w:tentative="1">
      <w:start w:val="1"/>
      <w:numFmt w:val="bullet"/>
      <w:lvlText w:val=""/>
      <w:lvlJc w:val="left"/>
      <w:pPr>
        <w:tabs>
          <w:tab w:val="num" w:pos="6536"/>
        </w:tabs>
        <w:ind w:left="6536" w:hanging="360"/>
      </w:pPr>
      <w:rPr>
        <w:rFonts w:ascii="Symbol" w:hAnsi="Symbol" w:hint="default"/>
      </w:rPr>
    </w:lvl>
    <w:lvl w:ilvl="7" w:tplc="08090003" w:tentative="1">
      <w:start w:val="1"/>
      <w:numFmt w:val="bullet"/>
      <w:lvlText w:val="o"/>
      <w:lvlJc w:val="left"/>
      <w:pPr>
        <w:tabs>
          <w:tab w:val="num" w:pos="7256"/>
        </w:tabs>
        <w:ind w:left="7256" w:hanging="360"/>
      </w:pPr>
      <w:rPr>
        <w:rFonts w:ascii="Courier New" w:hAnsi="Courier New" w:cs="Courier New" w:hint="default"/>
      </w:rPr>
    </w:lvl>
    <w:lvl w:ilvl="8" w:tplc="08090005" w:tentative="1">
      <w:start w:val="1"/>
      <w:numFmt w:val="bullet"/>
      <w:lvlText w:val=""/>
      <w:lvlJc w:val="left"/>
      <w:pPr>
        <w:tabs>
          <w:tab w:val="num" w:pos="7976"/>
        </w:tabs>
        <w:ind w:left="7976" w:hanging="360"/>
      </w:pPr>
      <w:rPr>
        <w:rFonts w:ascii="Wingdings" w:hAnsi="Wingdings" w:hint="default"/>
      </w:rPr>
    </w:lvl>
  </w:abstractNum>
  <w:abstractNum w:abstractNumId="31" w15:restartNumberingAfterBreak="0">
    <w:nsid w:val="60543278"/>
    <w:multiLevelType w:val="hybridMultilevel"/>
    <w:tmpl w:val="AB0C8A2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1BC3D3D"/>
    <w:multiLevelType w:val="multilevel"/>
    <w:tmpl w:val="FAE6F968"/>
    <w:styleLink w:val="GTListBullet"/>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567" w:hanging="283"/>
      </w:pPr>
      <w:rPr>
        <w:rFonts w:ascii="Symbol" w:hAnsi="Symbol" w:hint="default"/>
      </w:rPr>
    </w:lvl>
    <w:lvl w:ilvl="2">
      <w:start w:val="1"/>
      <w:numFmt w:val="bullet"/>
      <w:lvlRestart w:val="0"/>
      <w:pStyle w:val="ListBullet3"/>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lvl>
    <w:lvl w:ilvl="4">
      <w:start w:val="1"/>
      <w:numFmt w:val="none"/>
      <w:lvlRestart w:val="0"/>
      <w:lvlText w:val=""/>
      <w:lvlJc w:val="left"/>
      <w:pPr>
        <w:tabs>
          <w:tab w:val="num" w:pos="851"/>
        </w:tabs>
        <w:ind w:left="851" w:firstLine="0"/>
      </w:pPr>
    </w:lvl>
    <w:lvl w:ilvl="5">
      <w:start w:val="1"/>
      <w:numFmt w:val="none"/>
      <w:lvlRestart w:val="0"/>
      <w:lvlText w:val=""/>
      <w:lvlJc w:val="left"/>
      <w:pPr>
        <w:tabs>
          <w:tab w:val="num" w:pos="851"/>
        </w:tabs>
        <w:ind w:left="851" w:firstLine="0"/>
      </w:pPr>
    </w:lvl>
    <w:lvl w:ilvl="6">
      <w:start w:val="1"/>
      <w:numFmt w:val="none"/>
      <w:lvlRestart w:val="0"/>
      <w:lvlText w:val=""/>
      <w:lvlJc w:val="left"/>
      <w:pPr>
        <w:tabs>
          <w:tab w:val="num" w:pos="851"/>
        </w:tabs>
        <w:ind w:left="851" w:firstLine="0"/>
      </w:pPr>
    </w:lvl>
    <w:lvl w:ilvl="7">
      <w:start w:val="1"/>
      <w:numFmt w:val="none"/>
      <w:lvlRestart w:val="0"/>
      <w:lvlText w:val=""/>
      <w:lvlJc w:val="left"/>
      <w:pPr>
        <w:tabs>
          <w:tab w:val="num" w:pos="851"/>
        </w:tabs>
        <w:ind w:left="851" w:firstLine="0"/>
      </w:pPr>
    </w:lvl>
    <w:lvl w:ilvl="8">
      <w:start w:val="1"/>
      <w:numFmt w:val="none"/>
      <w:lvlRestart w:val="0"/>
      <w:lvlText w:val=""/>
      <w:lvlJc w:val="left"/>
      <w:pPr>
        <w:ind w:left="851" w:firstLine="0"/>
      </w:pPr>
    </w:lvl>
  </w:abstractNum>
  <w:abstractNum w:abstractNumId="33" w15:restartNumberingAfterBreak="0">
    <w:nsid w:val="61F82309"/>
    <w:multiLevelType w:val="singleLevel"/>
    <w:tmpl w:val="23A48BB8"/>
    <w:lvl w:ilvl="0">
      <w:start w:val="1"/>
      <w:numFmt w:val="bullet"/>
      <w:lvlText w:val=""/>
      <w:lvlJc w:val="left"/>
      <w:pPr>
        <w:tabs>
          <w:tab w:val="num" w:pos="720"/>
        </w:tabs>
        <w:ind w:left="720" w:hanging="720"/>
      </w:pPr>
      <w:rPr>
        <w:rFonts w:ascii="Symbol" w:hAnsi="Symbol" w:hint="default"/>
      </w:rPr>
    </w:lvl>
  </w:abstractNum>
  <w:abstractNum w:abstractNumId="34" w15:restartNumberingAfterBreak="0">
    <w:nsid w:val="640B3A81"/>
    <w:multiLevelType w:val="hybridMultilevel"/>
    <w:tmpl w:val="FC26F6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0C1C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7EB7F3D"/>
    <w:multiLevelType w:val="hybridMultilevel"/>
    <w:tmpl w:val="1884EEB6"/>
    <w:lvl w:ilvl="0" w:tplc="AB626CF8">
      <w:start w:val="1"/>
      <w:numFmt w:val="bullet"/>
      <w:lvlText w:val=""/>
      <w:lvlJc w:val="left"/>
      <w:pPr>
        <w:tabs>
          <w:tab w:val="num" w:pos="284"/>
        </w:tabs>
        <w:ind w:left="284" w:hanging="284"/>
      </w:pPr>
      <w:rPr>
        <w:rFonts w:ascii="Symbol" w:hAnsi="Symbol" w:hint="default"/>
        <w:sz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4E42D1"/>
    <w:multiLevelType w:val="hybridMultilevel"/>
    <w:tmpl w:val="FF726B28"/>
    <w:lvl w:ilvl="0" w:tplc="335A57E2">
      <w:start w:val="18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7C45D97"/>
    <w:multiLevelType w:val="singleLevel"/>
    <w:tmpl w:val="23A48BB8"/>
    <w:lvl w:ilvl="0">
      <w:start w:val="1"/>
      <w:numFmt w:val="bullet"/>
      <w:lvlText w:val=""/>
      <w:lvlJc w:val="left"/>
      <w:pPr>
        <w:tabs>
          <w:tab w:val="num" w:pos="720"/>
        </w:tabs>
        <w:ind w:left="720" w:hanging="720"/>
      </w:pPr>
      <w:rPr>
        <w:rFonts w:ascii="Symbol" w:hAnsi="Symbol" w:hint="default"/>
      </w:rPr>
    </w:lvl>
  </w:abstractNum>
  <w:abstractNum w:abstractNumId="39" w15:restartNumberingAfterBreak="0">
    <w:nsid w:val="79B27A8E"/>
    <w:multiLevelType w:val="hybridMultilevel"/>
    <w:tmpl w:val="DCF8B550"/>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40" w15:restartNumberingAfterBreak="0">
    <w:nsid w:val="7BBF1565"/>
    <w:multiLevelType w:val="hybridMultilevel"/>
    <w:tmpl w:val="BF0839BC"/>
    <w:lvl w:ilvl="0" w:tplc="6F48BC0C">
      <w:start w:val="186"/>
      <w:numFmt w:val="bullet"/>
      <w:lvlText w:val="-"/>
      <w:lvlJc w:val="left"/>
      <w:pPr>
        <w:ind w:left="472" w:hanging="360"/>
      </w:pPr>
      <w:rPr>
        <w:rFonts w:ascii="Arial" w:eastAsia="Times New Roman" w:hAnsi="Arial" w:cs="Aria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41" w15:restartNumberingAfterBreak="0">
    <w:nsid w:val="7C947C1B"/>
    <w:multiLevelType w:val="hybridMultilevel"/>
    <w:tmpl w:val="F1A0194A"/>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7F8C6B95"/>
    <w:multiLevelType w:val="hybridMultilevel"/>
    <w:tmpl w:val="DDEC4CAE"/>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num w:numId="1" w16cid:durableId="1190297219">
    <w:abstractNumId w:val="15"/>
  </w:num>
  <w:num w:numId="2" w16cid:durableId="2141334774">
    <w:abstractNumId w:val="0"/>
  </w:num>
  <w:num w:numId="3" w16cid:durableId="856650926">
    <w:abstractNumId w:val="21"/>
  </w:num>
  <w:num w:numId="4" w16cid:durableId="849225146">
    <w:abstractNumId w:val="35"/>
  </w:num>
  <w:num w:numId="5" w16cid:durableId="1564947889">
    <w:abstractNumId w:val="24"/>
  </w:num>
  <w:num w:numId="6" w16cid:durableId="1257321723">
    <w:abstractNumId w:val="38"/>
  </w:num>
  <w:num w:numId="7" w16cid:durableId="1426195552">
    <w:abstractNumId w:val="7"/>
  </w:num>
  <w:num w:numId="8" w16cid:durableId="1787850570">
    <w:abstractNumId w:val="29"/>
  </w:num>
  <w:num w:numId="9" w16cid:durableId="481237762">
    <w:abstractNumId w:val="5"/>
  </w:num>
  <w:num w:numId="10" w16cid:durableId="241763646">
    <w:abstractNumId w:val="12"/>
  </w:num>
  <w:num w:numId="11" w16cid:durableId="701587304">
    <w:abstractNumId w:val="6"/>
  </w:num>
  <w:num w:numId="12" w16cid:durableId="1043560006">
    <w:abstractNumId w:val="16"/>
  </w:num>
  <w:num w:numId="13" w16cid:durableId="1721705196">
    <w:abstractNumId w:val="23"/>
  </w:num>
  <w:num w:numId="14" w16cid:durableId="508568227">
    <w:abstractNumId w:val="3"/>
  </w:num>
  <w:num w:numId="15" w16cid:durableId="709691427">
    <w:abstractNumId w:val="41"/>
  </w:num>
  <w:num w:numId="16" w16cid:durableId="1067847930">
    <w:abstractNumId w:val="39"/>
  </w:num>
  <w:num w:numId="17" w16cid:durableId="2010517222">
    <w:abstractNumId w:val="42"/>
  </w:num>
  <w:num w:numId="18" w16cid:durableId="1043598923">
    <w:abstractNumId w:val="9"/>
  </w:num>
  <w:num w:numId="19" w16cid:durableId="1424572668">
    <w:abstractNumId w:val="14"/>
  </w:num>
  <w:num w:numId="20" w16cid:durableId="81487555">
    <w:abstractNumId w:val="20"/>
  </w:num>
  <w:num w:numId="21" w16cid:durableId="243995930">
    <w:abstractNumId w:val="30"/>
  </w:num>
  <w:num w:numId="22" w16cid:durableId="848643638">
    <w:abstractNumId w:val="26"/>
  </w:num>
  <w:num w:numId="23" w16cid:durableId="329604137">
    <w:abstractNumId w:val="1"/>
  </w:num>
  <w:num w:numId="24" w16cid:durableId="280116307">
    <w:abstractNumId w:val="10"/>
  </w:num>
  <w:num w:numId="25" w16cid:durableId="798649872">
    <w:abstractNumId w:val="40"/>
  </w:num>
  <w:num w:numId="26" w16cid:durableId="2082174097">
    <w:abstractNumId w:val="22"/>
  </w:num>
  <w:num w:numId="27" w16cid:durableId="1276446120">
    <w:abstractNumId w:val="37"/>
  </w:num>
  <w:num w:numId="28" w16cid:durableId="786584060">
    <w:abstractNumId w:val="13"/>
  </w:num>
  <w:num w:numId="29" w16cid:durableId="337587335">
    <w:abstractNumId w:val="33"/>
  </w:num>
  <w:num w:numId="30" w16cid:durableId="1333533934">
    <w:abstractNumId w:val="36"/>
  </w:num>
  <w:num w:numId="31" w16cid:durableId="1470049257">
    <w:abstractNumId w:val="31"/>
  </w:num>
  <w:num w:numId="32" w16cid:durableId="1742210348">
    <w:abstractNumId w:val="34"/>
  </w:num>
  <w:num w:numId="33" w16cid:durableId="2018192096">
    <w:abstractNumId w:val="4"/>
  </w:num>
  <w:num w:numId="34" w16cid:durableId="1005740120">
    <w:abstractNumId w:val="17"/>
  </w:num>
  <w:num w:numId="35" w16cid:durableId="1147894387">
    <w:abstractNumId w:val="27"/>
  </w:num>
  <w:num w:numId="36" w16cid:durableId="316106286">
    <w:abstractNumId w:val="25"/>
  </w:num>
  <w:num w:numId="37" w16cid:durableId="588926130">
    <w:abstractNumId w:val="18"/>
  </w:num>
  <w:num w:numId="38" w16cid:durableId="602685835">
    <w:abstractNumId w:val="28"/>
  </w:num>
  <w:num w:numId="39" w16cid:durableId="848371889">
    <w:abstractNumId w:val="32"/>
  </w:num>
  <w:num w:numId="40" w16cid:durableId="1556165192">
    <w:abstractNumId w:val="8"/>
  </w:num>
  <w:num w:numId="41" w16cid:durableId="1572234239">
    <w:abstractNumId w:val="2"/>
  </w:num>
  <w:num w:numId="42" w16cid:durableId="1210336782">
    <w:abstractNumId w:val="19"/>
  </w:num>
  <w:num w:numId="43" w16cid:durableId="586380194">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454"/>
    <w:rsid w:val="0000067B"/>
    <w:rsid w:val="00000C47"/>
    <w:rsid w:val="000015AB"/>
    <w:rsid w:val="00001BF5"/>
    <w:rsid w:val="0000209D"/>
    <w:rsid w:val="000025D5"/>
    <w:rsid w:val="00002924"/>
    <w:rsid w:val="000032C4"/>
    <w:rsid w:val="00003377"/>
    <w:rsid w:val="000033D1"/>
    <w:rsid w:val="00003462"/>
    <w:rsid w:val="000035CB"/>
    <w:rsid w:val="00004046"/>
    <w:rsid w:val="000044E4"/>
    <w:rsid w:val="0000477D"/>
    <w:rsid w:val="00004E49"/>
    <w:rsid w:val="0000572C"/>
    <w:rsid w:val="0000622E"/>
    <w:rsid w:val="0000629B"/>
    <w:rsid w:val="00006BEA"/>
    <w:rsid w:val="000071E9"/>
    <w:rsid w:val="00007DD9"/>
    <w:rsid w:val="000100F8"/>
    <w:rsid w:val="00010719"/>
    <w:rsid w:val="000109F8"/>
    <w:rsid w:val="00010CC9"/>
    <w:rsid w:val="000110C9"/>
    <w:rsid w:val="000116A2"/>
    <w:rsid w:val="00011A9B"/>
    <w:rsid w:val="00011B1E"/>
    <w:rsid w:val="00011E3D"/>
    <w:rsid w:val="0001227C"/>
    <w:rsid w:val="0001394D"/>
    <w:rsid w:val="00013CD4"/>
    <w:rsid w:val="00014622"/>
    <w:rsid w:val="00014CE5"/>
    <w:rsid w:val="00015000"/>
    <w:rsid w:val="0001516C"/>
    <w:rsid w:val="00016167"/>
    <w:rsid w:val="00016FF5"/>
    <w:rsid w:val="00017ADA"/>
    <w:rsid w:val="00017DF0"/>
    <w:rsid w:val="0002022D"/>
    <w:rsid w:val="0002057D"/>
    <w:rsid w:val="0002058D"/>
    <w:rsid w:val="0002063B"/>
    <w:rsid w:val="000206F5"/>
    <w:rsid w:val="000209B1"/>
    <w:rsid w:val="000211AD"/>
    <w:rsid w:val="00021F7E"/>
    <w:rsid w:val="00022FEF"/>
    <w:rsid w:val="00023306"/>
    <w:rsid w:val="00023623"/>
    <w:rsid w:val="00023D8B"/>
    <w:rsid w:val="00024E54"/>
    <w:rsid w:val="00024E8E"/>
    <w:rsid w:val="000258AD"/>
    <w:rsid w:val="000259DA"/>
    <w:rsid w:val="00025A15"/>
    <w:rsid w:val="000262B3"/>
    <w:rsid w:val="000267C4"/>
    <w:rsid w:val="0002689E"/>
    <w:rsid w:val="000269EB"/>
    <w:rsid w:val="00026E37"/>
    <w:rsid w:val="000278C3"/>
    <w:rsid w:val="00030201"/>
    <w:rsid w:val="0003044C"/>
    <w:rsid w:val="00030C39"/>
    <w:rsid w:val="00031A98"/>
    <w:rsid w:val="00032D7C"/>
    <w:rsid w:val="000333BE"/>
    <w:rsid w:val="000336DD"/>
    <w:rsid w:val="0003405C"/>
    <w:rsid w:val="00034337"/>
    <w:rsid w:val="00035241"/>
    <w:rsid w:val="00035AD1"/>
    <w:rsid w:val="00036C34"/>
    <w:rsid w:val="00036EDA"/>
    <w:rsid w:val="00037917"/>
    <w:rsid w:val="00040384"/>
    <w:rsid w:val="00040749"/>
    <w:rsid w:val="000409D9"/>
    <w:rsid w:val="00040D55"/>
    <w:rsid w:val="000413DF"/>
    <w:rsid w:val="000414B9"/>
    <w:rsid w:val="00041988"/>
    <w:rsid w:val="0004224A"/>
    <w:rsid w:val="00042ADF"/>
    <w:rsid w:val="00043308"/>
    <w:rsid w:val="00043328"/>
    <w:rsid w:val="00043A7E"/>
    <w:rsid w:val="00043D18"/>
    <w:rsid w:val="00043FF1"/>
    <w:rsid w:val="000443CA"/>
    <w:rsid w:val="00045B6B"/>
    <w:rsid w:val="00045BDF"/>
    <w:rsid w:val="00045C50"/>
    <w:rsid w:val="00045CD9"/>
    <w:rsid w:val="00045D1B"/>
    <w:rsid w:val="00045E3F"/>
    <w:rsid w:val="00045FFF"/>
    <w:rsid w:val="000462EB"/>
    <w:rsid w:val="0004667E"/>
    <w:rsid w:val="00046E3D"/>
    <w:rsid w:val="0004720E"/>
    <w:rsid w:val="00047328"/>
    <w:rsid w:val="00047FA6"/>
    <w:rsid w:val="0005046F"/>
    <w:rsid w:val="0005068D"/>
    <w:rsid w:val="00050CF9"/>
    <w:rsid w:val="0005100D"/>
    <w:rsid w:val="00051046"/>
    <w:rsid w:val="00051B22"/>
    <w:rsid w:val="00051F06"/>
    <w:rsid w:val="00052064"/>
    <w:rsid w:val="00052E60"/>
    <w:rsid w:val="00053115"/>
    <w:rsid w:val="00053629"/>
    <w:rsid w:val="00053815"/>
    <w:rsid w:val="00053A63"/>
    <w:rsid w:val="000543B0"/>
    <w:rsid w:val="000543E4"/>
    <w:rsid w:val="000546B0"/>
    <w:rsid w:val="00055731"/>
    <w:rsid w:val="00055D76"/>
    <w:rsid w:val="00055F30"/>
    <w:rsid w:val="000560AD"/>
    <w:rsid w:val="0005699E"/>
    <w:rsid w:val="00056A8C"/>
    <w:rsid w:val="000570EC"/>
    <w:rsid w:val="000573DF"/>
    <w:rsid w:val="00057BE7"/>
    <w:rsid w:val="00057C80"/>
    <w:rsid w:val="00057CAF"/>
    <w:rsid w:val="00057E95"/>
    <w:rsid w:val="00057EDA"/>
    <w:rsid w:val="00060022"/>
    <w:rsid w:val="00060A67"/>
    <w:rsid w:val="00060DB6"/>
    <w:rsid w:val="00061565"/>
    <w:rsid w:val="00061A8D"/>
    <w:rsid w:val="00061B2C"/>
    <w:rsid w:val="00062050"/>
    <w:rsid w:val="0006254A"/>
    <w:rsid w:val="00063170"/>
    <w:rsid w:val="00063302"/>
    <w:rsid w:val="00063C42"/>
    <w:rsid w:val="00064235"/>
    <w:rsid w:val="00065114"/>
    <w:rsid w:val="000660CE"/>
    <w:rsid w:val="0006635A"/>
    <w:rsid w:val="000667D3"/>
    <w:rsid w:val="000669A4"/>
    <w:rsid w:val="00066EFB"/>
    <w:rsid w:val="00067331"/>
    <w:rsid w:val="00067F6E"/>
    <w:rsid w:val="000702AE"/>
    <w:rsid w:val="0007030A"/>
    <w:rsid w:val="0007247A"/>
    <w:rsid w:val="00072672"/>
    <w:rsid w:val="00072915"/>
    <w:rsid w:val="00072BAC"/>
    <w:rsid w:val="00072DD3"/>
    <w:rsid w:val="00072F2D"/>
    <w:rsid w:val="0007322B"/>
    <w:rsid w:val="00073CCB"/>
    <w:rsid w:val="00073FBC"/>
    <w:rsid w:val="000745FD"/>
    <w:rsid w:val="000749F4"/>
    <w:rsid w:val="00074D4F"/>
    <w:rsid w:val="00075251"/>
    <w:rsid w:val="000756D9"/>
    <w:rsid w:val="00075D09"/>
    <w:rsid w:val="0007606E"/>
    <w:rsid w:val="0007614F"/>
    <w:rsid w:val="0007689B"/>
    <w:rsid w:val="00076D09"/>
    <w:rsid w:val="00076DC2"/>
    <w:rsid w:val="000779D0"/>
    <w:rsid w:val="00077C16"/>
    <w:rsid w:val="0008007D"/>
    <w:rsid w:val="0008039B"/>
    <w:rsid w:val="0008056D"/>
    <w:rsid w:val="00080573"/>
    <w:rsid w:val="00080B03"/>
    <w:rsid w:val="00080DC8"/>
    <w:rsid w:val="00080E74"/>
    <w:rsid w:val="000810CD"/>
    <w:rsid w:val="00081A63"/>
    <w:rsid w:val="00081AB5"/>
    <w:rsid w:val="0008219E"/>
    <w:rsid w:val="000822A0"/>
    <w:rsid w:val="0008244F"/>
    <w:rsid w:val="000829A5"/>
    <w:rsid w:val="00082BA7"/>
    <w:rsid w:val="00082D85"/>
    <w:rsid w:val="0008308F"/>
    <w:rsid w:val="00083221"/>
    <w:rsid w:val="0008385D"/>
    <w:rsid w:val="000839EE"/>
    <w:rsid w:val="0008405C"/>
    <w:rsid w:val="000859C2"/>
    <w:rsid w:val="000859CE"/>
    <w:rsid w:val="00085DD6"/>
    <w:rsid w:val="00085F1D"/>
    <w:rsid w:val="000865DE"/>
    <w:rsid w:val="000868E0"/>
    <w:rsid w:val="00086A2F"/>
    <w:rsid w:val="00086C27"/>
    <w:rsid w:val="00086C74"/>
    <w:rsid w:val="00086CEA"/>
    <w:rsid w:val="000870F3"/>
    <w:rsid w:val="000870FC"/>
    <w:rsid w:val="0008764F"/>
    <w:rsid w:val="0008767D"/>
    <w:rsid w:val="00087853"/>
    <w:rsid w:val="00087BDE"/>
    <w:rsid w:val="00087F79"/>
    <w:rsid w:val="0009002C"/>
    <w:rsid w:val="000900E6"/>
    <w:rsid w:val="0009014E"/>
    <w:rsid w:val="000901BF"/>
    <w:rsid w:val="00090681"/>
    <w:rsid w:val="00091649"/>
    <w:rsid w:val="00091829"/>
    <w:rsid w:val="00091A60"/>
    <w:rsid w:val="00092E82"/>
    <w:rsid w:val="0009348D"/>
    <w:rsid w:val="00093C7E"/>
    <w:rsid w:val="000946E6"/>
    <w:rsid w:val="0009480D"/>
    <w:rsid w:val="00094D7E"/>
    <w:rsid w:val="00094F7B"/>
    <w:rsid w:val="00095241"/>
    <w:rsid w:val="00095523"/>
    <w:rsid w:val="00095A62"/>
    <w:rsid w:val="00095B3F"/>
    <w:rsid w:val="000960DE"/>
    <w:rsid w:val="00097243"/>
    <w:rsid w:val="00097D31"/>
    <w:rsid w:val="000A088D"/>
    <w:rsid w:val="000A0C59"/>
    <w:rsid w:val="000A2E23"/>
    <w:rsid w:val="000A2EDE"/>
    <w:rsid w:val="000A2F40"/>
    <w:rsid w:val="000A3074"/>
    <w:rsid w:val="000A3119"/>
    <w:rsid w:val="000A39B5"/>
    <w:rsid w:val="000A3F30"/>
    <w:rsid w:val="000A40E3"/>
    <w:rsid w:val="000A46AA"/>
    <w:rsid w:val="000A57AE"/>
    <w:rsid w:val="000A5B64"/>
    <w:rsid w:val="000A6919"/>
    <w:rsid w:val="000A6A40"/>
    <w:rsid w:val="000A7077"/>
    <w:rsid w:val="000A7F5A"/>
    <w:rsid w:val="000A7FFE"/>
    <w:rsid w:val="000B0AE3"/>
    <w:rsid w:val="000B1923"/>
    <w:rsid w:val="000B1A37"/>
    <w:rsid w:val="000B21BE"/>
    <w:rsid w:val="000B23A0"/>
    <w:rsid w:val="000B2427"/>
    <w:rsid w:val="000B2F4C"/>
    <w:rsid w:val="000B305C"/>
    <w:rsid w:val="000B31D4"/>
    <w:rsid w:val="000B3871"/>
    <w:rsid w:val="000B38B6"/>
    <w:rsid w:val="000B3A5D"/>
    <w:rsid w:val="000B3A98"/>
    <w:rsid w:val="000B3F95"/>
    <w:rsid w:val="000B4A14"/>
    <w:rsid w:val="000B4E07"/>
    <w:rsid w:val="000B52A1"/>
    <w:rsid w:val="000B55E0"/>
    <w:rsid w:val="000B56F8"/>
    <w:rsid w:val="000B572F"/>
    <w:rsid w:val="000B5D2E"/>
    <w:rsid w:val="000B5FC3"/>
    <w:rsid w:val="000B6DF3"/>
    <w:rsid w:val="000B6EDD"/>
    <w:rsid w:val="000B6FBC"/>
    <w:rsid w:val="000B724F"/>
    <w:rsid w:val="000B73C5"/>
    <w:rsid w:val="000C06F6"/>
    <w:rsid w:val="000C0836"/>
    <w:rsid w:val="000C1400"/>
    <w:rsid w:val="000C1BC7"/>
    <w:rsid w:val="000C2384"/>
    <w:rsid w:val="000C3071"/>
    <w:rsid w:val="000C3EA5"/>
    <w:rsid w:val="000C3FB9"/>
    <w:rsid w:val="000C442C"/>
    <w:rsid w:val="000C464D"/>
    <w:rsid w:val="000C4ECF"/>
    <w:rsid w:val="000C58A7"/>
    <w:rsid w:val="000C5C37"/>
    <w:rsid w:val="000C5EEA"/>
    <w:rsid w:val="000C6A4A"/>
    <w:rsid w:val="000C6C5D"/>
    <w:rsid w:val="000C7021"/>
    <w:rsid w:val="000C78DA"/>
    <w:rsid w:val="000C7BD8"/>
    <w:rsid w:val="000C7F0E"/>
    <w:rsid w:val="000D009D"/>
    <w:rsid w:val="000D0281"/>
    <w:rsid w:val="000D0FBE"/>
    <w:rsid w:val="000D294E"/>
    <w:rsid w:val="000D2A3D"/>
    <w:rsid w:val="000D3EA8"/>
    <w:rsid w:val="000D47B3"/>
    <w:rsid w:val="000D48AA"/>
    <w:rsid w:val="000D5322"/>
    <w:rsid w:val="000D5389"/>
    <w:rsid w:val="000D53E2"/>
    <w:rsid w:val="000D753D"/>
    <w:rsid w:val="000D780F"/>
    <w:rsid w:val="000D7B73"/>
    <w:rsid w:val="000D7D67"/>
    <w:rsid w:val="000E00D1"/>
    <w:rsid w:val="000E0355"/>
    <w:rsid w:val="000E0E2C"/>
    <w:rsid w:val="000E0F84"/>
    <w:rsid w:val="000E117E"/>
    <w:rsid w:val="000E1CBC"/>
    <w:rsid w:val="000E1E15"/>
    <w:rsid w:val="000E2553"/>
    <w:rsid w:val="000E2635"/>
    <w:rsid w:val="000E2C96"/>
    <w:rsid w:val="000E2CD0"/>
    <w:rsid w:val="000E2EB0"/>
    <w:rsid w:val="000E2F44"/>
    <w:rsid w:val="000E3304"/>
    <w:rsid w:val="000E388E"/>
    <w:rsid w:val="000E3DB6"/>
    <w:rsid w:val="000E5B3B"/>
    <w:rsid w:val="000E606D"/>
    <w:rsid w:val="000E6298"/>
    <w:rsid w:val="000E6747"/>
    <w:rsid w:val="000E7E4C"/>
    <w:rsid w:val="000E7E83"/>
    <w:rsid w:val="000F0339"/>
    <w:rsid w:val="000F0682"/>
    <w:rsid w:val="000F173B"/>
    <w:rsid w:val="000F1793"/>
    <w:rsid w:val="000F1E09"/>
    <w:rsid w:val="000F21E3"/>
    <w:rsid w:val="000F223B"/>
    <w:rsid w:val="000F28B4"/>
    <w:rsid w:val="000F28FF"/>
    <w:rsid w:val="000F2CF4"/>
    <w:rsid w:val="000F33C2"/>
    <w:rsid w:val="000F36C2"/>
    <w:rsid w:val="000F38E6"/>
    <w:rsid w:val="000F3C09"/>
    <w:rsid w:val="000F450F"/>
    <w:rsid w:val="000F4527"/>
    <w:rsid w:val="000F4691"/>
    <w:rsid w:val="000F49D7"/>
    <w:rsid w:val="000F562F"/>
    <w:rsid w:val="000F5BFB"/>
    <w:rsid w:val="000F5F35"/>
    <w:rsid w:val="000F6477"/>
    <w:rsid w:val="000F662C"/>
    <w:rsid w:val="000F70BD"/>
    <w:rsid w:val="000F765A"/>
    <w:rsid w:val="001005AE"/>
    <w:rsid w:val="001009CE"/>
    <w:rsid w:val="001009ED"/>
    <w:rsid w:val="00100B74"/>
    <w:rsid w:val="00100C0F"/>
    <w:rsid w:val="00101D2A"/>
    <w:rsid w:val="00103759"/>
    <w:rsid w:val="00103E3D"/>
    <w:rsid w:val="00104103"/>
    <w:rsid w:val="00104A49"/>
    <w:rsid w:val="00104D5B"/>
    <w:rsid w:val="00104EC8"/>
    <w:rsid w:val="00104F16"/>
    <w:rsid w:val="00104FD1"/>
    <w:rsid w:val="00105B91"/>
    <w:rsid w:val="00106C42"/>
    <w:rsid w:val="00107A5F"/>
    <w:rsid w:val="0011082B"/>
    <w:rsid w:val="00110A85"/>
    <w:rsid w:val="00111B1F"/>
    <w:rsid w:val="00112799"/>
    <w:rsid w:val="00112857"/>
    <w:rsid w:val="00112C15"/>
    <w:rsid w:val="0011310C"/>
    <w:rsid w:val="001131FC"/>
    <w:rsid w:val="001137E9"/>
    <w:rsid w:val="00113C30"/>
    <w:rsid w:val="0011402D"/>
    <w:rsid w:val="00114995"/>
    <w:rsid w:val="00114A24"/>
    <w:rsid w:val="00114DBB"/>
    <w:rsid w:val="00115C82"/>
    <w:rsid w:val="00116670"/>
    <w:rsid w:val="00116F83"/>
    <w:rsid w:val="00117739"/>
    <w:rsid w:val="001208E9"/>
    <w:rsid w:val="00120D09"/>
    <w:rsid w:val="001215AA"/>
    <w:rsid w:val="00121699"/>
    <w:rsid w:val="001221B1"/>
    <w:rsid w:val="001226D1"/>
    <w:rsid w:val="001231A9"/>
    <w:rsid w:val="00123327"/>
    <w:rsid w:val="0012338F"/>
    <w:rsid w:val="00123B01"/>
    <w:rsid w:val="00124F28"/>
    <w:rsid w:val="001250FB"/>
    <w:rsid w:val="00125137"/>
    <w:rsid w:val="001256F6"/>
    <w:rsid w:val="0012583E"/>
    <w:rsid w:val="00125863"/>
    <w:rsid w:val="001259D7"/>
    <w:rsid w:val="00125F41"/>
    <w:rsid w:val="00126C93"/>
    <w:rsid w:val="0012728C"/>
    <w:rsid w:val="001274A8"/>
    <w:rsid w:val="00127504"/>
    <w:rsid w:val="0012759E"/>
    <w:rsid w:val="00127634"/>
    <w:rsid w:val="00127BBA"/>
    <w:rsid w:val="00127F1B"/>
    <w:rsid w:val="00127F71"/>
    <w:rsid w:val="001301A3"/>
    <w:rsid w:val="001302F5"/>
    <w:rsid w:val="001303FE"/>
    <w:rsid w:val="00131153"/>
    <w:rsid w:val="0013134A"/>
    <w:rsid w:val="001315F2"/>
    <w:rsid w:val="00131B6B"/>
    <w:rsid w:val="00131FE7"/>
    <w:rsid w:val="00132269"/>
    <w:rsid w:val="0013250F"/>
    <w:rsid w:val="00132530"/>
    <w:rsid w:val="00132719"/>
    <w:rsid w:val="00132A6E"/>
    <w:rsid w:val="001336CC"/>
    <w:rsid w:val="00133DC5"/>
    <w:rsid w:val="001341E0"/>
    <w:rsid w:val="0013472A"/>
    <w:rsid w:val="001350F6"/>
    <w:rsid w:val="001350FC"/>
    <w:rsid w:val="0013515F"/>
    <w:rsid w:val="0013584B"/>
    <w:rsid w:val="00135861"/>
    <w:rsid w:val="001358D9"/>
    <w:rsid w:val="00135B96"/>
    <w:rsid w:val="001360C4"/>
    <w:rsid w:val="00136278"/>
    <w:rsid w:val="00136C66"/>
    <w:rsid w:val="00140881"/>
    <w:rsid w:val="00140B3A"/>
    <w:rsid w:val="00140F77"/>
    <w:rsid w:val="00140FCA"/>
    <w:rsid w:val="00141081"/>
    <w:rsid w:val="0014142D"/>
    <w:rsid w:val="0014172A"/>
    <w:rsid w:val="0014276C"/>
    <w:rsid w:val="001428A1"/>
    <w:rsid w:val="001429D8"/>
    <w:rsid w:val="001429DE"/>
    <w:rsid w:val="001431C3"/>
    <w:rsid w:val="00143410"/>
    <w:rsid w:val="001434D4"/>
    <w:rsid w:val="0014526F"/>
    <w:rsid w:val="00145639"/>
    <w:rsid w:val="00145920"/>
    <w:rsid w:val="001462DC"/>
    <w:rsid w:val="00146473"/>
    <w:rsid w:val="0014689F"/>
    <w:rsid w:val="00146FB9"/>
    <w:rsid w:val="0014728C"/>
    <w:rsid w:val="0014768F"/>
    <w:rsid w:val="00150C12"/>
    <w:rsid w:val="00150E82"/>
    <w:rsid w:val="00151591"/>
    <w:rsid w:val="0015208F"/>
    <w:rsid w:val="00152BDD"/>
    <w:rsid w:val="00152CE2"/>
    <w:rsid w:val="00152D1B"/>
    <w:rsid w:val="0015312E"/>
    <w:rsid w:val="00153767"/>
    <w:rsid w:val="00153A2A"/>
    <w:rsid w:val="00153ADD"/>
    <w:rsid w:val="00153B91"/>
    <w:rsid w:val="00153C7A"/>
    <w:rsid w:val="001542E8"/>
    <w:rsid w:val="001543B8"/>
    <w:rsid w:val="00154B08"/>
    <w:rsid w:val="00154DD5"/>
    <w:rsid w:val="0015507B"/>
    <w:rsid w:val="001552CA"/>
    <w:rsid w:val="001559F9"/>
    <w:rsid w:val="00155D67"/>
    <w:rsid w:val="00155EC4"/>
    <w:rsid w:val="00156732"/>
    <w:rsid w:val="00156CA7"/>
    <w:rsid w:val="00156D5B"/>
    <w:rsid w:val="0015723D"/>
    <w:rsid w:val="00157BBE"/>
    <w:rsid w:val="00157C72"/>
    <w:rsid w:val="00157CFC"/>
    <w:rsid w:val="00160380"/>
    <w:rsid w:val="00160C09"/>
    <w:rsid w:val="001611EF"/>
    <w:rsid w:val="00161983"/>
    <w:rsid w:val="0016202A"/>
    <w:rsid w:val="00162041"/>
    <w:rsid w:val="0016239B"/>
    <w:rsid w:val="0016242D"/>
    <w:rsid w:val="001625BC"/>
    <w:rsid w:val="00162815"/>
    <w:rsid w:val="00163B92"/>
    <w:rsid w:val="00164401"/>
    <w:rsid w:val="001645D6"/>
    <w:rsid w:val="001648BD"/>
    <w:rsid w:val="00165D16"/>
    <w:rsid w:val="00166043"/>
    <w:rsid w:val="00167568"/>
    <w:rsid w:val="0017024A"/>
    <w:rsid w:val="0017067D"/>
    <w:rsid w:val="00170F94"/>
    <w:rsid w:val="001710BD"/>
    <w:rsid w:val="001711A3"/>
    <w:rsid w:val="0017166D"/>
    <w:rsid w:val="00171B6C"/>
    <w:rsid w:val="00171C18"/>
    <w:rsid w:val="00171E95"/>
    <w:rsid w:val="00172C6B"/>
    <w:rsid w:val="00172E0E"/>
    <w:rsid w:val="00173019"/>
    <w:rsid w:val="0017367B"/>
    <w:rsid w:val="00173F69"/>
    <w:rsid w:val="0017408A"/>
    <w:rsid w:val="001742B5"/>
    <w:rsid w:val="001746A3"/>
    <w:rsid w:val="00174738"/>
    <w:rsid w:val="0017483B"/>
    <w:rsid w:val="00174C1B"/>
    <w:rsid w:val="00174F9A"/>
    <w:rsid w:val="0017548A"/>
    <w:rsid w:val="001758CE"/>
    <w:rsid w:val="00175A98"/>
    <w:rsid w:val="00175B1A"/>
    <w:rsid w:val="00175EB2"/>
    <w:rsid w:val="00175FBA"/>
    <w:rsid w:val="00176B30"/>
    <w:rsid w:val="00176CC3"/>
    <w:rsid w:val="00176D1F"/>
    <w:rsid w:val="0017773E"/>
    <w:rsid w:val="00177AEA"/>
    <w:rsid w:val="00180467"/>
    <w:rsid w:val="001806D4"/>
    <w:rsid w:val="0018078D"/>
    <w:rsid w:val="001807E2"/>
    <w:rsid w:val="00180CB8"/>
    <w:rsid w:val="0018147D"/>
    <w:rsid w:val="0018152A"/>
    <w:rsid w:val="00182BFF"/>
    <w:rsid w:val="0018307D"/>
    <w:rsid w:val="00183A7C"/>
    <w:rsid w:val="00183B75"/>
    <w:rsid w:val="00183C3C"/>
    <w:rsid w:val="001840F8"/>
    <w:rsid w:val="0018416C"/>
    <w:rsid w:val="00184337"/>
    <w:rsid w:val="001844B0"/>
    <w:rsid w:val="00184745"/>
    <w:rsid w:val="00184993"/>
    <w:rsid w:val="00184AE7"/>
    <w:rsid w:val="00184FBB"/>
    <w:rsid w:val="0018517E"/>
    <w:rsid w:val="00185A62"/>
    <w:rsid w:val="00185DF4"/>
    <w:rsid w:val="00187384"/>
    <w:rsid w:val="00187A08"/>
    <w:rsid w:val="00187AF9"/>
    <w:rsid w:val="001902C9"/>
    <w:rsid w:val="001902E0"/>
    <w:rsid w:val="00190626"/>
    <w:rsid w:val="001907A4"/>
    <w:rsid w:val="00190B25"/>
    <w:rsid w:val="00190BE0"/>
    <w:rsid w:val="00190D40"/>
    <w:rsid w:val="001915FB"/>
    <w:rsid w:val="001917CC"/>
    <w:rsid w:val="00191F3C"/>
    <w:rsid w:val="00191FB6"/>
    <w:rsid w:val="00191FFA"/>
    <w:rsid w:val="0019268A"/>
    <w:rsid w:val="00192D1C"/>
    <w:rsid w:val="00192E75"/>
    <w:rsid w:val="001931F4"/>
    <w:rsid w:val="001937A3"/>
    <w:rsid w:val="00193C4F"/>
    <w:rsid w:val="001940FC"/>
    <w:rsid w:val="00194894"/>
    <w:rsid w:val="00194E13"/>
    <w:rsid w:val="0019537D"/>
    <w:rsid w:val="00195759"/>
    <w:rsid w:val="00195EAD"/>
    <w:rsid w:val="001967B3"/>
    <w:rsid w:val="00196B39"/>
    <w:rsid w:val="00196D77"/>
    <w:rsid w:val="00196F08"/>
    <w:rsid w:val="0019710E"/>
    <w:rsid w:val="001A0015"/>
    <w:rsid w:val="001A01EF"/>
    <w:rsid w:val="001A0285"/>
    <w:rsid w:val="001A05B7"/>
    <w:rsid w:val="001A0743"/>
    <w:rsid w:val="001A0AFE"/>
    <w:rsid w:val="001A0D2C"/>
    <w:rsid w:val="001A2087"/>
    <w:rsid w:val="001A273E"/>
    <w:rsid w:val="001A3367"/>
    <w:rsid w:val="001A3AD4"/>
    <w:rsid w:val="001A3BFC"/>
    <w:rsid w:val="001A3F29"/>
    <w:rsid w:val="001A4129"/>
    <w:rsid w:val="001A43B8"/>
    <w:rsid w:val="001A46C4"/>
    <w:rsid w:val="001A489D"/>
    <w:rsid w:val="001A4C2C"/>
    <w:rsid w:val="001A5E02"/>
    <w:rsid w:val="001A6D0B"/>
    <w:rsid w:val="001A6D9E"/>
    <w:rsid w:val="001A6E88"/>
    <w:rsid w:val="001A6F3D"/>
    <w:rsid w:val="001A7070"/>
    <w:rsid w:val="001A74A6"/>
    <w:rsid w:val="001A7930"/>
    <w:rsid w:val="001A7986"/>
    <w:rsid w:val="001B085E"/>
    <w:rsid w:val="001B1222"/>
    <w:rsid w:val="001B15D2"/>
    <w:rsid w:val="001B178B"/>
    <w:rsid w:val="001B2377"/>
    <w:rsid w:val="001B2726"/>
    <w:rsid w:val="001B2AF5"/>
    <w:rsid w:val="001B2D06"/>
    <w:rsid w:val="001B3449"/>
    <w:rsid w:val="001B5DEA"/>
    <w:rsid w:val="001B5E39"/>
    <w:rsid w:val="001B604F"/>
    <w:rsid w:val="001B6BE7"/>
    <w:rsid w:val="001B6CF4"/>
    <w:rsid w:val="001B72DF"/>
    <w:rsid w:val="001C0001"/>
    <w:rsid w:val="001C037F"/>
    <w:rsid w:val="001C03D5"/>
    <w:rsid w:val="001C04F3"/>
    <w:rsid w:val="001C095B"/>
    <w:rsid w:val="001C191E"/>
    <w:rsid w:val="001C1966"/>
    <w:rsid w:val="001C1FC5"/>
    <w:rsid w:val="001C2721"/>
    <w:rsid w:val="001C2B3D"/>
    <w:rsid w:val="001C3257"/>
    <w:rsid w:val="001C32A5"/>
    <w:rsid w:val="001C3A52"/>
    <w:rsid w:val="001C40CB"/>
    <w:rsid w:val="001C4318"/>
    <w:rsid w:val="001C4857"/>
    <w:rsid w:val="001C497B"/>
    <w:rsid w:val="001C52D8"/>
    <w:rsid w:val="001C592E"/>
    <w:rsid w:val="001C599A"/>
    <w:rsid w:val="001C59E5"/>
    <w:rsid w:val="001C5A71"/>
    <w:rsid w:val="001C66BE"/>
    <w:rsid w:val="001C6862"/>
    <w:rsid w:val="001C6C32"/>
    <w:rsid w:val="001C6C50"/>
    <w:rsid w:val="001C6E1F"/>
    <w:rsid w:val="001C79E6"/>
    <w:rsid w:val="001C7AB4"/>
    <w:rsid w:val="001C7B7D"/>
    <w:rsid w:val="001C7FA7"/>
    <w:rsid w:val="001D012A"/>
    <w:rsid w:val="001D0456"/>
    <w:rsid w:val="001D057F"/>
    <w:rsid w:val="001D0CF9"/>
    <w:rsid w:val="001D0D3B"/>
    <w:rsid w:val="001D0E9C"/>
    <w:rsid w:val="001D11E0"/>
    <w:rsid w:val="001D1CE7"/>
    <w:rsid w:val="001D209A"/>
    <w:rsid w:val="001D28DB"/>
    <w:rsid w:val="001D3299"/>
    <w:rsid w:val="001D3602"/>
    <w:rsid w:val="001D3B27"/>
    <w:rsid w:val="001D3FF0"/>
    <w:rsid w:val="001D4A45"/>
    <w:rsid w:val="001D4A4B"/>
    <w:rsid w:val="001D4CF7"/>
    <w:rsid w:val="001D5079"/>
    <w:rsid w:val="001D517E"/>
    <w:rsid w:val="001D5C26"/>
    <w:rsid w:val="001D5D89"/>
    <w:rsid w:val="001D6143"/>
    <w:rsid w:val="001D694F"/>
    <w:rsid w:val="001D76EE"/>
    <w:rsid w:val="001D7FB6"/>
    <w:rsid w:val="001E048F"/>
    <w:rsid w:val="001E0613"/>
    <w:rsid w:val="001E097F"/>
    <w:rsid w:val="001E0C57"/>
    <w:rsid w:val="001E0E57"/>
    <w:rsid w:val="001E1135"/>
    <w:rsid w:val="001E1265"/>
    <w:rsid w:val="001E1397"/>
    <w:rsid w:val="001E13C0"/>
    <w:rsid w:val="001E1543"/>
    <w:rsid w:val="001E15DF"/>
    <w:rsid w:val="001E1B4F"/>
    <w:rsid w:val="001E1BC9"/>
    <w:rsid w:val="001E2165"/>
    <w:rsid w:val="001E23E3"/>
    <w:rsid w:val="001E3865"/>
    <w:rsid w:val="001E3C5F"/>
    <w:rsid w:val="001E3F5B"/>
    <w:rsid w:val="001E4146"/>
    <w:rsid w:val="001E46A7"/>
    <w:rsid w:val="001E5013"/>
    <w:rsid w:val="001E55E9"/>
    <w:rsid w:val="001E5B04"/>
    <w:rsid w:val="001E5EB7"/>
    <w:rsid w:val="001E612D"/>
    <w:rsid w:val="001E6352"/>
    <w:rsid w:val="001E6380"/>
    <w:rsid w:val="001E6773"/>
    <w:rsid w:val="001E6AB8"/>
    <w:rsid w:val="001E6BDF"/>
    <w:rsid w:val="001E71D1"/>
    <w:rsid w:val="001E71F1"/>
    <w:rsid w:val="001E7D46"/>
    <w:rsid w:val="001F062B"/>
    <w:rsid w:val="001F0703"/>
    <w:rsid w:val="001F1133"/>
    <w:rsid w:val="001F1736"/>
    <w:rsid w:val="001F1848"/>
    <w:rsid w:val="001F20A1"/>
    <w:rsid w:val="001F4587"/>
    <w:rsid w:val="001F4E9F"/>
    <w:rsid w:val="001F5518"/>
    <w:rsid w:val="001F6468"/>
    <w:rsid w:val="001F6CF3"/>
    <w:rsid w:val="002000FC"/>
    <w:rsid w:val="00200289"/>
    <w:rsid w:val="00200413"/>
    <w:rsid w:val="00200582"/>
    <w:rsid w:val="0020076D"/>
    <w:rsid w:val="002008B2"/>
    <w:rsid w:val="00200BB7"/>
    <w:rsid w:val="00200BD4"/>
    <w:rsid w:val="00201285"/>
    <w:rsid w:val="00201F63"/>
    <w:rsid w:val="002023E9"/>
    <w:rsid w:val="00202CB0"/>
    <w:rsid w:val="002035C7"/>
    <w:rsid w:val="002039F7"/>
    <w:rsid w:val="00204037"/>
    <w:rsid w:val="002042E9"/>
    <w:rsid w:val="00204B47"/>
    <w:rsid w:val="0020536E"/>
    <w:rsid w:val="002059B9"/>
    <w:rsid w:val="00205B0A"/>
    <w:rsid w:val="00205BA3"/>
    <w:rsid w:val="002063C4"/>
    <w:rsid w:val="0020683D"/>
    <w:rsid w:val="0020708E"/>
    <w:rsid w:val="00207731"/>
    <w:rsid w:val="0020774D"/>
    <w:rsid w:val="00207D5A"/>
    <w:rsid w:val="00207DDB"/>
    <w:rsid w:val="00210760"/>
    <w:rsid w:val="00210D68"/>
    <w:rsid w:val="00210D69"/>
    <w:rsid w:val="00210E84"/>
    <w:rsid w:val="00210F99"/>
    <w:rsid w:val="00211115"/>
    <w:rsid w:val="00211690"/>
    <w:rsid w:val="00212185"/>
    <w:rsid w:val="00212C25"/>
    <w:rsid w:val="0021319A"/>
    <w:rsid w:val="002139C8"/>
    <w:rsid w:val="00214017"/>
    <w:rsid w:val="002140EC"/>
    <w:rsid w:val="00214971"/>
    <w:rsid w:val="00214B85"/>
    <w:rsid w:val="00215153"/>
    <w:rsid w:val="002159E4"/>
    <w:rsid w:val="00215F10"/>
    <w:rsid w:val="0021613C"/>
    <w:rsid w:val="002162C9"/>
    <w:rsid w:val="002164A8"/>
    <w:rsid w:val="002165FA"/>
    <w:rsid w:val="00216FB7"/>
    <w:rsid w:val="00217242"/>
    <w:rsid w:val="00220458"/>
    <w:rsid w:val="00220ABD"/>
    <w:rsid w:val="002213F9"/>
    <w:rsid w:val="002219DF"/>
    <w:rsid w:val="002224DC"/>
    <w:rsid w:val="00222FC2"/>
    <w:rsid w:val="00223054"/>
    <w:rsid w:val="002235B3"/>
    <w:rsid w:val="002249BD"/>
    <w:rsid w:val="0022533C"/>
    <w:rsid w:val="0022564D"/>
    <w:rsid w:val="00225936"/>
    <w:rsid w:val="00225D18"/>
    <w:rsid w:val="00227088"/>
    <w:rsid w:val="002271F8"/>
    <w:rsid w:val="0022725C"/>
    <w:rsid w:val="00227670"/>
    <w:rsid w:val="00227942"/>
    <w:rsid w:val="00227DEB"/>
    <w:rsid w:val="00230462"/>
    <w:rsid w:val="0023055B"/>
    <w:rsid w:val="00230857"/>
    <w:rsid w:val="002309DD"/>
    <w:rsid w:val="00231D19"/>
    <w:rsid w:val="00231E64"/>
    <w:rsid w:val="00231F47"/>
    <w:rsid w:val="00232AAE"/>
    <w:rsid w:val="00232E6E"/>
    <w:rsid w:val="0023362D"/>
    <w:rsid w:val="00233A66"/>
    <w:rsid w:val="00233BF0"/>
    <w:rsid w:val="00233E55"/>
    <w:rsid w:val="00234491"/>
    <w:rsid w:val="00234514"/>
    <w:rsid w:val="002347F3"/>
    <w:rsid w:val="00235282"/>
    <w:rsid w:val="002356CB"/>
    <w:rsid w:val="00237049"/>
    <w:rsid w:val="00237164"/>
    <w:rsid w:val="002372C7"/>
    <w:rsid w:val="00237316"/>
    <w:rsid w:val="00237576"/>
    <w:rsid w:val="00240203"/>
    <w:rsid w:val="002406A2"/>
    <w:rsid w:val="00241C73"/>
    <w:rsid w:val="00241D1E"/>
    <w:rsid w:val="0024225A"/>
    <w:rsid w:val="0024243E"/>
    <w:rsid w:val="00242F8C"/>
    <w:rsid w:val="0024304C"/>
    <w:rsid w:val="00243EA6"/>
    <w:rsid w:val="0024427C"/>
    <w:rsid w:val="00244350"/>
    <w:rsid w:val="00244750"/>
    <w:rsid w:val="00244A12"/>
    <w:rsid w:val="00245686"/>
    <w:rsid w:val="00245A86"/>
    <w:rsid w:val="00245B0F"/>
    <w:rsid w:val="00246B48"/>
    <w:rsid w:val="00247A83"/>
    <w:rsid w:val="00247AF7"/>
    <w:rsid w:val="00247D69"/>
    <w:rsid w:val="0025015F"/>
    <w:rsid w:val="00250205"/>
    <w:rsid w:val="00250243"/>
    <w:rsid w:val="0025038D"/>
    <w:rsid w:val="00250701"/>
    <w:rsid w:val="002510F7"/>
    <w:rsid w:val="00251BB2"/>
    <w:rsid w:val="00251D26"/>
    <w:rsid w:val="00252CA4"/>
    <w:rsid w:val="002532AC"/>
    <w:rsid w:val="00253359"/>
    <w:rsid w:val="00253460"/>
    <w:rsid w:val="00253F6A"/>
    <w:rsid w:val="00254157"/>
    <w:rsid w:val="00254F15"/>
    <w:rsid w:val="00255965"/>
    <w:rsid w:val="00255B84"/>
    <w:rsid w:val="00255C4C"/>
    <w:rsid w:val="00256600"/>
    <w:rsid w:val="002566DA"/>
    <w:rsid w:val="00256AA2"/>
    <w:rsid w:val="0025788F"/>
    <w:rsid w:val="00257947"/>
    <w:rsid w:val="00260E0F"/>
    <w:rsid w:val="00261027"/>
    <w:rsid w:val="002618EE"/>
    <w:rsid w:val="00261A8E"/>
    <w:rsid w:val="002624B8"/>
    <w:rsid w:val="00262755"/>
    <w:rsid w:val="002629D1"/>
    <w:rsid w:val="00262AFC"/>
    <w:rsid w:val="0026325D"/>
    <w:rsid w:val="00263650"/>
    <w:rsid w:val="0026378B"/>
    <w:rsid w:val="002637B5"/>
    <w:rsid w:val="00263999"/>
    <w:rsid w:val="00264314"/>
    <w:rsid w:val="00264476"/>
    <w:rsid w:val="0026468D"/>
    <w:rsid w:val="00264E55"/>
    <w:rsid w:val="002657C6"/>
    <w:rsid w:val="00266128"/>
    <w:rsid w:val="00266CD5"/>
    <w:rsid w:val="00266EE8"/>
    <w:rsid w:val="00267295"/>
    <w:rsid w:val="0026784A"/>
    <w:rsid w:val="002679B5"/>
    <w:rsid w:val="002725FF"/>
    <w:rsid w:val="002726FF"/>
    <w:rsid w:val="00273276"/>
    <w:rsid w:val="00273AF9"/>
    <w:rsid w:val="00273CA0"/>
    <w:rsid w:val="002741A8"/>
    <w:rsid w:val="0027474F"/>
    <w:rsid w:val="00274B95"/>
    <w:rsid w:val="0027550D"/>
    <w:rsid w:val="00275562"/>
    <w:rsid w:val="00275717"/>
    <w:rsid w:val="0027594C"/>
    <w:rsid w:val="00275AB6"/>
    <w:rsid w:val="00275B1E"/>
    <w:rsid w:val="00276650"/>
    <w:rsid w:val="00276C05"/>
    <w:rsid w:val="00276F42"/>
    <w:rsid w:val="00277079"/>
    <w:rsid w:val="002777DD"/>
    <w:rsid w:val="00277CE7"/>
    <w:rsid w:val="0028029B"/>
    <w:rsid w:val="002806A2"/>
    <w:rsid w:val="002808BA"/>
    <w:rsid w:val="00280EFE"/>
    <w:rsid w:val="0028104A"/>
    <w:rsid w:val="00281907"/>
    <w:rsid w:val="002819D7"/>
    <w:rsid w:val="00282281"/>
    <w:rsid w:val="00282586"/>
    <w:rsid w:val="00282914"/>
    <w:rsid w:val="00284315"/>
    <w:rsid w:val="00284F27"/>
    <w:rsid w:val="00284F88"/>
    <w:rsid w:val="0028602C"/>
    <w:rsid w:val="00286645"/>
    <w:rsid w:val="00287281"/>
    <w:rsid w:val="0028758D"/>
    <w:rsid w:val="00287824"/>
    <w:rsid w:val="00287B72"/>
    <w:rsid w:val="00287F2A"/>
    <w:rsid w:val="002900D1"/>
    <w:rsid w:val="00291569"/>
    <w:rsid w:val="00291920"/>
    <w:rsid w:val="0029202D"/>
    <w:rsid w:val="0029314E"/>
    <w:rsid w:val="00293C36"/>
    <w:rsid w:val="00293FAC"/>
    <w:rsid w:val="002942EF"/>
    <w:rsid w:val="00294629"/>
    <w:rsid w:val="0029478A"/>
    <w:rsid w:val="002947D6"/>
    <w:rsid w:val="00294B00"/>
    <w:rsid w:val="00295307"/>
    <w:rsid w:val="00295609"/>
    <w:rsid w:val="00295687"/>
    <w:rsid w:val="002957B6"/>
    <w:rsid w:val="00295832"/>
    <w:rsid w:val="00295A24"/>
    <w:rsid w:val="00295D33"/>
    <w:rsid w:val="00295EB2"/>
    <w:rsid w:val="0029602A"/>
    <w:rsid w:val="00296A09"/>
    <w:rsid w:val="00296C78"/>
    <w:rsid w:val="00296CC5"/>
    <w:rsid w:val="002972BE"/>
    <w:rsid w:val="00297754"/>
    <w:rsid w:val="002A0042"/>
    <w:rsid w:val="002A01D5"/>
    <w:rsid w:val="002A0228"/>
    <w:rsid w:val="002A1304"/>
    <w:rsid w:val="002A172B"/>
    <w:rsid w:val="002A180E"/>
    <w:rsid w:val="002A1962"/>
    <w:rsid w:val="002A2482"/>
    <w:rsid w:val="002A3016"/>
    <w:rsid w:val="002A33C8"/>
    <w:rsid w:val="002A33DC"/>
    <w:rsid w:val="002A47C4"/>
    <w:rsid w:val="002A48DC"/>
    <w:rsid w:val="002A4D26"/>
    <w:rsid w:val="002A4E1E"/>
    <w:rsid w:val="002A4F7F"/>
    <w:rsid w:val="002A50FA"/>
    <w:rsid w:val="002A57D5"/>
    <w:rsid w:val="002A5DE1"/>
    <w:rsid w:val="002A607E"/>
    <w:rsid w:val="002A6C30"/>
    <w:rsid w:val="002A790B"/>
    <w:rsid w:val="002A7A6B"/>
    <w:rsid w:val="002B03B5"/>
    <w:rsid w:val="002B03DC"/>
    <w:rsid w:val="002B085B"/>
    <w:rsid w:val="002B09C5"/>
    <w:rsid w:val="002B17E4"/>
    <w:rsid w:val="002B2AE5"/>
    <w:rsid w:val="002B372F"/>
    <w:rsid w:val="002B4690"/>
    <w:rsid w:val="002B4857"/>
    <w:rsid w:val="002B4C54"/>
    <w:rsid w:val="002B520D"/>
    <w:rsid w:val="002B55E1"/>
    <w:rsid w:val="002B5926"/>
    <w:rsid w:val="002B6814"/>
    <w:rsid w:val="002B6BA2"/>
    <w:rsid w:val="002B6F80"/>
    <w:rsid w:val="002B7458"/>
    <w:rsid w:val="002B7DD9"/>
    <w:rsid w:val="002C0011"/>
    <w:rsid w:val="002C07CF"/>
    <w:rsid w:val="002C08E2"/>
    <w:rsid w:val="002C0DE5"/>
    <w:rsid w:val="002C0E1C"/>
    <w:rsid w:val="002C0F4F"/>
    <w:rsid w:val="002C1141"/>
    <w:rsid w:val="002C1475"/>
    <w:rsid w:val="002C1A8E"/>
    <w:rsid w:val="002C1DD9"/>
    <w:rsid w:val="002C26FA"/>
    <w:rsid w:val="002C2793"/>
    <w:rsid w:val="002C2F1F"/>
    <w:rsid w:val="002C31A8"/>
    <w:rsid w:val="002C390E"/>
    <w:rsid w:val="002C3B00"/>
    <w:rsid w:val="002C3D8C"/>
    <w:rsid w:val="002C4091"/>
    <w:rsid w:val="002C440B"/>
    <w:rsid w:val="002C4799"/>
    <w:rsid w:val="002C484E"/>
    <w:rsid w:val="002C5217"/>
    <w:rsid w:val="002C570E"/>
    <w:rsid w:val="002C58AF"/>
    <w:rsid w:val="002C5D98"/>
    <w:rsid w:val="002C5DD1"/>
    <w:rsid w:val="002C659C"/>
    <w:rsid w:val="002C6767"/>
    <w:rsid w:val="002C687F"/>
    <w:rsid w:val="002C68AA"/>
    <w:rsid w:val="002C6D26"/>
    <w:rsid w:val="002C7B24"/>
    <w:rsid w:val="002C7F73"/>
    <w:rsid w:val="002D0C98"/>
    <w:rsid w:val="002D0E13"/>
    <w:rsid w:val="002D1492"/>
    <w:rsid w:val="002D2A10"/>
    <w:rsid w:val="002D2A35"/>
    <w:rsid w:val="002D3D5F"/>
    <w:rsid w:val="002D407E"/>
    <w:rsid w:val="002D40E4"/>
    <w:rsid w:val="002D458A"/>
    <w:rsid w:val="002D4A1B"/>
    <w:rsid w:val="002D4C8D"/>
    <w:rsid w:val="002D4DBB"/>
    <w:rsid w:val="002D4FC9"/>
    <w:rsid w:val="002D52C2"/>
    <w:rsid w:val="002D55FB"/>
    <w:rsid w:val="002D568D"/>
    <w:rsid w:val="002D6349"/>
    <w:rsid w:val="002D6690"/>
    <w:rsid w:val="002D6890"/>
    <w:rsid w:val="002D6F9B"/>
    <w:rsid w:val="002D74C1"/>
    <w:rsid w:val="002D7C87"/>
    <w:rsid w:val="002E046A"/>
    <w:rsid w:val="002E1498"/>
    <w:rsid w:val="002E155C"/>
    <w:rsid w:val="002E15F7"/>
    <w:rsid w:val="002E1B2D"/>
    <w:rsid w:val="002E1CD1"/>
    <w:rsid w:val="002E1D58"/>
    <w:rsid w:val="002E2594"/>
    <w:rsid w:val="002E25BF"/>
    <w:rsid w:val="002E27B7"/>
    <w:rsid w:val="002E287F"/>
    <w:rsid w:val="002E294A"/>
    <w:rsid w:val="002E2A28"/>
    <w:rsid w:val="002E3325"/>
    <w:rsid w:val="002E3733"/>
    <w:rsid w:val="002E38D4"/>
    <w:rsid w:val="002E3A99"/>
    <w:rsid w:val="002E3BAA"/>
    <w:rsid w:val="002E460C"/>
    <w:rsid w:val="002E480C"/>
    <w:rsid w:val="002E4875"/>
    <w:rsid w:val="002E4CBA"/>
    <w:rsid w:val="002E5022"/>
    <w:rsid w:val="002E5F50"/>
    <w:rsid w:val="002E679B"/>
    <w:rsid w:val="002E74A4"/>
    <w:rsid w:val="002E7A26"/>
    <w:rsid w:val="002E7A54"/>
    <w:rsid w:val="002F0370"/>
    <w:rsid w:val="002F0E18"/>
    <w:rsid w:val="002F140A"/>
    <w:rsid w:val="002F14DB"/>
    <w:rsid w:val="002F19F9"/>
    <w:rsid w:val="002F318F"/>
    <w:rsid w:val="002F33EE"/>
    <w:rsid w:val="002F4320"/>
    <w:rsid w:val="002F4323"/>
    <w:rsid w:val="002F49DE"/>
    <w:rsid w:val="002F59C5"/>
    <w:rsid w:val="002F7901"/>
    <w:rsid w:val="003001DB"/>
    <w:rsid w:val="003002C7"/>
    <w:rsid w:val="00300384"/>
    <w:rsid w:val="003004D7"/>
    <w:rsid w:val="00300FCE"/>
    <w:rsid w:val="00301221"/>
    <w:rsid w:val="0030183C"/>
    <w:rsid w:val="00301876"/>
    <w:rsid w:val="00302C30"/>
    <w:rsid w:val="00302DAE"/>
    <w:rsid w:val="00302FA7"/>
    <w:rsid w:val="003037A8"/>
    <w:rsid w:val="0030392A"/>
    <w:rsid w:val="00304022"/>
    <w:rsid w:val="00304052"/>
    <w:rsid w:val="0030408D"/>
    <w:rsid w:val="003040FB"/>
    <w:rsid w:val="0030496D"/>
    <w:rsid w:val="00304FC3"/>
    <w:rsid w:val="003057CF"/>
    <w:rsid w:val="00305904"/>
    <w:rsid w:val="00306446"/>
    <w:rsid w:val="00306B91"/>
    <w:rsid w:val="00306E36"/>
    <w:rsid w:val="00306ECC"/>
    <w:rsid w:val="00307182"/>
    <w:rsid w:val="003073CE"/>
    <w:rsid w:val="003073DA"/>
    <w:rsid w:val="00307520"/>
    <w:rsid w:val="00307578"/>
    <w:rsid w:val="003076C2"/>
    <w:rsid w:val="003079EA"/>
    <w:rsid w:val="003079EF"/>
    <w:rsid w:val="0031020C"/>
    <w:rsid w:val="003105BA"/>
    <w:rsid w:val="00310789"/>
    <w:rsid w:val="00310EF8"/>
    <w:rsid w:val="00311166"/>
    <w:rsid w:val="003111F9"/>
    <w:rsid w:val="00311A06"/>
    <w:rsid w:val="00311C5C"/>
    <w:rsid w:val="00311F09"/>
    <w:rsid w:val="003127E7"/>
    <w:rsid w:val="00312AE9"/>
    <w:rsid w:val="0031313F"/>
    <w:rsid w:val="00313246"/>
    <w:rsid w:val="00313651"/>
    <w:rsid w:val="00313CD7"/>
    <w:rsid w:val="00314E18"/>
    <w:rsid w:val="00314F1F"/>
    <w:rsid w:val="00315226"/>
    <w:rsid w:val="003152B1"/>
    <w:rsid w:val="00315393"/>
    <w:rsid w:val="0031565D"/>
    <w:rsid w:val="00315853"/>
    <w:rsid w:val="00315A0D"/>
    <w:rsid w:val="00316941"/>
    <w:rsid w:val="003169AB"/>
    <w:rsid w:val="003176B1"/>
    <w:rsid w:val="0031790D"/>
    <w:rsid w:val="00317E2F"/>
    <w:rsid w:val="00320422"/>
    <w:rsid w:val="00320959"/>
    <w:rsid w:val="00321813"/>
    <w:rsid w:val="00321821"/>
    <w:rsid w:val="00322258"/>
    <w:rsid w:val="00322BDC"/>
    <w:rsid w:val="00322C20"/>
    <w:rsid w:val="003230B4"/>
    <w:rsid w:val="003230DB"/>
    <w:rsid w:val="00323206"/>
    <w:rsid w:val="003232A4"/>
    <w:rsid w:val="003233F8"/>
    <w:rsid w:val="00323E8C"/>
    <w:rsid w:val="00324F3D"/>
    <w:rsid w:val="0032529F"/>
    <w:rsid w:val="00325B0D"/>
    <w:rsid w:val="00325FFC"/>
    <w:rsid w:val="00326430"/>
    <w:rsid w:val="00326762"/>
    <w:rsid w:val="00327168"/>
    <w:rsid w:val="003278CF"/>
    <w:rsid w:val="00327953"/>
    <w:rsid w:val="00327E8F"/>
    <w:rsid w:val="0033031E"/>
    <w:rsid w:val="003310D0"/>
    <w:rsid w:val="00331443"/>
    <w:rsid w:val="003317A8"/>
    <w:rsid w:val="00331A46"/>
    <w:rsid w:val="00331C86"/>
    <w:rsid w:val="0033267D"/>
    <w:rsid w:val="00332AC8"/>
    <w:rsid w:val="00333E8B"/>
    <w:rsid w:val="00333FB2"/>
    <w:rsid w:val="00334559"/>
    <w:rsid w:val="00334819"/>
    <w:rsid w:val="003349F4"/>
    <w:rsid w:val="00334A05"/>
    <w:rsid w:val="00334E83"/>
    <w:rsid w:val="00335365"/>
    <w:rsid w:val="003358C0"/>
    <w:rsid w:val="00336200"/>
    <w:rsid w:val="0033629E"/>
    <w:rsid w:val="00336CEB"/>
    <w:rsid w:val="003373DA"/>
    <w:rsid w:val="00337473"/>
    <w:rsid w:val="003377AE"/>
    <w:rsid w:val="003378A4"/>
    <w:rsid w:val="0033792B"/>
    <w:rsid w:val="00337D24"/>
    <w:rsid w:val="00337F16"/>
    <w:rsid w:val="00341416"/>
    <w:rsid w:val="00341726"/>
    <w:rsid w:val="00341759"/>
    <w:rsid w:val="003427CD"/>
    <w:rsid w:val="00342B65"/>
    <w:rsid w:val="00342CF5"/>
    <w:rsid w:val="00342D60"/>
    <w:rsid w:val="00342E87"/>
    <w:rsid w:val="003435CB"/>
    <w:rsid w:val="00343898"/>
    <w:rsid w:val="00343EF2"/>
    <w:rsid w:val="00344B3A"/>
    <w:rsid w:val="00345608"/>
    <w:rsid w:val="003459BB"/>
    <w:rsid w:val="003461B7"/>
    <w:rsid w:val="00346BB1"/>
    <w:rsid w:val="0034772F"/>
    <w:rsid w:val="00347C88"/>
    <w:rsid w:val="00347DE6"/>
    <w:rsid w:val="00347F44"/>
    <w:rsid w:val="00350024"/>
    <w:rsid w:val="00350247"/>
    <w:rsid w:val="0035096C"/>
    <w:rsid w:val="00350CEA"/>
    <w:rsid w:val="003510B5"/>
    <w:rsid w:val="00351264"/>
    <w:rsid w:val="00351331"/>
    <w:rsid w:val="00351821"/>
    <w:rsid w:val="00351BC7"/>
    <w:rsid w:val="00351DE7"/>
    <w:rsid w:val="0035215D"/>
    <w:rsid w:val="00352265"/>
    <w:rsid w:val="00352AAF"/>
    <w:rsid w:val="00352DE2"/>
    <w:rsid w:val="00354166"/>
    <w:rsid w:val="003545E4"/>
    <w:rsid w:val="00354A31"/>
    <w:rsid w:val="00354FA1"/>
    <w:rsid w:val="003553A6"/>
    <w:rsid w:val="00355430"/>
    <w:rsid w:val="0035593C"/>
    <w:rsid w:val="003559DA"/>
    <w:rsid w:val="00356168"/>
    <w:rsid w:val="003566E9"/>
    <w:rsid w:val="00356B83"/>
    <w:rsid w:val="003571DC"/>
    <w:rsid w:val="0035771D"/>
    <w:rsid w:val="00357FBD"/>
    <w:rsid w:val="003601D2"/>
    <w:rsid w:val="00360402"/>
    <w:rsid w:val="0036041B"/>
    <w:rsid w:val="00360485"/>
    <w:rsid w:val="00360781"/>
    <w:rsid w:val="00360F3A"/>
    <w:rsid w:val="00361097"/>
    <w:rsid w:val="00361125"/>
    <w:rsid w:val="003615AF"/>
    <w:rsid w:val="00361D35"/>
    <w:rsid w:val="00362100"/>
    <w:rsid w:val="00362109"/>
    <w:rsid w:val="00362279"/>
    <w:rsid w:val="0036294A"/>
    <w:rsid w:val="0036295E"/>
    <w:rsid w:val="00362CF7"/>
    <w:rsid w:val="00363C2F"/>
    <w:rsid w:val="003643C3"/>
    <w:rsid w:val="00364D65"/>
    <w:rsid w:val="00364D6A"/>
    <w:rsid w:val="00364F42"/>
    <w:rsid w:val="003651E5"/>
    <w:rsid w:val="00365626"/>
    <w:rsid w:val="00365AB0"/>
    <w:rsid w:val="00365CAA"/>
    <w:rsid w:val="003666BB"/>
    <w:rsid w:val="003668C6"/>
    <w:rsid w:val="00366A84"/>
    <w:rsid w:val="00367169"/>
    <w:rsid w:val="003701AA"/>
    <w:rsid w:val="00371B91"/>
    <w:rsid w:val="00372057"/>
    <w:rsid w:val="0037219D"/>
    <w:rsid w:val="00372872"/>
    <w:rsid w:val="0037293D"/>
    <w:rsid w:val="00372D9D"/>
    <w:rsid w:val="00373B1F"/>
    <w:rsid w:val="00373F50"/>
    <w:rsid w:val="003740F7"/>
    <w:rsid w:val="003744B2"/>
    <w:rsid w:val="00374966"/>
    <w:rsid w:val="00374FF1"/>
    <w:rsid w:val="003750D1"/>
    <w:rsid w:val="00375D1C"/>
    <w:rsid w:val="00376FE7"/>
    <w:rsid w:val="003774BD"/>
    <w:rsid w:val="00377663"/>
    <w:rsid w:val="00377C9B"/>
    <w:rsid w:val="00377D45"/>
    <w:rsid w:val="003800AB"/>
    <w:rsid w:val="00380C3D"/>
    <w:rsid w:val="00380E38"/>
    <w:rsid w:val="00381168"/>
    <w:rsid w:val="003811C2"/>
    <w:rsid w:val="00381C8E"/>
    <w:rsid w:val="00382B26"/>
    <w:rsid w:val="00382F52"/>
    <w:rsid w:val="003830D6"/>
    <w:rsid w:val="003837FF"/>
    <w:rsid w:val="00383862"/>
    <w:rsid w:val="00383C87"/>
    <w:rsid w:val="0038401B"/>
    <w:rsid w:val="00384F38"/>
    <w:rsid w:val="0038526D"/>
    <w:rsid w:val="00385971"/>
    <w:rsid w:val="00385A2B"/>
    <w:rsid w:val="00386030"/>
    <w:rsid w:val="003861D4"/>
    <w:rsid w:val="0038630C"/>
    <w:rsid w:val="00386AF5"/>
    <w:rsid w:val="0038730A"/>
    <w:rsid w:val="003876F9"/>
    <w:rsid w:val="003878DB"/>
    <w:rsid w:val="00390553"/>
    <w:rsid w:val="00390A39"/>
    <w:rsid w:val="00390B17"/>
    <w:rsid w:val="00391753"/>
    <w:rsid w:val="003919D9"/>
    <w:rsid w:val="00391E26"/>
    <w:rsid w:val="00391EDA"/>
    <w:rsid w:val="003920B3"/>
    <w:rsid w:val="0039227C"/>
    <w:rsid w:val="003929AF"/>
    <w:rsid w:val="00392A1C"/>
    <w:rsid w:val="00393151"/>
    <w:rsid w:val="00393273"/>
    <w:rsid w:val="00393CDF"/>
    <w:rsid w:val="00394075"/>
    <w:rsid w:val="00394595"/>
    <w:rsid w:val="0039467C"/>
    <w:rsid w:val="00395180"/>
    <w:rsid w:val="003959D4"/>
    <w:rsid w:val="003963B0"/>
    <w:rsid w:val="0039670E"/>
    <w:rsid w:val="00396BB6"/>
    <w:rsid w:val="00396BC0"/>
    <w:rsid w:val="00396EBC"/>
    <w:rsid w:val="00397070"/>
    <w:rsid w:val="003A006C"/>
    <w:rsid w:val="003A063D"/>
    <w:rsid w:val="003A0C1F"/>
    <w:rsid w:val="003A16B9"/>
    <w:rsid w:val="003A3891"/>
    <w:rsid w:val="003A39A4"/>
    <w:rsid w:val="003A41FC"/>
    <w:rsid w:val="003A42BD"/>
    <w:rsid w:val="003A4765"/>
    <w:rsid w:val="003A496E"/>
    <w:rsid w:val="003A4C14"/>
    <w:rsid w:val="003A508E"/>
    <w:rsid w:val="003A56E3"/>
    <w:rsid w:val="003A5915"/>
    <w:rsid w:val="003A5F15"/>
    <w:rsid w:val="003A6513"/>
    <w:rsid w:val="003A6598"/>
    <w:rsid w:val="003A674B"/>
    <w:rsid w:val="003A682E"/>
    <w:rsid w:val="003A75BF"/>
    <w:rsid w:val="003A7ED4"/>
    <w:rsid w:val="003B08DD"/>
    <w:rsid w:val="003B0AD2"/>
    <w:rsid w:val="003B0BEB"/>
    <w:rsid w:val="003B15BD"/>
    <w:rsid w:val="003B1F9A"/>
    <w:rsid w:val="003B2589"/>
    <w:rsid w:val="003B2697"/>
    <w:rsid w:val="003B275E"/>
    <w:rsid w:val="003B3218"/>
    <w:rsid w:val="003B3D37"/>
    <w:rsid w:val="003B4509"/>
    <w:rsid w:val="003B4C05"/>
    <w:rsid w:val="003B53BB"/>
    <w:rsid w:val="003B6488"/>
    <w:rsid w:val="003B6C07"/>
    <w:rsid w:val="003B7BCA"/>
    <w:rsid w:val="003C0469"/>
    <w:rsid w:val="003C0CFE"/>
    <w:rsid w:val="003C104A"/>
    <w:rsid w:val="003C1504"/>
    <w:rsid w:val="003C39E1"/>
    <w:rsid w:val="003C3FC1"/>
    <w:rsid w:val="003C44FA"/>
    <w:rsid w:val="003C4544"/>
    <w:rsid w:val="003C4F48"/>
    <w:rsid w:val="003C52D9"/>
    <w:rsid w:val="003C572B"/>
    <w:rsid w:val="003C5CCB"/>
    <w:rsid w:val="003C5E02"/>
    <w:rsid w:val="003C60C9"/>
    <w:rsid w:val="003C6C26"/>
    <w:rsid w:val="003C6D1B"/>
    <w:rsid w:val="003C6F2B"/>
    <w:rsid w:val="003C7A1B"/>
    <w:rsid w:val="003C7B60"/>
    <w:rsid w:val="003C7C40"/>
    <w:rsid w:val="003D008B"/>
    <w:rsid w:val="003D0845"/>
    <w:rsid w:val="003D1A65"/>
    <w:rsid w:val="003D1AA6"/>
    <w:rsid w:val="003D1FB9"/>
    <w:rsid w:val="003D2416"/>
    <w:rsid w:val="003D2C98"/>
    <w:rsid w:val="003D2CCC"/>
    <w:rsid w:val="003D3F9B"/>
    <w:rsid w:val="003D483B"/>
    <w:rsid w:val="003D4A30"/>
    <w:rsid w:val="003D4C01"/>
    <w:rsid w:val="003D4D44"/>
    <w:rsid w:val="003D52FF"/>
    <w:rsid w:val="003D5B22"/>
    <w:rsid w:val="003D62DA"/>
    <w:rsid w:val="003D6A01"/>
    <w:rsid w:val="003D6E51"/>
    <w:rsid w:val="003D7559"/>
    <w:rsid w:val="003D76C3"/>
    <w:rsid w:val="003D78EF"/>
    <w:rsid w:val="003E0565"/>
    <w:rsid w:val="003E0C9E"/>
    <w:rsid w:val="003E0F23"/>
    <w:rsid w:val="003E0F70"/>
    <w:rsid w:val="003E0FBC"/>
    <w:rsid w:val="003E1272"/>
    <w:rsid w:val="003E1299"/>
    <w:rsid w:val="003E1761"/>
    <w:rsid w:val="003E1908"/>
    <w:rsid w:val="003E1E79"/>
    <w:rsid w:val="003E200C"/>
    <w:rsid w:val="003E285A"/>
    <w:rsid w:val="003E37AD"/>
    <w:rsid w:val="003E3E1B"/>
    <w:rsid w:val="003E4065"/>
    <w:rsid w:val="003E43E5"/>
    <w:rsid w:val="003E4F31"/>
    <w:rsid w:val="003E54BB"/>
    <w:rsid w:val="003E554E"/>
    <w:rsid w:val="003E5D81"/>
    <w:rsid w:val="003E6191"/>
    <w:rsid w:val="003E62F1"/>
    <w:rsid w:val="003E66B5"/>
    <w:rsid w:val="003E6FEB"/>
    <w:rsid w:val="003E72EB"/>
    <w:rsid w:val="003E7C8B"/>
    <w:rsid w:val="003E7DD0"/>
    <w:rsid w:val="003E7DEE"/>
    <w:rsid w:val="003F0312"/>
    <w:rsid w:val="003F061A"/>
    <w:rsid w:val="003F086F"/>
    <w:rsid w:val="003F1B26"/>
    <w:rsid w:val="003F2637"/>
    <w:rsid w:val="003F2BD9"/>
    <w:rsid w:val="003F2F92"/>
    <w:rsid w:val="003F30AD"/>
    <w:rsid w:val="003F3261"/>
    <w:rsid w:val="003F343A"/>
    <w:rsid w:val="003F45EA"/>
    <w:rsid w:val="003F472D"/>
    <w:rsid w:val="003F54DF"/>
    <w:rsid w:val="003F5A98"/>
    <w:rsid w:val="003F60A0"/>
    <w:rsid w:val="003F62F0"/>
    <w:rsid w:val="003F6586"/>
    <w:rsid w:val="003F7689"/>
    <w:rsid w:val="003F77B0"/>
    <w:rsid w:val="003F791B"/>
    <w:rsid w:val="003F7B36"/>
    <w:rsid w:val="004001B5"/>
    <w:rsid w:val="00400584"/>
    <w:rsid w:val="004012E5"/>
    <w:rsid w:val="0040162E"/>
    <w:rsid w:val="004020B7"/>
    <w:rsid w:val="004021A0"/>
    <w:rsid w:val="00402791"/>
    <w:rsid w:val="004027D5"/>
    <w:rsid w:val="0040280F"/>
    <w:rsid w:val="0040281F"/>
    <w:rsid w:val="00402C2B"/>
    <w:rsid w:val="00402D87"/>
    <w:rsid w:val="004032C6"/>
    <w:rsid w:val="00403315"/>
    <w:rsid w:val="0040364F"/>
    <w:rsid w:val="00403830"/>
    <w:rsid w:val="00403921"/>
    <w:rsid w:val="0040429C"/>
    <w:rsid w:val="0040460C"/>
    <w:rsid w:val="004049F6"/>
    <w:rsid w:val="00404BB5"/>
    <w:rsid w:val="00404F2D"/>
    <w:rsid w:val="004050FC"/>
    <w:rsid w:val="00405586"/>
    <w:rsid w:val="004057DA"/>
    <w:rsid w:val="004067ED"/>
    <w:rsid w:val="00406A40"/>
    <w:rsid w:val="00406AB0"/>
    <w:rsid w:val="00406CDC"/>
    <w:rsid w:val="00406DD6"/>
    <w:rsid w:val="00406FE5"/>
    <w:rsid w:val="0040755B"/>
    <w:rsid w:val="00410A38"/>
    <w:rsid w:val="00410C84"/>
    <w:rsid w:val="00410F64"/>
    <w:rsid w:val="004112DE"/>
    <w:rsid w:val="0041130D"/>
    <w:rsid w:val="004116D4"/>
    <w:rsid w:val="00411AC8"/>
    <w:rsid w:val="00411B56"/>
    <w:rsid w:val="0041234B"/>
    <w:rsid w:val="00413680"/>
    <w:rsid w:val="00413797"/>
    <w:rsid w:val="00413CE9"/>
    <w:rsid w:val="00413E55"/>
    <w:rsid w:val="00413F79"/>
    <w:rsid w:val="004142C9"/>
    <w:rsid w:val="0041440B"/>
    <w:rsid w:val="00414459"/>
    <w:rsid w:val="004148A2"/>
    <w:rsid w:val="004148D0"/>
    <w:rsid w:val="00414D4D"/>
    <w:rsid w:val="00414EEA"/>
    <w:rsid w:val="00414F65"/>
    <w:rsid w:val="00415B2D"/>
    <w:rsid w:val="00415FC6"/>
    <w:rsid w:val="00416094"/>
    <w:rsid w:val="004161F4"/>
    <w:rsid w:val="00416211"/>
    <w:rsid w:val="00417250"/>
    <w:rsid w:val="00417F61"/>
    <w:rsid w:val="00417FD0"/>
    <w:rsid w:val="004205B3"/>
    <w:rsid w:val="00420C75"/>
    <w:rsid w:val="0042104F"/>
    <w:rsid w:val="004215FD"/>
    <w:rsid w:val="00421B3D"/>
    <w:rsid w:val="00421BA2"/>
    <w:rsid w:val="00421E8E"/>
    <w:rsid w:val="004228F5"/>
    <w:rsid w:val="00423369"/>
    <w:rsid w:val="004235C3"/>
    <w:rsid w:val="00423FF7"/>
    <w:rsid w:val="0042431F"/>
    <w:rsid w:val="0042437F"/>
    <w:rsid w:val="00424D07"/>
    <w:rsid w:val="004251E0"/>
    <w:rsid w:val="00425D78"/>
    <w:rsid w:val="00426412"/>
    <w:rsid w:val="004264B8"/>
    <w:rsid w:val="00426835"/>
    <w:rsid w:val="00426B60"/>
    <w:rsid w:val="00426BCB"/>
    <w:rsid w:val="00426C02"/>
    <w:rsid w:val="00426CA3"/>
    <w:rsid w:val="00426D94"/>
    <w:rsid w:val="004301C6"/>
    <w:rsid w:val="00430791"/>
    <w:rsid w:val="00430B62"/>
    <w:rsid w:val="00430CC5"/>
    <w:rsid w:val="00430DBB"/>
    <w:rsid w:val="004313AC"/>
    <w:rsid w:val="00431AA6"/>
    <w:rsid w:val="00432033"/>
    <w:rsid w:val="004324AD"/>
    <w:rsid w:val="00432694"/>
    <w:rsid w:val="00432872"/>
    <w:rsid w:val="004333C7"/>
    <w:rsid w:val="00433ABB"/>
    <w:rsid w:val="00433C82"/>
    <w:rsid w:val="0043428E"/>
    <w:rsid w:val="004347D0"/>
    <w:rsid w:val="00434A9B"/>
    <w:rsid w:val="00434B4A"/>
    <w:rsid w:val="00434D4F"/>
    <w:rsid w:val="00434E8D"/>
    <w:rsid w:val="00434F64"/>
    <w:rsid w:val="004358BE"/>
    <w:rsid w:val="00435F51"/>
    <w:rsid w:val="00435F69"/>
    <w:rsid w:val="00436049"/>
    <w:rsid w:val="004365D6"/>
    <w:rsid w:val="00436DA6"/>
    <w:rsid w:val="004371A9"/>
    <w:rsid w:val="0043793F"/>
    <w:rsid w:val="004407E8"/>
    <w:rsid w:val="00441814"/>
    <w:rsid w:val="004425EC"/>
    <w:rsid w:val="0044350B"/>
    <w:rsid w:val="00443DB4"/>
    <w:rsid w:val="0044424F"/>
    <w:rsid w:val="0044534C"/>
    <w:rsid w:val="004455FE"/>
    <w:rsid w:val="00445D8B"/>
    <w:rsid w:val="004461BD"/>
    <w:rsid w:val="00446418"/>
    <w:rsid w:val="00446D82"/>
    <w:rsid w:val="00447280"/>
    <w:rsid w:val="00447996"/>
    <w:rsid w:val="00447AE6"/>
    <w:rsid w:val="00447E83"/>
    <w:rsid w:val="0045029E"/>
    <w:rsid w:val="00450596"/>
    <w:rsid w:val="00450C46"/>
    <w:rsid w:val="00450D6E"/>
    <w:rsid w:val="0045131E"/>
    <w:rsid w:val="00451626"/>
    <w:rsid w:val="00451A19"/>
    <w:rsid w:val="00451C3A"/>
    <w:rsid w:val="00452D5A"/>
    <w:rsid w:val="004532EC"/>
    <w:rsid w:val="004535FC"/>
    <w:rsid w:val="004537F7"/>
    <w:rsid w:val="00453F99"/>
    <w:rsid w:val="00454335"/>
    <w:rsid w:val="004544B6"/>
    <w:rsid w:val="004545C4"/>
    <w:rsid w:val="00454603"/>
    <w:rsid w:val="00455139"/>
    <w:rsid w:val="004551CA"/>
    <w:rsid w:val="004552D3"/>
    <w:rsid w:val="00455C0D"/>
    <w:rsid w:val="00455F02"/>
    <w:rsid w:val="00456588"/>
    <w:rsid w:val="004565C1"/>
    <w:rsid w:val="00456605"/>
    <w:rsid w:val="00457054"/>
    <w:rsid w:val="00457346"/>
    <w:rsid w:val="0045746A"/>
    <w:rsid w:val="0045762F"/>
    <w:rsid w:val="0045773C"/>
    <w:rsid w:val="0045781E"/>
    <w:rsid w:val="00460059"/>
    <w:rsid w:val="004604AC"/>
    <w:rsid w:val="00460593"/>
    <w:rsid w:val="004608DA"/>
    <w:rsid w:val="0046159E"/>
    <w:rsid w:val="00461956"/>
    <w:rsid w:val="00461988"/>
    <w:rsid w:val="00461991"/>
    <w:rsid w:val="004620AA"/>
    <w:rsid w:val="0046260A"/>
    <w:rsid w:val="0046268E"/>
    <w:rsid w:val="00462970"/>
    <w:rsid w:val="00462C1C"/>
    <w:rsid w:val="00462F2D"/>
    <w:rsid w:val="00462F54"/>
    <w:rsid w:val="00463170"/>
    <w:rsid w:val="004632D9"/>
    <w:rsid w:val="00463819"/>
    <w:rsid w:val="0046475C"/>
    <w:rsid w:val="004651D9"/>
    <w:rsid w:val="004651E0"/>
    <w:rsid w:val="00465B84"/>
    <w:rsid w:val="00466B6B"/>
    <w:rsid w:val="00467C60"/>
    <w:rsid w:val="00467C9F"/>
    <w:rsid w:val="00467CED"/>
    <w:rsid w:val="00470AB2"/>
    <w:rsid w:val="00470BF9"/>
    <w:rsid w:val="00470BFE"/>
    <w:rsid w:val="00470E03"/>
    <w:rsid w:val="00470E44"/>
    <w:rsid w:val="00470E86"/>
    <w:rsid w:val="00471218"/>
    <w:rsid w:val="00471282"/>
    <w:rsid w:val="00471628"/>
    <w:rsid w:val="00472322"/>
    <w:rsid w:val="00472A1B"/>
    <w:rsid w:val="00472D01"/>
    <w:rsid w:val="0047306A"/>
    <w:rsid w:val="00473574"/>
    <w:rsid w:val="00473C58"/>
    <w:rsid w:val="0047426A"/>
    <w:rsid w:val="004745C8"/>
    <w:rsid w:val="00474B01"/>
    <w:rsid w:val="00474C66"/>
    <w:rsid w:val="00474F74"/>
    <w:rsid w:val="00474FF6"/>
    <w:rsid w:val="00475030"/>
    <w:rsid w:val="004757AC"/>
    <w:rsid w:val="00475B2F"/>
    <w:rsid w:val="00475D6C"/>
    <w:rsid w:val="004778CE"/>
    <w:rsid w:val="00477F99"/>
    <w:rsid w:val="004800B9"/>
    <w:rsid w:val="0048055F"/>
    <w:rsid w:val="004814A5"/>
    <w:rsid w:val="004814F2"/>
    <w:rsid w:val="00481B71"/>
    <w:rsid w:val="00481F9F"/>
    <w:rsid w:val="0048209F"/>
    <w:rsid w:val="004827EF"/>
    <w:rsid w:val="00482904"/>
    <w:rsid w:val="00482C93"/>
    <w:rsid w:val="004832EB"/>
    <w:rsid w:val="00484277"/>
    <w:rsid w:val="00486639"/>
    <w:rsid w:val="00486B1F"/>
    <w:rsid w:val="00486C9B"/>
    <w:rsid w:val="004879C2"/>
    <w:rsid w:val="00487D56"/>
    <w:rsid w:val="00490218"/>
    <w:rsid w:val="00490917"/>
    <w:rsid w:val="00490E30"/>
    <w:rsid w:val="00490F7A"/>
    <w:rsid w:val="0049191B"/>
    <w:rsid w:val="004919F6"/>
    <w:rsid w:val="00491D98"/>
    <w:rsid w:val="00491E60"/>
    <w:rsid w:val="0049250F"/>
    <w:rsid w:val="00492561"/>
    <w:rsid w:val="00492AD9"/>
    <w:rsid w:val="00492B19"/>
    <w:rsid w:val="00492D30"/>
    <w:rsid w:val="0049343B"/>
    <w:rsid w:val="00493E97"/>
    <w:rsid w:val="00494081"/>
    <w:rsid w:val="004941F8"/>
    <w:rsid w:val="00494401"/>
    <w:rsid w:val="004944A1"/>
    <w:rsid w:val="004948CE"/>
    <w:rsid w:val="004954A6"/>
    <w:rsid w:val="00495B6F"/>
    <w:rsid w:val="00496632"/>
    <w:rsid w:val="0049681F"/>
    <w:rsid w:val="00497368"/>
    <w:rsid w:val="0049787D"/>
    <w:rsid w:val="004A021F"/>
    <w:rsid w:val="004A0222"/>
    <w:rsid w:val="004A0508"/>
    <w:rsid w:val="004A0696"/>
    <w:rsid w:val="004A0CE3"/>
    <w:rsid w:val="004A1184"/>
    <w:rsid w:val="004A11D3"/>
    <w:rsid w:val="004A2084"/>
    <w:rsid w:val="004A2156"/>
    <w:rsid w:val="004A2DD0"/>
    <w:rsid w:val="004A2E9F"/>
    <w:rsid w:val="004A2EDF"/>
    <w:rsid w:val="004A33FA"/>
    <w:rsid w:val="004A3F03"/>
    <w:rsid w:val="004A4486"/>
    <w:rsid w:val="004A47BE"/>
    <w:rsid w:val="004A4856"/>
    <w:rsid w:val="004A5304"/>
    <w:rsid w:val="004A6108"/>
    <w:rsid w:val="004A624F"/>
    <w:rsid w:val="004A64FB"/>
    <w:rsid w:val="004A66DC"/>
    <w:rsid w:val="004A7210"/>
    <w:rsid w:val="004A74F0"/>
    <w:rsid w:val="004A769C"/>
    <w:rsid w:val="004B03BB"/>
    <w:rsid w:val="004B0FAC"/>
    <w:rsid w:val="004B11BE"/>
    <w:rsid w:val="004B158F"/>
    <w:rsid w:val="004B1DFA"/>
    <w:rsid w:val="004B2524"/>
    <w:rsid w:val="004B2DE8"/>
    <w:rsid w:val="004B33F5"/>
    <w:rsid w:val="004B3760"/>
    <w:rsid w:val="004B46CF"/>
    <w:rsid w:val="004B5030"/>
    <w:rsid w:val="004B5283"/>
    <w:rsid w:val="004B56BD"/>
    <w:rsid w:val="004B6749"/>
    <w:rsid w:val="004B6797"/>
    <w:rsid w:val="004B6B76"/>
    <w:rsid w:val="004B71AC"/>
    <w:rsid w:val="004B7298"/>
    <w:rsid w:val="004B75C6"/>
    <w:rsid w:val="004B7721"/>
    <w:rsid w:val="004B7D45"/>
    <w:rsid w:val="004C0215"/>
    <w:rsid w:val="004C07A6"/>
    <w:rsid w:val="004C095D"/>
    <w:rsid w:val="004C09A1"/>
    <w:rsid w:val="004C0C44"/>
    <w:rsid w:val="004C0FCB"/>
    <w:rsid w:val="004C1A46"/>
    <w:rsid w:val="004C1B71"/>
    <w:rsid w:val="004C1F44"/>
    <w:rsid w:val="004C2391"/>
    <w:rsid w:val="004C2958"/>
    <w:rsid w:val="004C29AE"/>
    <w:rsid w:val="004C2FE6"/>
    <w:rsid w:val="004C30C2"/>
    <w:rsid w:val="004C3140"/>
    <w:rsid w:val="004C33A2"/>
    <w:rsid w:val="004C3869"/>
    <w:rsid w:val="004C394A"/>
    <w:rsid w:val="004C441E"/>
    <w:rsid w:val="004C4670"/>
    <w:rsid w:val="004C493D"/>
    <w:rsid w:val="004C505C"/>
    <w:rsid w:val="004C55E2"/>
    <w:rsid w:val="004C595C"/>
    <w:rsid w:val="004C5BEB"/>
    <w:rsid w:val="004C5C3E"/>
    <w:rsid w:val="004C5CC4"/>
    <w:rsid w:val="004C6A56"/>
    <w:rsid w:val="004C6F49"/>
    <w:rsid w:val="004C7360"/>
    <w:rsid w:val="004C793B"/>
    <w:rsid w:val="004C7D91"/>
    <w:rsid w:val="004C7FB6"/>
    <w:rsid w:val="004D01FC"/>
    <w:rsid w:val="004D0581"/>
    <w:rsid w:val="004D08D4"/>
    <w:rsid w:val="004D091D"/>
    <w:rsid w:val="004D094E"/>
    <w:rsid w:val="004D0ECC"/>
    <w:rsid w:val="004D148C"/>
    <w:rsid w:val="004D16B9"/>
    <w:rsid w:val="004D18E8"/>
    <w:rsid w:val="004D1B4A"/>
    <w:rsid w:val="004D24D1"/>
    <w:rsid w:val="004D25A3"/>
    <w:rsid w:val="004D277D"/>
    <w:rsid w:val="004D2A9F"/>
    <w:rsid w:val="004D3C0E"/>
    <w:rsid w:val="004D417D"/>
    <w:rsid w:val="004D44C6"/>
    <w:rsid w:val="004D453A"/>
    <w:rsid w:val="004D4AE0"/>
    <w:rsid w:val="004D5154"/>
    <w:rsid w:val="004D5A05"/>
    <w:rsid w:val="004D5BD7"/>
    <w:rsid w:val="004D60F4"/>
    <w:rsid w:val="004D687D"/>
    <w:rsid w:val="004D68B7"/>
    <w:rsid w:val="004D6EE3"/>
    <w:rsid w:val="004D6F16"/>
    <w:rsid w:val="004D6FAD"/>
    <w:rsid w:val="004D7094"/>
    <w:rsid w:val="004D72CB"/>
    <w:rsid w:val="004D7BAE"/>
    <w:rsid w:val="004D7BF7"/>
    <w:rsid w:val="004E0330"/>
    <w:rsid w:val="004E078B"/>
    <w:rsid w:val="004E0F37"/>
    <w:rsid w:val="004E131C"/>
    <w:rsid w:val="004E1871"/>
    <w:rsid w:val="004E198D"/>
    <w:rsid w:val="004E2387"/>
    <w:rsid w:val="004E2F64"/>
    <w:rsid w:val="004E38ED"/>
    <w:rsid w:val="004E48AD"/>
    <w:rsid w:val="004E4CEC"/>
    <w:rsid w:val="004E4D7E"/>
    <w:rsid w:val="004E5731"/>
    <w:rsid w:val="004E609F"/>
    <w:rsid w:val="004E61FD"/>
    <w:rsid w:val="004E6BCF"/>
    <w:rsid w:val="004E6C64"/>
    <w:rsid w:val="004E6E14"/>
    <w:rsid w:val="004E6F38"/>
    <w:rsid w:val="004E7029"/>
    <w:rsid w:val="004E74A9"/>
    <w:rsid w:val="004F0DAE"/>
    <w:rsid w:val="004F0E19"/>
    <w:rsid w:val="004F0F5A"/>
    <w:rsid w:val="004F149A"/>
    <w:rsid w:val="004F16CF"/>
    <w:rsid w:val="004F174C"/>
    <w:rsid w:val="004F1A81"/>
    <w:rsid w:val="004F1C61"/>
    <w:rsid w:val="004F220A"/>
    <w:rsid w:val="004F2645"/>
    <w:rsid w:val="004F2F53"/>
    <w:rsid w:val="004F2FEC"/>
    <w:rsid w:val="004F32EB"/>
    <w:rsid w:val="004F3A89"/>
    <w:rsid w:val="004F41D4"/>
    <w:rsid w:val="004F4293"/>
    <w:rsid w:val="004F4EB2"/>
    <w:rsid w:val="004F6BFF"/>
    <w:rsid w:val="004F6E00"/>
    <w:rsid w:val="004F7B54"/>
    <w:rsid w:val="004F7D23"/>
    <w:rsid w:val="004F7F62"/>
    <w:rsid w:val="0050037C"/>
    <w:rsid w:val="00500BCF"/>
    <w:rsid w:val="0050100F"/>
    <w:rsid w:val="005010A7"/>
    <w:rsid w:val="0050229D"/>
    <w:rsid w:val="005026DE"/>
    <w:rsid w:val="005027B5"/>
    <w:rsid w:val="00502CBE"/>
    <w:rsid w:val="00503974"/>
    <w:rsid w:val="0050454E"/>
    <w:rsid w:val="005049B5"/>
    <w:rsid w:val="00505182"/>
    <w:rsid w:val="00505374"/>
    <w:rsid w:val="0050567D"/>
    <w:rsid w:val="00505928"/>
    <w:rsid w:val="00506679"/>
    <w:rsid w:val="0050667F"/>
    <w:rsid w:val="0050693C"/>
    <w:rsid w:val="0050693F"/>
    <w:rsid w:val="005072B7"/>
    <w:rsid w:val="0050737D"/>
    <w:rsid w:val="00507E81"/>
    <w:rsid w:val="00507F37"/>
    <w:rsid w:val="005103D0"/>
    <w:rsid w:val="0051050D"/>
    <w:rsid w:val="00510E97"/>
    <w:rsid w:val="00511D44"/>
    <w:rsid w:val="005126F5"/>
    <w:rsid w:val="0051281F"/>
    <w:rsid w:val="00512823"/>
    <w:rsid w:val="005129C3"/>
    <w:rsid w:val="00512E26"/>
    <w:rsid w:val="005131FF"/>
    <w:rsid w:val="00513B24"/>
    <w:rsid w:val="00513C49"/>
    <w:rsid w:val="00514072"/>
    <w:rsid w:val="00514CB2"/>
    <w:rsid w:val="005156C7"/>
    <w:rsid w:val="00515C32"/>
    <w:rsid w:val="00516FD2"/>
    <w:rsid w:val="00517009"/>
    <w:rsid w:val="0051757A"/>
    <w:rsid w:val="00517AFF"/>
    <w:rsid w:val="0052234C"/>
    <w:rsid w:val="00523204"/>
    <w:rsid w:val="00523689"/>
    <w:rsid w:val="005238F5"/>
    <w:rsid w:val="00523900"/>
    <w:rsid w:val="00523A86"/>
    <w:rsid w:val="00523FE2"/>
    <w:rsid w:val="00524232"/>
    <w:rsid w:val="00524405"/>
    <w:rsid w:val="00524898"/>
    <w:rsid w:val="00524941"/>
    <w:rsid w:val="00524BF0"/>
    <w:rsid w:val="00524DAC"/>
    <w:rsid w:val="00525163"/>
    <w:rsid w:val="00525489"/>
    <w:rsid w:val="00525A27"/>
    <w:rsid w:val="005263DA"/>
    <w:rsid w:val="0052663A"/>
    <w:rsid w:val="00526A3B"/>
    <w:rsid w:val="00526D98"/>
    <w:rsid w:val="00526E9E"/>
    <w:rsid w:val="005272BE"/>
    <w:rsid w:val="005274B5"/>
    <w:rsid w:val="005301AB"/>
    <w:rsid w:val="00530710"/>
    <w:rsid w:val="005307EC"/>
    <w:rsid w:val="00530A2D"/>
    <w:rsid w:val="005314FE"/>
    <w:rsid w:val="0053267A"/>
    <w:rsid w:val="0053295D"/>
    <w:rsid w:val="00532FB2"/>
    <w:rsid w:val="005331BF"/>
    <w:rsid w:val="005338F2"/>
    <w:rsid w:val="00533A37"/>
    <w:rsid w:val="00534060"/>
    <w:rsid w:val="0053460E"/>
    <w:rsid w:val="00534953"/>
    <w:rsid w:val="00534FC6"/>
    <w:rsid w:val="005350ED"/>
    <w:rsid w:val="0053554E"/>
    <w:rsid w:val="00535668"/>
    <w:rsid w:val="00535820"/>
    <w:rsid w:val="00535DAA"/>
    <w:rsid w:val="00535F5B"/>
    <w:rsid w:val="005360D4"/>
    <w:rsid w:val="0053617F"/>
    <w:rsid w:val="00537896"/>
    <w:rsid w:val="00537A1F"/>
    <w:rsid w:val="00537C7A"/>
    <w:rsid w:val="005404DD"/>
    <w:rsid w:val="0054056A"/>
    <w:rsid w:val="00541ACF"/>
    <w:rsid w:val="00541C29"/>
    <w:rsid w:val="005420C0"/>
    <w:rsid w:val="00542B98"/>
    <w:rsid w:val="00542BF5"/>
    <w:rsid w:val="00542BF7"/>
    <w:rsid w:val="00542D87"/>
    <w:rsid w:val="005431D6"/>
    <w:rsid w:val="005436A9"/>
    <w:rsid w:val="00543730"/>
    <w:rsid w:val="00543A0C"/>
    <w:rsid w:val="00543B8C"/>
    <w:rsid w:val="00544826"/>
    <w:rsid w:val="005449BD"/>
    <w:rsid w:val="00544CE7"/>
    <w:rsid w:val="00544E6F"/>
    <w:rsid w:val="00545249"/>
    <w:rsid w:val="00545655"/>
    <w:rsid w:val="005456C5"/>
    <w:rsid w:val="00545846"/>
    <w:rsid w:val="00546AA6"/>
    <w:rsid w:val="00546FBA"/>
    <w:rsid w:val="00547700"/>
    <w:rsid w:val="00547E15"/>
    <w:rsid w:val="00550C6C"/>
    <w:rsid w:val="00551518"/>
    <w:rsid w:val="005519D2"/>
    <w:rsid w:val="00551B06"/>
    <w:rsid w:val="0055256F"/>
    <w:rsid w:val="00552634"/>
    <w:rsid w:val="005528C7"/>
    <w:rsid w:val="005529ED"/>
    <w:rsid w:val="00552B83"/>
    <w:rsid w:val="00553DF6"/>
    <w:rsid w:val="00553EDA"/>
    <w:rsid w:val="00553F44"/>
    <w:rsid w:val="00554B72"/>
    <w:rsid w:val="00554C12"/>
    <w:rsid w:val="0055538E"/>
    <w:rsid w:val="005555FB"/>
    <w:rsid w:val="00555960"/>
    <w:rsid w:val="005559D7"/>
    <w:rsid w:val="0055664D"/>
    <w:rsid w:val="00556DBD"/>
    <w:rsid w:val="00556F2A"/>
    <w:rsid w:val="005573A7"/>
    <w:rsid w:val="00557BF0"/>
    <w:rsid w:val="0056001C"/>
    <w:rsid w:val="005612EB"/>
    <w:rsid w:val="005617F1"/>
    <w:rsid w:val="00561F76"/>
    <w:rsid w:val="005622B7"/>
    <w:rsid w:val="00564ABC"/>
    <w:rsid w:val="00565FB6"/>
    <w:rsid w:val="0056637C"/>
    <w:rsid w:val="0056644B"/>
    <w:rsid w:val="00566E5C"/>
    <w:rsid w:val="0056750E"/>
    <w:rsid w:val="0056785D"/>
    <w:rsid w:val="00567953"/>
    <w:rsid w:val="00567A60"/>
    <w:rsid w:val="005700DB"/>
    <w:rsid w:val="00570370"/>
    <w:rsid w:val="00570409"/>
    <w:rsid w:val="0057095E"/>
    <w:rsid w:val="00570FDF"/>
    <w:rsid w:val="00570FFE"/>
    <w:rsid w:val="005710B1"/>
    <w:rsid w:val="00571245"/>
    <w:rsid w:val="005715E1"/>
    <w:rsid w:val="00571731"/>
    <w:rsid w:val="0057188E"/>
    <w:rsid w:val="00571E3F"/>
    <w:rsid w:val="005722FC"/>
    <w:rsid w:val="00572727"/>
    <w:rsid w:val="005727EA"/>
    <w:rsid w:val="00572894"/>
    <w:rsid w:val="00573274"/>
    <w:rsid w:val="0057360C"/>
    <w:rsid w:val="0057391F"/>
    <w:rsid w:val="00573B23"/>
    <w:rsid w:val="00573B87"/>
    <w:rsid w:val="0057416B"/>
    <w:rsid w:val="00574197"/>
    <w:rsid w:val="00574439"/>
    <w:rsid w:val="00574CAD"/>
    <w:rsid w:val="005751B8"/>
    <w:rsid w:val="00576064"/>
    <w:rsid w:val="00577D2D"/>
    <w:rsid w:val="00577FC5"/>
    <w:rsid w:val="0058000E"/>
    <w:rsid w:val="005805E9"/>
    <w:rsid w:val="00580DCA"/>
    <w:rsid w:val="00580F70"/>
    <w:rsid w:val="0058156B"/>
    <w:rsid w:val="0058176B"/>
    <w:rsid w:val="00581811"/>
    <w:rsid w:val="005820E8"/>
    <w:rsid w:val="0058268D"/>
    <w:rsid w:val="005826ED"/>
    <w:rsid w:val="00582882"/>
    <w:rsid w:val="0058297D"/>
    <w:rsid w:val="00582B7C"/>
    <w:rsid w:val="005837C8"/>
    <w:rsid w:val="005839C2"/>
    <w:rsid w:val="00584687"/>
    <w:rsid w:val="00584D78"/>
    <w:rsid w:val="0058511B"/>
    <w:rsid w:val="0058561C"/>
    <w:rsid w:val="00585A6F"/>
    <w:rsid w:val="00586023"/>
    <w:rsid w:val="00586A00"/>
    <w:rsid w:val="00586A5D"/>
    <w:rsid w:val="00586C20"/>
    <w:rsid w:val="00586FEC"/>
    <w:rsid w:val="0058716C"/>
    <w:rsid w:val="005872C4"/>
    <w:rsid w:val="005878FC"/>
    <w:rsid w:val="0058790E"/>
    <w:rsid w:val="00587D18"/>
    <w:rsid w:val="00590194"/>
    <w:rsid w:val="005902EC"/>
    <w:rsid w:val="0059057E"/>
    <w:rsid w:val="00590F96"/>
    <w:rsid w:val="0059127C"/>
    <w:rsid w:val="00592044"/>
    <w:rsid w:val="0059226C"/>
    <w:rsid w:val="00592358"/>
    <w:rsid w:val="00592A2F"/>
    <w:rsid w:val="00593512"/>
    <w:rsid w:val="00593DA2"/>
    <w:rsid w:val="005941C2"/>
    <w:rsid w:val="00595093"/>
    <w:rsid w:val="0059560E"/>
    <w:rsid w:val="0059572C"/>
    <w:rsid w:val="0059581D"/>
    <w:rsid w:val="00595C0D"/>
    <w:rsid w:val="00596141"/>
    <w:rsid w:val="005961B5"/>
    <w:rsid w:val="0059636A"/>
    <w:rsid w:val="00596562"/>
    <w:rsid w:val="00596662"/>
    <w:rsid w:val="005966EC"/>
    <w:rsid w:val="005972D2"/>
    <w:rsid w:val="00597464"/>
    <w:rsid w:val="005974DB"/>
    <w:rsid w:val="00597743"/>
    <w:rsid w:val="005A0060"/>
    <w:rsid w:val="005A0490"/>
    <w:rsid w:val="005A1816"/>
    <w:rsid w:val="005A19CA"/>
    <w:rsid w:val="005A1E90"/>
    <w:rsid w:val="005A20E6"/>
    <w:rsid w:val="005A249B"/>
    <w:rsid w:val="005A376F"/>
    <w:rsid w:val="005A3979"/>
    <w:rsid w:val="005A3C76"/>
    <w:rsid w:val="005A4561"/>
    <w:rsid w:val="005A4CBD"/>
    <w:rsid w:val="005A5507"/>
    <w:rsid w:val="005A55B6"/>
    <w:rsid w:val="005A5AC0"/>
    <w:rsid w:val="005A6234"/>
    <w:rsid w:val="005B0218"/>
    <w:rsid w:val="005B0533"/>
    <w:rsid w:val="005B07C9"/>
    <w:rsid w:val="005B1672"/>
    <w:rsid w:val="005B1736"/>
    <w:rsid w:val="005B17E2"/>
    <w:rsid w:val="005B2395"/>
    <w:rsid w:val="005B2EBF"/>
    <w:rsid w:val="005B31DA"/>
    <w:rsid w:val="005B3352"/>
    <w:rsid w:val="005B35AC"/>
    <w:rsid w:val="005B3A75"/>
    <w:rsid w:val="005B5067"/>
    <w:rsid w:val="005B5387"/>
    <w:rsid w:val="005B5596"/>
    <w:rsid w:val="005B6923"/>
    <w:rsid w:val="005B6B37"/>
    <w:rsid w:val="005B6D16"/>
    <w:rsid w:val="005B6D2C"/>
    <w:rsid w:val="005B6F42"/>
    <w:rsid w:val="005B7974"/>
    <w:rsid w:val="005B7EB0"/>
    <w:rsid w:val="005C03F8"/>
    <w:rsid w:val="005C067F"/>
    <w:rsid w:val="005C081B"/>
    <w:rsid w:val="005C086E"/>
    <w:rsid w:val="005C0AD7"/>
    <w:rsid w:val="005C13EC"/>
    <w:rsid w:val="005C14FB"/>
    <w:rsid w:val="005C1944"/>
    <w:rsid w:val="005C24BB"/>
    <w:rsid w:val="005C30CB"/>
    <w:rsid w:val="005C3168"/>
    <w:rsid w:val="005C3476"/>
    <w:rsid w:val="005C3CB1"/>
    <w:rsid w:val="005C4093"/>
    <w:rsid w:val="005C428C"/>
    <w:rsid w:val="005C4357"/>
    <w:rsid w:val="005C55F4"/>
    <w:rsid w:val="005C5684"/>
    <w:rsid w:val="005C5A6F"/>
    <w:rsid w:val="005C5AC4"/>
    <w:rsid w:val="005C6348"/>
    <w:rsid w:val="005C6E88"/>
    <w:rsid w:val="005C7595"/>
    <w:rsid w:val="005C762D"/>
    <w:rsid w:val="005C7F35"/>
    <w:rsid w:val="005D0347"/>
    <w:rsid w:val="005D04CB"/>
    <w:rsid w:val="005D16D6"/>
    <w:rsid w:val="005D21E2"/>
    <w:rsid w:val="005D2270"/>
    <w:rsid w:val="005D2968"/>
    <w:rsid w:val="005D2A53"/>
    <w:rsid w:val="005D31A7"/>
    <w:rsid w:val="005D378C"/>
    <w:rsid w:val="005D4445"/>
    <w:rsid w:val="005D48F9"/>
    <w:rsid w:val="005D4B59"/>
    <w:rsid w:val="005D5340"/>
    <w:rsid w:val="005D5505"/>
    <w:rsid w:val="005D55E1"/>
    <w:rsid w:val="005D5FDA"/>
    <w:rsid w:val="005D651A"/>
    <w:rsid w:val="005D6A60"/>
    <w:rsid w:val="005D6B7F"/>
    <w:rsid w:val="005D734A"/>
    <w:rsid w:val="005D7956"/>
    <w:rsid w:val="005E01C8"/>
    <w:rsid w:val="005E0586"/>
    <w:rsid w:val="005E066C"/>
    <w:rsid w:val="005E1BC9"/>
    <w:rsid w:val="005E1C71"/>
    <w:rsid w:val="005E1E00"/>
    <w:rsid w:val="005E1ED7"/>
    <w:rsid w:val="005E269B"/>
    <w:rsid w:val="005E26CD"/>
    <w:rsid w:val="005E279D"/>
    <w:rsid w:val="005E2D14"/>
    <w:rsid w:val="005E41C9"/>
    <w:rsid w:val="005E4ADB"/>
    <w:rsid w:val="005E4E9B"/>
    <w:rsid w:val="005E54E4"/>
    <w:rsid w:val="005E5694"/>
    <w:rsid w:val="005E5798"/>
    <w:rsid w:val="005E581D"/>
    <w:rsid w:val="005E6308"/>
    <w:rsid w:val="005E647D"/>
    <w:rsid w:val="005E6D98"/>
    <w:rsid w:val="005E6F5F"/>
    <w:rsid w:val="005E7326"/>
    <w:rsid w:val="005E7562"/>
    <w:rsid w:val="005E7CF9"/>
    <w:rsid w:val="005F03F9"/>
    <w:rsid w:val="005F0525"/>
    <w:rsid w:val="005F0653"/>
    <w:rsid w:val="005F10C5"/>
    <w:rsid w:val="005F1300"/>
    <w:rsid w:val="005F1586"/>
    <w:rsid w:val="005F1C82"/>
    <w:rsid w:val="005F1CC1"/>
    <w:rsid w:val="005F1D80"/>
    <w:rsid w:val="005F2628"/>
    <w:rsid w:val="005F2EB3"/>
    <w:rsid w:val="005F312B"/>
    <w:rsid w:val="005F35C8"/>
    <w:rsid w:val="005F362A"/>
    <w:rsid w:val="005F36DB"/>
    <w:rsid w:val="005F371F"/>
    <w:rsid w:val="005F3863"/>
    <w:rsid w:val="005F3FF2"/>
    <w:rsid w:val="005F4CB6"/>
    <w:rsid w:val="005F4E77"/>
    <w:rsid w:val="005F52C5"/>
    <w:rsid w:val="005F572C"/>
    <w:rsid w:val="005F58E6"/>
    <w:rsid w:val="005F5A5B"/>
    <w:rsid w:val="005F5C59"/>
    <w:rsid w:val="005F5C8C"/>
    <w:rsid w:val="005F5C95"/>
    <w:rsid w:val="005F6178"/>
    <w:rsid w:val="005F6773"/>
    <w:rsid w:val="005F6BD7"/>
    <w:rsid w:val="005F77C3"/>
    <w:rsid w:val="005F7897"/>
    <w:rsid w:val="006002F8"/>
    <w:rsid w:val="006004D5"/>
    <w:rsid w:val="00600BDC"/>
    <w:rsid w:val="006010AE"/>
    <w:rsid w:val="00601678"/>
    <w:rsid w:val="006016E4"/>
    <w:rsid w:val="00601CC7"/>
    <w:rsid w:val="006023F6"/>
    <w:rsid w:val="006024B5"/>
    <w:rsid w:val="00602E09"/>
    <w:rsid w:val="006032C0"/>
    <w:rsid w:val="00603D62"/>
    <w:rsid w:val="00603E61"/>
    <w:rsid w:val="00604CBB"/>
    <w:rsid w:val="0060586C"/>
    <w:rsid w:val="006058EF"/>
    <w:rsid w:val="00605E4F"/>
    <w:rsid w:val="006066FD"/>
    <w:rsid w:val="006068AE"/>
    <w:rsid w:val="00607136"/>
    <w:rsid w:val="006071D2"/>
    <w:rsid w:val="00610527"/>
    <w:rsid w:val="006105F5"/>
    <w:rsid w:val="00610C87"/>
    <w:rsid w:val="00611673"/>
    <w:rsid w:val="0061295E"/>
    <w:rsid w:val="00612D22"/>
    <w:rsid w:val="00613676"/>
    <w:rsid w:val="0061383D"/>
    <w:rsid w:val="006138F7"/>
    <w:rsid w:val="00613DDD"/>
    <w:rsid w:val="00614292"/>
    <w:rsid w:val="006146A9"/>
    <w:rsid w:val="00614932"/>
    <w:rsid w:val="00614B29"/>
    <w:rsid w:val="00615323"/>
    <w:rsid w:val="00615852"/>
    <w:rsid w:val="0061589C"/>
    <w:rsid w:val="00615A6A"/>
    <w:rsid w:val="00616023"/>
    <w:rsid w:val="006161DD"/>
    <w:rsid w:val="0061657D"/>
    <w:rsid w:val="0061662F"/>
    <w:rsid w:val="006169BA"/>
    <w:rsid w:val="00616A15"/>
    <w:rsid w:val="0061700B"/>
    <w:rsid w:val="00617696"/>
    <w:rsid w:val="00617D8F"/>
    <w:rsid w:val="006208CA"/>
    <w:rsid w:val="00620B04"/>
    <w:rsid w:val="0062109C"/>
    <w:rsid w:val="00621302"/>
    <w:rsid w:val="0062158E"/>
    <w:rsid w:val="00621622"/>
    <w:rsid w:val="006217D4"/>
    <w:rsid w:val="00621E73"/>
    <w:rsid w:val="00622057"/>
    <w:rsid w:val="00622899"/>
    <w:rsid w:val="00622AF6"/>
    <w:rsid w:val="006232FC"/>
    <w:rsid w:val="006233FE"/>
    <w:rsid w:val="006238F7"/>
    <w:rsid w:val="00623B01"/>
    <w:rsid w:val="00623FC1"/>
    <w:rsid w:val="006245D3"/>
    <w:rsid w:val="0062464F"/>
    <w:rsid w:val="00624C52"/>
    <w:rsid w:val="00625141"/>
    <w:rsid w:val="006259D7"/>
    <w:rsid w:val="00625C45"/>
    <w:rsid w:val="006265AA"/>
    <w:rsid w:val="00626F05"/>
    <w:rsid w:val="00627BD5"/>
    <w:rsid w:val="00630956"/>
    <w:rsid w:val="00630CE1"/>
    <w:rsid w:val="00630EE2"/>
    <w:rsid w:val="00632382"/>
    <w:rsid w:val="00632558"/>
    <w:rsid w:val="006326FE"/>
    <w:rsid w:val="00632B3C"/>
    <w:rsid w:val="00632B7A"/>
    <w:rsid w:val="00632FB9"/>
    <w:rsid w:val="00633424"/>
    <w:rsid w:val="00633531"/>
    <w:rsid w:val="0063385B"/>
    <w:rsid w:val="00633C29"/>
    <w:rsid w:val="006341FF"/>
    <w:rsid w:val="00634260"/>
    <w:rsid w:val="00634B2A"/>
    <w:rsid w:val="00635443"/>
    <w:rsid w:val="00635939"/>
    <w:rsid w:val="00635AD5"/>
    <w:rsid w:val="00635D19"/>
    <w:rsid w:val="006362EF"/>
    <w:rsid w:val="00636371"/>
    <w:rsid w:val="006363AA"/>
    <w:rsid w:val="006367AE"/>
    <w:rsid w:val="006369D9"/>
    <w:rsid w:val="00636CD8"/>
    <w:rsid w:val="00636CDF"/>
    <w:rsid w:val="00640300"/>
    <w:rsid w:val="00640B46"/>
    <w:rsid w:val="00640D2A"/>
    <w:rsid w:val="00640DB1"/>
    <w:rsid w:val="00640FF5"/>
    <w:rsid w:val="0064137C"/>
    <w:rsid w:val="0064196C"/>
    <w:rsid w:val="00641AD9"/>
    <w:rsid w:val="00641C50"/>
    <w:rsid w:val="00641EF8"/>
    <w:rsid w:val="00642220"/>
    <w:rsid w:val="0064243E"/>
    <w:rsid w:val="00642448"/>
    <w:rsid w:val="00642BA8"/>
    <w:rsid w:val="0064314C"/>
    <w:rsid w:val="00643CD7"/>
    <w:rsid w:val="00644758"/>
    <w:rsid w:val="006449B8"/>
    <w:rsid w:val="00644C97"/>
    <w:rsid w:val="0064533E"/>
    <w:rsid w:val="006454EE"/>
    <w:rsid w:val="0064634C"/>
    <w:rsid w:val="006463C7"/>
    <w:rsid w:val="006469A2"/>
    <w:rsid w:val="0064777E"/>
    <w:rsid w:val="00647B8F"/>
    <w:rsid w:val="00647FD3"/>
    <w:rsid w:val="006508D9"/>
    <w:rsid w:val="00650B5A"/>
    <w:rsid w:val="00650CF7"/>
    <w:rsid w:val="00650F00"/>
    <w:rsid w:val="00650F3B"/>
    <w:rsid w:val="006510C2"/>
    <w:rsid w:val="006511F8"/>
    <w:rsid w:val="0065180D"/>
    <w:rsid w:val="006518CB"/>
    <w:rsid w:val="006529F9"/>
    <w:rsid w:val="006534F1"/>
    <w:rsid w:val="006538AD"/>
    <w:rsid w:val="00654056"/>
    <w:rsid w:val="0065439C"/>
    <w:rsid w:val="006546C3"/>
    <w:rsid w:val="00654C0D"/>
    <w:rsid w:val="00654CAE"/>
    <w:rsid w:val="00655196"/>
    <w:rsid w:val="006554B7"/>
    <w:rsid w:val="00655677"/>
    <w:rsid w:val="00655DF0"/>
    <w:rsid w:val="006563F1"/>
    <w:rsid w:val="0065695E"/>
    <w:rsid w:val="00656A7B"/>
    <w:rsid w:val="00656B4F"/>
    <w:rsid w:val="00657B2A"/>
    <w:rsid w:val="006605BB"/>
    <w:rsid w:val="00661283"/>
    <w:rsid w:val="00661532"/>
    <w:rsid w:val="00661BE9"/>
    <w:rsid w:val="0066269D"/>
    <w:rsid w:val="006626A8"/>
    <w:rsid w:val="006632D8"/>
    <w:rsid w:val="0066334A"/>
    <w:rsid w:val="006634F8"/>
    <w:rsid w:val="006646B6"/>
    <w:rsid w:val="00664AA1"/>
    <w:rsid w:val="00665327"/>
    <w:rsid w:val="00665819"/>
    <w:rsid w:val="00665B11"/>
    <w:rsid w:val="00665D9F"/>
    <w:rsid w:val="00666417"/>
    <w:rsid w:val="00666520"/>
    <w:rsid w:val="006669E2"/>
    <w:rsid w:val="00666EC3"/>
    <w:rsid w:val="00667031"/>
    <w:rsid w:val="00667196"/>
    <w:rsid w:val="006675D0"/>
    <w:rsid w:val="0066777B"/>
    <w:rsid w:val="00667CC0"/>
    <w:rsid w:val="00670364"/>
    <w:rsid w:val="00670BA0"/>
    <w:rsid w:val="00670DBF"/>
    <w:rsid w:val="006712E4"/>
    <w:rsid w:val="00672064"/>
    <w:rsid w:val="0067368D"/>
    <w:rsid w:val="0067382D"/>
    <w:rsid w:val="00673C05"/>
    <w:rsid w:val="00674356"/>
    <w:rsid w:val="00674523"/>
    <w:rsid w:val="00674936"/>
    <w:rsid w:val="00674D13"/>
    <w:rsid w:val="00675076"/>
    <w:rsid w:val="00675267"/>
    <w:rsid w:val="006752A2"/>
    <w:rsid w:val="00675472"/>
    <w:rsid w:val="006754BE"/>
    <w:rsid w:val="00675DB8"/>
    <w:rsid w:val="00676414"/>
    <w:rsid w:val="00676AE5"/>
    <w:rsid w:val="00676DE7"/>
    <w:rsid w:val="006772B7"/>
    <w:rsid w:val="006775C2"/>
    <w:rsid w:val="006775E9"/>
    <w:rsid w:val="00677844"/>
    <w:rsid w:val="00677FDE"/>
    <w:rsid w:val="00680265"/>
    <w:rsid w:val="006802EC"/>
    <w:rsid w:val="006803F5"/>
    <w:rsid w:val="006804AC"/>
    <w:rsid w:val="00680A94"/>
    <w:rsid w:val="00681178"/>
    <w:rsid w:val="00681299"/>
    <w:rsid w:val="00682302"/>
    <w:rsid w:val="006826FB"/>
    <w:rsid w:val="00683045"/>
    <w:rsid w:val="006836F7"/>
    <w:rsid w:val="00683DFC"/>
    <w:rsid w:val="00684CB3"/>
    <w:rsid w:val="00685152"/>
    <w:rsid w:val="006855BE"/>
    <w:rsid w:val="00685CAC"/>
    <w:rsid w:val="006860D8"/>
    <w:rsid w:val="006864D6"/>
    <w:rsid w:val="0068683F"/>
    <w:rsid w:val="00686908"/>
    <w:rsid w:val="00686E6A"/>
    <w:rsid w:val="006876E8"/>
    <w:rsid w:val="0069012A"/>
    <w:rsid w:val="0069079D"/>
    <w:rsid w:val="00690F9D"/>
    <w:rsid w:val="00691755"/>
    <w:rsid w:val="00691805"/>
    <w:rsid w:val="00691EB9"/>
    <w:rsid w:val="00692F2B"/>
    <w:rsid w:val="00693E27"/>
    <w:rsid w:val="006941BB"/>
    <w:rsid w:val="00694269"/>
    <w:rsid w:val="0069428C"/>
    <w:rsid w:val="00694C8D"/>
    <w:rsid w:val="00694E61"/>
    <w:rsid w:val="0069530A"/>
    <w:rsid w:val="00695855"/>
    <w:rsid w:val="00695BC9"/>
    <w:rsid w:val="00695C8B"/>
    <w:rsid w:val="006965C8"/>
    <w:rsid w:val="006971EB"/>
    <w:rsid w:val="006976AF"/>
    <w:rsid w:val="00697A28"/>
    <w:rsid w:val="006A0C96"/>
    <w:rsid w:val="006A0DD9"/>
    <w:rsid w:val="006A14A2"/>
    <w:rsid w:val="006A1528"/>
    <w:rsid w:val="006A18B1"/>
    <w:rsid w:val="006A1A33"/>
    <w:rsid w:val="006A3251"/>
    <w:rsid w:val="006A34AB"/>
    <w:rsid w:val="006A35C1"/>
    <w:rsid w:val="006A38BA"/>
    <w:rsid w:val="006A4449"/>
    <w:rsid w:val="006A4750"/>
    <w:rsid w:val="006A47C6"/>
    <w:rsid w:val="006A502C"/>
    <w:rsid w:val="006A552D"/>
    <w:rsid w:val="006A665D"/>
    <w:rsid w:val="006A68E7"/>
    <w:rsid w:val="006A6FE0"/>
    <w:rsid w:val="006B0A70"/>
    <w:rsid w:val="006B0B81"/>
    <w:rsid w:val="006B1211"/>
    <w:rsid w:val="006B123C"/>
    <w:rsid w:val="006B1890"/>
    <w:rsid w:val="006B1D57"/>
    <w:rsid w:val="006B2155"/>
    <w:rsid w:val="006B2A67"/>
    <w:rsid w:val="006B3715"/>
    <w:rsid w:val="006B37CE"/>
    <w:rsid w:val="006B3CDE"/>
    <w:rsid w:val="006B4466"/>
    <w:rsid w:val="006B460B"/>
    <w:rsid w:val="006B494E"/>
    <w:rsid w:val="006B4BAB"/>
    <w:rsid w:val="006B4BE1"/>
    <w:rsid w:val="006B4F24"/>
    <w:rsid w:val="006B54BC"/>
    <w:rsid w:val="006B5775"/>
    <w:rsid w:val="006B66D3"/>
    <w:rsid w:val="006B67AB"/>
    <w:rsid w:val="006B6BB9"/>
    <w:rsid w:val="006B6DA8"/>
    <w:rsid w:val="006B7922"/>
    <w:rsid w:val="006B7A34"/>
    <w:rsid w:val="006B7B73"/>
    <w:rsid w:val="006C0482"/>
    <w:rsid w:val="006C0A30"/>
    <w:rsid w:val="006C0D3B"/>
    <w:rsid w:val="006C15F0"/>
    <w:rsid w:val="006C232D"/>
    <w:rsid w:val="006C28D2"/>
    <w:rsid w:val="006C29A0"/>
    <w:rsid w:val="006C2D45"/>
    <w:rsid w:val="006C30C7"/>
    <w:rsid w:val="006C43BD"/>
    <w:rsid w:val="006C471F"/>
    <w:rsid w:val="006C48F5"/>
    <w:rsid w:val="006C4E35"/>
    <w:rsid w:val="006C4FA5"/>
    <w:rsid w:val="006C54B5"/>
    <w:rsid w:val="006C63D8"/>
    <w:rsid w:val="006C6E4A"/>
    <w:rsid w:val="006C6FC9"/>
    <w:rsid w:val="006C76CA"/>
    <w:rsid w:val="006C7825"/>
    <w:rsid w:val="006D09B2"/>
    <w:rsid w:val="006D0C91"/>
    <w:rsid w:val="006D0F76"/>
    <w:rsid w:val="006D0F87"/>
    <w:rsid w:val="006D123A"/>
    <w:rsid w:val="006D1AD6"/>
    <w:rsid w:val="006D1B7A"/>
    <w:rsid w:val="006D1DBB"/>
    <w:rsid w:val="006D22F3"/>
    <w:rsid w:val="006D29C3"/>
    <w:rsid w:val="006D2D66"/>
    <w:rsid w:val="006D2FC4"/>
    <w:rsid w:val="006D3B3D"/>
    <w:rsid w:val="006D3B7F"/>
    <w:rsid w:val="006D4216"/>
    <w:rsid w:val="006D48AD"/>
    <w:rsid w:val="006D4A6E"/>
    <w:rsid w:val="006D4B4E"/>
    <w:rsid w:val="006D6718"/>
    <w:rsid w:val="006D6BF5"/>
    <w:rsid w:val="006D7616"/>
    <w:rsid w:val="006D7F47"/>
    <w:rsid w:val="006E002C"/>
    <w:rsid w:val="006E0BA1"/>
    <w:rsid w:val="006E0FA7"/>
    <w:rsid w:val="006E188F"/>
    <w:rsid w:val="006E21F4"/>
    <w:rsid w:val="006E270D"/>
    <w:rsid w:val="006E2A72"/>
    <w:rsid w:val="006E32B9"/>
    <w:rsid w:val="006E337D"/>
    <w:rsid w:val="006E3863"/>
    <w:rsid w:val="006E3AF0"/>
    <w:rsid w:val="006E3DEA"/>
    <w:rsid w:val="006E3EBB"/>
    <w:rsid w:val="006E3F45"/>
    <w:rsid w:val="006E4178"/>
    <w:rsid w:val="006E49D2"/>
    <w:rsid w:val="006E5637"/>
    <w:rsid w:val="006E5841"/>
    <w:rsid w:val="006E634D"/>
    <w:rsid w:val="006E6CFF"/>
    <w:rsid w:val="006E6FE9"/>
    <w:rsid w:val="006E7059"/>
    <w:rsid w:val="006E71A8"/>
    <w:rsid w:val="006E7841"/>
    <w:rsid w:val="006E7AC4"/>
    <w:rsid w:val="006E7BAF"/>
    <w:rsid w:val="006E7D50"/>
    <w:rsid w:val="006F02D9"/>
    <w:rsid w:val="006F0844"/>
    <w:rsid w:val="006F0BBE"/>
    <w:rsid w:val="006F0E62"/>
    <w:rsid w:val="006F1A92"/>
    <w:rsid w:val="006F1DA8"/>
    <w:rsid w:val="006F2F2E"/>
    <w:rsid w:val="006F3892"/>
    <w:rsid w:val="006F3E7D"/>
    <w:rsid w:val="006F4361"/>
    <w:rsid w:val="006F4827"/>
    <w:rsid w:val="006F514C"/>
    <w:rsid w:val="006F596A"/>
    <w:rsid w:val="006F5C8E"/>
    <w:rsid w:val="006F63AC"/>
    <w:rsid w:val="006F665D"/>
    <w:rsid w:val="006F6C1D"/>
    <w:rsid w:val="006F71C6"/>
    <w:rsid w:val="006F71FE"/>
    <w:rsid w:val="006F7BDE"/>
    <w:rsid w:val="006F7C75"/>
    <w:rsid w:val="006F7DE0"/>
    <w:rsid w:val="00700176"/>
    <w:rsid w:val="00700668"/>
    <w:rsid w:val="007007CB"/>
    <w:rsid w:val="007009AD"/>
    <w:rsid w:val="00700AED"/>
    <w:rsid w:val="0070231C"/>
    <w:rsid w:val="00702789"/>
    <w:rsid w:val="00703384"/>
    <w:rsid w:val="00703503"/>
    <w:rsid w:val="007038DB"/>
    <w:rsid w:val="007038E8"/>
    <w:rsid w:val="00703D67"/>
    <w:rsid w:val="00704085"/>
    <w:rsid w:val="0070415C"/>
    <w:rsid w:val="00704424"/>
    <w:rsid w:val="00704891"/>
    <w:rsid w:val="00704B3D"/>
    <w:rsid w:val="00704E87"/>
    <w:rsid w:val="00705173"/>
    <w:rsid w:val="0070581D"/>
    <w:rsid w:val="00705A52"/>
    <w:rsid w:val="00705FF6"/>
    <w:rsid w:val="007061E6"/>
    <w:rsid w:val="00706CA9"/>
    <w:rsid w:val="007073ED"/>
    <w:rsid w:val="0070773E"/>
    <w:rsid w:val="007077EF"/>
    <w:rsid w:val="00707827"/>
    <w:rsid w:val="007101DD"/>
    <w:rsid w:val="007101FB"/>
    <w:rsid w:val="00710640"/>
    <w:rsid w:val="00710AFE"/>
    <w:rsid w:val="00710F1B"/>
    <w:rsid w:val="00712972"/>
    <w:rsid w:val="0071328E"/>
    <w:rsid w:val="00714514"/>
    <w:rsid w:val="007155BE"/>
    <w:rsid w:val="00715BAA"/>
    <w:rsid w:val="00716389"/>
    <w:rsid w:val="00716AFA"/>
    <w:rsid w:val="00716F80"/>
    <w:rsid w:val="00716FB8"/>
    <w:rsid w:val="007170A1"/>
    <w:rsid w:val="00720544"/>
    <w:rsid w:val="007205C6"/>
    <w:rsid w:val="0072094D"/>
    <w:rsid w:val="00720E1D"/>
    <w:rsid w:val="00721432"/>
    <w:rsid w:val="007214CA"/>
    <w:rsid w:val="007219B4"/>
    <w:rsid w:val="00721AB0"/>
    <w:rsid w:val="00721F24"/>
    <w:rsid w:val="00721F29"/>
    <w:rsid w:val="00721F37"/>
    <w:rsid w:val="00722B95"/>
    <w:rsid w:val="007234BB"/>
    <w:rsid w:val="007244C2"/>
    <w:rsid w:val="00724A5A"/>
    <w:rsid w:val="00724BCE"/>
    <w:rsid w:val="00724E33"/>
    <w:rsid w:val="007250DA"/>
    <w:rsid w:val="007259EC"/>
    <w:rsid w:val="0072696D"/>
    <w:rsid w:val="00726A7F"/>
    <w:rsid w:val="007270CD"/>
    <w:rsid w:val="007276FE"/>
    <w:rsid w:val="007279E9"/>
    <w:rsid w:val="00727BB2"/>
    <w:rsid w:val="007309CF"/>
    <w:rsid w:val="00730FE1"/>
    <w:rsid w:val="00731E25"/>
    <w:rsid w:val="0073223D"/>
    <w:rsid w:val="00732847"/>
    <w:rsid w:val="00732ED8"/>
    <w:rsid w:val="00733F29"/>
    <w:rsid w:val="0073410D"/>
    <w:rsid w:val="00734A80"/>
    <w:rsid w:val="0073567B"/>
    <w:rsid w:val="00736318"/>
    <w:rsid w:val="0073651F"/>
    <w:rsid w:val="007368F0"/>
    <w:rsid w:val="00737089"/>
    <w:rsid w:val="00737785"/>
    <w:rsid w:val="00737CDF"/>
    <w:rsid w:val="007400B7"/>
    <w:rsid w:val="007404CC"/>
    <w:rsid w:val="00740604"/>
    <w:rsid w:val="00740D5D"/>
    <w:rsid w:val="00740EB0"/>
    <w:rsid w:val="00740F0E"/>
    <w:rsid w:val="00741229"/>
    <w:rsid w:val="007417E6"/>
    <w:rsid w:val="00741B79"/>
    <w:rsid w:val="00742A37"/>
    <w:rsid w:val="00742DDB"/>
    <w:rsid w:val="00743566"/>
    <w:rsid w:val="0074424A"/>
    <w:rsid w:val="00744285"/>
    <w:rsid w:val="007446B1"/>
    <w:rsid w:val="00745665"/>
    <w:rsid w:val="00745848"/>
    <w:rsid w:val="00745D85"/>
    <w:rsid w:val="00745D98"/>
    <w:rsid w:val="007461FD"/>
    <w:rsid w:val="0074628F"/>
    <w:rsid w:val="00746DFF"/>
    <w:rsid w:val="00746F3D"/>
    <w:rsid w:val="0074704F"/>
    <w:rsid w:val="00747584"/>
    <w:rsid w:val="00747BB1"/>
    <w:rsid w:val="00747C6A"/>
    <w:rsid w:val="00747DAA"/>
    <w:rsid w:val="00747DB2"/>
    <w:rsid w:val="00747E80"/>
    <w:rsid w:val="00747FF3"/>
    <w:rsid w:val="0075063B"/>
    <w:rsid w:val="00750768"/>
    <w:rsid w:val="00750D39"/>
    <w:rsid w:val="00751771"/>
    <w:rsid w:val="00751B21"/>
    <w:rsid w:val="0075212F"/>
    <w:rsid w:val="0075226D"/>
    <w:rsid w:val="00752431"/>
    <w:rsid w:val="00752443"/>
    <w:rsid w:val="007528AB"/>
    <w:rsid w:val="00753160"/>
    <w:rsid w:val="00753706"/>
    <w:rsid w:val="0075412F"/>
    <w:rsid w:val="00754A9E"/>
    <w:rsid w:val="00754E6D"/>
    <w:rsid w:val="00755745"/>
    <w:rsid w:val="0075605D"/>
    <w:rsid w:val="0075774F"/>
    <w:rsid w:val="007578DD"/>
    <w:rsid w:val="00757CA6"/>
    <w:rsid w:val="007603E1"/>
    <w:rsid w:val="00760463"/>
    <w:rsid w:val="00760673"/>
    <w:rsid w:val="00761040"/>
    <w:rsid w:val="00762A90"/>
    <w:rsid w:val="007630D8"/>
    <w:rsid w:val="0076315B"/>
    <w:rsid w:val="00763232"/>
    <w:rsid w:val="00764059"/>
    <w:rsid w:val="007640EC"/>
    <w:rsid w:val="007641BA"/>
    <w:rsid w:val="007643F7"/>
    <w:rsid w:val="00764426"/>
    <w:rsid w:val="007650A1"/>
    <w:rsid w:val="0076575B"/>
    <w:rsid w:val="00765DED"/>
    <w:rsid w:val="00765E29"/>
    <w:rsid w:val="00766126"/>
    <w:rsid w:val="00766134"/>
    <w:rsid w:val="00766A7A"/>
    <w:rsid w:val="00766C55"/>
    <w:rsid w:val="00767EB0"/>
    <w:rsid w:val="00770962"/>
    <w:rsid w:val="00771930"/>
    <w:rsid w:val="00771BA5"/>
    <w:rsid w:val="00772124"/>
    <w:rsid w:val="007727B3"/>
    <w:rsid w:val="00772954"/>
    <w:rsid w:val="00772C6F"/>
    <w:rsid w:val="00772C9F"/>
    <w:rsid w:val="00772FF1"/>
    <w:rsid w:val="00773567"/>
    <w:rsid w:val="0077444B"/>
    <w:rsid w:val="007745B9"/>
    <w:rsid w:val="00774847"/>
    <w:rsid w:val="007748B2"/>
    <w:rsid w:val="00774D96"/>
    <w:rsid w:val="00774FB5"/>
    <w:rsid w:val="00775056"/>
    <w:rsid w:val="0077530B"/>
    <w:rsid w:val="007754E2"/>
    <w:rsid w:val="00775658"/>
    <w:rsid w:val="00775C4D"/>
    <w:rsid w:val="007764DD"/>
    <w:rsid w:val="00776C35"/>
    <w:rsid w:val="00777F11"/>
    <w:rsid w:val="007802BC"/>
    <w:rsid w:val="0078056C"/>
    <w:rsid w:val="007811DA"/>
    <w:rsid w:val="0078187A"/>
    <w:rsid w:val="00781970"/>
    <w:rsid w:val="00781A00"/>
    <w:rsid w:val="00781F2B"/>
    <w:rsid w:val="00782677"/>
    <w:rsid w:val="0078314D"/>
    <w:rsid w:val="00783672"/>
    <w:rsid w:val="00783B5D"/>
    <w:rsid w:val="00783DC1"/>
    <w:rsid w:val="00784418"/>
    <w:rsid w:val="00784956"/>
    <w:rsid w:val="007851E4"/>
    <w:rsid w:val="00786044"/>
    <w:rsid w:val="007860C7"/>
    <w:rsid w:val="007860F7"/>
    <w:rsid w:val="00786311"/>
    <w:rsid w:val="007864F3"/>
    <w:rsid w:val="007869C1"/>
    <w:rsid w:val="00787204"/>
    <w:rsid w:val="00787228"/>
    <w:rsid w:val="007877FA"/>
    <w:rsid w:val="00787D59"/>
    <w:rsid w:val="007903AE"/>
    <w:rsid w:val="00790CCD"/>
    <w:rsid w:val="00790DFA"/>
    <w:rsid w:val="00791193"/>
    <w:rsid w:val="00791829"/>
    <w:rsid w:val="00791864"/>
    <w:rsid w:val="00791959"/>
    <w:rsid w:val="00791A15"/>
    <w:rsid w:val="00791A7A"/>
    <w:rsid w:val="00791EDE"/>
    <w:rsid w:val="00792963"/>
    <w:rsid w:val="00792B9C"/>
    <w:rsid w:val="00792FB4"/>
    <w:rsid w:val="0079313D"/>
    <w:rsid w:val="007932CE"/>
    <w:rsid w:val="00793A3A"/>
    <w:rsid w:val="00793AC8"/>
    <w:rsid w:val="00793B97"/>
    <w:rsid w:val="00793C34"/>
    <w:rsid w:val="00793D6A"/>
    <w:rsid w:val="007946B9"/>
    <w:rsid w:val="00794787"/>
    <w:rsid w:val="007957F6"/>
    <w:rsid w:val="007958A9"/>
    <w:rsid w:val="00795AE0"/>
    <w:rsid w:val="00795E00"/>
    <w:rsid w:val="00796161"/>
    <w:rsid w:val="00796281"/>
    <w:rsid w:val="00797380"/>
    <w:rsid w:val="007A04FC"/>
    <w:rsid w:val="007A0FF7"/>
    <w:rsid w:val="007A12CF"/>
    <w:rsid w:val="007A1687"/>
    <w:rsid w:val="007A1705"/>
    <w:rsid w:val="007A23C2"/>
    <w:rsid w:val="007A2AEE"/>
    <w:rsid w:val="007A3A68"/>
    <w:rsid w:val="007A3F6C"/>
    <w:rsid w:val="007A423D"/>
    <w:rsid w:val="007A439F"/>
    <w:rsid w:val="007A46D0"/>
    <w:rsid w:val="007A5341"/>
    <w:rsid w:val="007A654B"/>
    <w:rsid w:val="007A66E1"/>
    <w:rsid w:val="007A6A7D"/>
    <w:rsid w:val="007A6B1A"/>
    <w:rsid w:val="007A7254"/>
    <w:rsid w:val="007A7327"/>
    <w:rsid w:val="007A7509"/>
    <w:rsid w:val="007A7895"/>
    <w:rsid w:val="007A789F"/>
    <w:rsid w:val="007A79EB"/>
    <w:rsid w:val="007A7CC3"/>
    <w:rsid w:val="007A7FFA"/>
    <w:rsid w:val="007B03D1"/>
    <w:rsid w:val="007B08DE"/>
    <w:rsid w:val="007B0BF0"/>
    <w:rsid w:val="007B0DB9"/>
    <w:rsid w:val="007B0E96"/>
    <w:rsid w:val="007B1261"/>
    <w:rsid w:val="007B229D"/>
    <w:rsid w:val="007B229E"/>
    <w:rsid w:val="007B2AB9"/>
    <w:rsid w:val="007B3B4B"/>
    <w:rsid w:val="007B3C87"/>
    <w:rsid w:val="007B47FE"/>
    <w:rsid w:val="007B4AFA"/>
    <w:rsid w:val="007B51D7"/>
    <w:rsid w:val="007B56CF"/>
    <w:rsid w:val="007B5B55"/>
    <w:rsid w:val="007B5D3F"/>
    <w:rsid w:val="007B6BE4"/>
    <w:rsid w:val="007B6C3E"/>
    <w:rsid w:val="007B6E29"/>
    <w:rsid w:val="007B7C88"/>
    <w:rsid w:val="007B7EDE"/>
    <w:rsid w:val="007C0372"/>
    <w:rsid w:val="007C05F1"/>
    <w:rsid w:val="007C07FF"/>
    <w:rsid w:val="007C10E2"/>
    <w:rsid w:val="007C1322"/>
    <w:rsid w:val="007C1734"/>
    <w:rsid w:val="007C179B"/>
    <w:rsid w:val="007C1BCF"/>
    <w:rsid w:val="007C1D61"/>
    <w:rsid w:val="007C26B2"/>
    <w:rsid w:val="007C2A7D"/>
    <w:rsid w:val="007C3264"/>
    <w:rsid w:val="007C32FE"/>
    <w:rsid w:val="007C38E0"/>
    <w:rsid w:val="007C39AA"/>
    <w:rsid w:val="007C3B9D"/>
    <w:rsid w:val="007C449E"/>
    <w:rsid w:val="007C4A12"/>
    <w:rsid w:val="007C5014"/>
    <w:rsid w:val="007C5A41"/>
    <w:rsid w:val="007C5D81"/>
    <w:rsid w:val="007C67FD"/>
    <w:rsid w:val="007C6809"/>
    <w:rsid w:val="007C6A10"/>
    <w:rsid w:val="007C6DCB"/>
    <w:rsid w:val="007C7169"/>
    <w:rsid w:val="007C7982"/>
    <w:rsid w:val="007D05E8"/>
    <w:rsid w:val="007D0928"/>
    <w:rsid w:val="007D0B80"/>
    <w:rsid w:val="007D0E1A"/>
    <w:rsid w:val="007D12E1"/>
    <w:rsid w:val="007D12E6"/>
    <w:rsid w:val="007D1DD4"/>
    <w:rsid w:val="007D1DE3"/>
    <w:rsid w:val="007D212E"/>
    <w:rsid w:val="007D2BDA"/>
    <w:rsid w:val="007D318A"/>
    <w:rsid w:val="007D3B58"/>
    <w:rsid w:val="007D3FEC"/>
    <w:rsid w:val="007D48B0"/>
    <w:rsid w:val="007D63DF"/>
    <w:rsid w:val="007D678C"/>
    <w:rsid w:val="007D6B7D"/>
    <w:rsid w:val="007D6EEA"/>
    <w:rsid w:val="007D706C"/>
    <w:rsid w:val="007D7077"/>
    <w:rsid w:val="007D71A7"/>
    <w:rsid w:val="007E0560"/>
    <w:rsid w:val="007E0728"/>
    <w:rsid w:val="007E0E32"/>
    <w:rsid w:val="007E1212"/>
    <w:rsid w:val="007E1850"/>
    <w:rsid w:val="007E1C33"/>
    <w:rsid w:val="007E2309"/>
    <w:rsid w:val="007E2698"/>
    <w:rsid w:val="007E26FF"/>
    <w:rsid w:val="007E4E5E"/>
    <w:rsid w:val="007E4F18"/>
    <w:rsid w:val="007E50ED"/>
    <w:rsid w:val="007E5358"/>
    <w:rsid w:val="007E555B"/>
    <w:rsid w:val="007E5626"/>
    <w:rsid w:val="007E5736"/>
    <w:rsid w:val="007E5ACF"/>
    <w:rsid w:val="007E5AD5"/>
    <w:rsid w:val="007E5BFE"/>
    <w:rsid w:val="007E5D0E"/>
    <w:rsid w:val="007E61C0"/>
    <w:rsid w:val="007E635F"/>
    <w:rsid w:val="007E649E"/>
    <w:rsid w:val="007E64EC"/>
    <w:rsid w:val="007E6929"/>
    <w:rsid w:val="007E6DBD"/>
    <w:rsid w:val="007E7209"/>
    <w:rsid w:val="007E7B96"/>
    <w:rsid w:val="007E7E2E"/>
    <w:rsid w:val="007F0CFE"/>
    <w:rsid w:val="007F15C1"/>
    <w:rsid w:val="007F1F72"/>
    <w:rsid w:val="007F2168"/>
    <w:rsid w:val="007F21C2"/>
    <w:rsid w:val="007F2D0B"/>
    <w:rsid w:val="007F3421"/>
    <w:rsid w:val="007F41B7"/>
    <w:rsid w:val="007F438E"/>
    <w:rsid w:val="007F4478"/>
    <w:rsid w:val="007F47B1"/>
    <w:rsid w:val="007F47FB"/>
    <w:rsid w:val="007F4A59"/>
    <w:rsid w:val="007F585D"/>
    <w:rsid w:val="007F588B"/>
    <w:rsid w:val="007F5EEE"/>
    <w:rsid w:val="007F6AE0"/>
    <w:rsid w:val="007F6E10"/>
    <w:rsid w:val="007F75BF"/>
    <w:rsid w:val="0080088A"/>
    <w:rsid w:val="00800CFF"/>
    <w:rsid w:val="00800EA6"/>
    <w:rsid w:val="00801223"/>
    <w:rsid w:val="00801DA8"/>
    <w:rsid w:val="0080307B"/>
    <w:rsid w:val="008035A2"/>
    <w:rsid w:val="00803699"/>
    <w:rsid w:val="00803A48"/>
    <w:rsid w:val="00804721"/>
    <w:rsid w:val="00804E6C"/>
    <w:rsid w:val="008053DE"/>
    <w:rsid w:val="008058C2"/>
    <w:rsid w:val="00805A01"/>
    <w:rsid w:val="008061B0"/>
    <w:rsid w:val="00807546"/>
    <w:rsid w:val="00807885"/>
    <w:rsid w:val="0081059B"/>
    <w:rsid w:val="00810E02"/>
    <w:rsid w:val="00811124"/>
    <w:rsid w:val="00811138"/>
    <w:rsid w:val="00811391"/>
    <w:rsid w:val="00811573"/>
    <w:rsid w:val="00811FB7"/>
    <w:rsid w:val="00812378"/>
    <w:rsid w:val="0081239B"/>
    <w:rsid w:val="008127D3"/>
    <w:rsid w:val="008130EE"/>
    <w:rsid w:val="008133D7"/>
    <w:rsid w:val="00814009"/>
    <w:rsid w:val="00814177"/>
    <w:rsid w:val="0081421F"/>
    <w:rsid w:val="0081469A"/>
    <w:rsid w:val="00815922"/>
    <w:rsid w:val="008164C4"/>
    <w:rsid w:val="00816695"/>
    <w:rsid w:val="00816854"/>
    <w:rsid w:val="00816B28"/>
    <w:rsid w:val="00816C6F"/>
    <w:rsid w:val="00816E9F"/>
    <w:rsid w:val="00817029"/>
    <w:rsid w:val="008171E1"/>
    <w:rsid w:val="008177E8"/>
    <w:rsid w:val="00820079"/>
    <w:rsid w:val="00820473"/>
    <w:rsid w:val="00821257"/>
    <w:rsid w:val="008216A1"/>
    <w:rsid w:val="00821FBA"/>
    <w:rsid w:val="00822735"/>
    <w:rsid w:val="008235B6"/>
    <w:rsid w:val="00824103"/>
    <w:rsid w:val="008245D8"/>
    <w:rsid w:val="00824DA3"/>
    <w:rsid w:val="008254B8"/>
    <w:rsid w:val="00825BC9"/>
    <w:rsid w:val="00825E3B"/>
    <w:rsid w:val="0083029E"/>
    <w:rsid w:val="008302A9"/>
    <w:rsid w:val="00830971"/>
    <w:rsid w:val="00830FAE"/>
    <w:rsid w:val="00831049"/>
    <w:rsid w:val="00831631"/>
    <w:rsid w:val="008317B6"/>
    <w:rsid w:val="0083182E"/>
    <w:rsid w:val="00831B30"/>
    <w:rsid w:val="00831B4F"/>
    <w:rsid w:val="00832859"/>
    <w:rsid w:val="00832AF9"/>
    <w:rsid w:val="00833348"/>
    <w:rsid w:val="00833489"/>
    <w:rsid w:val="00833528"/>
    <w:rsid w:val="00833C5A"/>
    <w:rsid w:val="00833FCD"/>
    <w:rsid w:val="0083412F"/>
    <w:rsid w:val="008346F4"/>
    <w:rsid w:val="00834C72"/>
    <w:rsid w:val="0083576F"/>
    <w:rsid w:val="00836028"/>
    <w:rsid w:val="0083640F"/>
    <w:rsid w:val="00836B62"/>
    <w:rsid w:val="00836D1C"/>
    <w:rsid w:val="00836EC0"/>
    <w:rsid w:val="008370C4"/>
    <w:rsid w:val="008374F2"/>
    <w:rsid w:val="0083789B"/>
    <w:rsid w:val="00837959"/>
    <w:rsid w:val="00837B45"/>
    <w:rsid w:val="00837B72"/>
    <w:rsid w:val="00840B43"/>
    <w:rsid w:val="0084155C"/>
    <w:rsid w:val="008418E6"/>
    <w:rsid w:val="00841997"/>
    <w:rsid w:val="00841B51"/>
    <w:rsid w:val="00841D4F"/>
    <w:rsid w:val="00841EF6"/>
    <w:rsid w:val="008429F4"/>
    <w:rsid w:val="00842C04"/>
    <w:rsid w:val="00843E12"/>
    <w:rsid w:val="0084441F"/>
    <w:rsid w:val="00846212"/>
    <w:rsid w:val="00846651"/>
    <w:rsid w:val="00846F1B"/>
    <w:rsid w:val="0084727E"/>
    <w:rsid w:val="00847689"/>
    <w:rsid w:val="0084795C"/>
    <w:rsid w:val="00847D39"/>
    <w:rsid w:val="0085009A"/>
    <w:rsid w:val="0085044B"/>
    <w:rsid w:val="00850B65"/>
    <w:rsid w:val="00851155"/>
    <w:rsid w:val="00851762"/>
    <w:rsid w:val="008522E1"/>
    <w:rsid w:val="00852620"/>
    <w:rsid w:val="00852663"/>
    <w:rsid w:val="00852B4E"/>
    <w:rsid w:val="00852F39"/>
    <w:rsid w:val="00853213"/>
    <w:rsid w:val="00853343"/>
    <w:rsid w:val="0085457E"/>
    <w:rsid w:val="00854EFD"/>
    <w:rsid w:val="008550CB"/>
    <w:rsid w:val="008561AD"/>
    <w:rsid w:val="00856CCB"/>
    <w:rsid w:val="00856D1E"/>
    <w:rsid w:val="0085707E"/>
    <w:rsid w:val="00857152"/>
    <w:rsid w:val="0085763D"/>
    <w:rsid w:val="00857672"/>
    <w:rsid w:val="008576D3"/>
    <w:rsid w:val="00857B11"/>
    <w:rsid w:val="00860217"/>
    <w:rsid w:val="0086073D"/>
    <w:rsid w:val="00860BF6"/>
    <w:rsid w:val="00861623"/>
    <w:rsid w:val="008618C5"/>
    <w:rsid w:val="0086249D"/>
    <w:rsid w:val="008625A8"/>
    <w:rsid w:val="008627DA"/>
    <w:rsid w:val="008628EC"/>
    <w:rsid w:val="00862AAC"/>
    <w:rsid w:val="00862B4E"/>
    <w:rsid w:val="00862EE3"/>
    <w:rsid w:val="008632F4"/>
    <w:rsid w:val="008640DF"/>
    <w:rsid w:val="0086428D"/>
    <w:rsid w:val="00864BAB"/>
    <w:rsid w:val="00864BCF"/>
    <w:rsid w:val="00864D72"/>
    <w:rsid w:val="00864F4C"/>
    <w:rsid w:val="00865295"/>
    <w:rsid w:val="008654D3"/>
    <w:rsid w:val="00865D8E"/>
    <w:rsid w:val="00865F1A"/>
    <w:rsid w:val="008661D6"/>
    <w:rsid w:val="008665C3"/>
    <w:rsid w:val="00866DD5"/>
    <w:rsid w:val="00866F39"/>
    <w:rsid w:val="008672FA"/>
    <w:rsid w:val="00867B09"/>
    <w:rsid w:val="00870095"/>
    <w:rsid w:val="008703F3"/>
    <w:rsid w:val="00870777"/>
    <w:rsid w:val="00870AF0"/>
    <w:rsid w:val="00870C58"/>
    <w:rsid w:val="008713CA"/>
    <w:rsid w:val="008727DC"/>
    <w:rsid w:val="00872BE9"/>
    <w:rsid w:val="00872FA4"/>
    <w:rsid w:val="0087314B"/>
    <w:rsid w:val="00873734"/>
    <w:rsid w:val="00873C3D"/>
    <w:rsid w:val="00873FD1"/>
    <w:rsid w:val="00874226"/>
    <w:rsid w:val="008746BC"/>
    <w:rsid w:val="008751FF"/>
    <w:rsid w:val="00875374"/>
    <w:rsid w:val="008757EB"/>
    <w:rsid w:val="00875AD5"/>
    <w:rsid w:val="008764F6"/>
    <w:rsid w:val="008773C6"/>
    <w:rsid w:val="0087740D"/>
    <w:rsid w:val="008774E3"/>
    <w:rsid w:val="00877C2A"/>
    <w:rsid w:val="00877F77"/>
    <w:rsid w:val="00877F8E"/>
    <w:rsid w:val="008801D3"/>
    <w:rsid w:val="0088075B"/>
    <w:rsid w:val="00880AD5"/>
    <w:rsid w:val="00880F14"/>
    <w:rsid w:val="00880F61"/>
    <w:rsid w:val="00881076"/>
    <w:rsid w:val="0088144C"/>
    <w:rsid w:val="00881751"/>
    <w:rsid w:val="008824C0"/>
    <w:rsid w:val="0088283F"/>
    <w:rsid w:val="00882E25"/>
    <w:rsid w:val="00883C45"/>
    <w:rsid w:val="008841C4"/>
    <w:rsid w:val="00884958"/>
    <w:rsid w:val="008853BC"/>
    <w:rsid w:val="00885872"/>
    <w:rsid w:val="008861AC"/>
    <w:rsid w:val="00886599"/>
    <w:rsid w:val="00887207"/>
    <w:rsid w:val="00887454"/>
    <w:rsid w:val="008875BF"/>
    <w:rsid w:val="00890040"/>
    <w:rsid w:val="0089045A"/>
    <w:rsid w:val="00890701"/>
    <w:rsid w:val="00890B4D"/>
    <w:rsid w:val="00890C40"/>
    <w:rsid w:val="00891361"/>
    <w:rsid w:val="008915DC"/>
    <w:rsid w:val="00891D8B"/>
    <w:rsid w:val="008922B9"/>
    <w:rsid w:val="00892FBC"/>
    <w:rsid w:val="0089332B"/>
    <w:rsid w:val="00893335"/>
    <w:rsid w:val="0089394F"/>
    <w:rsid w:val="00894115"/>
    <w:rsid w:val="0089432E"/>
    <w:rsid w:val="00894B07"/>
    <w:rsid w:val="008966BA"/>
    <w:rsid w:val="00896FE4"/>
    <w:rsid w:val="00897317"/>
    <w:rsid w:val="0089733C"/>
    <w:rsid w:val="00897363"/>
    <w:rsid w:val="008977D4"/>
    <w:rsid w:val="008979AE"/>
    <w:rsid w:val="00897BC2"/>
    <w:rsid w:val="00897FDA"/>
    <w:rsid w:val="008A03DA"/>
    <w:rsid w:val="008A0927"/>
    <w:rsid w:val="008A0FD9"/>
    <w:rsid w:val="008A10CB"/>
    <w:rsid w:val="008A1A05"/>
    <w:rsid w:val="008A1A09"/>
    <w:rsid w:val="008A1CD5"/>
    <w:rsid w:val="008A1F3E"/>
    <w:rsid w:val="008A2AEA"/>
    <w:rsid w:val="008A2C7E"/>
    <w:rsid w:val="008A2F23"/>
    <w:rsid w:val="008A3146"/>
    <w:rsid w:val="008A337F"/>
    <w:rsid w:val="008A3DEE"/>
    <w:rsid w:val="008A47C8"/>
    <w:rsid w:val="008A4BF4"/>
    <w:rsid w:val="008A50CE"/>
    <w:rsid w:val="008A5617"/>
    <w:rsid w:val="008A580B"/>
    <w:rsid w:val="008A677B"/>
    <w:rsid w:val="008A777D"/>
    <w:rsid w:val="008A79CC"/>
    <w:rsid w:val="008B00BF"/>
    <w:rsid w:val="008B0B7B"/>
    <w:rsid w:val="008B16F8"/>
    <w:rsid w:val="008B1C42"/>
    <w:rsid w:val="008B2099"/>
    <w:rsid w:val="008B240C"/>
    <w:rsid w:val="008B2DFA"/>
    <w:rsid w:val="008B2FAC"/>
    <w:rsid w:val="008B3374"/>
    <w:rsid w:val="008B364E"/>
    <w:rsid w:val="008B3EDE"/>
    <w:rsid w:val="008B4438"/>
    <w:rsid w:val="008B45EF"/>
    <w:rsid w:val="008B4948"/>
    <w:rsid w:val="008B498C"/>
    <w:rsid w:val="008B4A50"/>
    <w:rsid w:val="008B4CC9"/>
    <w:rsid w:val="008B4E79"/>
    <w:rsid w:val="008B57F4"/>
    <w:rsid w:val="008B645B"/>
    <w:rsid w:val="008B6521"/>
    <w:rsid w:val="008B6587"/>
    <w:rsid w:val="008B698A"/>
    <w:rsid w:val="008B6D88"/>
    <w:rsid w:val="008B6E39"/>
    <w:rsid w:val="008B6F45"/>
    <w:rsid w:val="008B789B"/>
    <w:rsid w:val="008B7CE3"/>
    <w:rsid w:val="008C04A9"/>
    <w:rsid w:val="008C0AA9"/>
    <w:rsid w:val="008C13CC"/>
    <w:rsid w:val="008C1531"/>
    <w:rsid w:val="008C1754"/>
    <w:rsid w:val="008C18A2"/>
    <w:rsid w:val="008C18B2"/>
    <w:rsid w:val="008C1D11"/>
    <w:rsid w:val="008C2809"/>
    <w:rsid w:val="008C293D"/>
    <w:rsid w:val="008C295B"/>
    <w:rsid w:val="008C2EAA"/>
    <w:rsid w:val="008C3052"/>
    <w:rsid w:val="008C3684"/>
    <w:rsid w:val="008C3719"/>
    <w:rsid w:val="008C381B"/>
    <w:rsid w:val="008C3A71"/>
    <w:rsid w:val="008C47DC"/>
    <w:rsid w:val="008C5921"/>
    <w:rsid w:val="008C59CB"/>
    <w:rsid w:val="008C5BD4"/>
    <w:rsid w:val="008C681D"/>
    <w:rsid w:val="008C73EC"/>
    <w:rsid w:val="008C77CF"/>
    <w:rsid w:val="008C7A4B"/>
    <w:rsid w:val="008C7AD3"/>
    <w:rsid w:val="008D04DE"/>
    <w:rsid w:val="008D0565"/>
    <w:rsid w:val="008D0B00"/>
    <w:rsid w:val="008D0D64"/>
    <w:rsid w:val="008D1167"/>
    <w:rsid w:val="008D15B7"/>
    <w:rsid w:val="008D1993"/>
    <w:rsid w:val="008D1A76"/>
    <w:rsid w:val="008D1BDB"/>
    <w:rsid w:val="008D2081"/>
    <w:rsid w:val="008D2301"/>
    <w:rsid w:val="008D28DA"/>
    <w:rsid w:val="008D34B7"/>
    <w:rsid w:val="008D41E6"/>
    <w:rsid w:val="008D423B"/>
    <w:rsid w:val="008D4258"/>
    <w:rsid w:val="008D482B"/>
    <w:rsid w:val="008D48AA"/>
    <w:rsid w:val="008D4DD2"/>
    <w:rsid w:val="008D50CD"/>
    <w:rsid w:val="008D51E2"/>
    <w:rsid w:val="008D531E"/>
    <w:rsid w:val="008D5908"/>
    <w:rsid w:val="008D5F4A"/>
    <w:rsid w:val="008D6465"/>
    <w:rsid w:val="008D7467"/>
    <w:rsid w:val="008D77EF"/>
    <w:rsid w:val="008E0173"/>
    <w:rsid w:val="008E01C3"/>
    <w:rsid w:val="008E048F"/>
    <w:rsid w:val="008E0A50"/>
    <w:rsid w:val="008E0F21"/>
    <w:rsid w:val="008E18CC"/>
    <w:rsid w:val="008E1A80"/>
    <w:rsid w:val="008E2417"/>
    <w:rsid w:val="008E3F71"/>
    <w:rsid w:val="008E58F6"/>
    <w:rsid w:val="008E5F69"/>
    <w:rsid w:val="008E6AB8"/>
    <w:rsid w:val="008E6B02"/>
    <w:rsid w:val="008E6CC6"/>
    <w:rsid w:val="008E6EFB"/>
    <w:rsid w:val="008E77CF"/>
    <w:rsid w:val="008E7AFE"/>
    <w:rsid w:val="008F1B49"/>
    <w:rsid w:val="008F213A"/>
    <w:rsid w:val="008F26A2"/>
    <w:rsid w:val="008F3342"/>
    <w:rsid w:val="008F34B2"/>
    <w:rsid w:val="008F387E"/>
    <w:rsid w:val="008F450A"/>
    <w:rsid w:val="008F46F6"/>
    <w:rsid w:val="008F54E2"/>
    <w:rsid w:val="008F54FA"/>
    <w:rsid w:val="008F57DE"/>
    <w:rsid w:val="008F59D7"/>
    <w:rsid w:val="008F5D78"/>
    <w:rsid w:val="008F5E29"/>
    <w:rsid w:val="008F66F8"/>
    <w:rsid w:val="008F6800"/>
    <w:rsid w:val="008F6E00"/>
    <w:rsid w:val="008F7155"/>
    <w:rsid w:val="0090002A"/>
    <w:rsid w:val="00900C3C"/>
    <w:rsid w:val="0090104C"/>
    <w:rsid w:val="00901198"/>
    <w:rsid w:val="0090121D"/>
    <w:rsid w:val="0090136B"/>
    <w:rsid w:val="00901909"/>
    <w:rsid w:val="00901ED7"/>
    <w:rsid w:val="009022A5"/>
    <w:rsid w:val="00902CD7"/>
    <w:rsid w:val="0090321C"/>
    <w:rsid w:val="00903724"/>
    <w:rsid w:val="009037ED"/>
    <w:rsid w:val="00903D89"/>
    <w:rsid w:val="00904AB8"/>
    <w:rsid w:val="00904D67"/>
    <w:rsid w:val="00904F39"/>
    <w:rsid w:val="009054EE"/>
    <w:rsid w:val="00905A96"/>
    <w:rsid w:val="00905CF0"/>
    <w:rsid w:val="0090621B"/>
    <w:rsid w:val="0090670D"/>
    <w:rsid w:val="009069DC"/>
    <w:rsid w:val="00906F8E"/>
    <w:rsid w:val="00906FBF"/>
    <w:rsid w:val="009072B0"/>
    <w:rsid w:val="009107E0"/>
    <w:rsid w:val="009107FA"/>
    <w:rsid w:val="00910AF0"/>
    <w:rsid w:val="009115D9"/>
    <w:rsid w:val="00911A7D"/>
    <w:rsid w:val="0091200D"/>
    <w:rsid w:val="009120BB"/>
    <w:rsid w:val="0091265A"/>
    <w:rsid w:val="0091382B"/>
    <w:rsid w:val="00913B2F"/>
    <w:rsid w:val="0091431A"/>
    <w:rsid w:val="00914D94"/>
    <w:rsid w:val="00914EF9"/>
    <w:rsid w:val="00915C12"/>
    <w:rsid w:val="00916300"/>
    <w:rsid w:val="00916460"/>
    <w:rsid w:val="00916590"/>
    <w:rsid w:val="00916784"/>
    <w:rsid w:val="00916899"/>
    <w:rsid w:val="009172BD"/>
    <w:rsid w:val="00917BC5"/>
    <w:rsid w:val="0092012A"/>
    <w:rsid w:val="00920AED"/>
    <w:rsid w:val="00920E03"/>
    <w:rsid w:val="00920F2A"/>
    <w:rsid w:val="00921259"/>
    <w:rsid w:val="009213F9"/>
    <w:rsid w:val="00922802"/>
    <w:rsid w:val="00922CE2"/>
    <w:rsid w:val="00922E2A"/>
    <w:rsid w:val="009231EA"/>
    <w:rsid w:val="00923876"/>
    <w:rsid w:val="00923DAC"/>
    <w:rsid w:val="00924555"/>
    <w:rsid w:val="00924956"/>
    <w:rsid w:val="009249BB"/>
    <w:rsid w:val="00924E1A"/>
    <w:rsid w:val="00925174"/>
    <w:rsid w:val="00925287"/>
    <w:rsid w:val="00925FD1"/>
    <w:rsid w:val="009261AA"/>
    <w:rsid w:val="009262FE"/>
    <w:rsid w:val="00926844"/>
    <w:rsid w:val="00926E53"/>
    <w:rsid w:val="00927115"/>
    <w:rsid w:val="00927BE6"/>
    <w:rsid w:val="00927E1F"/>
    <w:rsid w:val="00927FB7"/>
    <w:rsid w:val="00930053"/>
    <w:rsid w:val="0093018F"/>
    <w:rsid w:val="00930AB0"/>
    <w:rsid w:val="009311EA"/>
    <w:rsid w:val="00931560"/>
    <w:rsid w:val="00931BB7"/>
    <w:rsid w:val="00931ECE"/>
    <w:rsid w:val="0093292D"/>
    <w:rsid w:val="00932C7F"/>
    <w:rsid w:val="00932D7E"/>
    <w:rsid w:val="0093301C"/>
    <w:rsid w:val="0093313B"/>
    <w:rsid w:val="00933847"/>
    <w:rsid w:val="009339BA"/>
    <w:rsid w:val="00933B3F"/>
    <w:rsid w:val="00933CE4"/>
    <w:rsid w:val="00933D1A"/>
    <w:rsid w:val="0093403D"/>
    <w:rsid w:val="009343E5"/>
    <w:rsid w:val="00934623"/>
    <w:rsid w:val="009346D7"/>
    <w:rsid w:val="00934B62"/>
    <w:rsid w:val="00934F50"/>
    <w:rsid w:val="00935F51"/>
    <w:rsid w:val="009364AD"/>
    <w:rsid w:val="009367F4"/>
    <w:rsid w:val="00936BBF"/>
    <w:rsid w:val="0093761E"/>
    <w:rsid w:val="00937BF3"/>
    <w:rsid w:val="009401D3"/>
    <w:rsid w:val="009401D7"/>
    <w:rsid w:val="009408FE"/>
    <w:rsid w:val="00941106"/>
    <w:rsid w:val="0094180B"/>
    <w:rsid w:val="00942E3F"/>
    <w:rsid w:val="00942F06"/>
    <w:rsid w:val="00943079"/>
    <w:rsid w:val="00943359"/>
    <w:rsid w:val="0094379E"/>
    <w:rsid w:val="0094418D"/>
    <w:rsid w:val="009446F7"/>
    <w:rsid w:val="00944E2D"/>
    <w:rsid w:val="0094579B"/>
    <w:rsid w:val="00945A5F"/>
    <w:rsid w:val="0094623B"/>
    <w:rsid w:val="0094688D"/>
    <w:rsid w:val="009469D7"/>
    <w:rsid w:val="00947E9A"/>
    <w:rsid w:val="00950A59"/>
    <w:rsid w:val="0095101D"/>
    <w:rsid w:val="00951BC8"/>
    <w:rsid w:val="00952524"/>
    <w:rsid w:val="009525A1"/>
    <w:rsid w:val="00952BFB"/>
    <w:rsid w:val="00953AFE"/>
    <w:rsid w:val="00953D69"/>
    <w:rsid w:val="00953E2E"/>
    <w:rsid w:val="0095413B"/>
    <w:rsid w:val="00954233"/>
    <w:rsid w:val="00954B11"/>
    <w:rsid w:val="00954EB4"/>
    <w:rsid w:val="0095528B"/>
    <w:rsid w:val="00955709"/>
    <w:rsid w:val="009557E5"/>
    <w:rsid w:val="009566C1"/>
    <w:rsid w:val="0095765E"/>
    <w:rsid w:val="00957FC0"/>
    <w:rsid w:val="0096022A"/>
    <w:rsid w:val="0096087B"/>
    <w:rsid w:val="00960CB4"/>
    <w:rsid w:val="0096103A"/>
    <w:rsid w:val="0096138E"/>
    <w:rsid w:val="009614ED"/>
    <w:rsid w:val="00961EB1"/>
    <w:rsid w:val="009629F3"/>
    <w:rsid w:val="00962EC8"/>
    <w:rsid w:val="00963084"/>
    <w:rsid w:val="009632C5"/>
    <w:rsid w:val="009641F6"/>
    <w:rsid w:val="00964DF3"/>
    <w:rsid w:val="00965249"/>
    <w:rsid w:val="009655C8"/>
    <w:rsid w:val="009666AE"/>
    <w:rsid w:val="00967333"/>
    <w:rsid w:val="0096733F"/>
    <w:rsid w:val="0096743B"/>
    <w:rsid w:val="009679B5"/>
    <w:rsid w:val="009700A1"/>
    <w:rsid w:val="00970192"/>
    <w:rsid w:val="009704FF"/>
    <w:rsid w:val="00970715"/>
    <w:rsid w:val="00970780"/>
    <w:rsid w:val="00970877"/>
    <w:rsid w:val="00970C18"/>
    <w:rsid w:val="00971B56"/>
    <w:rsid w:val="00972313"/>
    <w:rsid w:val="009723B8"/>
    <w:rsid w:val="009726DC"/>
    <w:rsid w:val="00972975"/>
    <w:rsid w:val="009730C4"/>
    <w:rsid w:val="009732DB"/>
    <w:rsid w:val="0097353F"/>
    <w:rsid w:val="00973B02"/>
    <w:rsid w:val="00973D6A"/>
    <w:rsid w:val="00973EFC"/>
    <w:rsid w:val="00974465"/>
    <w:rsid w:val="0097460A"/>
    <w:rsid w:val="00974828"/>
    <w:rsid w:val="00974B72"/>
    <w:rsid w:val="00974DA8"/>
    <w:rsid w:val="0097532D"/>
    <w:rsid w:val="00975359"/>
    <w:rsid w:val="00975A30"/>
    <w:rsid w:val="00975F34"/>
    <w:rsid w:val="00976363"/>
    <w:rsid w:val="00976704"/>
    <w:rsid w:val="00976736"/>
    <w:rsid w:val="00977330"/>
    <w:rsid w:val="009773C6"/>
    <w:rsid w:val="00977A0F"/>
    <w:rsid w:val="00977BBC"/>
    <w:rsid w:val="00977F88"/>
    <w:rsid w:val="00980564"/>
    <w:rsid w:val="009807B3"/>
    <w:rsid w:val="00980D32"/>
    <w:rsid w:val="00980F13"/>
    <w:rsid w:val="00981064"/>
    <w:rsid w:val="00981AD5"/>
    <w:rsid w:val="00981D5D"/>
    <w:rsid w:val="009822FA"/>
    <w:rsid w:val="0098244E"/>
    <w:rsid w:val="009827B0"/>
    <w:rsid w:val="00982855"/>
    <w:rsid w:val="00982FEC"/>
    <w:rsid w:val="00983509"/>
    <w:rsid w:val="00983A54"/>
    <w:rsid w:val="00983E93"/>
    <w:rsid w:val="00983FBA"/>
    <w:rsid w:val="00984272"/>
    <w:rsid w:val="00984294"/>
    <w:rsid w:val="00984364"/>
    <w:rsid w:val="00985667"/>
    <w:rsid w:val="00985951"/>
    <w:rsid w:val="00985B85"/>
    <w:rsid w:val="00986062"/>
    <w:rsid w:val="009868AA"/>
    <w:rsid w:val="0098705D"/>
    <w:rsid w:val="00987309"/>
    <w:rsid w:val="00987593"/>
    <w:rsid w:val="009879E6"/>
    <w:rsid w:val="0099099D"/>
    <w:rsid w:val="009910D2"/>
    <w:rsid w:val="00991B6A"/>
    <w:rsid w:val="00992145"/>
    <w:rsid w:val="00992DAA"/>
    <w:rsid w:val="00993D8F"/>
    <w:rsid w:val="00993EB7"/>
    <w:rsid w:val="0099483F"/>
    <w:rsid w:val="00995E6C"/>
    <w:rsid w:val="0099692D"/>
    <w:rsid w:val="00996A92"/>
    <w:rsid w:val="00996DD8"/>
    <w:rsid w:val="009972A9"/>
    <w:rsid w:val="009975E9"/>
    <w:rsid w:val="009977AB"/>
    <w:rsid w:val="00997EEA"/>
    <w:rsid w:val="009A0829"/>
    <w:rsid w:val="009A0E69"/>
    <w:rsid w:val="009A0F15"/>
    <w:rsid w:val="009A1103"/>
    <w:rsid w:val="009A13F1"/>
    <w:rsid w:val="009A1415"/>
    <w:rsid w:val="009A15AA"/>
    <w:rsid w:val="009A1A63"/>
    <w:rsid w:val="009A23FF"/>
    <w:rsid w:val="009A26B6"/>
    <w:rsid w:val="009A28DC"/>
    <w:rsid w:val="009A2E7C"/>
    <w:rsid w:val="009A3AF2"/>
    <w:rsid w:val="009A438B"/>
    <w:rsid w:val="009A53AD"/>
    <w:rsid w:val="009A592B"/>
    <w:rsid w:val="009A5B31"/>
    <w:rsid w:val="009A64BB"/>
    <w:rsid w:val="009A7913"/>
    <w:rsid w:val="009A7B42"/>
    <w:rsid w:val="009B00A7"/>
    <w:rsid w:val="009B078F"/>
    <w:rsid w:val="009B0B73"/>
    <w:rsid w:val="009B0F94"/>
    <w:rsid w:val="009B114A"/>
    <w:rsid w:val="009B17E2"/>
    <w:rsid w:val="009B1972"/>
    <w:rsid w:val="009B1B0F"/>
    <w:rsid w:val="009B2172"/>
    <w:rsid w:val="009B2AF5"/>
    <w:rsid w:val="009B2B5B"/>
    <w:rsid w:val="009B379C"/>
    <w:rsid w:val="009B386F"/>
    <w:rsid w:val="009B3A6B"/>
    <w:rsid w:val="009B4D49"/>
    <w:rsid w:val="009B52E0"/>
    <w:rsid w:val="009B5612"/>
    <w:rsid w:val="009B5A5E"/>
    <w:rsid w:val="009B5C7F"/>
    <w:rsid w:val="009B5D86"/>
    <w:rsid w:val="009B6312"/>
    <w:rsid w:val="009B6C8D"/>
    <w:rsid w:val="009B6E08"/>
    <w:rsid w:val="009B6F2A"/>
    <w:rsid w:val="009B73DB"/>
    <w:rsid w:val="009B7535"/>
    <w:rsid w:val="009B7965"/>
    <w:rsid w:val="009B7988"/>
    <w:rsid w:val="009B7AC9"/>
    <w:rsid w:val="009B7E6C"/>
    <w:rsid w:val="009C00A7"/>
    <w:rsid w:val="009C043F"/>
    <w:rsid w:val="009C0647"/>
    <w:rsid w:val="009C06F9"/>
    <w:rsid w:val="009C07BB"/>
    <w:rsid w:val="009C19CC"/>
    <w:rsid w:val="009C1C8D"/>
    <w:rsid w:val="009C1C94"/>
    <w:rsid w:val="009C21D4"/>
    <w:rsid w:val="009C21E7"/>
    <w:rsid w:val="009C22AC"/>
    <w:rsid w:val="009C4764"/>
    <w:rsid w:val="009C4985"/>
    <w:rsid w:val="009C4ECE"/>
    <w:rsid w:val="009C5726"/>
    <w:rsid w:val="009C6916"/>
    <w:rsid w:val="009C697D"/>
    <w:rsid w:val="009C6A21"/>
    <w:rsid w:val="009C7057"/>
    <w:rsid w:val="009C7F10"/>
    <w:rsid w:val="009D069A"/>
    <w:rsid w:val="009D06F8"/>
    <w:rsid w:val="009D077E"/>
    <w:rsid w:val="009D0FB4"/>
    <w:rsid w:val="009D16B8"/>
    <w:rsid w:val="009D17C1"/>
    <w:rsid w:val="009D192A"/>
    <w:rsid w:val="009D1AED"/>
    <w:rsid w:val="009D2111"/>
    <w:rsid w:val="009D2566"/>
    <w:rsid w:val="009D3851"/>
    <w:rsid w:val="009D4281"/>
    <w:rsid w:val="009D42B6"/>
    <w:rsid w:val="009D447E"/>
    <w:rsid w:val="009D497C"/>
    <w:rsid w:val="009D4D0B"/>
    <w:rsid w:val="009D4DA2"/>
    <w:rsid w:val="009D4E79"/>
    <w:rsid w:val="009D4E98"/>
    <w:rsid w:val="009D6361"/>
    <w:rsid w:val="009D698F"/>
    <w:rsid w:val="009D6B29"/>
    <w:rsid w:val="009D7148"/>
    <w:rsid w:val="009D72FF"/>
    <w:rsid w:val="009D7B42"/>
    <w:rsid w:val="009E031B"/>
    <w:rsid w:val="009E04DD"/>
    <w:rsid w:val="009E1312"/>
    <w:rsid w:val="009E147A"/>
    <w:rsid w:val="009E1BC7"/>
    <w:rsid w:val="009E1C34"/>
    <w:rsid w:val="009E1F34"/>
    <w:rsid w:val="009E234C"/>
    <w:rsid w:val="009E2520"/>
    <w:rsid w:val="009E2A16"/>
    <w:rsid w:val="009E2E4B"/>
    <w:rsid w:val="009E326F"/>
    <w:rsid w:val="009E334F"/>
    <w:rsid w:val="009E3398"/>
    <w:rsid w:val="009E43FA"/>
    <w:rsid w:val="009E4648"/>
    <w:rsid w:val="009E4ADC"/>
    <w:rsid w:val="009E5096"/>
    <w:rsid w:val="009E50EE"/>
    <w:rsid w:val="009E56F2"/>
    <w:rsid w:val="009E615C"/>
    <w:rsid w:val="009E63DB"/>
    <w:rsid w:val="009E68FA"/>
    <w:rsid w:val="009F001F"/>
    <w:rsid w:val="009F024A"/>
    <w:rsid w:val="009F0546"/>
    <w:rsid w:val="009F089E"/>
    <w:rsid w:val="009F0CDF"/>
    <w:rsid w:val="009F1486"/>
    <w:rsid w:val="009F176A"/>
    <w:rsid w:val="009F1D84"/>
    <w:rsid w:val="009F2215"/>
    <w:rsid w:val="009F25F4"/>
    <w:rsid w:val="009F2864"/>
    <w:rsid w:val="009F2C74"/>
    <w:rsid w:val="009F317A"/>
    <w:rsid w:val="009F320D"/>
    <w:rsid w:val="009F34E4"/>
    <w:rsid w:val="009F46C8"/>
    <w:rsid w:val="009F4970"/>
    <w:rsid w:val="009F4C94"/>
    <w:rsid w:val="009F4D88"/>
    <w:rsid w:val="009F51E5"/>
    <w:rsid w:val="009F53C2"/>
    <w:rsid w:val="009F676E"/>
    <w:rsid w:val="009F6C8A"/>
    <w:rsid w:val="009F7288"/>
    <w:rsid w:val="009F7412"/>
    <w:rsid w:val="00A002ED"/>
    <w:rsid w:val="00A003EB"/>
    <w:rsid w:val="00A00554"/>
    <w:rsid w:val="00A00B2E"/>
    <w:rsid w:val="00A01C10"/>
    <w:rsid w:val="00A01DCD"/>
    <w:rsid w:val="00A01E55"/>
    <w:rsid w:val="00A0215B"/>
    <w:rsid w:val="00A023F3"/>
    <w:rsid w:val="00A02593"/>
    <w:rsid w:val="00A02AD6"/>
    <w:rsid w:val="00A02BDA"/>
    <w:rsid w:val="00A03021"/>
    <w:rsid w:val="00A03B33"/>
    <w:rsid w:val="00A04035"/>
    <w:rsid w:val="00A0508B"/>
    <w:rsid w:val="00A05780"/>
    <w:rsid w:val="00A058B9"/>
    <w:rsid w:val="00A05D96"/>
    <w:rsid w:val="00A06E17"/>
    <w:rsid w:val="00A06FCC"/>
    <w:rsid w:val="00A10006"/>
    <w:rsid w:val="00A102B1"/>
    <w:rsid w:val="00A10D00"/>
    <w:rsid w:val="00A11A7E"/>
    <w:rsid w:val="00A11CF1"/>
    <w:rsid w:val="00A11DFB"/>
    <w:rsid w:val="00A1222D"/>
    <w:rsid w:val="00A1232B"/>
    <w:rsid w:val="00A13728"/>
    <w:rsid w:val="00A13840"/>
    <w:rsid w:val="00A14464"/>
    <w:rsid w:val="00A14A8E"/>
    <w:rsid w:val="00A15F19"/>
    <w:rsid w:val="00A16368"/>
    <w:rsid w:val="00A16BAF"/>
    <w:rsid w:val="00A16DD0"/>
    <w:rsid w:val="00A172B9"/>
    <w:rsid w:val="00A172C3"/>
    <w:rsid w:val="00A17442"/>
    <w:rsid w:val="00A1799A"/>
    <w:rsid w:val="00A17A4D"/>
    <w:rsid w:val="00A17E70"/>
    <w:rsid w:val="00A2103A"/>
    <w:rsid w:val="00A210EE"/>
    <w:rsid w:val="00A229F2"/>
    <w:rsid w:val="00A23B0C"/>
    <w:rsid w:val="00A23B2D"/>
    <w:rsid w:val="00A2448A"/>
    <w:rsid w:val="00A24F0F"/>
    <w:rsid w:val="00A250F7"/>
    <w:rsid w:val="00A2667E"/>
    <w:rsid w:val="00A26A21"/>
    <w:rsid w:val="00A26B11"/>
    <w:rsid w:val="00A26F57"/>
    <w:rsid w:val="00A27C9E"/>
    <w:rsid w:val="00A27C9F"/>
    <w:rsid w:val="00A27D28"/>
    <w:rsid w:val="00A30093"/>
    <w:rsid w:val="00A3073F"/>
    <w:rsid w:val="00A308BF"/>
    <w:rsid w:val="00A31366"/>
    <w:rsid w:val="00A3210D"/>
    <w:rsid w:val="00A32208"/>
    <w:rsid w:val="00A322EB"/>
    <w:rsid w:val="00A32B61"/>
    <w:rsid w:val="00A32EA2"/>
    <w:rsid w:val="00A33179"/>
    <w:rsid w:val="00A333BE"/>
    <w:rsid w:val="00A33AD4"/>
    <w:rsid w:val="00A33B49"/>
    <w:rsid w:val="00A34068"/>
    <w:rsid w:val="00A34D16"/>
    <w:rsid w:val="00A35C33"/>
    <w:rsid w:val="00A360D4"/>
    <w:rsid w:val="00A36421"/>
    <w:rsid w:val="00A3654C"/>
    <w:rsid w:val="00A4012D"/>
    <w:rsid w:val="00A40290"/>
    <w:rsid w:val="00A40A58"/>
    <w:rsid w:val="00A40A7C"/>
    <w:rsid w:val="00A40E19"/>
    <w:rsid w:val="00A40F37"/>
    <w:rsid w:val="00A41224"/>
    <w:rsid w:val="00A41479"/>
    <w:rsid w:val="00A42027"/>
    <w:rsid w:val="00A4315D"/>
    <w:rsid w:val="00A43C73"/>
    <w:rsid w:val="00A43D8F"/>
    <w:rsid w:val="00A442C9"/>
    <w:rsid w:val="00A44846"/>
    <w:rsid w:val="00A4491E"/>
    <w:rsid w:val="00A4499F"/>
    <w:rsid w:val="00A451F1"/>
    <w:rsid w:val="00A455B7"/>
    <w:rsid w:val="00A458A2"/>
    <w:rsid w:val="00A45B68"/>
    <w:rsid w:val="00A45F4C"/>
    <w:rsid w:val="00A46584"/>
    <w:rsid w:val="00A46B0F"/>
    <w:rsid w:val="00A50011"/>
    <w:rsid w:val="00A50094"/>
    <w:rsid w:val="00A50D20"/>
    <w:rsid w:val="00A50E0F"/>
    <w:rsid w:val="00A51229"/>
    <w:rsid w:val="00A51236"/>
    <w:rsid w:val="00A51297"/>
    <w:rsid w:val="00A5142D"/>
    <w:rsid w:val="00A5151A"/>
    <w:rsid w:val="00A5163E"/>
    <w:rsid w:val="00A517E5"/>
    <w:rsid w:val="00A523D9"/>
    <w:rsid w:val="00A52478"/>
    <w:rsid w:val="00A52543"/>
    <w:rsid w:val="00A52BED"/>
    <w:rsid w:val="00A539FC"/>
    <w:rsid w:val="00A53B83"/>
    <w:rsid w:val="00A543FC"/>
    <w:rsid w:val="00A545B5"/>
    <w:rsid w:val="00A5478C"/>
    <w:rsid w:val="00A5480E"/>
    <w:rsid w:val="00A54A17"/>
    <w:rsid w:val="00A54DB3"/>
    <w:rsid w:val="00A554A6"/>
    <w:rsid w:val="00A5558A"/>
    <w:rsid w:val="00A555D8"/>
    <w:rsid w:val="00A55797"/>
    <w:rsid w:val="00A562C7"/>
    <w:rsid w:val="00A5630D"/>
    <w:rsid w:val="00A56F3D"/>
    <w:rsid w:val="00A575C5"/>
    <w:rsid w:val="00A5777A"/>
    <w:rsid w:val="00A57BF8"/>
    <w:rsid w:val="00A606A6"/>
    <w:rsid w:val="00A6099D"/>
    <w:rsid w:val="00A61457"/>
    <w:rsid w:val="00A61833"/>
    <w:rsid w:val="00A620F3"/>
    <w:rsid w:val="00A623E4"/>
    <w:rsid w:val="00A626EF"/>
    <w:rsid w:val="00A62775"/>
    <w:rsid w:val="00A637D0"/>
    <w:rsid w:val="00A63BD1"/>
    <w:rsid w:val="00A64A07"/>
    <w:rsid w:val="00A650E2"/>
    <w:rsid w:val="00A65AA3"/>
    <w:rsid w:val="00A65DE1"/>
    <w:rsid w:val="00A65F0C"/>
    <w:rsid w:val="00A665AA"/>
    <w:rsid w:val="00A6686C"/>
    <w:rsid w:val="00A66AF0"/>
    <w:rsid w:val="00A66D68"/>
    <w:rsid w:val="00A66D89"/>
    <w:rsid w:val="00A6763E"/>
    <w:rsid w:val="00A678B5"/>
    <w:rsid w:val="00A7088D"/>
    <w:rsid w:val="00A70CBB"/>
    <w:rsid w:val="00A7188C"/>
    <w:rsid w:val="00A71AC5"/>
    <w:rsid w:val="00A71F1F"/>
    <w:rsid w:val="00A721CA"/>
    <w:rsid w:val="00A7261E"/>
    <w:rsid w:val="00A72BE7"/>
    <w:rsid w:val="00A72E04"/>
    <w:rsid w:val="00A72F2E"/>
    <w:rsid w:val="00A73301"/>
    <w:rsid w:val="00A7369F"/>
    <w:rsid w:val="00A73BE5"/>
    <w:rsid w:val="00A73CEE"/>
    <w:rsid w:val="00A73F3B"/>
    <w:rsid w:val="00A74293"/>
    <w:rsid w:val="00A74673"/>
    <w:rsid w:val="00A74914"/>
    <w:rsid w:val="00A7525C"/>
    <w:rsid w:val="00A75649"/>
    <w:rsid w:val="00A75770"/>
    <w:rsid w:val="00A75FD0"/>
    <w:rsid w:val="00A761B3"/>
    <w:rsid w:val="00A76218"/>
    <w:rsid w:val="00A7665C"/>
    <w:rsid w:val="00A76930"/>
    <w:rsid w:val="00A76C8C"/>
    <w:rsid w:val="00A76FAB"/>
    <w:rsid w:val="00A770C8"/>
    <w:rsid w:val="00A77276"/>
    <w:rsid w:val="00A77547"/>
    <w:rsid w:val="00A80128"/>
    <w:rsid w:val="00A805B9"/>
    <w:rsid w:val="00A8109F"/>
    <w:rsid w:val="00A81852"/>
    <w:rsid w:val="00A81894"/>
    <w:rsid w:val="00A818A4"/>
    <w:rsid w:val="00A81B7F"/>
    <w:rsid w:val="00A83612"/>
    <w:rsid w:val="00A83D86"/>
    <w:rsid w:val="00A83D99"/>
    <w:rsid w:val="00A84069"/>
    <w:rsid w:val="00A844D9"/>
    <w:rsid w:val="00A845FF"/>
    <w:rsid w:val="00A84F90"/>
    <w:rsid w:val="00A858F5"/>
    <w:rsid w:val="00A859FF"/>
    <w:rsid w:val="00A85A93"/>
    <w:rsid w:val="00A85AA5"/>
    <w:rsid w:val="00A85CC5"/>
    <w:rsid w:val="00A85F42"/>
    <w:rsid w:val="00A864CD"/>
    <w:rsid w:val="00A86671"/>
    <w:rsid w:val="00A867B6"/>
    <w:rsid w:val="00A86DE2"/>
    <w:rsid w:val="00A86F04"/>
    <w:rsid w:val="00A87989"/>
    <w:rsid w:val="00A9008E"/>
    <w:rsid w:val="00A90676"/>
    <w:rsid w:val="00A909E6"/>
    <w:rsid w:val="00A90D89"/>
    <w:rsid w:val="00A90EB8"/>
    <w:rsid w:val="00A914AC"/>
    <w:rsid w:val="00A91F3D"/>
    <w:rsid w:val="00A92186"/>
    <w:rsid w:val="00A92BB0"/>
    <w:rsid w:val="00A9339D"/>
    <w:rsid w:val="00A93A54"/>
    <w:rsid w:val="00A94B8D"/>
    <w:rsid w:val="00A94E4F"/>
    <w:rsid w:val="00A95601"/>
    <w:rsid w:val="00A9581B"/>
    <w:rsid w:val="00A95F16"/>
    <w:rsid w:val="00A96416"/>
    <w:rsid w:val="00A96AB3"/>
    <w:rsid w:val="00A96AD0"/>
    <w:rsid w:val="00A97477"/>
    <w:rsid w:val="00A9751F"/>
    <w:rsid w:val="00A97868"/>
    <w:rsid w:val="00A97A71"/>
    <w:rsid w:val="00A97E30"/>
    <w:rsid w:val="00AA094D"/>
    <w:rsid w:val="00AA1010"/>
    <w:rsid w:val="00AA1439"/>
    <w:rsid w:val="00AA2526"/>
    <w:rsid w:val="00AA2836"/>
    <w:rsid w:val="00AA2BC3"/>
    <w:rsid w:val="00AA33EB"/>
    <w:rsid w:val="00AA3DBB"/>
    <w:rsid w:val="00AA3EF6"/>
    <w:rsid w:val="00AA4001"/>
    <w:rsid w:val="00AA431A"/>
    <w:rsid w:val="00AA440D"/>
    <w:rsid w:val="00AA561C"/>
    <w:rsid w:val="00AA563C"/>
    <w:rsid w:val="00AA5958"/>
    <w:rsid w:val="00AA6048"/>
    <w:rsid w:val="00AA60AE"/>
    <w:rsid w:val="00AA62B6"/>
    <w:rsid w:val="00AA6508"/>
    <w:rsid w:val="00AA652E"/>
    <w:rsid w:val="00AA65AD"/>
    <w:rsid w:val="00AA66B5"/>
    <w:rsid w:val="00AA6865"/>
    <w:rsid w:val="00AA6973"/>
    <w:rsid w:val="00AA69C8"/>
    <w:rsid w:val="00AA6DA9"/>
    <w:rsid w:val="00AA735A"/>
    <w:rsid w:val="00AA73C6"/>
    <w:rsid w:val="00AA7406"/>
    <w:rsid w:val="00AA76BB"/>
    <w:rsid w:val="00AA7808"/>
    <w:rsid w:val="00AA780E"/>
    <w:rsid w:val="00AA7BE8"/>
    <w:rsid w:val="00AA7CE2"/>
    <w:rsid w:val="00AA7D6F"/>
    <w:rsid w:val="00AB0783"/>
    <w:rsid w:val="00AB0F86"/>
    <w:rsid w:val="00AB1227"/>
    <w:rsid w:val="00AB1747"/>
    <w:rsid w:val="00AB1991"/>
    <w:rsid w:val="00AB205B"/>
    <w:rsid w:val="00AB22CA"/>
    <w:rsid w:val="00AB23B9"/>
    <w:rsid w:val="00AB24C5"/>
    <w:rsid w:val="00AB26E5"/>
    <w:rsid w:val="00AB2E5B"/>
    <w:rsid w:val="00AB37F4"/>
    <w:rsid w:val="00AB3DAE"/>
    <w:rsid w:val="00AB4078"/>
    <w:rsid w:val="00AB413B"/>
    <w:rsid w:val="00AB47D7"/>
    <w:rsid w:val="00AB4A98"/>
    <w:rsid w:val="00AB4CD8"/>
    <w:rsid w:val="00AB4D26"/>
    <w:rsid w:val="00AB4F92"/>
    <w:rsid w:val="00AB513B"/>
    <w:rsid w:val="00AB545D"/>
    <w:rsid w:val="00AB59AA"/>
    <w:rsid w:val="00AB59BC"/>
    <w:rsid w:val="00AB5CB2"/>
    <w:rsid w:val="00AB6462"/>
    <w:rsid w:val="00AB664E"/>
    <w:rsid w:val="00AC07DA"/>
    <w:rsid w:val="00AC0A33"/>
    <w:rsid w:val="00AC1421"/>
    <w:rsid w:val="00AC15FD"/>
    <w:rsid w:val="00AC1FFD"/>
    <w:rsid w:val="00AC238B"/>
    <w:rsid w:val="00AC2780"/>
    <w:rsid w:val="00AC3139"/>
    <w:rsid w:val="00AC32AD"/>
    <w:rsid w:val="00AC34DD"/>
    <w:rsid w:val="00AC45A8"/>
    <w:rsid w:val="00AC48C2"/>
    <w:rsid w:val="00AC4E8E"/>
    <w:rsid w:val="00AC5949"/>
    <w:rsid w:val="00AC6237"/>
    <w:rsid w:val="00AC6AC6"/>
    <w:rsid w:val="00AC6AE9"/>
    <w:rsid w:val="00AC6C20"/>
    <w:rsid w:val="00AC7C34"/>
    <w:rsid w:val="00AC7D0E"/>
    <w:rsid w:val="00AD0137"/>
    <w:rsid w:val="00AD0F73"/>
    <w:rsid w:val="00AD1375"/>
    <w:rsid w:val="00AD180F"/>
    <w:rsid w:val="00AD199B"/>
    <w:rsid w:val="00AD2901"/>
    <w:rsid w:val="00AD2D7D"/>
    <w:rsid w:val="00AD2F04"/>
    <w:rsid w:val="00AD2F47"/>
    <w:rsid w:val="00AD30A3"/>
    <w:rsid w:val="00AD33AF"/>
    <w:rsid w:val="00AD4921"/>
    <w:rsid w:val="00AD4959"/>
    <w:rsid w:val="00AD5106"/>
    <w:rsid w:val="00AD53E7"/>
    <w:rsid w:val="00AD541A"/>
    <w:rsid w:val="00AD59A2"/>
    <w:rsid w:val="00AD6221"/>
    <w:rsid w:val="00AD644C"/>
    <w:rsid w:val="00AD6780"/>
    <w:rsid w:val="00AD6EEF"/>
    <w:rsid w:val="00AD70F7"/>
    <w:rsid w:val="00AD7260"/>
    <w:rsid w:val="00AD745A"/>
    <w:rsid w:val="00AE0062"/>
    <w:rsid w:val="00AE0300"/>
    <w:rsid w:val="00AE0374"/>
    <w:rsid w:val="00AE0418"/>
    <w:rsid w:val="00AE0F22"/>
    <w:rsid w:val="00AE13B8"/>
    <w:rsid w:val="00AE160C"/>
    <w:rsid w:val="00AE17D9"/>
    <w:rsid w:val="00AE1A73"/>
    <w:rsid w:val="00AE2092"/>
    <w:rsid w:val="00AE2BF0"/>
    <w:rsid w:val="00AE2E56"/>
    <w:rsid w:val="00AE32A7"/>
    <w:rsid w:val="00AE3876"/>
    <w:rsid w:val="00AE4165"/>
    <w:rsid w:val="00AE4339"/>
    <w:rsid w:val="00AE4CD1"/>
    <w:rsid w:val="00AE4D90"/>
    <w:rsid w:val="00AE59DD"/>
    <w:rsid w:val="00AE5D2B"/>
    <w:rsid w:val="00AE62A5"/>
    <w:rsid w:val="00AE6549"/>
    <w:rsid w:val="00AE6636"/>
    <w:rsid w:val="00AE698F"/>
    <w:rsid w:val="00AE6CB1"/>
    <w:rsid w:val="00AE729A"/>
    <w:rsid w:val="00AE73C8"/>
    <w:rsid w:val="00AE7D2A"/>
    <w:rsid w:val="00AF027C"/>
    <w:rsid w:val="00AF0663"/>
    <w:rsid w:val="00AF069E"/>
    <w:rsid w:val="00AF074B"/>
    <w:rsid w:val="00AF149D"/>
    <w:rsid w:val="00AF17B5"/>
    <w:rsid w:val="00AF1953"/>
    <w:rsid w:val="00AF245F"/>
    <w:rsid w:val="00AF24E8"/>
    <w:rsid w:val="00AF377E"/>
    <w:rsid w:val="00AF3912"/>
    <w:rsid w:val="00AF3C89"/>
    <w:rsid w:val="00AF3DCD"/>
    <w:rsid w:val="00AF3EBB"/>
    <w:rsid w:val="00AF4718"/>
    <w:rsid w:val="00AF52CD"/>
    <w:rsid w:val="00AF5537"/>
    <w:rsid w:val="00AF57BC"/>
    <w:rsid w:val="00AF57EE"/>
    <w:rsid w:val="00AF5E48"/>
    <w:rsid w:val="00AF6696"/>
    <w:rsid w:val="00AF7409"/>
    <w:rsid w:val="00AF76C8"/>
    <w:rsid w:val="00AF7996"/>
    <w:rsid w:val="00AF7DDD"/>
    <w:rsid w:val="00B0018F"/>
    <w:rsid w:val="00B0082E"/>
    <w:rsid w:val="00B00917"/>
    <w:rsid w:val="00B00D38"/>
    <w:rsid w:val="00B01032"/>
    <w:rsid w:val="00B01A6F"/>
    <w:rsid w:val="00B01C2D"/>
    <w:rsid w:val="00B01F0F"/>
    <w:rsid w:val="00B023BB"/>
    <w:rsid w:val="00B0282B"/>
    <w:rsid w:val="00B02F1F"/>
    <w:rsid w:val="00B034C5"/>
    <w:rsid w:val="00B03EFF"/>
    <w:rsid w:val="00B04924"/>
    <w:rsid w:val="00B04F4E"/>
    <w:rsid w:val="00B05AF8"/>
    <w:rsid w:val="00B05F32"/>
    <w:rsid w:val="00B06118"/>
    <w:rsid w:val="00B0679E"/>
    <w:rsid w:val="00B068F4"/>
    <w:rsid w:val="00B06E6F"/>
    <w:rsid w:val="00B0722C"/>
    <w:rsid w:val="00B073BE"/>
    <w:rsid w:val="00B07518"/>
    <w:rsid w:val="00B07880"/>
    <w:rsid w:val="00B079B4"/>
    <w:rsid w:val="00B10573"/>
    <w:rsid w:val="00B10A2A"/>
    <w:rsid w:val="00B10ABA"/>
    <w:rsid w:val="00B11020"/>
    <w:rsid w:val="00B11ED2"/>
    <w:rsid w:val="00B12676"/>
    <w:rsid w:val="00B129EF"/>
    <w:rsid w:val="00B12F46"/>
    <w:rsid w:val="00B13EC7"/>
    <w:rsid w:val="00B1428E"/>
    <w:rsid w:val="00B143C2"/>
    <w:rsid w:val="00B145DB"/>
    <w:rsid w:val="00B147EB"/>
    <w:rsid w:val="00B14CA2"/>
    <w:rsid w:val="00B14DAE"/>
    <w:rsid w:val="00B14DDE"/>
    <w:rsid w:val="00B14F34"/>
    <w:rsid w:val="00B1528D"/>
    <w:rsid w:val="00B16026"/>
    <w:rsid w:val="00B1693A"/>
    <w:rsid w:val="00B16E39"/>
    <w:rsid w:val="00B16E84"/>
    <w:rsid w:val="00B16EF7"/>
    <w:rsid w:val="00B1753C"/>
    <w:rsid w:val="00B17ED3"/>
    <w:rsid w:val="00B20152"/>
    <w:rsid w:val="00B20320"/>
    <w:rsid w:val="00B20B8E"/>
    <w:rsid w:val="00B2111C"/>
    <w:rsid w:val="00B213CC"/>
    <w:rsid w:val="00B21C27"/>
    <w:rsid w:val="00B22562"/>
    <w:rsid w:val="00B233BD"/>
    <w:rsid w:val="00B23483"/>
    <w:rsid w:val="00B23916"/>
    <w:rsid w:val="00B23965"/>
    <w:rsid w:val="00B23CD8"/>
    <w:rsid w:val="00B23D23"/>
    <w:rsid w:val="00B251F6"/>
    <w:rsid w:val="00B255EC"/>
    <w:rsid w:val="00B256F8"/>
    <w:rsid w:val="00B2607E"/>
    <w:rsid w:val="00B260A2"/>
    <w:rsid w:val="00B26369"/>
    <w:rsid w:val="00B263A4"/>
    <w:rsid w:val="00B2691D"/>
    <w:rsid w:val="00B269C7"/>
    <w:rsid w:val="00B27281"/>
    <w:rsid w:val="00B27CEE"/>
    <w:rsid w:val="00B27EEE"/>
    <w:rsid w:val="00B30438"/>
    <w:rsid w:val="00B30533"/>
    <w:rsid w:val="00B307D2"/>
    <w:rsid w:val="00B308E1"/>
    <w:rsid w:val="00B308E8"/>
    <w:rsid w:val="00B312EB"/>
    <w:rsid w:val="00B31665"/>
    <w:rsid w:val="00B32222"/>
    <w:rsid w:val="00B3269E"/>
    <w:rsid w:val="00B330D3"/>
    <w:rsid w:val="00B33446"/>
    <w:rsid w:val="00B3410B"/>
    <w:rsid w:val="00B3498F"/>
    <w:rsid w:val="00B35579"/>
    <w:rsid w:val="00B37792"/>
    <w:rsid w:val="00B37F00"/>
    <w:rsid w:val="00B37FF0"/>
    <w:rsid w:val="00B4044C"/>
    <w:rsid w:val="00B404F7"/>
    <w:rsid w:val="00B4083E"/>
    <w:rsid w:val="00B408EE"/>
    <w:rsid w:val="00B421BC"/>
    <w:rsid w:val="00B42FD1"/>
    <w:rsid w:val="00B42FEA"/>
    <w:rsid w:val="00B43BCC"/>
    <w:rsid w:val="00B4473A"/>
    <w:rsid w:val="00B44AA1"/>
    <w:rsid w:val="00B45244"/>
    <w:rsid w:val="00B4525E"/>
    <w:rsid w:val="00B45651"/>
    <w:rsid w:val="00B45E88"/>
    <w:rsid w:val="00B468D7"/>
    <w:rsid w:val="00B469B0"/>
    <w:rsid w:val="00B46F15"/>
    <w:rsid w:val="00B4710B"/>
    <w:rsid w:val="00B4761C"/>
    <w:rsid w:val="00B47D4E"/>
    <w:rsid w:val="00B506C4"/>
    <w:rsid w:val="00B51D8C"/>
    <w:rsid w:val="00B51FE2"/>
    <w:rsid w:val="00B524F8"/>
    <w:rsid w:val="00B52B1D"/>
    <w:rsid w:val="00B52D6B"/>
    <w:rsid w:val="00B52FF4"/>
    <w:rsid w:val="00B53237"/>
    <w:rsid w:val="00B532BA"/>
    <w:rsid w:val="00B53DC5"/>
    <w:rsid w:val="00B5455E"/>
    <w:rsid w:val="00B54A0D"/>
    <w:rsid w:val="00B54F70"/>
    <w:rsid w:val="00B5517A"/>
    <w:rsid w:val="00B554E3"/>
    <w:rsid w:val="00B55C99"/>
    <w:rsid w:val="00B55DEC"/>
    <w:rsid w:val="00B5657D"/>
    <w:rsid w:val="00B565E3"/>
    <w:rsid w:val="00B56986"/>
    <w:rsid w:val="00B56D85"/>
    <w:rsid w:val="00B5769F"/>
    <w:rsid w:val="00B57D82"/>
    <w:rsid w:val="00B6002E"/>
    <w:rsid w:val="00B600B2"/>
    <w:rsid w:val="00B607C4"/>
    <w:rsid w:val="00B60BFC"/>
    <w:rsid w:val="00B60D38"/>
    <w:rsid w:val="00B60D3C"/>
    <w:rsid w:val="00B60F4F"/>
    <w:rsid w:val="00B61625"/>
    <w:rsid w:val="00B6176F"/>
    <w:rsid w:val="00B61DE6"/>
    <w:rsid w:val="00B61EBA"/>
    <w:rsid w:val="00B62549"/>
    <w:rsid w:val="00B62C46"/>
    <w:rsid w:val="00B63055"/>
    <w:rsid w:val="00B63346"/>
    <w:rsid w:val="00B633CB"/>
    <w:rsid w:val="00B6354C"/>
    <w:rsid w:val="00B63829"/>
    <w:rsid w:val="00B63CF1"/>
    <w:rsid w:val="00B63E55"/>
    <w:rsid w:val="00B64050"/>
    <w:rsid w:val="00B64605"/>
    <w:rsid w:val="00B646EB"/>
    <w:rsid w:val="00B64E49"/>
    <w:rsid w:val="00B64E9B"/>
    <w:rsid w:val="00B6512C"/>
    <w:rsid w:val="00B652F2"/>
    <w:rsid w:val="00B6587A"/>
    <w:rsid w:val="00B664D8"/>
    <w:rsid w:val="00B669BB"/>
    <w:rsid w:val="00B669ED"/>
    <w:rsid w:val="00B66D51"/>
    <w:rsid w:val="00B673EC"/>
    <w:rsid w:val="00B67A31"/>
    <w:rsid w:val="00B67CFB"/>
    <w:rsid w:val="00B7041B"/>
    <w:rsid w:val="00B705DD"/>
    <w:rsid w:val="00B708A8"/>
    <w:rsid w:val="00B70E3E"/>
    <w:rsid w:val="00B7161B"/>
    <w:rsid w:val="00B71D39"/>
    <w:rsid w:val="00B72598"/>
    <w:rsid w:val="00B725E1"/>
    <w:rsid w:val="00B726C8"/>
    <w:rsid w:val="00B72816"/>
    <w:rsid w:val="00B72961"/>
    <w:rsid w:val="00B72BE3"/>
    <w:rsid w:val="00B735DF"/>
    <w:rsid w:val="00B73A17"/>
    <w:rsid w:val="00B73EF5"/>
    <w:rsid w:val="00B743A6"/>
    <w:rsid w:val="00B744D0"/>
    <w:rsid w:val="00B74BFA"/>
    <w:rsid w:val="00B74C54"/>
    <w:rsid w:val="00B74F1F"/>
    <w:rsid w:val="00B75118"/>
    <w:rsid w:val="00B753AF"/>
    <w:rsid w:val="00B753DD"/>
    <w:rsid w:val="00B75487"/>
    <w:rsid w:val="00B75BA8"/>
    <w:rsid w:val="00B80033"/>
    <w:rsid w:val="00B805A9"/>
    <w:rsid w:val="00B80B30"/>
    <w:rsid w:val="00B81610"/>
    <w:rsid w:val="00B817F8"/>
    <w:rsid w:val="00B81933"/>
    <w:rsid w:val="00B81AE4"/>
    <w:rsid w:val="00B81C41"/>
    <w:rsid w:val="00B81F1D"/>
    <w:rsid w:val="00B8236A"/>
    <w:rsid w:val="00B83AC7"/>
    <w:rsid w:val="00B840C7"/>
    <w:rsid w:val="00B84A8E"/>
    <w:rsid w:val="00B85460"/>
    <w:rsid w:val="00B8589F"/>
    <w:rsid w:val="00B86160"/>
    <w:rsid w:val="00B86715"/>
    <w:rsid w:val="00B86FFD"/>
    <w:rsid w:val="00B871F0"/>
    <w:rsid w:val="00B87C0B"/>
    <w:rsid w:val="00B87EA5"/>
    <w:rsid w:val="00B9045F"/>
    <w:rsid w:val="00B9059B"/>
    <w:rsid w:val="00B91171"/>
    <w:rsid w:val="00B9154B"/>
    <w:rsid w:val="00B917BD"/>
    <w:rsid w:val="00B91B39"/>
    <w:rsid w:val="00B91CED"/>
    <w:rsid w:val="00B92064"/>
    <w:rsid w:val="00B9284B"/>
    <w:rsid w:val="00B92CFE"/>
    <w:rsid w:val="00B93B59"/>
    <w:rsid w:val="00B94AA9"/>
    <w:rsid w:val="00B95032"/>
    <w:rsid w:val="00B9509E"/>
    <w:rsid w:val="00B9618C"/>
    <w:rsid w:val="00B96477"/>
    <w:rsid w:val="00B9660F"/>
    <w:rsid w:val="00B96E46"/>
    <w:rsid w:val="00B97259"/>
    <w:rsid w:val="00B975CD"/>
    <w:rsid w:val="00B97C75"/>
    <w:rsid w:val="00BA003C"/>
    <w:rsid w:val="00BA0458"/>
    <w:rsid w:val="00BA06C7"/>
    <w:rsid w:val="00BA0E9A"/>
    <w:rsid w:val="00BA1278"/>
    <w:rsid w:val="00BA1E96"/>
    <w:rsid w:val="00BA1EFB"/>
    <w:rsid w:val="00BA25DF"/>
    <w:rsid w:val="00BA2C82"/>
    <w:rsid w:val="00BA33A4"/>
    <w:rsid w:val="00BA3BDE"/>
    <w:rsid w:val="00BA3EA9"/>
    <w:rsid w:val="00BA424E"/>
    <w:rsid w:val="00BA42D4"/>
    <w:rsid w:val="00BA48D7"/>
    <w:rsid w:val="00BA4CBD"/>
    <w:rsid w:val="00BA4E54"/>
    <w:rsid w:val="00BA527B"/>
    <w:rsid w:val="00BA53E7"/>
    <w:rsid w:val="00BA5902"/>
    <w:rsid w:val="00BA6386"/>
    <w:rsid w:val="00BA6841"/>
    <w:rsid w:val="00BA78B7"/>
    <w:rsid w:val="00BA7C0E"/>
    <w:rsid w:val="00BA7DF1"/>
    <w:rsid w:val="00BA7F5A"/>
    <w:rsid w:val="00BB0418"/>
    <w:rsid w:val="00BB0662"/>
    <w:rsid w:val="00BB0748"/>
    <w:rsid w:val="00BB0B7F"/>
    <w:rsid w:val="00BB175E"/>
    <w:rsid w:val="00BB19C8"/>
    <w:rsid w:val="00BB1EBF"/>
    <w:rsid w:val="00BB1FD5"/>
    <w:rsid w:val="00BB29EA"/>
    <w:rsid w:val="00BB2D3A"/>
    <w:rsid w:val="00BB2E44"/>
    <w:rsid w:val="00BB3361"/>
    <w:rsid w:val="00BB3373"/>
    <w:rsid w:val="00BB3889"/>
    <w:rsid w:val="00BB3F6A"/>
    <w:rsid w:val="00BB4358"/>
    <w:rsid w:val="00BB46D1"/>
    <w:rsid w:val="00BB480C"/>
    <w:rsid w:val="00BB4946"/>
    <w:rsid w:val="00BB4EFC"/>
    <w:rsid w:val="00BB513F"/>
    <w:rsid w:val="00BB58EF"/>
    <w:rsid w:val="00BB5E71"/>
    <w:rsid w:val="00BB75B9"/>
    <w:rsid w:val="00BB7898"/>
    <w:rsid w:val="00BC0806"/>
    <w:rsid w:val="00BC0AFA"/>
    <w:rsid w:val="00BC11C4"/>
    <w:rsid w:val="00BC1A14"/>
    <w:rsid w:val="00BC2087"/>
    <w:rsid w:val="00BC24C2"/>
    <w:rsid w:val="00BC277A"/>
    <w:rsid w:val="00BC2C8A"/>
    <w:rsid w:val="00BC2E5F"/>
    <w:rsid w:val="00BC35A1"/>
    <w:rsid w:val="00BC388E"/>
    <w:rsid w:val="00BC3C83"/>
    <w:rsid w:val="00BC4084"/>
    <w:rsid w:val="00BC4874"/>
    <w:rsid w:val="00BC56B4"/>
    <w:rsid w:val="00BC591B"/>
    <w:rsid w:val="00BC6044"/>
    <w:rsid w:val="00BC61BC"/>
    <w:rsid w:val="00BC6640"/>
    <w:rsid w:val="00BC6AC5"/>
    <w:rsid w:val="00BC6C4F"/>
    <w:rsid w:val="00BC742B"/>
    <w:rsid w:val="00BC7918"/>
    <w:rsid w:val="00BD07F4"/>
    <w:rsid w:val="00BD0AFC"/>
    <w:rsid w:val="00BD0E32"/>
    <w:rsid w:val="00BD2972"/>
    <w:rsid w:val="00BD3332"/>
    <w:rsid w:val="00BD5ACF"/>
    <w:rsid w:val="00BD7181"/>
    <w:rsid w:val="00BD7237"/>
    <w:rsid w:val="00BD79B2"/>
    <w:rsid w:val="00BD79FB"/>
    <w:rsid w:val="00BE055C"/>
    <w:rsid w:val="00BE07C7"/>
    <w:rsid w:val="00BE0B59"/>
    <w:rsid w:val="00BE0E6E"/>
    <w:rsid w:val="00BE1512"/>
    <w:rsid w:val="00BE1A90"/>
    <w:rsid w:val="00BE1E46"/>
    <w:rsid w:val="00BE28FE"/>
    <w:rsid w:val="00BE3374"/>
    <w:rsid w:val="00BE362A"/>
    <w:rsid w:val="00BE3C0F"/>
    <w:rsid w:val="00BE3C39"/>
    <w:rsid w:val="00BE4030"/>
    <w:rsid w:val="00BE48DC"/>
    <w:rsid w:val="00BE4AD1"/>
    <w:rsid w:val="00BE4C77"/>
    <w:rsid w:val="00BE4EF4"/>
    <w:rsid w:val="00BE51F5"/>
    <w:rsid w:val="00BE5264"/>
    <w:rsid w:val="00BE530C"/>
    <w:rsid w:val="00BE54EB"/>
    <w:rsid w:val="00BE5701"/>
    <w:rsid w:val="00BE5895"/>
    <w:rsid w:val="00BE625E"/>
    <w:rsid w:val="00BE628A"/>
    <w:rsid w:val="00BE7843"/>
    <w:rsid w:val="00BE7E89"/>
    <w:rsid w:val="00BF0081"/>
    <w:rsid w:val="00BF0DDE"/>
    <w:rsid w:val="00BF182C"/>
    <w:rsid w:val="00BF1C32"/>
    <w:rsid w:val="00BF23D9"/>
    <w:rsid w:val="00BF24AC"/>
    <w:rsid w:val="00BF26C1"/>
    <w:rsid w:val="00BF2C39"/>
    <w:rsid w:val="00BF2FAA"/>
    <w:rsid w:val="00BF3BC5"/>
    <w:rsid w:val="00BF3C62"/>
    <w:rsid w:val="00BF4070"/>
    <w:rsid w:val="00BF4A59"/>
    <w:rsid w:val="00BF4FC8"/>
    <w:rsid w:val="00BF5022"/>
    <w:rsid w:val="00BF5D9D"/>
    <w:rsid w:val="00BF61E9"/>
    <w:rsid w:val="00BF64A3"/>
    <w:rsid w:val="00BF66BB"/>
    <w:rsid w:val="00BF677D"/>
    <w:rsid w:val="00BF6830"/>
    <w:rsid w:val="00BF6BD8"/>
    <w:rsid w:val="00BF7874"/>
    <w:rsid w:val="00BF7A60"/>
    <w:rsid w:val="00BF7EF0"/>
    <w:rsid w:val="00C00421"/>
    <w:rsid w:val="00C00DFA"/>
    <w:rsid w:val="00C01467"/>
    <w:rsid w:val="00C01F0D"/>
    <w:rsid w:val="00C02A51"/>
    <w:rsid w:val="00C02CB9"/>
    <w:rsid w:val="00C03343"/>
    <w:rsid w:val="00C0385F"/>
    <w:rsid w:val="00C03D3C"/>
    <w:rsid w:val="00C043BC"/>
    <w:rsid w:val="00C045E0"/>
    <w:rsid w:val="00C049ED"/>
    <w:rsid w:val="00C04B43"/>
    <w:rsid w:val="00C04FA3"/>
    <w:rsid w:val="00C05831"/>
    <w:rsid w:val="00C05B9F"/>
    <w:rsid w:val="00C06207"/>
    <w:rsid w:val="00C063EA"/>
    <w:rsid w:val="00C0656B"/>
    <w:rsid w:val="00C065D7"/>
    <w:rsid w:val="00C06BE2"/>
    <w:rsid w:val="00C06DD5"/>
    <w:rsid w:val="00C07113"/>
    <w:rsid w:val="00C07243"/>
    <w:rsid w:val="00C106B7"/>
    <w:rsid w:val="00C10B78"/>
    <w:rsid w:val="00C10B84"/>
    <w:rsid w:val="00C1105F"/>
    <w:rsid w:val="00C11870"/>
    <w:rsid w:val="00C11A15"/>
    <w:rsid w:val="00C12F87"/>
    <w:rsid w:val="00C146A7"/>
    <w:rsid w:val="00C148EE"/>
    <w:rsid w:val="00C14F80"/>
    <w:rsid w:val="00C15578"/>
    <w:rsid w:val="00C15D45"/>
    <w:rsid w:val="00C163B0"/>
    <w:rsid w:val="00C16F4C"/>
    <w:rsid w:val="00C179A2"/>
    <w:rsid w:val="00C17A45"/>
    <w:rsid w:val="00C17D7B"/>
    <w:rsid w:val="00C17E5B"/>
    <w:rsid w:val="00C20121"/>
    <w:rsid w:val="00C2021E"/>
    <w:rsid w:val="00C20609"/>
    <w:rsid w:val="00C20BDE"/>
    <w:rsid w:val="00C20D5D"/>
    <w:rsid w:val="00C213E1"/>
    <w:rsid w:val="00C22F02"/>
    <w:rsid w:val="00C2318D"/>
    <w:rsid w:val="00C23463"/>
    <w:rsid w:val="00C24910"/>
    <w:rsid w:val="00C24F65"/>
    <w:rsid w:val="00C2605D"/>
    <w:rsid w:val="00C26427"/>
    <w:rsid w:val="00C26792"/>
    <w:rsid w:val="00C2754B"/>
    <w:rsid w:val="00C3039B"/>
    <w:rsid w:val="00C30C5F"/>
    <w:rsid w:val="00C31B2E"/>
    <w:rsid w:val="00C32140"/>
    <w:rsid w:val="00C321B7"/>
    <w:rsid w:val="00C330D0"/>
    <w:rsid w:val="00C33564"/>
    <w:rsid w:val="00C33CBD"/>
    <w:rsid w:val="00C34218"/>
    <w:rsid w:val="00C34772"/>
    <w:rsid w:val="00C34B46"/>
    <w:rsid w:val="00C34E88"/>
    <w:rsid w:val="00C35180"/>
    <w:rsid w:val="00C35551"/>
    <w:rsid w:val="00C35670"/>
    <w:rsid w:val="00C37996"/>
    <w:rsid w:val="00C37BEB"/>
    <w:rsid w:val="00C37E47"/>
    <w:rsid w:val="00C4052A"/>
    <w:rsid w:val="00C40917"/>
    <w:rsid w:val="00C4149F"/>
    <w:rsid w:val="00C41A00"/>
    <w:rsid w:val="00C41B66"/>
    <w:rsid w:val="00C42A32"/>
    <w:rsid w:val="00C42EC4"/>
    <w:rsid w:val="00C43445"/>
    <w:rsid w:val="00C4354D"/>
    <w:rsid w:val="00C43595"/>
    <w:rsid w:val="00C4377F"/>
    <w:rsid w:val="00C43AE1"/>
    <w:rsid w:val="00C43C74"/>
    <w:rsid w:val="00C43D09"/>
    <w:rsid w:val="00C44ACF"/>
    <w:rsid w:val="00C4504A"/>
    <w:rsid w:val="00C459A3"/>
    <w:rsid w:val="00C45FE5"/>
    <w:rsid w:val="00C46406"/>
    <w:rsid w:val="00C46E92"/>
    <w:rsid w:val="00C4706C"/>
    <w:rsid w:val="00C47F70"/>
    <w:rsid w:val="00C5011A"/>
    <w:rsid w:val="00C5036F"/>
    <w:rsid w:val="00C5039C"/>
    <w:rsid w:val="00C50D2F"/>
    <w:rsid w:val="00C50FE3"/>
    <w:rsid w:val="00C51258"/>
    <w:rsid w:val="00C51272"/>
    <w:rsid w:val="00C519CC"/>
    <w:rsid w:val="00C51C4C"/>
    <w:rsid w:val="00C51E8B"/>
    <w:rsid w:val="00C52034"/>
    <w:rsid w:val="00C52222"/>
    <w:rsid w:val="00C52475"/>
    <w:rsid w:val="00C52B5E"/>
    <w:rsid w:val="00C53DA4"/>
    <w:rsid w:val="00C54AD9"/>
    <w:rsid w:val="00C54BF8"/>
    <w:rsid w:val="00C54E16"/>
    <w:rsid w:val="00C54FC1"/>
    <w:rsid w:val="00C55DA3"/>
    <w:rsid w:val="00C55E88"/>
    <w:rsid w:val="00C55F9C"/>
    <w:rsid w:val="00C56356"/>
    <w:rsid w:val="00C564CA"/>
    <w:rsid w:val="00C5659D"/>
    <w:rsid w:val="00C56818"/>
    <w:rsid w:val="00C56EAF"/>
    <w:rsid w:val="00C57FA1"/>
    <w:rsid w:val="00C610CF"/>
    <w:rsid w:val="00C61748"/>
    <w:rsid w:val="00C61D82"/>
    <w:rsid w:val="00C626FE"/>
    <w:rsid w:val="00C62776"/>
    <w:rsid w:val="00C62A90"/>
    <w:rsid w:val="00C62FD1"/>
    <w:rsid w:val="00C635FC"/>
    <w:rsid w:val="00C63847"/>
    <w:rsid w:val="00C63A94"/>
    <w:rsid w:val="00C63C97"/>
    <w:rsid w:val="00C63CB4"/>
    <w:rsid w:val="00C640D1"/>
    <w:rsid w:val="00C644B0"/>
    <w:rsid w:val="00C64BAC"/>
    <w:rsid w:val="00C64D30"/>
    <w:rsid w:val="00C6593B"/>
    <w:rsid w:val="00C65C5C"/>
    <w:rsid w:val="00C65F23"/>
    <w:rsid w:val="00C65F6E"/>
    <w:rsid w:val="00C66433"/>
    <w:rsid w:val="00C6643D"/>
    <w:rsid w:val="00C66582"/>
    <w:rsid w:val="00C66BB8"/>
    <w:rsid w:val="00C66C00"/>
    <w:rsid w:val="00C67011"/>
    <w:rsid w:val="00C67044"/>
    <w:rsid w:val="00C672AD"/>
    <w:rsid w:val="00C676B0"/>
    <w:rsid w:val="00C67CEE"/>
    <w:rsid w:val="00C705EE"/>
    <w:rsid w:val="00C706EA"/>
    <w:rsid w:val="00C70BDC"/>
    <w:rsid w:val="00C71D8B"/>
    <w:rsid w:val="00C72440"/>
    <w:rsid w:val="00C72A7E"/>
    <w:rsid w:val="00C72C44"/>
    <w:rsid w:val="00C72E86"/>
    <w:rsid w:val="00C73140"/>
    <w:rsid w:val="00C73269"/>
    <w:rsid w:val="00C73B93"/>
    <w:rsid w:val="00C73D0F"/>
    <w:rsid w:val="00C73F8C"/>
    <w:rsid w:val="00C74069"/>
    <w:rsid w:val="00C7457E"/>
    <w:rsid w:val="00C74B4C"/>
    <w:rsid w:val="00C75227"/>
    <w:rsid w:val="00C7682B"/>
    <w:rsid w:val="00C76968"/>
    <w:rsid w:val="00C76ECA"/>
    <w:rsid w:val="00C774FC"/>
    <w:rsid w:val="00C8088D"/>
    <w:rsid w:val="00C81A70"/>
    <w:rsid w:val="00C81E2E"/>
    <w:rsid w:val="00C82107"/>
    <w:rsid w:val="00C8259E"/>
    <w:rsid w:val="00C83614"/>
    <w:rsid w:val="00C83C3A"/>
    <w:rsid w:val="00C83D66"/>
    <w:rsid w:val="00C84113"/>
    <w:rsid w:val="00C84A07"/>
    <w:rsid w:val="00C8546C"/>
    <w:rsid w:val="00C85478"/>
    <w:rsid w:val="00C859EF"/>
    <w:rsid w:val="00C85A43"/>
    <w:rsid w:val="00C85CB6"/>
    <w:rsid w:val="00C85E99"/>
    <w:rsid w:val="00C864CB"/>
    <w:rsid w:val="00C873D5"/>
    <w:rsid w:val="00C87A71"/>
    <w:rsid w:val="00C903F5"/>
    <w:rsid w:val="00C90899"/>
    <w:rsid w:val="00C909DF"/>
    <w:rsid w:val="00C90F58"/>
    <w:rsid w:val="00C90F6B"/>
    <w:rsid w:val="00C91111"/>
    <w:rsid w:val="00C91669"/>
    <w:rsid w:val="00C91884"/>
    <w:rsid w:val="00C91A47"/>
    <w:rsid w:val="00C91FE8"/>
    <w:rsid w:val="00C9215F"/>
    <w:rsid w:val="00C9251B"/>
    <w:rsid w:val="00C92B3C"/>
    <w:rsid w:val="00C92F50"/>
    <w:rsid w:val="00C92FCA"/>
    <w:rsid w:val="00C9368F"/>
    <w:rsid w:val="00C9391C"/>
    <w:rsid w:val="00C93995"/>
    <w:rsid w:val="00C950C4"/>
    <w:rsid w:val="00C95592"/>
    <w:rsid w:val="00C95614"/>
    <w:rsid w:val="00C961A8"/>
    <w:rsid w:val="00C963E7"/>
    <w:rsid w:val="00C966D0"/>
    <w:rsid w:val="00C975EA"/>
    <w:rsid w:val="00C97C1A"/>
    <w:rsid w:val="00CA025A"/>
    <w:rsid w:val="00CA08A3"/>
    <w:rsid w:val="00CA107D"/>
    <w:rsid w:val="00CA1098"/>
    <w:rsid w:val="00CA1615"/>
    <w:rsid w:val="00CA195A"/>
    <w:rsid w:val="00CA1CFF"/>
    <w:rsid w:val="00CA27B5"/>
    <w:rsid w:val="00CA2D6D"/>
    <w:rsid w:val="00CA3913"/>
    <w:rsid w:val="00CA3DCD"/>
    <w:rsid w:val="00CA4E28"/>
    <w:rsid w:val="00CA4EB1"/>
    <w:rsid w:val="00CA5120"/>
    <w:rsid w:val="00CA58A3"/>
    <w:rsid w:val="00CA5A64"/>
    <w:rsid w:val="00CA5C22"/>
    <w:rsid w:val="00CA61E9"/>
    <w:rsid w:val="00CA6240"/>
    <w:rsid w:val="00CA6697"/>
    <w:rsid w:val="00CA6A62"/>
    <w:rsid w:val="00CA76DD"/>
    <w:rsid w:val="00CA7E77"/>
    <w:rsid w:val="00CB0C63"/>
    <w:rsid w:val="00CB1413"/>
    <w:rsid w:val="00CB19F7"/>
    <w:rsid w:val="00CB211C"/>
    <w:rsid w:val="00CB21DE"/>
    <w:rsid w:val="00CB29F8"/>
    <w:rsid w:val="00CB3509"/>
    <w:rsid w:val="00CB35CC"/>
    <w:rsid w:val="00CB3D7F"/>
    <w:rsid w:val="00CB4678"/>
    <w:rsid w:val="00CB4C48"/>
    <w:rsid w:val="00CB4FDF"/>
    <w:rsid w:val="00CB5F77"/>
    <w:rsid w:val="00CB7170"/>
    <w:rsid w:val="00CB763B"/>
    <w:rsid w:val="00CB7752"/>
    <w:rsid w:val="00CB7933"/>
    <w:rsid w:val="00CB7A88"/>
    <w:rsid w:val="00CB7BFD"/>
    <w:rsid w:val="00CB7CBC"/>
    <w:rsid w:val="00CC0566"/>
    <w:rsid w:val="00CC0FB9"/>
    <w:rsid w:val="00CC1963"/>
    <w:rsid w:val="00CC1A14"/>
    <w:rsid w:val="00CC1D91"/>
    <w:rsid w:val="00CC4065"/>
    <w:rsid w:val="00CC4304"/>
    <w:rsid w:val="00CC4376"/>
    <w:rsid w:val="00CC4900"/>
    <w:rsid w:val="00CC49B7"/>
    <w:rsid w:val="00CC4CFA"/>
    <w:rsid w:val="00CC4FCD"/>
    <w:rsid w:val="00CC5093"/>
    <w:rsid w:val="00CC52ED"/>
    <w:rsid w:val="00CC5462"/>
    <w:rsid w:val="00CC593B"/>
    <w:rsid w:val="00CC60DB"/>
    <w:rsid w:val="00CC6875"/>
    <w:rsid w:val="00CC6AF3"/>
    <w:rsid w:val="00CC6F4E"/>
    <w:rsid w:val="00CC71B7"/>
    <w:rsid w:val="00CC7270"/>
    <w:rsid w:val="00CC765B"/>
    <w:rsid w:val="00CD02FF"/>
    <w:rsid w:val="00CD03D9"/>
    <w:rsid w:val="00CD0487"/>
    <w:rsid w:val="00CD0D35"/>
    <w:rsid w:val="00CD13F6"/>
    <w:rsid w:val="00CD144B"/>
    <w:rsid w:val="00CD17F5"/>
    <w:rsid w:val="00CD18EC"/>
    <w:rsid w:val="00CD2B92"/>
    <w:rsid w:val="00CD2F83"/>
    <w:rsid w:val="00CD32C2"/>
    <w:rsid w:val="00CD33A0"/>
    <w:rsid w:val="00CD3753"/>
    <w:rsid w:val="00CD377C"/>
    <w:rsid w:val="00CD43AB"/>
    <w:rsid w:val="00CD473F"/>
    <w:rsid w:val="00CD54A9"/>
    <w:rsid w:val="00CD62E6"/>
    <w:rsid w:val="00CD789C"/>
    <w:rsid w:val="00CE09AB"/>
    <w:rsid w:val="00CE0D29"/>
    <w:rsid w:val="00CE0E15"/>
    <w:rsid w:val="00CE111A"/>
    <w:rsid w:val="00CE1478"/>
    <w:rsid w:val="00CE159B"/>
    <w:rsid w:val="00CE1EB7"/>
    <w:rsid w:val="00CE22AE"/>
    <w:rsid w:val="00CE3C0E"/>
    <w:rsid w:val="00CE3C93"/>
    <w:rsid w:val="00CE3C96"/>
    <w:rsid w:val="00CE434E"/>
    <w:rsid w:val="00CE47EF"/>
    <w:rsid w:val="00CE4E57"/>
    <w:rsid w:val="00CE604F"/>
    <w:rsid w:val="00CE65D9"/>
    <w:rsid w:val="00CE6C66"/>
    <w:rsid w:val="00CE7254"/>
    <w:rsid w:val="00CE74D2"/>
    <w:rsid w:val="00CE7724"/>
    <w:rsid w:val="00CE7A41"/>
    <w:rsid w:val="00CF037A"/>
    <w:rsid w:val="00CF0892"/>
    <w:rsid w:val="00CF0BDB"/>
    <w:rsid w:val="00CF0BF1"/>
    <w:rsid w:val="00CF111B"/>
    <w:rsid w:val="00CF1345"/>
    <w:rsid w:val="00CF13BD"/>
    <w:rsid w:val="00CF171F"/>
    <w:rsid w:val="00CF19B6"/>
    <w:rsid w:val="00CF2338"/>
    <w:rsid w:val="00CF23FD"/>
    <w:rsid w:val="00CF2CE7"/>
    <w:rsid w:val="00CF2E43"/>
    <w:rsid w:val="00CF2EAB"/>
    <w:rsid w:val="00CF2F90"/>
    <w:rsid w:val="00CF41A1"/>
    <w:rsid w:val="00CF41CB"/>
    <w:rsid w:val="00CF48B0"/>
    <w:rsid w:val="00CF4A11"/>
    <w:rsid w:val="00CF50D5"/>
    <w:rsid w:val="00CF55AA"/>
    <w:rsid w:val="00CF60F0"/>
    <w:rsid w:val="00CF615E"/>
    <w:rsid w:val="00CF6274"/>
    <w:rsid w:val="00CF6930"/>
    <w:rsid w:val="00CF6E14"/>
    <w:rsid w:val="00CF7187"/>
    <w:rsid w:val="00CF7515"/>
    <w:rsid w:val="00CF7E56"/>
    <w:rsid w:val="00CF7F0B"/>
    <w:rsid w:val="00D002B8"/>
    <w:rsid w:val="00D00501"/>
    <w:rsid w:val="00D00CAD"/>
    <w:rsid w:val="00D01A7F"/>
    <w:rsid w:val="00D01BAD"/>
    <w:rsid w:val="00D01CAB"/>
    <w:rsid w:val="00D01D2E"/>
    <w:rsid w:val="00D020D5"/>
    <w:rsid w:val="00D0270D"/>
    <w:rsid w:val="00D02A95"/>
    <w:rsid w:val="00D02DE5"/>
    <w:rsid w:val="00D03299"/>
    <w:rsid w:val="00D033AD"/>
    <w:rsid w:val="00D03C04"/>
    <w:rsid w:val="00D0448F"/>
    <w:rsid w:val="00D0460A"/>
    <w:rsid w:val="00D04E56"/>
    <w:rsid w:val="00D04F2C"/>
    <w:rsid w:val="00D05DE9"/>
    <w:rsid w:val="00D05E88"/>
    <w:rsid w:val="00D06007"/>
    <w:rsid w:val="00D062BC"/>
    <w:rsid w:val="00D10649"/>
    <w:rsid w:val="00D10CE1"/>
    <w:rsid w:val="00D10EA4"/>
    <w:rsid w:val="00D10EBB"/>
    <w:rsid w:val="00D11425"/>
    <w:rsid w:val="00D127B6"/>
    <w:rsid w:val="00D12E18"/>
    <w:rsid w:val="00D13BA1"/>
    <w:rsid w:val="00D13D8F"/>
    <w:rsid w:val="00D1434E"/>
    <w:rsid w:val="00D1445D"/>
    <w:rsid w:val="00D14519"/>
    <w:rsid w:val="00D1485E"/>
    <w:rsid w:val="00D15A24"/>
    <w:rsid w:val="00D15E0B"/>
    <w:rsid w:val="00D1639E"/>
    <w:rsid w:val="00D16AF1"/>
    <w:rsid w:val="00D17A15"/>
    <w:rsid w:val="00D17DC3"/>
    <w:rsid w:val="00D20AE8"/>
    <w:rsid w:val="00D20BA4"/>
    <w:rsid w:val="00D214DA"/>
    <w:rsid w:val="00D219D1"/>
    <w:rsid w:val="00D21F98"/>
    <w:rsid w:val="00D225B6"/>
    <w:rsid w:val="00D225B9"/>
    <w:rsid w:val="00D22F8D"/>
    <w:rsid w:val="00D2322A"/>
    <w:rsid w:val="00D232FD"/>
    <w:rsid w:val="00D239B8"/>
    <w:rsid w:val="00D24128"/>
    <w:rsid w:val="00D24506"/>
    <w:rsid w:val="00D24E03"/>
    <w:rsid w:val="00D25A90"/>
    <w:rsid w:val="00D26147"/>
    <w:rsid w:val="00D26201"/>
    <w:rsid w:val="00D2759C"/>
    <w:rsid w:val="00D305A4"/>
    <w:rsid w:val="00D308CB"/>
    <w:rsid w:val="00D30BAE"/>
    <w:rsid w:val="00D30BEE"/>
    <w:rsid w:val="00D30D45"/>
    <w:rsid w:val="00D31170"/>
    <w:rsid w:val="00D31250"/>
    <w:rsid w:val="00D33150"/>
    <w:rsid w:val="00D335E0"/>
    <w:rsid w:val="00D34348"/>
    <w:rsid w:val="00D34C37"/>
    <w:rsid w:val="00D354F6"/>
    <w:rsid w:val="00D35AD6"/>
    <w:rsid w:val="00D35D3E"/>
    <w:rsid w:val="00D3640A"/>
    <w:rsid w:val="00D3643E"/>
    <w:rsid w:val="00D372F6"/>
    <w:rsid w:val="00D3783B"/>
    <w:rsid w:val="00D406D5"/>
    <w:rsid w:val="00D40E44"/>
    <w:rsid w:val="00D42333"/>
    <w:rsid w:val="00D426D6"/>
    <w:rsid w:val="00D432D4"/>
    <w:rsid w:val="00D4383F"/>
    <w:rsid w:val="00D43C1F"/>
    <w:rsid w:val="00D43E97"/>
    <w:rsid w:val="00D44074"/>
    <w:rsid w:val="00D44588"/>
    <w:rsid w:val="00D44C6B"/>
    <w:rsid w:val="00D44F86"/>
    <w:rsid w:val="00D45CFC"/>
    <w:rsid w:val="00D45F10"/>
    <w:rsid w:val="00D46118"/>
    <w:rsid w:val="00D465E9"/>
    <w:rsid w:val="00D46BCF"/>
    <w:rsid w:val="00D46E09"/>
    <w:rsid w:val="00D46F5F"/>
    <w:rsid w:val="00D471C2"/>
    <w:rsid w:val="00D475DD"/>
    <w:rsid w:val="00D47688"/>
    <w:rsid w:val="00D47720"/>
    <w:rsid w:val="00D50414"/>
    <w:rsid w:val="00D50E3E"/>
    <w:rsid w:val="00D51116"/>
    <w:rsid w:val="00D51A0B"/>
    <w:rsid w:val="00D52081"/>
    <w:rsid w:val="00D52829"/>
    <w:rsid w:val="00D531CC"/>
    <w:rsid w:val="00D53221"/>
    <w:rsid w:val="00D533DA"/>
    <w:rsid w:val="00D5385D"/>
    <w:rsid w:val="00D54463"/>
    <w:rsid w:val="00D54BB9"/>
    <w:rsid w:val="00D550F2"/>
    <w:rsid w:val="00D5677C"/>
    <w:rsid w:val="00D56D44"/>
    <w:rsid w:val="00D573A1"/>
    <w:rsid w:val="00D57511"/>
    <w:rsid w:val="00D57638"/>
    <w:rsid w:val="00D57698"/>
    <w:rsid w:val="00D60395"/>
    <w:rsid w:val="00D605DB"/>
    <w:rsid w:val="00D60642"/>
    <w:rsid w:val="00D6074C"/>
    <w:rsid w:val="00D60B0D"/>
    <w:rsid w:val="00D625C4"/>
    <w:rsid w:val="00D62688"/>
    <w:rsid w:val="00D63CC4"/>
    <w:rsid w:val="00D63CF1"/>
    <w:rsid w:val="00D646E8"/>
    <w:rsid w:val="00D64775"/>
    <w:rsid w:val="00D662AF"/>
    <w:rsid w:val="00D667A4"/>
    <w:rsid w:val="00D66D5F"/>
    <w:rsid w:val="00D66F6A"/>
    <w:rsid w:val="00D70CC3"/>
    <w:rsid w:val="00D714A2"/>
    <w:rsid w:val="00D716EA"/>
    <w:rsid w:val="00D71F81"/>
    <w:rsid w:val="00D71FAB"/>
    <w:rsid w:val="00D71FE2"/>
    <w:rsid w:val="00D72DD9"/>
    <w:rsid w:val="00D732D6"/>
    <w:rsid w:val="00D743C0"/>
    <w:rsid w:val="00D74424"/>
    <w:rsid w:val="00D745C6"/>
    <w:rsid w:val="00D74AF3"/>
    <w:rsid w:val="00D74C0B"/>
    <w:rsid w:val="00D74D51"/>
    <w:rsid w:val="00D74ED3"/>
    <w:rsid w:val="00D7548D"/>
    <w:rsid w:val="00D75735"/>
    <w:rsid w:val="00D76635"/>
    <w:rsid w:val="00D7667F"/>
    <w:rsid w:val="00D779C1"/>
    <w:rsid w:val="00D77A63"/>
    <w:rsid w:val="00D77DCA"/>
    <w:rsid w:val="00D804F4"/>
    <w:rsid w:val="00D80E56"/>
    <w:rsid w:val="00D80E77"/>
    <w:rsid w:val="00D81BC3"/>
    <w:rsid w:val="00D82154"/>
    <w:rsid w:val="00D82CB9"/>
    <w:rsid w:val="00D8332B"/>
    <w:rsid w:val="00D83334"/>
    <w:rsid w:val="00D8337B"/>
    <w:rsid w:val="00D843D7"/>
    <w:rsid w:val="00D84607"/>
    <w:rsid w:val="00D8482A"/>
    <w:rsid w:val="00D8503D"/>
    <w:rsid w:val="00D8527E"/>
    <w:rsid w:val="00D858ED"/>
    <w:rsid w:val="00D85E1F"/>
    <w:rsid w:val="00D860C5"/>
    <w:rsid w:val="00D861FD"/>
    <w:rsid w:val="00D864F8"/>
    <w:rsid w:val="00D86E32"/>
    <w:rsid w:val="00D87194"/>
    <w:rsid w:val="00D87E16"/>
    <w:rsid w:val="00D90216"/>
    <w:rsid w:val="00D9043F"/>
    <w:rsid w:val="00D906D5"/>
    <w:rsid w:val="00D90CD7"/>
    <w:rsid w:val="00D91708"/>
    <w:rsid w:val="00D92A27"/>
    <w:rsid w:val="00D92F67"/>
    <w:rsid w:val="00D93189"/>
    <w:rsid w:val="00D93871"/>
    <w:rsid w:val="00D93B8F"/>
    <w:rsid w:val="00D94CE5"/>
    <w:rsid w:val="00D953CA"/>
    <w:rsid w:val="00D958C5"/>
    <w:rsid w:val="00D95A0C"/>
    <w:rsid w:val="00D95ADF"/>
    <w:rsid w:val="00D95CE5"/>
    <w:rsid w:val="00D95D75"/>
    <w:rsid w:val="00D960CB"/>
    <w:rsid w:val="00D960F5"/>
    <w:rsid w:val="00D96766"/>
    <w:rsid w:val="00D96A83"/>
    <w:rsid w:val="00D97013"/>
    <w:rsid w:val="00D97641"/>
    <w:rsid w:val="00DA01E5"/>
    <w:rsid w:val="00DA01E9"/>
    <w:rsid w:val="00DA0484"/>
    <w:rsid w:val="00DA0A36"/>
    <w:rsid w:val="00DA0BB2"/>
    <w:rsid w:val="00DA0CC2"/>
    <w:rsid w:val="00DA0D6A"/>
    <w:rsid w:val="00DA116C"/>
    <w:rsid w:val="00DA13C4"/>
    <w:rsid w:val="00DA1667"/>
    <w:rsid w:val="00DA1C41"/>
    <w:rsid w:val="00DA24EA"/>
    <w:rsid w:val="00DA2506"/>
    <w:rsid w:val="00DA2AF3"/>
    <w:rsid w:val="00DA2C28"/>
    <w:rsid w:val="00DA2E2E"/>
    <w:rsid w:val="00DA2FB4"/>
    <w:rsid w:val="00DA354C"/>
    <w:rsid w:val="00DA3694"/>
    <w:rsid w:val="00DA3CBE"/>
    <w:rsid w:val="00DA432E"/>
    <w:rsid w:val="00DA46EE"/>
    <w:rsid w:val="00DA496C"/>
    <w:rsid w:val="00DA4C83"/>
    <w:rsid w:val="00DA5036"/>
    <w:rsid w:val="00DA5EE4"/>
    <w:rsid w:val="00DA6710"/>
    <w:rsid w:val="00DA6CAA"/>
    <w:rsid w:val="00DA7072"/>
    <w:rsid w:val="00DA7280"/>
    <w:rsid w:val="00DA7771"/>
    <w:rsid w:val="00DB0145"/>
    <w:rsid w:val="00DB0623"/>
    <w:rsid w:val="00DB2508"/>
    <w:rsid w:val="00DB2D11"/>
    <w:rsid w:val="00DB2D8B"/>
    <w:rsid w:val="00DB3043"/>
    <w:rsid w:val="00DB331E"/>
    <w:rsid w:val="00DB3682"/>
    <w:rsid w:val="00DB3CF5"/>
    <w:rsid w:val="00DB413B"/>
    <w:rsid w:val="00DB41DD"/>
    <w:rsid w:val="00DB4CF4"/>
    <w:rsid w:val="00DB4E18"/>
    <w:rsid w:val="00DB50A6"/>
    <w:rsid w:val="00DB5296"/>
    <w:rsid w:val="00DB5C16"/>
    <w:rsid w:val="00DB6245"/>
    <w:rsid w:val="00DB64CC"/>
    <w:rsid w:val="00DB69E3"/>
    <w:rsid w:val="00DB6EE2"/>
    <w:rsid w:val="00DB6F78"/>
    <w:rsid w:val="00DB72E6"/>
    <w:rsid w:val="00DB7AE4"/>
    <w:rsid w:val="00DC000A"/>
    <w:rsid w:val="00DC0AD9"/>
    <w:rsid w:val="00DC1077"/>
    <w:rsid w:val="00DC11DF"/>
    <w:rsid w:val="00DC1386"/>
    <w:rsid w:val="00DC21FC"/>
    <w:rsid w:val="00DC298A"/>
    <w:rsid w:val="00DC3096"/>
    <w:rsid w:val="00DC3C76"/>
    <w:rsid w:val="00DC4253"/>
    <w:rsid w:val="00DC45A2"/>
    <w:rsid w:val="00DC476C"/>
    <w:rsid w:val="00DC4CFF"/>
    <w:rsid w:val="00DC4EC3"/>
    <w:rsid w:val="00DC5145"/>
    <w:rsid w:val="00DC521F"/>
    <w:rsid w:val="00DC5C97"/>
    <w:rsid w:val="00DC65D4"/>
    <w:rsid w:val="00DC6A68"/>
    <w:rsid w:val="00DC6C97"/>
    <w:rsid w:val="00DC7A16"/>
    <w:rsid w:val="00DC7D93"/>
    <w:rsid w:val="00DD01EA"/>
    <w:rsid w:val="00DD01FE"/>
    <w:rsid w:val="00DD0665"/>
    <w:rsid w:val="00DD0CA9"/>
    <w:rsid w:val="00DD1A85"/>
    <w:rsid w:val="00DD2197"/>
    <w:rsid w:val="00DD254A"/>
    <w:rsid w:val="00DD27DD"/>
    <w:rsid w:val="00DD2894"/>
    <w:rsid w:val="00DD295E"/>
    <w:rsid w:val="00DD2D1C"/>
    <w:rsid w:val="00DD3316"/>
    <w:rsid w:val="00DD380F"/>
    <w:rsid w:val="00DD38ED"/>
    <w:rsid w:val="00DD3B97"/>
    <w:rsid w:val="00DD40B2"/>
    <w:rsid w:val="00DD481C"/>
    <w:rsid w:val="00DD5825"/>
    <w:rsid w:val="00DD63D7"/>
    <w:rsid w:val="00DD6895"/>
    <w:rsid w:val="00DD6FCC"/>
    <w:rsid w:val="00DD7210"/>
    <w:rsid w:val="00DD786D"/>
    <w:rsid w:val="00DD7C27"/>
    <w:rsid w:val="00DD7DC6"/>
    <w:rsid w:val="00DE0901"/>
    <w:rsid w:val="00DE0ABE"/>
    <w:rsid w:val="00DE0F77"/>
    <w:rsid w:val="00DE15C2"/>
    <w:rsid w:val="00DE1927"/>
    <w:rsid w:val="00DE1AD5"/>
    <w:rsid w:val="00DE21A1"/>
    <w:rsid w:val="00DE22C7"/>
    <w:rsid w:val="00DE2A57"/>
    <w:rsid w:val="00DE407D"/>
    <w:rsid w:val="00DE4508"/>
    <w:rsid w:val="00DE45AC"/>
    <w:rsid w:val="00DE4694"/>
    <w:rsid w:val="00DE4CF6"/>
    <w:rsid w:val="00DE4DA7"/>
    <w:rsid w:val="00DE58EF"/>
    <w:rsid w:val="00DE598C"/>
    <w:rsid w:val="00DE5BBF"/>
    <w:rsid w:val="00DE60DB"/>
    <w:rsid w:val="00DE6159"/>
    <w:rsid w:val="00DE6187"/>
    <w:rsid w:val="00DE66A6"/>
    <w:rsid w:val="00DE6E27"/>
    <w:rsid w:val="00DE72B1"/>
    <w:rsid w:val="00DE761A"/>
    <w:rsid w:val="00DE7862"/>
    <w:rsid w:val="00DE7AFA"/>
    <w:rsid w:val="00DE7C3B"/>
    <w:rsid w:val="00DE7C69"/>
    <w:rsid w:val="00DF091F"/>
    <w:rsid w:val="00DF12CD"/>
    <w:rsid w:val="00DF1A01"/>
    <w:rsid w:val="00DF2334"/>
    <w:rsid w:val="00DF29F4"/>
    <w:rsid w:val="00DF2A24"/>
    <w:rsid w:val="00DF2B00"/>
    <w:rsid w:val="00DF342D"/>
    <w:rsid w:val="00DF34A2"/>
    <w:rsid w:val="00DF3658"/>
    <w:rsid w:val="00DF3DBC"/>
    <w:rsid w:val="00DF3E5F"/>
    <w:rsid w:val="00DF41AC"/>
    <w:rsid w:val="00DF479A"/>
    <w:rsid w:val="00DF4B1E"/>
    <w:rsid w:val="00DF4E87"/>
    <w:rsid w:val="00DF5335"/>
    <w:rsid w:val="00DF5C98"/>
    <w:rsid w:val="00DF5D16"/>
    <w:rsid w:val="00DF646B"/>
    <w:rsid w:val="00DF6C93"/>
    <w:rsid w:val="00DF6DA6"/>
    <w:rsid w:val="00DF6E7C"/>
    <w:rsid w:val="00DF75A3"/>
    <w:rsid w:val="00DF770E"/>
    <w:rsid w:val="00DF7A01"/>
    <w:rsid w:val="00DF7ADC"/>
    <w:rsid w:val="00E006C9"/>
    <w:rsid w:val="00E009DA"/>
    <w:rsid w:val="00E00B93"/>
    <w:rsid w:val="00E01085"/>
    <w:rsid w:val="00E01209"/>
    <w:rsid w:val="00E01707"/>
    <w:rsid w:val="00E0179E"/>
    <w:rsid w:val="00E0192E"/>
    <w:rsid w:val="00E01B75"/>
    <w:rsid w:val="00E01D3F"/>
    <w:rsid w:val="00E01DDA"/>
    <w:rsid w:val="00E02D36"/>
    <w:rsid w:val="00E032BC"/>
    <w:rsid w:val="00E03368"/>
    <w:rsid w:val="00E034A4"/>
    <w:rsid w:val="00E04240"/>
    <w:rsid w:val="00E0478E"/>
    <w:rsid w:val="00E0547F"/>
    <w:rsid w:val="00E057FC"/>
    <w:rsid w:val="00E05BDF"/>
    <w:rsid w:val="00E05D57"/>
    <w:rsid w:val="00E06554"/>
    <w:rsid w:val="00E065F6"/>
    <w:rsid w:val="00E070F1"/>
    <w:rsid w:val="00E07325"/>
    <w:rsid w:val="00E07D1C"/>
    <w:rsid w:val="00E07E0D"/>
    <w:rsid w:val="00E107EE"/>
    <w:rsid w:val="00E10C1E"/>
    <w:rsid w:val="00E10F63"/>
    <w:rsid w:val="00E10F7F"/>
    <w:rsid w:val="00E11142"/>
    <w:rsid w:val="00E1146B"/>
    <w:rsid w:val="00E119A6"/>
    <w:rsid w:val="00E12A31"/>
    <w:rsid w:val="00E12B11"/>
    <w:rsid w:val="00E12B17"/>
    <w:rsid w:val="00E12CE2"/>
    <w:rsid w:val="00E12DC5"/>
    <w:rsid w:val="00E13551"/>
    <w:rsid w:val="00E13EDD"/>
    <w:rsid w:val="00E1407A"/>
    <w:rsid w:val="00E1495C"/>
    <w:rsid w:val="00E149A6"/>
    <w:rsid w:val="00E14A79"/>
    <w:rsid w:val="00E14F22"/>
    <w:rsid w:val="00E15026"/>
    <w:rsid w:val="00E15C20"/>
    <w:rsid w:val="00E1625A"/>
    <w:rsid w:val="00E16986"/>
    <w:rsid w:val="00E16D4F"/>
    <w:rsid w:val="00E17716"/>
    <w:rsid w:val="00E177D8"/>
    <w:rsid w:val="00E17902"/>
    <w:rsid w:val="00E17992"/>
    <w:rsid w:val="00E20141"/>
    <w:rsid w:val="00E20219"/>
    <w:rsid w:val="00E2063B"/>
    <w:rsid w:val="00E20E8B"/>
    <w:rsid w:val="00E211C9"/>
    <w:rsid w:val="00E214C0"/>
    <w:rsid w:val="00E216EE"/>
    <w:rsid w:val="00E22018"/>
    <w:rsid w:val="00E22413"/>
    <w:rsid w:val="00E22DDA"/>
    <w:rsid w:val="00E23BD6"/>
    <w:rsid w:val="00E24DB1"/>
    <w:rsid w:val="00E25141"/>
    <w:rsid w:val="00E25179"/>
    <w:rsid w:val="00E251C3"/>
    <w:rsid w:val="00E25258"/>
    <w:rsid w:val="00E253AB"/>
    <w:rsid w:val="00E2542F"/>
    <w:rsid w:val="00E2639F"/>
    <w:rsid w:val="00E26C50"/>
    <w:rsid w:val="00E26CF9"/>
    <w:rsid w:val="00E2718C"/>
    <w:rsid w:val="00E276E7"/>
    <w:rsid w:val="00E30C8D"/>
    <w:rsid w:val="00E31065"/>
    <w:rsid w:val="00E31F05"/>
    <w:rsid w:val="00E32B51"/>
    <w:rsid w:val="00E32BD3"/>
    <w:rsid w:val="00E3319D"/>
    <w:rsid w:val="00E33849"/>
    <w:rsid w:val="00E33E84"/>
    <w:rsid w:val="00E34B83"/>
    <w:rsid w:val="00E34C15"/>
    <w:rsid w:val="00E351F3"/>
    <w:rsid w:val="00E352D2"/>
    <w:rsid w:val="00E35581"/>
    <w:rsid w:val="00E35BBB"/>
    <w:rsid w:val="00E35BF5"/>
    <w:rsid w:val="00E35FD0"/>
    <w:rsid w:val="00E36775"/>
    <w:rsid w:val="00E36782"/>
    <w:rsid w:val="00E36991"/>
    <w:rsid w:val="00E36F64"/>
    <w:rsid w:val="00E370AE"/>
    <w:rsid w:val="00E37834"/>
    <w:rsid w:val="00E400A2"/>
    <w:rsid w:val="00E40961"/>
    <w:rsid w:val="00E411BE"/>
    <w:rsid w:val="00E41A68"/>
    <w:rsid w:val="00E41E0D"/>
    <w:rsid w:val="00E42E0C"/>
    <w:rsid w:val="00E42FB2"/>
    <w:rsid w:val="00E4334F"/>
    <w:rsid w:val="00E435D1"/>
    <w:rsid w:val="00E43D1E"/>
    <w:rsid w:val="00E44496"/>
    <w:rsid w:val="00E44810"/>
    <w:rsid w:val="00E4486D"/>
    <w:rsid w:val="00E4520B"/>
    <w:rsid w:val="00E4524C"/>
    <w:rsid w:val="00E456F1"/>
    <w:rsid w:val="00E45DFD"/>
    <w:rsid w:val="00E46059"/>
    <w:rsid w:val="00E4632C"/>
    <w:rsid w:val="00E46514"/>
    <w:rsid w:val="00E469A6"/>
    <w:rsid w:val="00E46B41"/>
    <w:rsid w:val="00E47AD8"/>
    <w:rsid w:val="00E50A38"/>
    <w:rsid w:val="00E50F8C"/>
    <w:rsid w:val="00E511CC"/>
    <w:rsid w:val="00E514C4"/>
    <w:rsid w:val="00E515E0"/>
    <w:rsid w:val="00E5161F"/>
    <w:rsid w:val="00E53136"/>
    <w:rsid w:val="00E536BB"/>
    <w:rsid w:val="00E53BE3"/>
    <w:rsid w:val="00E53F9C"/>
    <w:rsid w:val="00E54413"/>
    <w:rsid w:val="00E54454"/>
    <w:rsid w:val="00E54BE5"/>
    <w:rsid w:val="00E54E31"/>
    <w:rsid w:val="00E55951"/>
    <w:rsid w:val="00E55956"/>
    <w:rsid w:val="00E564AB"/>
    <w:rsid w:val="00E56826"/>
    <w:rsid w:val="00E56AC3"/>
    <w:rsid w:val="00E56E3A"/>
    <w:rsid w:val="00E5763A"/>
    <w:rsid w:val="00E576A4"/>
    <w:rsid w:val="00E579AF"/>
    <w:rsid w:val="00E605CB"/>
    <w:rsid w:val="00E60791"/>
    <w:rsid w:val="00E60826"/>
    <w:rsid w:val="00E60F94"/>
    <w:rsid w:val="00E61469"/>
    <w:rsid w:val="00E61A5C"/>
    <w:rsid w:val="00E61DAF"/>
    <w:rsid w:val="00E61EA6"/>
    <w:rsid w:val="00E62389"/>
    <w:rsid w:val="00E63397"/>
    <w:rsid w:val="00E63989"/>
    <w:rsid w:val="00E63B89"/>
    <w:rsid w:val="00E63E6A"/>
    <w:rsid w:val="00E640C4"/>
    <w:rsid w:val="00E64448"/>
    <w:rsid w:val="00E64DF7"/>
    <w:rsid w:val="00E64FE2"/>
    <w:rsid w:val="00E655F0"/>
    <w:rsid w:val="00E65A9A"/>
    <w:rsid w:val="00E667A9"/>
    <w:rsid w:val="00E66DE8"/>
    <w:rsid w:val="00E673FB"/>
    <w:rsid w:val="00E674B4"/>
    <w:rsid w:val="00E67AF6"/>
    <w:rsid w:val="00E67C47"/>
    <w:rsid w:val="00E67C4C"/>
    <w:rsid w:val="00E67FA6"/>
    <w:rsid w:val="00E700C0"/>
    <w:rsid w:val="00E703AD"/>
    <w:rsid w:val="00E70BEE"/>
    <w:rsid w:val="00E71CB7"/>
    <w:rsid w:val="00E72199"/>
    <w:rsid w:val="00E721E9"/>
    <w:rsid w:val="00E72758"/>
    <w:rsid w:val="00E7335C"/>
    <w:rsid w:val="00E736CD"/>
    <w:rsid w:val="00E73B6F"/>
    <w:rsid w:val="00E73CB1"/>
    <w:rsid w:val="00E742A9"/>
    <w:rsid w:val="00E750E5"/>
    <w:rsid w:val="00E75463"/>
    <w:rsid w:val="00E7631F"/>
    <w:rsid w:val="00E76A63"/>
    <w:rsid w:val="00E76B67"/>
    <w:rsid w:val="00E8084B"/>
    <w:rsid w:val="00E80D62"/>
    <w:rsid w:val="00E80E31"/>
    <w:rsid w:val="00E81143"/>
    <w:rsid w:val="00E81298"/>
    <w:rsid w:val="00E8129C"/>
    <w:rsid w:val="00E81440"/>
    <w:rsid w:val="00E816EE"/>
    <w:rsid w:val="00E82249"/>
    <w:rsid w:val="00E823CE"/>
    <w:rsid w:val="00E82566"/>
    <w:rsid w:val="00E82860"/>
    <w:rsid w:val="00E82B6C"/>
    <w:rsid w:val="00E82BDE"/>
    <w:rsid w:val="00E82DE1"/>
    <w:rsid w:val="00E82DF7"/>
    <w:rsid w:val="00E83832"/>
    <w:rsid w:val="00E839B3"/>
    <w:rsid w:val="00E842F5"/>
    <w:rsid w:val="00E8451F"/>
    <w:rsid w:val="00E8539B"/>
    <w:rsid w:val="00E859F6"/>
    <w:rsid w:val="00E85AE1"/>
    <w:rsid w:val="00E85BCE"/>
    <w:rsid w:val="00E85BE8"/>
    <w:rsid w:val="00E85E6A"/>
    <w:rsid w:val="00E8643E"/>
    <w:rsid w:val="00E871B6"/>
    <w:rsid w:val="00E874AD"/>
    <w:rsid w:val="00E87849"/>
    <w:rsid w:val="00E87D23"/>
    <w:rsid w:val="00E87D43"/>
    <w:rsid w:val="00E87D8D"/>
    <w:rsid w:val="00E87DB3"/>
    <w:rsid w:val="00E9038E"/>
    <w:rsid w:val="00E90E87"/>
    <w:rsid w:val="00E910F9"/>
    <w:rsid w:val="00E9113B"/>
    <w:rsid w:val="00E91302"/>
    <w:rsid w:val="00E91938"/>
    <w:rsid w:val="00E91AD2"/>
    <w:rsid w:val="00E91FB1"/>
    <w:rsid w:val="00E9272C"/>
    <w:rsid w:val="00E933A8"/>
    <w:rsid w:val="00E9377F"/>
    <w:rsid w:val="00E94DD4"/>
    <w:rsid w:val="00E9563D"/>
    <w:rsid w:val="00E95EA9"/>
    <w:rsid w:val="00E963C6"/>
    <w:rsid w:val="00E96793"/>
    <w:rsid w:val="00E96C22"/>
    <w:rsid w:val="00E97866"/>
    <w:rsid w:val="00E97873"/>
    <w:rsid w:val="00EA0739"/>
    <w:rsid w:val="00EA0D78"/>
    <w:rsid w:val="00EA10ED"/>
    <w:rsid w:val="00EA1127"/>
    <w:rsid w:val="00EA168B"/>
    <w:rsid w:val="00EA1FA4"/>
    <w:rsid w:val="00EA22CF"/>
    <w:rsid w:val="00EA22EA"/>
    <w:rsid w:val="00EA2AA6"/>
    <w:rsid w:val="00EA2C2C"/>
    <w:rsid w:val="00EA2C47"/>
    <w:rsid w:val="00EA2D6F"/>
    <w:rsid w:val="00EA2EB9"/>
    <w:rsid w:val="00EA300A"/>
    <w:rsid w:val="00EA38E2"/>
    <w:rsid w:val="00EA399C"/>
    <w:rsid w:val="00EA3D61"/>
    <w:rsid w:val="00EA3EB8"/>
    <w:rsid w:val="00EA413F"/>
    <w:rsid w:val="00EA4724"/>
    <w:rsid w:val="00EA489C"/>
    <w:rsid w:val="00EA53D9"/>
    <w:rsid w:val="00EA54AA"/>
    <w:rsid w:val="00EA5689"/>
    <w:rsid w:val="00EA5CDC"/>
    <w:rsid w:val="00EA62F2"/>
    <w:rsid w:val="00EA6C6C"/>
    <w:rsid w:val="00EA7109"/>
    <w:rsid w:val="00EA7432"/>
    <w:rsid w:val="00EA751E"/>
    <w:rsid w:val="00EA7607"/>
    <w:rsid w:val="00EA7EDE"/>
    <w:rsid w:val="00EA7FA7"/>
    <w:rsid w:val="00EB086D"/>
    <w:rsid w:val="00EB122C"/>
    <w:rsid w:val="00EB128F"/>
    <w:rsid w:val="00EB190F"/>
    <w:rsid w:val="00EB1947"/>
    <w:rsid w:val="00EB2AA0"/>
    <w:rsid w:val="00EB2ABE"/>
    <w:rsid w:val="00EB2B5B"/>
    <w:rsid w:val="00EB3118"/>
    <w:rsid w:val="00EB3593"/>
    <w:rsid w:val="00EB38C3"/>
    <w:rsid w:val="00EB4048"/>
    <w:rsid w:val="00EB49AF"/>
    <w:rsid w:val="00EB4B3B"/>
    <w:rsid w:val="00EB62B2"/>
    <w:rsid w:val="00EB6680"/>
    <w:rsid w:val="00EB691E"/>
    <w:rsid w:val="00EB695E"/>
    <w:rsid w:val="00EB6A78"/>
    <w:rsid w:val="00EB6B6A"/>
    <w:rsid w:val="00EC0274"/>
    <w:rsid w:val="00EC0422"/>
    <w:rsid w:val="00EC0A8A"/>
    <w:rsid w:val="00EC0C46"/>
    <w:rsid w:val="00EC0CEB"/>
    <w:rsid w:val="00EC0E6D"/>
    <w:rsid w:val="00EC0F92"/>
    <w:rsid w:val="00EC0FBF"/>
    <w:rsid w:val="00EC1933"/>
    <w:rsid w:val="00EC218A"/>
    <w:rsid w:val="00EC2438"/>
    <w:rsid w:val="00EC32CE"/>
    <w:rsid w:val="00EC3487"/>
    <w:rsid w:val="00EC3885"/>
    <w:rsid w:val="00EC3B90"/>
    <w:rsid w:val="00EC4589"/>
    <w:rsid w:val="00EC4D4C"/>
    <w:rsid w:val="00EC521E"/>
    <w:rsid w:val="00EC5AC1"/>
    <w:rsid w:val="00EC5E10"/>
    <w:rsid w:val="00EC6098"/>
    <w:rsid w:val="00EC6111"/>
    <w:rsid w:val="00EC6828"/>
    <w:rsid w:val="00EC6B36"/>
    <w:rsid w:val="00EC73DE"/>
    <w:rsid w:val="00ED08AA"/>
    <w:rsid w:val="00ED0A56"/>
    <w:rsid w:val="00ED0B84"/>
    <w:rsid w:val="00ED0BEC"/>
    <w:rsid w:val="00ED0D94"/>
    <w:rsid w:val="00ED1C6E"/>
    <w:rsid w:val="00ED1F3A"/>
    <w:rsid w:val="00ED21C2"/>
    <w:rsid w:val="00ED2987"/>
    <w:rsid w:val="00ED2F11"/>
    <w:rsid w:val="00ED3118"/>
    <w:rsid w:val="00ED32C6"/>
    <w:rsid w:val="00ED35A7"/>
    <w:rsid w:val="00ED456C"/>
    <w:rsid w:val="00ED48BE"/>
    <w:rsid w:val="00ED49A1"/>
    <w:rsid w:val="00ED5832"/>
    <w:rsid w:val="00ED5CA6"/>
    <w:rsid w:val="00ED5DAA"/>
    <w:rsid w:val="00ED621F"/>
    <w:rsid w:val="00ED6F5F"/>
    <w:rsid w:val="00ED76A1"/>
    <w:rsid w:val="00EE0145"/>
    <w:rsid w:val="00EE01AB"/>
    <w:rsid w:val="00EE17A6"/>
    <w:rsid w:val="00EE1D91"/>
    <w:rsid w:val="00EE2290"/>
    <w:rsid w:val="00EE30B2"/>
    <w:rsid w:val="00EE35BA"/>
    <w:rsid w:val="00EE3789"/>
    <w:rsid w:val="00EE3B9E"/>
    <w:rsid w:val="00EE3C93"/>
    <w:rsid w:val="00EE43B1"/>
    <w:rsid w:val="00EE5090"/>
    <w:rsid w:val="00EE50E6"/>
    <w:rsid w:val="00EE5263"/>
    <w:rsid w:val="00EE694C"/>
    <w:rsid w:val="00EE6B7D"/>
    <w:rsid w:val="00EE710D"/>
    <w:rsid w:val="00EE7746"/>
    <w:rsid w:val="00EF0C7E"/>
    <w:rsid w:val="00EF0ED9"/>
    <w:rsid w:val="00EF1661"/>
    <w:rsid w:val="00EF1ADA"/>
    <w:rsid w:val="00EF1CEF"/>
    <w:rsid w:val="00EF1D0E"/>
    <w:rsid w:val="00EF2251"/>
    <w:rsid w:val="00EF26ED"/>
    <w:rsid w:val="00EF2943"/>
    <w:rsid w:val="00EF30E5"/>
    <w:rsid w:val="00EF32D5"/>
    <w:rsid w:val="00EF343B"/>
    <w:rsid w:val="00EF344A"/>
    <w:rsid w:val="00EF3528"/>
    <w:rsid w:val="00EF3EC9"/>
    <w:rsid w:val="00EF4270"/>
    <w:rsid w:val="00EF43A9"/>
    <w:rsid w:val="00EF46AF"/>
    <w:rsid w:val="00EF4EB8"/>
    <w:rsid w:val="00EF5290"/>
    <w:rsid w:val="00EF54CB"/>
    <w:rsid w:val="00EF5ADF"/>
    <w:rsid w:val="00EF7C58"/>
    <w:rsid w:val="00F00483"/>
    <w:rsid w:val="00F004B0"/>
    <w:rsid w:val="00F00AF3"/>
    <w:rsid w:val="00F0198B"/>
    <w:rsid w:val="00F01FB2"/>
    <w:rsid w:val="00F01FD9"/>
    <w:rsid w:val="00F01FF2"/>
    <w:rsid w:val="00F020A7"/>
    <w:rsid w:val="00F031E0"/>
    <w:rsid w:val="00F03726"/>
    <w:rsid w:val="00F0402A"/>
    <w:rsid w:val="00F0422F"/>
    <w:rsid w:val="00F04272"/>
    <w:rsid w:val="00F05A94"/>
    <w:rsid w:val="00F05F09"/>
    <w:rsid w:val="00F06699"/>
    <w:rsid w:val="00F066B7"/>
    <w:rsid w:val="00F06DCC"/>
    <w:rsid w:val="00F06F0B"/>
    <w:rsid w:val="00F07716"/>
    <w:rsid w:val="00F10912"/>
    <w:rsid w:val="00F10A12"/>
    <w:rsid w:val="00F11298"/>
    <w:rsid w:val="00F1136A"/>
    <w:rsid w:val="00F114EA"/>
    <w:rsid w:val="00F11E15"/>
    <w:rsid w:val="00F12792"/>
    <w:rsid w:val="00F12C77"/>
    <w:rsid w:val="00F14212"/>
    <w:rsid w:val="00F1429E"/>
    <w:rsid w:val="00F14715"/>
    <w:rsid w:val="00F14AC9"/>
    <w:rsid w:val="00F14D57"/>
    <w:rsid w:val="00F1523F"/>
    <w:rsid w:val="00F1557B"/>
    <w:rsid w:val="00F1593F"/>
    <w:rsid w:val="00F15966"/>
    <w:rsid w:val="00F15D60"/>
    <w:rsid w:val="00F15F28"/>
    <w:rsid w:val="00F16018"/>
    <w:rsid w:val="00F161B3"/>
    <w:rsid w:val="00F16B34"/>
    <w:rsid w:val="00F16F33"/>
    <w:rsid w:val="00F170A4"/>
    <w:rsid w:val="00F17527"/>
    <w:rsid w:val="00F17AA9"/>
    <w:rsid w:val="00F20094"/>
    <w:rsid w:val="00F205CD"/>
    <w:rsid w:val="00F20660"/>
    <w:rsid w:val="00F20C0E"/>
    <w:rsid w:val="00F217B8"/>
    <w:rsid w:val="00F21C74"/>
    <w:rsid w:val="00F21D91"/>
    <w:rsid w:val="00F220F4"/>
    <w:rsid w:val="00F2325E"/>
    <w:rsid w:val="00F2344C"/>
    <w:rsid w:val="00F238F2"/>
    <w:rsid w:val="00F238FE"/>
    <w:rsid w:val="00F239FE"/>
    <w:rsid w:val="00F23D2F"/>
    <w:rsid w:val="00F23D5F"/>
    <w:rsid w:val="00F23D8F"/>
    <w:rsid w:val="00F24C65"/>
    <w:rsid w:val="00F24DCB"/>
    <w:rsid w:val="00F24E98"/>
    <w:rsid w:val="00F24F1F"/>
    <w:rsid w:val="00F252BC"/>
    <w:rsid w:val="00F256C8"/>
    <w:rsid w:val="00F25A7C"/>
    <w:rsid w:val="00F25BA8"/>
    <w:rsid w:val="00F25F77"/>
    <w:rsid w:val="00F26246"/>
    <w:rsid w:val="00F26A44"/>
    <w:rsid w:val="00F27104"/>
    <w:rsid w:val="00F27922"/>
    <w:rsid w:val="00F307A3"/>
    <w:rsid w:val="00F30B01"/>
    <w:rsid w:val="00F3131E"/>
    <w:rsid w:val="00F32423"/>
    <w:rsid w:val="00F33172"/>
    <w:rsid w:val="00F332DF"/>
    <w:rsid w:val="00F333FC"/>
    <w:rsid w:val="00F335C6"/>
    <w:rsid w:val="00F3388F"/>
    <w:rsid w:val="00F34B6D"/>
    <w:rsid w:val="00F34B80"/>
    <w:rsid w:val="00F34E79"/>
    <w:rsid w:val="00F34EAC"/>
    <w:rsid w:val="00F35C91"/>
    <w:rsid w:val="00F35DC8"/>
    <w:rsid w:val="00F36402"/>
    <w:rsid w:val="00F36DDE"/>
    <w:rsid w:val="00F36EE4"/>
    <w:rsid w:val="00F372FF"/>
    <w:rsid w:val="00F376C8"/>
    <w:rsid w:val="00F412B6"/>
    <w:rsid w:val="00F41582"/>
    <w:rsid w:val="00F42A02"/>
    <w:rsid w:val="00F42D2F"/>
    <w:rsid w:val="00F433C8"/>
    <w:rsid w:val="00F43405"/>
    <w:rsid w:val="00F43EC4"/>
    <w:rsid w:val="00F44519"/>
    <w:rsid w:val="00F44C95"/>
    <w:rsid w:val="00F44D46"/>
    <w:rsid w:val="00F4593A"/>
    <w:rsid w:val="00F45BA0"/>
    <w:rsid w:val="00F462D1"/>
    <w:rsid w:val="00F46A9B"/>
    <w:rsid w:val="00F46C8D"/>
    <w:rsid w:val="00F46FC1"/>
    <w:rsid w:val="00F47080"/>
    <w:rsid w:val="00F47C87"/>
    <w:rsid w:val="00F500D6"/>
    <w:rsid w:val="00F50151"/>
    <w:rsid w:val="00F50304"/>
    <w:rsid w:val="00F50CF3"/>
    <w:rsid w:val="00F514A3"/>
    <w:rsid w:val="00F5199F"/>
    <w:rsid w:val="00F519EE"/>
    <w:rsid w:val="00F51FCD"/>
    <w:rsid w:val="00F52038"/>
    <w:rsid w:val="00F5271F"/>
    <w:rsid w:val="00F5289E"/>
    <w:rsid w:val="00F52BEE"/>
    <w:rsid w:val="00F54377"/>
    <w:rsid w:val="00F546C5"/>
    <w:rsid w:val="00F5537D"/>
    <w:rsid w:val="00F556BC"/>
    <w:rsid w:val="00F557EC"/>
    <w:rsid w:val="00F55B1C"/>
    <w:rsid w:val="00F5711D"/>
    <w:rsid w:val="00F57D13"/>
    <w:rsid w:val="00F60655"/>
    <w:rsid w:val="00F60A77"/>
    <w:rsid w:val="00F60C3E"/>
    <w:rsid w:val="00F60E97"/>
    <w:rsid w:val="00F61286"/>
    <w:rsid w:val="00F61F3E"/>
    <w:rsid w:val="00F625B2"/>
    <w:rsid w:val="00F62C4E"/>
    <w:rsid w:val="00F63872"/>
    <w:rsid w:val="00F641AC"/>
    <w:rsid w:val="00F64614"/>
    <w:rsid w:val="00F64B0C"/>
    <w:rsid w:val="00F64D1B"/>
    <w:rsid w:val="00F65220"/>
    <w:rsid w:val="00F65E1F"/>
    <w:rsid w:val="00F663CF"/>
    <w:rsid w:val="00F66519"/>
    <w:rsid w:val="00F66811"/>
    <w:rsid w:val="00F67520"/>
    <w:rsid w:val="00F6785E"/>
    <w:rsid w:val="00F67BAF"/>
    <w:rsid w:val="00F700AA"/>
    <w:rsid w:val="00F7028B"/>
    <w:rsid w:val="00F7046C"/>
    <w:rsid w:val="00F70B51"/>
    <w:rsid w:val="00F715E7"/>
    <w:rsid w:val="00F72714"/>
    <w:rsid w:val="00F72DA7"/>
    <w:rsid w:val="00F73020"/>
    <w:rsid w:val="00F732E5"/>
    <w:rsid w:val="00F736CD"/>
    <w:rsid w:val="00F73C99"/>
    <w:rsid w:val="00F745B6"/>
    <w:rsid w:val="00F7488B"/>
    <w:rsid w:val="00F748EB"/>
    <w:rsid w:val="00F74E7D"/>
    <w:rsid w:val="00F750C2"/>
    <w:rsid w:val="00F755B5"/>
    <w:rsid w:val="00F756D5"/>
    <w:rsid w:val="00F763E7"/>
    <w:rsid w:val="00F76FD4"/>
    <w:rsid w:val="00F771B5"/>
    <w:rsid w:val="00F77632"/>
    <w:rsid w:val="00F77E2E"/>
    <w:rsid w:val="00F800C7"/>
    <w:rsid w:val="00F80187"/>
    <w:rsid w:val="00F8038A"/>
    <w:rsid w:val="00F80878"/>
    <w:rsid w:val="00F81B8E"/>
    <w:rsid w:val="00F81DCC"/>
    <w:rsid w:val="00F82251"/>
    <w:rsid w:val="00F828BE"/>
    <w:rsid w:val="00F82D93"/>
    <w:rsid w:val="00F82E2E"/>
    <w:rsid w:val="00F83004"/>
    <w:rsid w:val="00F830C1"/>
    <w:rsid w:val="00F8374B"/>
    <w:rsid w:val="00F84253"/>
    <w:rsid w:val="00F8446F"/>
    <w:rsid w:val="00F848F0"/>
    <w:rsid w:val="00F84CA8"/>
    <w:rsid w:val="00F84CF8"/>
    <w:rsid w:val="00F860B4"/>
    <w:rsid w:val="00F86378"/>
    <w:rsid w:val="00F86399"/>
    <w:rsid w:val="00F864B9"/>
    <w:rsid w:val="00F869CC"/>
    <w:rsid w:val="00F87596"/>
    <w:rsid w:val="00F87CC0"/>
    <w:rsid w:val="00F903C0"/>
    <w:rsid w:val="00F90672"/>
    <w:rsid w:val="00F9069F"/>
    <w:rsid w:val="00F91480"/>
    <w:rsid w:val="00F91927"/>
    <w:rsid w:val="00F91C43"/>
    <w:rsid w:val="00F91FEC"/>
    <w:rsid w:val="00F92DFE"/>
    <w:rsid w:val="00F93F5A"/>
    <w:rsid w:val="00F94088"/>
    <w:rsid w:val="00F943CF"/>
    <w:rsid w:val="00F94C05"/>
    <w:rsid w:val="00F94D2E"/>
    <w:rsid w:val="00F957C2"/>
    <w:rsid w:val="00F95EF0"/>
    <w:rsid w:val="00F963C6"/>
    <w:rsid w:val="00F96776"/>
    <w:rsid w:val="00F969E9"/>
    <w:rsid w:val="00F96C8B"/>
    <w:rsid w:val="00F9739A"/>
    <w:rsid w:val="00F97567"/>
    <w:rsid w:val="00FA0C0D"/>
    <w:rsid w:val="00FA0F33"/>
    <w:rsid w:val="00FA1523"/>
    <w:rsid w:val="00FA18E2"/>
    <w:rsid w:val="00FA1B8F"/>
    <w:rsid w:val="00FA22B6"/>
    <w:rsid w:val="00FA2535"/>
    <w:rsid w:val="00FA39EA"/>
    <w:rsid w:val="00FA3B40"/>
    <w:rsid w:val="00FA3CBD"/>
    <w:rsid w:val="00FA4A6B"/>
    <w:rsid w:val="00FA4C0B"/>
    <w:rsid w:val="00FA6629"/>
    <w:rsid w:val="00FA670C"/>
    <w:rsid w:val="00FA683F"/>
    <w:rsid w:val="00FA71D8"/>
    <w:rsid w:val="00FA769B"/>
    <w:rsid w:val="00FB096A"/>
    <w:rsid w:val="00FB0ED5"/>
    <w:rsid w:val="00FB1082"/>
    <w:rsid w:val="00FB1DA8"/>
    <w:rsid w:val="00FB2403"/>
    <w:rsid w:val="00FB247F"/>
    <w:rsid w:val="00FB3503"/>
    <w:rsid w:val="00FB3CCD"/>
    <w:rsid w:val="00FB4046"/>
    <w:rsid w:val="00FB4297"/>
    <w:rsid w:val="00FB42CA"/>
    <w:rsid w:val="00FB43E5"/>
    <w:rsid w:val="00FB4A4D"/>
    <w:rsid w:val="00FB4E78"/>
    <w:rsid w:val="00FB5AD0"/>
    <w:rsid w:val="00FB6BD0"/>
    <w:rsid w:val="00FB7E28"/>
    <w:rsid w:val="00FC0284"/>
    <w:rsid w:val="00FC051A"/>
    <w:rsid w:val="00FC0571"/>
    <w:rsid w:val="00FC0A02"/>
    <w:rsid w:val="00FC1C84"/>
    <w:rsid w:val="00FC1E16"/>
    <w:rsid w:val="00FC240C"/>
    <w:rsid w:val="00FC269A"/>
    <w:rsid w:val="00FC28EE"/>
    <w:rsid w:val="00FC29AC"/>
    <w:rsid w:val="00FC3461"/>
    <w:rsid w:val="00FC3EE1"/>
    <w:rsid w:val="00FC47A7"/>
    <w:rsid w:val="00FC4B5C"/>
    <w:rsid w:val="00FC4BB0"/>
    <w:rsid w:val="00FC4BBC"/>
    <w:rsid w:val="00FC5329"/>
    <w:rsid w:val="00FC54D4"/>
    <w:rsid w:val="00FC5CB4"/>
    <w:rsid w:val="00FC6203"/>
    <w:rsid w:val="00FC6525"/>
    <w:rsid w:val="00FC6CDC"/>
    <w:rsid w:val="00FC7250"/>
    <w:rsid w:val="00FC76B2"/>
    <w:rsid w:val="00FC7AF7"/>
    <w:rsid w:val="00FC7BFF"/>
    <w:rsid w:val="00FC7C99"/>
    <w:rsid w:val="00FC7E63"/>
    <w:rsid w:val="00FD0B0E"/>
    <w:rsid w:val="00FD1B16"/>
    <w:rsid w:val="00FD1BF4"/>
    <w:rsid w:val="00FD1CEC"/>
    <w:rsid w:val="00FD2000"/>
    <w:rsid w:val="00FD216A"/>
    <w:rsid w:val="00FD242B"/>
    <w:rsid w:val="00FD2E92"/>
    <w:rsid w:val="00FD308D"/>
    <w:rsid w:val="00FD33DB"/>
    <w:rsid w:val="00FD3897"/>
    <w:rsid w:val="00FD3E57"/>
    <w:rsid w:val="00FD41CC"/>
    <w:rsid w:val="00FD459B"/>
    <w:rsid w:val="00FD477A"/>
    <w:rsid w:val="00FD490F"/>
    <w:rsid w:val="00FD5A53"/>
    <w:rsid w:val="00FD64A6"/>
    <w:rsid w:val="00FD6D45"/>
    <w:rsid w:val="00FD6DAB"/>
    <w:rsid w:val="00FD7B39"/>
    <w:rsid w:val="00FD7EEA"/>
    <w:rsid w:val="00FE0533"/>
    <w:rsid w:val="00FE06B3"/>
    <w:rsid w:val="00FE0932"/>
    <w:rsid w:val="00FE0A63"/>
    <w:rsid w:val="00FE0F87"/>
    <w:rsid w:val="00FE14CD"/>
    <w:rsid w:val="00FE20FC"/>
    <w:rsid w:val="00FE2441"/>
    <w:rsid w:val="00FE256C"/>
    <w:rsid w:val="00FE27D4"/>
    <w:rsid w:val="00FE2B2D"/>
    <w:rsid w:val="00FE38E8"/>
    <w:rsid w:val="00FE39D8"/>
    <w:rsid w:val="00FE4E7B"/>
    <w:rsid w:val="00FE4E9F"/>
    <w:rsid w:val="00FE55C0"/>
    <w:rsid w:val="00FE5644"/>
    <w:rsid w:val="00FE577E"/>
    <w:rsid w:val="00FE5821"/>
    <w:rsid w:val="00FE64D9"/>
    <w:rsid w:val="00FE7E65"/>
    <w:rsid w:val="00FF0080"/>
    <w:rsid w:val="00FF0BCB"/>
    <w:rsid w:val="00FF0C65"/>
    <w:rsid w:val="00FF21F0"/>
    <w:rsid w:val="00FF24FB"/>
    <w:rsid w:val="00FF2667"/>
    <w:rsid w:val="00FF3060"/>
    <w:rsid w:val="00FF3099"/>
    <w:rsid w:val="00FF3599"/>
    <w:rsid w:val="00FF3BEF"/>
    <w:rsid w:val="00FF3D02"/>
    <w:rsid w:val="00FF3DF0"/>
    <w:rsid w:val="00FF4100"/>
    <w:rsid w:val="00FF4667"/>
    <w:rsid w:val="00FF4A9F"/>
    <w:rsid w:val="00FF4F5D"/>
    <w:rsid w:val="00FF5118"/>
    <w:rsid w:val="00FF565F"/>
    <w:rsid w:val="00FF5A25"/>
    <w:rsid w:val="00FF5FDE"/>
    <w:rsid w:val="00FF64AE"/>
    <w:rsid w:val="00FF67CA"/>
    <w:rsid w:val="00FF68C7"/>
    <w:rsid w:val="00FF7770"/>
    <w:rsid w:val="00FF7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1DD62"/>
  <w15:docId w15:val="{FFBBB5DF-A0B4-446C-B266-12C269D1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29B"/>
    <w:rPr>
      <w:rFonts w:ascii="Arial" w:hAnsi="Arial"/>
      <w:sz w:val="24"/>
      <w:lang w:eastAsia="en-US"/>
    </w:rPr>
  </w:style>
  <w:style w:type="paragraph" w:styleId="Heading1">
    <w:name w:val="heading 1"/>
    <w:aliases w:val="RR level 1"/>
    <w:basedOn w:val="Normal"/>
    <w:next w:val="Normal"/>
    <w:link w:val="Heading1Char"/>
    <w:qFormat/>
    <w:pPr>
      <w:keepNext/>
      <w:outlineLvl w:val="0"/>
    </w:pPr>
    <w:rPr>
      <w:b/>
    </w:rPr>
  </w:style>
  <w:style w:type="paragraph" w:styleId="Heading2">
    <w:name w:val="heading 2"/>
    <w:basedOn w:val="Normal"/>
    <w:next w:val="Normal"/>
    <w:qFormat/>
    <w:pPr>
      <w:keepNext/>
      <w:ind w:right="-331"/>
      <w:jc w:val="center"/>
      <w:outlineLvl w:val="1"/>
    </w:pPr>
    <w:rPr>
      <w:b/>
      <w:sz w:val="28"/>
    </w:rPr>
  </w:style>
  <w:style w:type="paragraph" w:styleId="Heading3">
    <w:name w:val="heading 3"/>
    <w:basedOn w:val="Normal"/>
    <w:next w:val="Normal"/>
    <w:qFormat/>
    <w:pPr>
      <w:keepNext/>
      <w:ind w:right="-331"/>
      <w:outlineLvl w:val="2"/>
    </w:pPr>
    <w:rPr>
      <w:b/>
    </w:rPr>
  </w:style>
  <w:style w:type="paragraph" w:styleId="Heading4">
    <w:name w:val="heading 4"/>
    <w:basedOn w:val="Normal"/>
    <w:next w:val="Normal"/>
    <w:qFormat/>
    <w:pPr>
      <w:keepNext/>
      <w:spacing w:after="120"/>
      <w:outlineLvl w:val="3"/>
    </w:pPr>
    <w:rPr>
      <w:b/>
      <w:sz w:val="18"/>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b/>
      <w:u w:val="single"/>
    </w:rPr>
  </w:style>
  <w:style w:type="paragraph" w:styleId="Heading7">
    <w:name w:val="heading 7"/>
    <w:basedOn w:val="Normal"/>
    <w:next w:val="Normal"/>
    <w:qFormat/>
    <w:pPr>
      <w:keepNext/>
      <w:tabs>
        <w:tab w:val="left" w:pos="720"/>
        <w:tab w:val="left" w:pos="1422"/>
        <w:tab w:val="right" w:pos="7920"/>
      </w:tabs>
      <w:ind w:left="1422"/>
      <w:outlineLvl w:val="6"/>
    </w:pPr>
    <w:rPr>
      <w:b/>
    </w:rPr>
  </w:style>
  <w:style w:type="paragraph" w:styleId="Heading8">
    <w:name w:val="heading 8"/>
    <w:basedOn w:val="Normal"/>
    <w:next w:val="Normal"/>
    <w:qFormat/>
    <w:pPr>
      <w:keepNext/>
      <w:jc w:val="center"/>
      <w:outlineLvl w:val="7"/>
    </w:pPr>
    <w:rPr>
      <w:sz w:val="18"/>
      <w:u w:val="single"/>
    </w:rPr>
  </w:style>
  <w:style w:type="paragraph" w:styleId="Heading9">
    <w:name w:val="heading 9"/>
    <w:basedOn w:val="Normal"/>
    <w:next w:val="Normal"/>
    <w:qFormat/>
    <w:pPr>
      <w:keepNext/>
      <w:jc w:val="center"/>
      <w:outlineLvl w:val="8"/>
    </w:pPr>
    <w:rPr>
      <w:b/>
      <w:cap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720"/>
    </w:pPr>
    <w:rPr>
      <w:lang w:val="en-US"/>
    </w:rPr>
  </w:style>
  <w:style w:type="paragraph" w:styleId="BodyTextIndent2">
    <w:name w:val="Body Text Indent 2"/>
    <w:basedOn w:val="Normal"/>
    <w:pPr>
      <w:ind w:left="720" w:hanging="720"/>
    </w:pPr>
  </w:style>
  <w:style w:type="paragraph" w:styleId="BlockText">
    <w:name w:val="Block Text"/>
    <w:basedOn w:val="Normal"/>
    <w:pPr>
      <w:ind w:left="720" w:right="-331"/>
    </w:pPr>
  </w:style>
  <w:style w:type="paragraph" w:styleId="BodyText">
    <w:name w:val="Body Text"/>
    <w:basedOn w:val="Normal"/>
    <w:pPr>
      <w:spacing w:after="240"/>
      <w:jc w:val="center"/>
    </w:pPr>
    <w:rPr>
      <w:sz w:val="20"/>
    </w:rPr>
  </w:style>
  <w:style w:type="paragraph" w:styleId="BodyTextIndent3">
    <w:name w:val="Body Text Indent 3"/>
    <w:basedOn w:val="Normal"/>
    <w:pPr>
      <w:spacing w:after="240"/>
      <w:ind w:left="1440"/>
    </w:pPr>
  </w:style>
  <w:style w:type="paragraph" w:styleId="Caption">
    <w:name w:val="caption"/>
    <w:basedOn w:val="Normal"/>
    <w:next w:val="Normal"/>
    <w:qFormat/>
    <w:pPr>
      <w:jc w:val="center"/>
    </w:pPr>
    <w:rPr>
      <w:b/>
      <w:sz w:val="28"/>
    </w:rPr>
  </w:style>
  <w:style w:type="paragraph" w:styleId="BodyText2">
    <w:name w:val="Body Text 2"/>
    <w:basedOn w:val="Normal"/>
    <w:rPr>
      <w:color w:val="FF0000"/>
    </w:rPr>
  </w:style>
  <w:style w:type="paragraph" w:styleId="BodyText3">
    <w:name w:val="Body Text 3"/>
    <w:basedOn w:val="Normal"/>
    <w:pPr>
      <w:jc w:val="both"/>
    </w:p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pPr>
    <w:rPr>
      <w:b/>
      <w:sz w:val="32"/>
    </w:rPr>
  </w:style>
  <w:style w:type="paragraph" w:customStyle="1" w:styleId="Bodyindent">
    <w:name w:val="Body indent"/>
    <w:basedOn w:val="Normal"/>
    <w:pPr>
      <w:widowControl w:val="0"/>
      <w:spacing w:before="140" w:line="290" w:lineRule="atLeast"/>
      <w:ind w:left="680"/>
    </w:pPr>
    <w:rPr>
      <w:rFonts w:ascii="Sabon" w:hAnsi="Sabon"/>
      <w:color w:val="000000"/>
      <w:sz w:val="21"/>
      <w:lang w:val="en-US"/>
    </w:rPr>
  </w:style>
  <w:style w:type="paragraph" w:customStyle="1" w:styleId="Bullets">
    <w:name w:val="Bullets"/>
    <w:basedOn w:val="Normal"/>
    <w:pPr>
      <w:numPr>
        <w:numId w:val="1"/>
      </w:numPr>
      <w:tabs>
        <w:tab w:val="left" w:pos="3062"/>
      </w:tabs>
      <w:spacing w:before="30" w:line="264" w:lineRule="auto"/>
    </w:pPr>
    <w:rPr>
      <w:rFonts w:ascii="Times" w:hAnsi="Times"/>
      <w:sz w:val="21"/>
    </w:rPr>
  </w:style>
  <w:style w:type="paragraph" w:customStyle="1" w:styleId="Body">
    <w:name w:val="Body"/>
    <w:basedOn w:val="Normal"/>
    <w:pPr>
      <w:widowControl w:val="0"/>
      <w:spacing w:before="140" w:line="290" w:lineRule="atLeast"/>
      <w:ind w:left="680" w:hanging="454"/>
    </w:pPr>
    <w:rPr>
      <w:rFonts w:ascii="Sabon" w:hAnsi="Sabon"/>
      <w:color w:val="000000"/>
      <w:sz w:val="21"/>
      <w:lang w:val="en-US"/>
    </w:rPr>
  </w:style>
  <w:style w:type="paragraph" w:customStyle="1" w:styleId="BodyText1">
    <w:name w:val="Body Text1"/>
    <w:basedOn w:val="Normal"/>
    <w:link w:val="BodytextChar"/>
    <w:pPr>
      <w:spacing w:before="140" w:after="140"/>
      <w:ind w:left="397"/>
    </w:pPr>
  </w:style>
  <w:style w:type="character" w:customStyle="1" w:styleId="Bodytextemphasised">
    <w:name w:val="Body text (emphasised)"/>
    <w:rPr>
      <w:rFonts w:ascii="Arial" w:hAnsi="Arial"/>
      <w:b/>
      <w:noProof w:val="0"/>
      <w:sz w:val="24"/>
      <w:szCs w:val="24"/>
      <w:lang w:val="en-GB" w:eastAsia="en-GB" w:bidi="ar-SA"/>
    </w:rPr>
  </w:style>
  <w:style w:type="paragraph" w:customStyle="1" w:styleId="Bodytextnumbered">
    <w:name w:val="Body text (numbered)"/>
    <w:basedOn w:val="BodyText1"/>
    <w:pPr>
      <w:numPr>
        <w:numId w:val="2"/>
      </w:numPr>
    </w:pPr>
  </w:style>
  <w:style w:type="paragraph" w:customStyle="1" w:styleId="Bullet1">
    <w:name w:val="Bullet 1"/>
    <w:basedOn w:val="Normal"/>
    <w:link w:val="Bullet1CharChar"/>
    <w:pPr>
      <w:numPr>
        <w:numId w:val="3"/>
      </w:numPr>
      <w:spacing w:before="100"/>
    </w:pPr>
  </w:style>
  <w:style w:type="paragraph" w:styleId="BalloonText">
    <w:name w:val="Balloon Text"/>
    <w:basedOn w:val="Normal"/>
    <w:rPr>
      <w:rFonts w:ascii="Tahoma" w:hAnsi="Tahoma"/>
      <w:sz w:val="16"/>
    </w:rPr>
  </w:style>
  <w:style w:type="paragraph" w:styleId="CommentSubject">
    <w:name w:val="annotation subject"/>
    <w:basedOn w:val="CommentText"/>
    <w:next w:val="CommentText"/>
    <w:rPr>
      <w:rFonts w:ascii="Times New Roman" w:hAnsi="Times New Roman"/>
      <w:b/>
    </w:rPr>
  </w:style>
  <w:style w:type="paragraph" w:styleId="CommentText">
    <w:name w:val="annotation text"/>
    <w:basedOn w:val="Normal"/>
    <w:link w:val="CommentTextChar"/>
    <w:uiPriority w:val="99"/>
    <w:semiHidden/>
    <w:rPr>
      <w:sz w:val="20"/>
    </w:rPr>
  </w:style>
  <w:style w:type="paragraph" w:styleId="NormalWeb">
    <w:name w:val="Normal (Web)"/>
    <w:basedOn w:val="Normal"/>
    <w:uiPriority w:val="99"/>
    <w:pPr>
      <w:spacing w:before="100" w:after="100"/>
    </w:pPr>
    <w:rPr>
      <w:rFonts w:ascii="Times New Roman" w:hAnsi="Times New Roman"/>
    </w:rPr>
  </w:style>
  <w:style w:type="paragraph" w:customStyle="1" w:styleId="ReportHeading">
    <w:name w:val="Report Heading"/>
    <w:basedOn w:val="Normal"/>
    <w:rsid w:val="005B07C9"/>
    <w:pPr>
      <w:overflowPunct w:val="0"/>
      <w:autoSpaceDE w:val="0"/>
      <w:autoSpaceDN w:val="0"/>
      <w:adjustRightInd w:val="0"/>
      <w:jc w:val="center"/>
      <w:textAlignment w:val="baseline"/>
    </w:pPr>
    <w:rPr>
      <w:b/>
      <w:color w:val="000000"/>
      <w:u w:val="single"/>
      <w:lang w:val="en-US"/>
    </w:rPr>
  </w:style>
  <w:style w:type="table" w:styleId="TableGrid">
    <w:name w:val="Table Grid"/>
    <w:basedOn w:val="TableNormal"/>
    <w:rsid w:val="00AF5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CharChar">
    <w:name w:val="Bullet 1 Char Char"/>
    <w:link w:val="Bullet1"/>
    <w:rsid w:val="00462F54"/>
    <w:rPr>
      <w:rFonts w:ascii="Arial" w:hAnsi="Arial"/>
      <w:sz w:val="24"/>
      <w:lang w:eastAsia="en-US"/>
    </w:rPr>
  </w:style>
  <w:style w:type="character" w:styleId="Hyperlink">
    <w:name w:val="Hyperlink"/>
    <w:uiPriority w:val="99"/>
    <w:rsid w:val="00D0270D"/>
    <w:rPr>
      <w:color w:val="0000FF"/>
      <w:u w:val="single"/>
    </w:rPr>
  </w:style>
  <w:style w:type="table" w:styleId="TableGrid8">
    <w:name w:val="Table Grid 8"/>
    <w:basedOn w:val="TableNormal"/>
    <w:rsid w:val="00B404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BodytextChar">
    <w:name w:val="Body text Char"/>
    <w:link w:val="BodyText1"/>
    <w:rsid w:val="006F63AC"/>
    <w:rPr>
      <w:rFonts w:ascii="Arial" w:hAnsi="Arial"/>
      <w:sz w:val="24"/>
      <w:lang w:val="en-GB" w:eastAsia="en-US" w:bidi="ar-SA"/>
    </w:rPr>
  </w:style>
  <w:style w:type="character" w:styleId="Strong">
    <w:name w:val="Strong"/>
    <w:qFormat/>
    <w:rsid w:val="008C5921"/>
    <w:rPr>
      <w:rFonts w:cs="Times New Roman"/>
      <w:b/>
      <w:bCs/>
    </w:rPr>
  </w:style>
  <w:style w:type="paragraph" w:customStyle="1" w:styleId="00-Normal-BB">
    <w:name w:val="00-Normal-BB"/>
    <w:rsid w:val="008C5921"/>
    <w:pPr>
      <w:jc w:val="both"/>
    </w:pPr>
    <w:rPr>
      <w:rFonts w:ascii="Arial" w:eastAsia="Calibri" w:hAnsi="Arial"/>
      <w:sz w:val="22"/>
      <w:lang w:eastAsia="en-US"/>
    </w:rPr>
  </w:style>
  <w:style w:type="paragraph" w:customStyle="1" w:styleId="01-NormInd1-BB">
    <w:name w:val="01-NormInd1-BB"/>
    <w:basedOn w:val="00-Normal-BB"/>
    <w:rsid w:val="008C5921"/>
    <w:pPr>
      <w:ind w:left="720"/>
    </w:pPr>
  </w:style>
  <w:style w:type="table" w:styleId="TableProfessional">
    <w:name w:val="Table Professional"/>
    <w:basedOn w:val="TableNormal"/>
    <w:rsid w:val="009C69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inlinenormal">
    <w:name w:val="inlinenormal"/>
    <w:basedOn w:val="Normal"/>
    <w:rsid w:val="00935F51"/>
    <w:pPr>
      <w:autoSpaceDN w:val="0"/>
      <w:spacing w:before="120" w:after="60" w:line="264" w:lineRule="auto"/>
    </w:pPr>
    <w:rPr>
      <w:rFonts w:cs="Arial"/>
      <w:szCs w:val="24"/>
      <w:lang w:eastAsia="en-GB"/>
    </w:rPr>
  </w:style>
  <w:style w:type="character" w:styleId="Emphasis">
    <w:name w:val="Emphasis"/>
    <w:uiPriority w:val="20"/>
    <w:qFormat/>
    <w:rsid w:val="00935F51"/>
    <w:rPr>
      <w:i/>
      <w:iCs/>
    </w:rPr>
  </w:style>
  <w:style w:type="character" w:styleId="FollowedHyperlink">
    <w:name w:val="FollowedHyperlink"/>
    <w:rsid w:val="0035771D"/>
    <w:rPr>
      <w:color w:val="800080"/>
      <w:u w:val="single"/>
    </w:rPr>
  </w:style>
  <w:style w:type="character" w:customStyle="1" w:styleId="FooterChar">
    <w:name w:val="Footer Char"/>
    <w:link w:val="Footer"/>
    <w:locked/>
    <w:rsid w:val="00F96776"/>
    <w:rPr>
      <w:rFonts w:ascii="Arial" w:hAnsi="Arial"/>
      <w:sz w:val="24"/>
      <w:lang w:val="en-GB" w:eastAsia="en-US" w:bidi="ar-SA"/>
    </w:rPr>
  </w:style>
  <w:style w:type="paragraph" w:styleId="ListParagraph">
    <w:name w:val="List Paragraph"/>
    <w:basedOn w:val="Normal"/>
    <w:link w:val="ListParagraphChar"/>
    <w:uiPriority w:val="34"/>
    <w:qFormat/>
    <w:rsid w:val="00F96776"/>
    <w:pPr>
      <w:ind w:left="720"/>
      <w:contextualSpacing/>
    </w:pPr>
    <w:rPr>
      <w:rFonts w:eastAsia="Calibri"/>
    </w:rPr>
  </w:style>
  <w:style w:type="paragraph" w:styleId="NoSpacing">
    <w:name w:val="No Spacing"/>
    <w:uiPriority w:val="1"/>
    <w:qFormat/>
    <w:rsid w:val="0008007D"/>
    <w:rPr>
      <w:rFonts w:ascii="Arial" w:hAnsi="Arial"/>
      <w:sz w:val="24"/>
      <w:lang w:eastAsia="en-US"/>
    </w:rPr>
  </w:style>
  <w:style w:type="character" w:customStyle="1" w:styleId="Heading1Char">
    <w:name w:val="Heading 1 Char"/>
    <w:aliases w:val="RR level 1 Char"/>
    <w:basedOn w:val="DefaultParagraphFont"/>
    <w:link w:val="Heading1"/>
    <w:rsid w:val="00E07E0D"/>
    <w:rPr>
      <w:rFonts w:ascii="Arial" w:hAnsi="Arial"/>
      <w:b/>
      <w:sz w:val="24"/>
      <w:lang w:eastAsia="en-US"/>
    </w:rPr>
  </w:style>
  <w:style w:type="character" w:styleId="CommentReference">
    <w:name w:val="annotation reference"/>
    <w:basedOn w:val="DefaultParagraphFont"/>
    <w:uiPriority w:val="99"/>
    <w:rsid w:val="006B4BE1"/>
    <w:rPr>
      <w:sz w:val="16"/>
      <w:szCs w:val="16"/>
    </w:rPr>
  </w:style>
  <w:style w:type="paragraph" w:styleId="Revision">
    <w:name w:val="Revision"/>
    <w:hidden/>
    <w:uiPriority w:val="99"/>
    <w:semiHidden/>
    <w:rsid w:val="00F27922"/>
    <w:rPr>
      <w:rFonts w:ascii="Arial" w:hAnsi="Arial"/>
      <w:sz w:val="24"/>
      <w:lang w:eastAsia="en-US"/>
    </w:rPr>
  </w:style>
  <w:style w:type="paragraph" w:customStyle="1" w:styleId="Default">
    <w:name w:val="Default"/>
    <w:rsid w:val="00BD0E32"/>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rsid w:val="00EF26ED"/>
    <w:rPr>
      <w:rFonts w:ascii="Arial" w:hAnsi="Arial"/>
      <w:lang w:eastAsia="en-US"/>
    </w:rPr>
  </w:style>
  <w:style w:type="paragraph" w:styleId="ListBullet">
    <w:name w:val="List Bullet"/>
    <w:basedOn w:val="Normal"/>
    <w:uiPriority w:val="1"/>
    <w:unhideWhenUsed/>
    <w:qFormat/>
    <w:rsid w:val="005E2D14"/>
    <w:pPr>
      <w:numPr>
        <w:numId w:val="39"/>
      </w:numPr>
      <w:spacing w:after="120" w:line="240" w:lineRule="atLeast"/>
    </w:pPr>
    <w:rPr>
      <w:rFonts w:ascii="Times New Roman" w:hAnsi="Times New Roman"/>
      <w:sz w:val="20"/>
      <w:lang w:eastAsia="en-GB"/>
    </w:rPr>
  </w:style>
  <w:style w:type="paragraph" w:styleId="ListBullet2">
    <w:name w:val="List Bullet 2"/>
    <w:basedOn w:val="Normal"/>
    <w:uiPriority w:val="1"/>
    <w:unhideWhenUsed/>
    <w:qFormat/>
    <w:rsid w:val="005E2D14"/>
    <w:pPr>
      <w:numPr>
        <w:ilvl w:val="1"/>
        <w:numId w:val="39"/>
      </w:numPr>
      <w:spacing w:after="120" w:line="240" w:lineRule="atLeast"/>
    </w:pPr>
    <w:rPr>
      <w:rFonts w:asciiTheme="minorHAnsi" w:hAnsiTheme="minorHAnsi"/>
      <w:sz w:val="18"/>
      <w:szCs w:val="18"/>
    </w:rPr>
  </w:style>
  <w:style w:type="paragraph" w:styleId="ListBullet3">
    <w:name w:val="List Bullet 3"/>
    <w:basedOn w:val="Normal"/>
    <w:uiPriority w:val="1"/>
    <w:unhideWhenUsed/>
    <w:qFormat/>
    <w:rsid w:val="005E2D14"/>
    <w:pPr>
      <w:numPr>
        <w:ilvl w:val="2"/>
        <w:numId w:val="39"/>
      </w:numPr>
      <w:spacing w:after="120" w:line="240" w:lineRule="atLeast"/>
    </w:pPr>
    <w:rPr>
      <w:rFonts w:asciiTheme="minorHAnsi" w:hAnsiTheme="minorHAnsi"/>
      <w:sz w:val="18"/>
      <w:szCs w:val="18"/>
    </w:rPr>
  </w:style>
  <w:style w:type="numbering" w:customStyle="1" w:styleId="GTListBullet">
    <w:name w:val="GT List Bullet"/>
    <w:uiPriority w:val="99"/>
    <w:rsid w:val="005E2D14"/>
    <w:pPr>
      <w:numPr>
        <w:numId w:val="39"/>
      </w:numPr>
    </w:pPr>
  </w:style>
  <w:style w:type="character" w:styleId="UnresolvedMention">
    <w:name w:val="Unresolved Mention"/>
    <w:basedOn w:val="DefaultParagraphFont"/>
    <w:uiPriority w:val="99"/>
    <w:semiHidden/>
    <w:unhideWhenUsed/>
    <w:rsid w:val="005E2D14"/>
    <w:rPr>
      <w:color w:val="605E5C"/>
      <w:shd w:val="clear" w:color="auto" w:fill="E1DFDD"/>
    </w:rPr>
  </w:style>
  <w:style w:type="character" w:customStyle="1" w:styleId="ListParagraphChar">
    <w:name w:val="List Paragraph Char"/>
    <w:link w:val="ListParagraph"/>
    <w:uiPriority w:val="34"/>
    <w:locked/>
    <w:rsid w:val="0077530B"/>
    <w:rPr>
      <w:rFonts w:ascii="Arial" w:eastAsia="Calibri" w:hAnsi="Arial"/>
      <w:sz w:val="24"/>
      <w:lang w:eastAsia="en-US"/>
    </w:rPr>
  </w:style>
  <w:style w:type="paragraph" w:styleId="TOCHeading">
    <w:name w:val="TOC Heading"/>
    <w:basedOn w:val="Heading1"/>
    <w:next w:val="Normal"/>
    <w:uiPriority w:val="39"/>
    <w:unhideWhenUsed/>
    <w:qFormat/>
    <w:rsid w:val="005A3C76"/>
    <w:pPr>
      <w:keepLines/>
      <w:spacing w:before="24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EA5689"/>
    <w:pPr>
      <w:spacing w:after="100"/>
    </w:pPr>
  </w:style>
  <w:style w:type="paragraph" w:styleId="TOC2">
    <w:name w:val="toc 2"/>
    <w:basedOn w:val="Normal"/>
    <w:next w:val="Normal"/>
    <w:autoRedefine/>
    <w:uiPriority w:val="39"/>
    <w:unhideWhenUsed/>
    <w:rsid w:val="00BE3374"/>
    <w:pPr>
      <w:spacing w:after="100"/>
      <w:ind w:left="240"/>
    </w:pPr>
  </w:style>
  <w:style w:type="paragraph" w:styleId="TOC3">
    <w:name w:val="toc 3"/>
    <w:basedOn w:val="Normal"/>
    <w:next w:val="Normal"/>
    <w:autoRedefine/>
    <w:uiPriority w:val="39"/>
    <w:unhideWhenUsed/>
    <w:rsid w:val="00BE337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960">
      <w:bodyDiv w:val="1"/>
      <w:marLeft w:val="0"/>
      <w:marRight w:val="0"/>
      <w:marTop w:val="0"/>
      <w:marBottom w:val="0"/>
      <w:divBdr>
        <w:top w:val="none" w:sz="0" w:space="0" w:color="auto"/>
        <w:left w:val="none" w:sz="0" w:space="0" w:color="auto"/>
        <w:bottom w:val="none" w:sz="0" w:space="0" w:color="auto"/>
        <w:right w:val="none" w:sz="0" w:space="0" w:color="auto"/>
      </w:divBdr>
    </w:div>
    <w:div w:id="13383782">
      <w:bodyDiv w:val="1"/>
      <w:marLeft w:val="0"/>
      <w:marRight w:val="0"/>
      <w:marTop w:val="0"/>
      <w:marBottom w:val="0"/>
      <w:divBdr>
        <w:top w:val="none" w:sz="0" w:space="0" w:color="auto"/>
        <w:left w:val="none" w:sz="0" w:space="0" w:color="auto"/>
        <w:bottom w:val="none" w:sz="0" w:space="0" w:color="auto"/>
        <w:right w:val="none" w:sz="0" w:space="0" w:color="auto"/>
      </w:divBdr>
    </w:div>
    <w:div w:id="183788838">
      <w:bodyDiv w:val="1"/>
      <w:marLeft w:val="0"/>
      <w:marRight w:val="0"/>
      <w:marTop w:val="0"/>
      <w:marBottom w:val="0"/>
      <w:divBdr>
        <w:top w:val="none" w:sz="0" w:space="0" w:color="auto"/>
        <w:left w:val="none" w:sz="0" w:space="0" w:color="auto"/>
        <w:bottom w:val="none" w:sz="0" w:space="0" w:color="auto"/>
        <w:right w:val="none" w:sz="0" w:space="0" w:color="auto"/>
      </w:divBdr>
    </w:div>
    <w:div w:id="217789227">
      <w:bodyDiv w:val="1"/>
      <w:marLeft w:val="0"/>
      <w:marRight w:val="0"/>
      <w:marTop w:val="0"/>
      <w:marBottom w:val="0"/>
      <w:divBdr>
        <w:top w:val="none" w:sz="0" w:space="0" w:color="auto"/>
        <w:left w:val="none" w:sz="0" w:space="0" w:color="auto"/>
        <w:bottom w:val="none" w:sz="0" w:space="0" w:color="auto"/>
        <w:right w:val="none" w:sz="0" w:space="0" w:color="auto"/>
      </w:divBdr>
    </w:div>
    <w:div w:id="229775449">
      <w:bodyDiv w:val="1"/>
      <w:marLeft w:val="0"/>
      <w:marRight w:val="0"/>
      <w:marTop w:val="0"/>
      <w:marBottom w:val="0"/>
      <w:divBdr>
        <w:top w:val="none" w:sz="0" w:space="0" w:color="auto"/>
        <w:left w:val="none" w:sz="0" w:space="0" w:color="auto"/>
        <w:bottom w:val="none" w:sz="0" w:space="0" w:color="auto"/>
        <w:right w:val="none" w:sz="0" w:space="0" w:color="auto"/>
      </w:divBdr>
    </w:div>
    <w:div w:id="239946874">
      <w:bodyDiv w:val="1"/>
      <w:marLeft w:val="0"/>
      <w:marRight w:val="0"/>
      <w:marTop w:val="0"/>
      <w:marBottom w:val="0"/>
      <w:divBdr>
        <w:top w:val="none" w:sz="0" w:space="0" w:color="auto"/>
        <w:left w:val="none" w:sz="0" w:space="0" w:color="auto"/>
        <w:bottom w:val="none" w:sz="0" w:space="0" w:color="auto"/>
        <w:right w:val="none" w:sz="0" w:space="0" w:color="auto"/>
      </w:divBdr>
    </w:div>
    <w:div w:id="253366966">
      <w:bodyDiv w:val="1"/>
      <w:marLeft w:val="0"/>
      <w:marRight w:val="0"/>
      <w:marTop w:val="0"/>
      <w:marBottom w:val="0"/>
      <w:divBdr>
        <w:top w:val="none" w:sz="0" w:space="0" w:color="auto"/>
        <w:left w:val="none" w:sz="0" w:space="0" w:color="auto"/>
        <w:bottom w:val="none" w:sz="0" w:space="0" w:color="auto"/>
        <w:right w:val="none" w:sz="0" w:space="0" w:color="auto"/>
      </w:divBdr>
    </w:div>
    <w:div w:id="283582808">
      <w:bodyDiv w:val="1"/>
      <w:marLeft w:val="0"/>
      <w:marRight w:val="0"/>
      <w:marTop w:val="0"/>
      <w:marBottom w:val="0"/>
      <w:divBdr>
        <w:top w:val="none" w:sz="0" w:space="0" w:color="auto"/>
        <w:left w:val="none" w:sz="0" w:space="0" w:color="auto"/>
        <w:bottom w:val="none" w:sz="0" w:space="0" w:color="auto"/>
        <w:right w:val="none" w:sz="0" w:space="0" w:color="auto"/>
      </w:divBdr>
    </w:div>
    <w:div w:id="479926902">
      <w:bodyDiv w:val="1"/>
      <w:marLeft w:val="0"/>
      <w:marRight w:val="0"/>
      <w:marTop w:val="0"/>
      <w:marBottom w:val="0"/>
      <w:divBdr>
        <w:top w:val="none" w:sz="0" w:space="0" w:color="auto"/>
        <w:left w:val="none" w:sz="0" w:space="0" w:color="auto"/>
        <w:bottom w:val="none" w:sz="0" w:space="0" w:color="auto"/>
        <w:right w:val="none" w:sz="0" w:space="0" w:color="auto"/>
      </w:divBdr>
    </w:div>
    <w:div w:id="519390715">
      <w:bodyDiv w:val="1"/>
      <w:marLeft w:val="0"/>
      <w:marRight w:val="0"/>
      <w:marTop w:val="0"/>
      <w:marBottom w:val="0"/>
      <w:divBdr>
        <w:top w:val="none" w:sz="0" w:space="0" w:color="auto"/>
        <w:left w:val="none" w:sz="0" w:space="0" w:color="auto"/>
        <w:bottom w:val="none" w:sz="0" w:space="0" w:color="auto"/>
        <w:right w:val="none" w:sz="0" w:space="0" w:color="auto"/>
      </w:divBdr>
    </w:div>
    <w:div w:id="545332960">
      <w:bodyDiv w:val="1"/>
      <w:marLeft w:val="0"/>
      <w:marRight w:val="0"/>
      <w:marTop w:val="0"/>
      <w:marBottom w:val="0"/>
      <w:divBdr>
        <w:top w:val="none" w:sz="0" w:space="0" w:color="auto"/>
        <w:left w:val="none" w:sz="0" w:space="0" w:color="auto"/>
        <w:bottom w:val="none" w:sz="0" w:space="0" w:color="auto"/>
        <w:right w:val="none" w:sz="0" w:space="0" w:color="auto"/>
      </w:divBdr>
    </w:div>
    <w:div w:id="553395427">
      <w:bodyDiv w:val="1"/>
      <w:marLeft w:val="0"/>
      <w:marRight w:val="0"/>
      <w:marTop w:val="0"/>
      <w:marBottom w:val="0"/>
      <w:divBdr>
        <w:top w:val="none" w:sz="0" w:space="0" w:color="auto"/>
        <w:left w:val="none" w:sz="0" w:space="0" w:color="auto"/>
        <w:bottom w:val="none" w:sz="0" w:space="0" w:color="auto"/>
        <w:right w:val="none" w:sz="0" w:space="0" w:color="auto"/>
      </w:divBdr>
    </w:div>
    <w:div w:id="583148100">
      <w:bodyDiv w:val="1"/>
      <w:marLeft w:val="0"/>
      <w:marRight w:val="0"/>
      <w:marTop w:val="0"/>
      <w:marBottom w:val="0"/>
      <w:divBdr>
        <w:top w:val="none" w:sz="0" w:space="0" w:color="auto"/>
        <w:left w:val="none" w:sz="0" w:space="0" w:color="auto"/>
        <w:bottom w:val="none" w:sz="0" w:space="0" w:color="auto"/>
        <w:right w:val="none" w:sz="0" w:space="0" w:color="auto"/>
      </w:divBdr>
    </w:div>
    <w:div w:id="659239871">
      <w:bodyDiv w:val="1"/>
      <w:marLeft w:val="0"/>
      <w:marRight w:val="0"/>
      <w:marTop w:val="0"/>
      <w:marBottom w:val="0"/>
      <w:divBdr>
        <w:top w:val="none" w:sz="0" w:space="0" w:color="auto"/>
        <w:left w:val="none" w:sz="0" w:space="0" w:color="auto"/>
        <w:bottom w:val="none" w:sz="0" w:space="0" w:color="auto"/>
        <w:right w:val="none" w:sz="0" w:space="0" w:color="auto"/>
      </w:divBdr>
    </w:div>
    <w:div w:id="689768704">
      <w:bodyDiv w:val="1"/>
      <w:marLeft w:val="0"/>
      <w:marRight w:val="0"/>
      <w:marTop w:val="0"/>
      <w:marBottom w:val="0"/>
      <w:divBdr>
        <w:top w:val="none" w:sz="0" w:space="0" w:color="auto"/>
        <w:left w:val="none" w:sz="0" w:space="0" w:color="auto"/>
        <w:bottom w:val="none" w:sz="0" w:space="0" w:color="auto"/>
        <w:right w:val="none" w:sz="0" w:space="0" w:color="auto"/>
      </w:divBdr>
    </w:div>
    <w:div w:id="694306354">
      <w:bodyDiv w:val="1"/>
      <w:marLeft w:val="0"/>
      <w:marRight w:val="0"/>
      <w:marTop w:val="0"/>
      <w:marBottom w:val="0"/>
      <w:divBdr>
        <w:top w:val="none" w:sz="0" w:space="0" w:color="auto"/>
        <w:left w:val="none" w:sz="0" w:space="0" w:color="auto"/>
        <w:bottom w:val="none" w:sz="0" w:space="0" w:color="auto"/>
        <w:right w:val="none" w:sz="0" w:space="0" w:color="auto"/>
      </w:divBdr>
    </w:div>
    <w:div w:id="730614933">
      <w:bodyDiv w:val="1"/>
      <w:marLeft w:val="0"/>
      <w:marRight w:val="0"/>
      <w:marTop w:val="0"/>
      <w:marBottom w:val="0"/>
      <w:divBdr>
        <w:top w:val="none" w:sz="0" w:space="0" w:color="auto"/>
        <w:left w:val="none" w:sz="0" w:space="0" w:color="auto"/>
        <w:bottom w:val="none" w:sz="0" w:space="0" w:color="auto"/>
        <w:right w:val="none" w:sz="0" w:space="0" w:color="auto"/>
      </w:divBdr>
    </w:div>
    <w:div w:id="779304556">
      <w:bodyDiv w:val="1"/>
      <w:marLeft w:val="0"/>
      <w:marRight w:val="0"/>
      <w:marTop w:val="0"/>
      <w:marBottom w:val="0"/>
      <w:divBdr>
        <w:top w:val="none" w:sz="0" w:space="0" w:color="auto"/>
        <w:left w:val="none" w:sz="0" w:space="0" w:color="auto"/>
        <w:bottom w:val="none" w:sz="0" w:space="0" w:color="auto"/>
        <w:right w:val="none" w:sz="0" w:space="0" w:color="auto"/>
      </w:divBdr>
    </w:div>
    <w:div w:id="787969580">
      <w:bodyDiv w:val="1"/>
      <w:marLeft w:val="0"/>
      <w:marRight w:val="0"/>
      <w:marTop w:val="0"/>
      <w:marBottom w:val="0"/>
      <w:divBdr>
        <w:top w:val="none" w:sz="0" w:space="0" w:color="auto"/>
        <w:left w:val="none" w:sz="0" w:space="0" w:color="auto"/>
        <w:bottom w:val="none" w:sz="0" w:space="0" w:color="auto"/>
        <w:right w:val="none" w:sz="0" w:space="0" w:color="auto"/>
      </w:divBdr>
    </w:div>
    <w:div w:id="840586717">
      <w:bodyDiv w:val="1"/>
      <w:marLeft w:val="0"/>
      <w:marRight w:val="0"/>
      <w:marTop w:val="0"/>
      <w:marBottom w:val="0"/>
      <w:divBdr>
        <w:top w:val="none" w:sz="0" w:space="0" w:color="auto"/>
        <w:left w:val="none" w:sz="0" w:space="0" w:color="auto"/>
        <w:bottom w:val="none" w:sz="0" w:space="0" w:color="auto"/>
        <w:right w:val="none" w:sz="0" w:space="0" w:color="auto"/>
      </w:divBdr>
    </w:div>
    <w:div w:id="845290201">
      <w:bodyDiv w:val="1"/>
      <w:marLeft w:val="0"/>
      <w:marRight w:val="0"/>
      <w:marTop w:val="0"/>
      <w:marBottom w:val="0"/>
      <w:divBdr>
        <w:top w:val="none" w:sz="0" w:space="0" w:color="auto"/>
        <w:left w:val="none" w:sz="0" w:space="0" w:color="auto"/>
        <w:bottom w:val="none" w:sz="0" w:space="0" w:color="auto"/>
        <w:right w:val="none" w:sz="0" w:space="0" w:color="auto"/>
      </w:divBdr>
    </w:div>
    <w:div w:id="899755122">
      <w:bodyDiv w:val="1"/>
      <w:marLeft w:val="0"/>
      <w:marRight w:val="0"/>
      <w:marTop w:val="0"/>
      <w:marBottom w:val="0"/>
      <w:divBdr>
        <w:top w:val="none" w:sz="0" w:space="0" w:color="auto"/>
        <w:left w:val="none" w:sz="0" w:space="0" w:color="auto"/>
        <w:bottom w:val="none" w:sz="0" w:space="0" w:color="auto"/>
        <w:right w:val="none" w:sz="0" w:space="0" w:color="auto"/>
      </w:divBdr>
    </w:div>
    <w:div w:id="911280008">
      <w:bodyDiv w:val="1"/>
      <w:marLeft w:val="0"/>
      <w:marRight w:val="0"/>
      <w:marTop w:val="0"/>
      <w:marBottom w:val="0"/>
      <w:divBdr>
        <w:top w:val="none" w:sz="0" w:space="0" w:color="auto"/>
        <w:left w:val="none" w:sz="0" w:space="0" w:color="auto"/>
        <w:bottom w:val="none" w:sz="0" w:space="0" w:color="auto"/>
        <w:right w:val="none" w:sz="0" w:space="0" w:color="auto"/>
      </w:divBdr>
    </w:div>
    <w:div w:id="919561059">
      <w:bodyDiv w:val="1"/>
      <w:marLeft w:val="0"/>
      <w:marRight w:val="0"/>
      <w:marTop w:val="0"/>
      <w:marBottom w:val="0"/>
      <w:divBdr>
        <w:top w:val="none" w:sz="0" w:space="0" w:color="auto"/>
        <w:left w:val="none" w:sz="0" w:space="0" w:color="auto"/>
        <w:bottom w:val="none" w:sz="0" w:space="0" w:color="auto"/>
        <w:right w:val="none" w:sz="0" w:space="0" w:color="auto"/>
      </w:divBdr>
    </w:div>
    <w:div w:id="921374219">
      <w:bodyDiv w:val="1"/>
      <w:marLeft w:val="0"/>
      <w:marRight w:val="0"/>
      <w:marTop w:val="0"/>
      <w:marBottom w:val="0"/>
      <w:divBdr>
        <w:top w:val="none" w:sz="0" w:space="0" w:color="auto"/>
        <w:left w:val="none" w:sz="0" w:space="0" w:color="auto"/>
        <w:bottom w:val="none" w:sz="0" w:space="0" w:color="auto"/>
        <w:right w:val="none" w:sz="0" w:space="0" w:color="auto"/>
      </w:divBdr>
    </w:div>
    <w:div w:id="926228685">
      <w:bodyDiv w:val="1"/>
      <w:marLeft w:val="0"/>
      <w:marRight w:val="0"/>
      <w:marTop w:val="0"/>
      <w:marBottom w:val="0"/>
      <w:divBdr>
        <w:top w:val="none" w:sz="0" w:space="0" w:color="auto"/>
        <w:left w:val="none" w:sz="0" w:space="0" w:color="auto"/>
        <w:bottom w:val="none" w:sz="0" w:space="0" w:color="auto"/>
        <w:right w:val="none" w:sz="0" w:space="0" w:color="auto"/>
      </w:divBdr>
    </w:div>
    <w:div w:id="932007430">
      <w:bodyDiv w:val="1"/>
      <w:marLeft w:val="0"/>
      <w:marRight w:val="0"/>
      <w:marTop w:val="0"/>
      <w:marBottom w:val="0"/>
      <w:divBdr>
        <w:top w:val="none" w:sz="0" w:space="0" w:color="auto"/>
        <w:left w:val="none" w:sz="0" w:space="0" w:color="auto"/>
        <w:bottom w:val="none" w:sz="0" w:space="0" w:color="auto"/>
        <w:right w:val="none" w:sz="0" w:space="0" w:color="auto"/>
      </w:divBdr>
    </w:div>
    <w:div w:id="992833591">
      <w:bodyDiv w:val="1"/>
      <w:marLeft w:val="0"/>
      <w:marRight w:val="0"/>
      <w:marTop w:val="0"/>
      <w:marBottom w:val="0"/>
      <w:divBdr>
        <w:top w:val="none" w:sz="0" w:space="0" w:color="auto"/>
        <w:left w:val="none" w:sz="0" w:space="0" w:color="auto"/>
        <w:bottom w:val="none" w:sz="0" w:space="0" w:color="auto"/>
        <w:right w:val="none" w:sz="0" w:space="0" w:color="auto"/>
      </w:divBdr>
    </w:div>
    <w:div w:id="1021398007">
      <w:bodyDiv w:val="1"/>
      <w:marLeft w:val="0"/>
      <w:marRight w:val="0"/>
      <w:marTop w:val="0"/>
      <w:marBottom w:val="0"/>
      <w:divBdr>
        <w:top w:val="none" w:sz="0" w:space="0" w:color="auto"/>
        <w:left w:val="none" w:sz="0" w:space="0" w:color="auto"/>
        <w:bottom w:val="none" w:sz="0" w:space="0" w:color="auto"/>
        <w:right w:val="none" w:sz="0" w:space="0" w:color="auto"/>
      </w:divBdr>
    </w:div>
    <w:div w:id="1109470796">
      <w:bodyDiv w:val="1"/>
      <w:marLeft w:val="0"/>
      <w:marRight w:val="0"/>
      <w:marTop w:val="0"/>
      <w:marBottom w:val="0"/>
      <w:divBdr>
        <w:top w:val="none" w:sz="0" w:space="0" w:color="auto"/>
        <w:left w:val="none" w:sz="0" w:space="0" w:color="auto"/>
        <w:bottom w:val="none" w:sz="0" w:space="0" w:color="auto"/>
        <w:right w:val="none" w:sz="0" w:space="0" w:color="auto"/>
      </w:divBdr>
    </w:div>
    <w:div w:id="1120880607">
      <w:bodyDiv w:val="1"/>
      <w:marLeft w:val="0"/>
      <w:marRight w:val="0"/>
      <w:marTop w:val="0"/>
      <w:marBottom w:val="0"/>
      <w:divBdr>
        <w:top w:val="none" w:sz="0" w:space="0" w:color="auto"/>
        <w:left w:val="none" w:sz="0" w:space="0" w:color="auto"/>
        <w:bottom w:val="none" w:sz="0" w:space="0" w:color="auto"/>
        <w:right w:val="none" w:sz="0" w:space="0" w:color="auto"/>
      </w:divBdr>
    </w:div>
    <w:div w:id="1127889184">
      <w:bodyDiv w:val="1"/>
      <w:marLeft w:val="0"/>
      <w:marRight w:val="0"/>
      <w:marTop w:val="0"/>
      <w:marBottom w:val="0"/>
      <w:divBdr>
        <w:top w:val="none" w:sz="0" w:space="0" w:color="auto"/>
        <w:left w:val="none" w:sz="0" w:space="0" w:color="auto"/>
        <w:bottom w:val="none" w:sz="0" w:space="0" w:color="auto"/>
        <w:right w:val="none" w:sz="0" w:space="0" w:color="auto"/>
      </w:divBdr>
    </w:div>
    <w:div w:id="1167743119">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245409338">
      <w:bodyDiv w:val="1"/>
      <w:marLeft w:val="0"/>
      <w:marRight w:val="0"/>
      <w:marTop w:val="0"/>
      <w:marBottom w:val="0"/>
      <w:divBdr>
        <w:top w:val="none" w:sz="0" w:space="0" w:color="auto"/>
        <w:left w:val="none" w:sz="0" w:space="0" w:color="auto"/>
        <w:bottom w:val="none" w:sz="0" w:space="0" w:color="auto"/>
        <w:right w:val="none" w:sz="0" w:space="0" w:color="auto"/>
      </w:divBdr>
      <w:divsChild>
        <w:div w:id="194319120">
          <w:marLeft w:val="0"/>
          <w:marRight w:val="0"/>
          <w:marTop w:val="0"/>
          <w:marBottom w:val="0"/>
          <w:divBdr>
            <w:top w:val="none" w:sz="0" w:space="0" w:color="auto"/>
            <w:left w:val="none" w:sz="0" w:space="0" w:color="auto"/>
            <w:bottom w:val="none" w:sz="0" w:space="0" w:color="auto"/>
            <w:right w:val="none" w:sz="0" w:space="0" w:color="auto"/>
          </w:divBdr>
        </w:div>
      </w:divsChild>
    </w:div>
    <w:div w:id="1312060529">
      <w:bodyDiv w:val="1"/>
      <w:marLeft w:val="0"/>
      <w:marRight w:val="0"/>
      <w:marTop w:val="0"/>
      <w:marBottom w:val="0"/>
      <w:divBdr>
        <w:top w:val="none" w:sz="0" w:space="0" w:color="auto"/>
        <w:left w:val="none" w:sz="0" w:space="0" w:color="auto"/>
        <w:bottom w:val="none" w:sz="0" w:space="0" w:color="auto"/>
        <w:right w:val="none" w:sz="0" w:space="0" w:color="auto"/>
      </w:divBdr>
    </w:div>
    <w:div w:id="1319307303">
      <w:bodyDiv w:val="1"/>
      <w:marLeft w:val="0"/>
      <w:marRight w:val="0"/>
      <w:marTop w:val="0"/>
      <w:marBottom w:val="0"/>
      <w:divBdr>
        <w:top w:val="none" w:sz="0" w:space="0" w:color="auto"/>
        <w:left w:val="none" w:sz="0" w:space="0" w:color="auto"/>
        <w:bottom w:val="none" w:sz="0" w:space="0" w:color="auto"/>
        <w:right w:val="none" w:sz="0" w:space="0" w:color="auto"/>
      </w:divBdr>
    </w:div>
    <w:div w:id="1342973032">
      <w:bodyDiv w:val="1"/>
      <w:marLeft w:val="0"/>
      <w:marRight w:val="0"/>
      <w:marTop w:val="0"/>
      <w:marBottom w:val="0"/>
      <w:divBdr>
        <w:top w:val="none" w:sz="0" w:space="0" w:color="auto"/>
        <w:left w:val="none" w:sz="0" w:space="0" w:color="auto"/>
        <w:bottom w:val="none" w:sz="0" w:space="0" w:color="auto"/>
        <w:right w:val="none" w:sz="0" w:space="0" w:color="auto"/>
      </w:divBdr>
    </w:div>
    <w:div w:id="1369257920">
      <w:bodyDiv w:val="1"/>
      <w:marLeft w:val="0"/>
      <w:marRight w:val="0"/>
      <w:marTop w:val="0"/>
      <w:marBottom w:val="0"/>
      <w:divBdr>
        <w:top w:val="none" w:sz="0" w:space="0" w:color="auto"/>
        <w:left w:val="none" w:sz="0" w:space="0" w:color="auto"/>
        <w:bottom w:val="none" w:sz="0" w:space="0" w:color="auto"/>
        <w:right w:val="none" w:sz="0" w:space="0" w:color="auto"/>
      </w:divBdr>
    </w:div>
    <w:div w:id="1388337695">
      <w:bodyDiv w:val="1"/>
      <w:marLeft w:val="0"/>
      <w:marRight w:val="0"/>
      <w:marTop w:val="0"/>
      <w:marBottom w:val="0"/>
      <w:divBdr>
        <w:top w:val="none" w:sz="0" w:space="0" w:color="auto"/>
        <w:left w:val="none" w:sz="0" w:space="0" w:color="auto"/>
        <w:bottom w:val="none" w:sz="0" w:space="0" w:color="auto"/>
        <w:right w:val="none" w:sz="0" w:space="0" w:color="auto"/>
      </w:divBdr>
    </w:div>
    <w:div w:id="1388725305">
      <w:bodyDiv w:val="1"/>
      <w:marLeft w:val="0"/>
      <w:marRight w:val="0"/>
      <w:marTop w:val="0"/>
      <w:marBottom w:val="0"/>
      <w:divBdr>
        <w:top w:val="none" w:sz="0" w:space="0" w:color="auto"/>
        <w:left w:val="none" w:sz="0" w:space="0" w:color="auto"/>
        <w:bottom w:val="none" w:sz="0" w:space="0" w:color="auto"/>
        <w:right w:val="none" w:sz="0" w:space="0" w:color="auto"/>
      </w:divBdr>
    </w:div>
    <w:div w:id="1423840254">
      <w:bodyDiv w:val="1"/>
      <w:marLeft w:val="0"/>
      <w:marRight w:val="0"/>
      <w:marTop w:val="0"/>
      <w:marBottom w:val="0"/>
      <w:divBdr>
        <w:top w:val="none" w:sz="0" w:space="0" w:color="auto"/>
        <w:left w:val="none" w:sz="0" w:space="0" w:color="auto"/>
        <w:bottom w:val="none" w:sz="0" w:space="0" w:color="auto"/>
        <w:right w:val="none" w:sz="0" w:space="0" w:color="auto"/>
      </w:divBdr>
    </w:div>
    <w:div w:id="1470634422">
      <w:bodyDiv w:val="1"/>
      <w:marLeft w:val="0"/>
      <w:marRight w:val="0"/>
      <w:marTop w:val="0"/>
      <w:marBottom w:val="0"/>
      <w:divBdr>
        <w:top w:val="none" w:sz="0" w:space="0" w:color="auto"/>
        <w:left w:val="none" w:sz="0" w:space="0" w:color="auto"/>
        <w:bottom w:val="none" w:sz="0" w:space="0" w:color="auto"/>
        <w:right w:val="none" w:sz="0" w:space="0" w:color="auto"/>
      </w:divBdr>
    </w:div>
    <w:div w:id="1477457285">
      <w:bodyDiv w:val="1"/>
      <w:marLeft w:val="0"/>
      <w:marRight w:val="0"/>
      <w:marTop w:val="0"/>
      <w:marBottom w:val="0"/>
      <w:divBdr>
        <w:top w:val="none" w:sz="0" w:space="0" w:color="auto"/>
        <w:left w:val="none" w:sz="0" w:space="0" w:color="auto"/>
        <w:bottom w:val="none" w:sz="0" w:space="0" w:color="auto"/>
        <w:right w:val="none" w:sz="0" w:space="0" w:color="auto"/>
      </w:divBdr>
    </w:div>
    <w:div w:id="1518077533">
      <w:bodyDiv w:val="1"/>
      <w:marLeft w:val="0"/>
      <w:marRight w:val="0"/>
      <w:marTop w:val="0"/>
      <w:marBottom w:val="0"/>
      <w:divBdr>
        <w:top w:val="none" w:sz="0" w:space="0" w:color="auto"/>
        <w:left w:val="none" w:sz="0" w:space="0" w:color="auto"/>
        <w:bottom w:val="none" w:sz="0" w:space="0" w:color="auto"/>
        <w:right w:val="none" w:sz="0" w:space="0" w:color="auto"/>
      </w:divBdr>
    </w:div>
    <w:div w:id="1551577621">
      <w:bodyDiv w:val="1"/>
      <w:marLeft w:val="0"/>
      <w:marRight w:val="0"/>
      <w:marTop w:val="0"/>
      <w:marBottom w:val="0"/>
      <w:divBdr>
        <w:top w:val="none" w:sz="0" w:space="0" w:color="auto"/>
        <w:left w:val="none" w:sz="0" w:space="0" w:color="auto"/>
        <w:bottom w:val="none" w:sz="0" w:space="0" w:color="auto"/>
        <w:right w:val="none" w:sz="0" w:space="0" w:color="auto"/>
      </w:divBdr>
    </w:div>
    <w:div w:id="1643387827">
      <w:bodyDiv w:val="1"/>
      <w:marLeft w:val="0"/>
      <w:marRight w:val="0"/>
      <w:marTop w:val="0"/>
      <w:marBottom w:val="0"/>
      <w:divBdr>
        <w:top w:val="none" w:sz="0" w:space="0" w:color="auto"/>
        <w:left w:val="none" w:sz="0" w:space="0" w:color="auto"/>
        <w:bottom w:val="none" w:sz="0" w:space="0" w:color="auto"/>
        <w:right w:val="none" w:sz="0" w:space="0" w:color="auto"/>
      </w:divBdr>
    </w:div>
    <w:div w:id="1673799274">
      <w:bodyDiv w:val="1"/>
      <w:marLeft w:val="0"/>
      <w:marRight w:val="0"/>
      <w:marTop w:val="0"/>
      <w:marBottom w:val="0"/>
      <w:divBdr>
        <w:top w:val="none" w:sz="0" w:space="0" w:color="auto"/>
        <w:left w:val="none" w:sz="0" w:space="0" w:color="auto"/>
        <w:bottom w:val="none" w:sz="0" w:space="0" w:color="auto"/>
        <w:right w:val="none" w:sz="0" w:space="0" w:color="auto"/>
      </w:divBdr>
      <w:divsChild>
        <w:div w:id="1774326778">
          <w:marLeft w:val="0"/>
          <w:marRight w:val="0"/>
          <w:marTop w:val="0"/>
          <w:marBottom w:val="0"/>
          <w:divBdr>
            <w:top w:val="none" w:sz="0" w:space="0" w:color="auto"/>
            <w:left w:val="none" w:sz="0" w:space="0" w:color="auto"/>
            <w:bottom w:val="none" w:sz="0" w:space="0" w:color="auto"/>
            <w:right w:val="none" w:sz="0" w:space="0" w:color="auto"/>
          </w:divBdr>
          <w:divsChild>
            <w:div w:id="1081371114">
              <w:marLeft w:val="0"/>
              <w:marRight w:val="0"/>
              <w:marTop w:val="0"/>
              <w:marBottom w:val="0"/>
              <w:divBdr>
                <w:top w:val="none" w:sz="0" w:space="0" w:color="auto"/>
                <w:left w:val="none" w:sz="0" w:space="0" w:color="auto"/>
                <w:bottom w:val="none" w:sz="0" w:space="0" w:color="auto"/>
                <w:right w:val="none" w:sz="0" w:space="0" w:color="auto"/>
              </w:divBdr>
              <w:divsChild>
                <w:div w:id="194591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959899">
      <w:bodyDiv w:val="1"/>
      <w:marLeft w:val="0"/>
      <w:marRight w:val="0"/>
      <w:marTop w:val="0"/>
      <w:marBottom w:val="0"/>
      <w:divBdr>
        <w:top w:val="none" w:sz="0" w:space="0" w:color="auto"/>
        <w:left w:val="none" w:sz="0" w:space="0" w:color="auto"/>
        <w:bottom w:val="none" w:sz="0" w:space="0" w:color="auto"/>
        <w:right w:val="none" w:sz="0" w:space="0" w:color="auto"/>
      </w:divBdr>
    </w:div>
    <w:div w:id="1677876496">
      <w:bodyDiv w:val="1"/>
      <w:marLeft w:val="0"/>
      <w:marRight w:val="0"/>
      <w:marTop w:val="0"/>
      <w:marBottom w:val="0"/>
      <w:divBdr>
        <w:top w:val="none" w:sz="0" w:space="0" w:color="auto"/>
        <w:left w:val="none" w:sz="0" w:space="0" w:color="auto"/>
        <w:bottom w:val="none" w:sz="0" w:space="0" w:color="auto"/>
        <w:right w:val="none" w:sz="0" w:space="0" w:color="auto"/>
      </w:divBdr>
    </w:div>
    <w:div w:id="1722973078">
      <w:bodyDiv w:val="1"/>
      <w:marLeft w:val="0"/>
      <w:marRight w:val="0"/>
      <w:marTop w:val="0"/>
      <w:marBottom w:val="0"/>
      <w:divBdr>
        <w:top w:val="none" w:sz="0" w:space="0" w:color="auto"/>
        <w:left w:val="none" w:sz="0" w:space="0" w:color="auto"/>
        <w:bottom w:val="none" w:sz="0" w:space="0" w:color="auto"/>
        <w:right w:val="none" w:sz="0" w:space="0" w:color="auto"/>
      </w:divBdr>
    </w:div>
    <w:div w:id="1798252226">
      <w:bodyDiv w:val="1"/>
      <w:marLeft w:val="0"/>
      <w:marRight w:val="0"/>
      <w:marTop w:val="0"/>
      <w:marBottom w:val="0"/>
      <w:divBdr>
        <w:top w:val="none" w:sz="0" w:space="0" w:color="auto"/>
        <w:left w:val="none" w:sz="0" w:space="0" w:color="auto"/>
        <w:bottom w:val="none" w:sz="0" w:space="0" w:color="auto"/>
        <w:right w:val="none" w:sz="0" w:space="0" w:color="auto"/>
      </w:divBdr>
      <w:divsChild>
        <w:div w:id="1263609217">
          <w:marLeft w:val="0"/>
          <w:marRight w:val="0"/>
          <w:marTop w:val="0"/>
          <w:marBottom w:val="0"/>
          <w:divBdr>
            <w:top w:val="none" w:sz="0" w:space="0" w:color="auto"/>
            <w:left w:val="none" w:sz="0" w:space="0" w:color="auto"/>
            <w:bottom w:val="none" w:sz="0" w:space="0" w:color="auto"/>
            <w:right w:val="none" w:sz="0" w:space="0" w:color="auto"/>
          </w:divBdr>
        </w:div>
      </w:divsChild>
    </w:div>
    <w:div w:id="1832019441">
      <w:bodyDiv w:val="1"/>
      <w:marLeft w:val="0"/>
      <w:marRight w:val="0"/>
      <w:marTop w:val="0"/>
      <w:marBottom w:val="0"/>
      <w:divBdr>
        <w:top w:val="none" w:sz="0" w:space="0" w:color="auto"/>
        <w:left w:val="none" w:sz="0" w:space="0" w:color="auto"/>
        <w:bottom w:val="none" w:sz="0" w:space="0" w:color="auto"/>
        <w:right w:val="none" w:sz="0" w:space="0" w:color="auto"/>
      </w:divBdr>
    </w:div>
    <w:div w:id="1835535374">
      <w:bodyDiv w:val="1"/>
      <w:marLeft w:val="0"/>
      <w:marRight w:val="0"/>
      <w:marTop w:val="0"/>
      <w:marBottom w:val="0"/>
      <w:divBdr>
        <w:top w:val="none" w:sz="0" w:space="0" w:color="auto"/>
        <w:left w:val="none" w:sz="0" w:space="0" w:color="auto"/>
        <w:bottom w:val="none" w:sz="0" w:space="0" w:color="auto"/>
        <w:right w:val="none" w:sz="0" w:space="0" w:color="auto"/>
      </w:divBdr>
    </w:div>
    <w:div w:id="1856993657">
      <w:bodyDiv w:val="1"/>
      <w:marLeft w:val="0"/>
      <w:marRight w:val="0"/>
      <w:marTop w:val="0"/>
      <w:marBottom w:val="0"/>
      <w:divBdr>
        <w:top w:val="none" w:sz="0" w:space="0" w:color="auto"/>
        <w:left w:val="none" w:sz="0" w:space="0" w:color="auto"/>
        <w:bottom w:val="none" w:sz="0" w:space="0" w:color="auto"/>
        <w:right w:val="none" w:sz="0" w:space="0" w:color="auto"/>
      </w:divBdr>
    </w:div>
    <w:div w:id="1860389515">
      <w:bodyDiv w:val="1"/>
      <w:marLeft w:val="0"/>
      <w:marRight w:val="0"/>
      <w:marTop w:val="0"/>
      <w:marBottom w:val="0"/>
      <w:divBdr>
        <w:top w:val="none" w:sz="0" w:space="0" w:color="auto"/>
        <w:left w:val="none" w:sz="0" w:space="0" w:color="auto"/>
        <w:bottom w:val="none" w:sz="0" w:space="0" w:color="auto"/>
        <w:right w:val="none" w:sz="0" w:space="0" w:color="auto"/>
      </w:divBdr>
    </w:div>
    <w:div w:id="1900549444">
      <w:bodyDiv w:val="1"/>
      <w:marLeft w:val="0"/>
      <w:marRight w:val="0"/>
      <w:marTop w:val="0"/>
      <w:marBottom w:val="0"/>
      <w:divBdr>
        <w:top w:val="none" w:sz="0" w:space="0" w:color="auto"/>
        <w:left w:val="none" w:sz="0" w:space="0" w:color="auto"/>
        <w:bottom w:val="none" w:sz="0" w:space="0" w:color="auto"/>
        <w:right w:val="none" w:sz="0" w:space="0" w:color="auto"/>
      </w:divBdr>
    </w:div>
    <w:div w:id="1942488787">
      <w:bodyDiv w:val="1"/>
      <w:marLeft w:val="0"/>
      <w:marRight w:val="0"/>
      <w:marTop w:val="0"/>
      <w:marBottom w:val="0"/>
      <w:divBdr>
        <w:top w:val="none" w:sz="0" w:space="0" w:color="auto"/>
        <w:left w:val="none" w:sz="0" w:space="0" w:color="auto"/>
        <w:bottom w:val="none" w:sz="0" w:space="0" w:color="auto"/>
        <w:right w:val="none" w:sz="0" w:space="0" w:color="auto"/>
      </w:divBdr>
    </w:div>
    <w:div w:id="2096585595">
      <w:bodyDiv w:val="1"/>
      <w:marLeft w:val="0"/>
      <w:marRight w:val="0"/>
      <w:marTop w:val="0"/>
      <w:marBottom w:val="0"/>
      <w:divBdr>
        <w:top w:val="none" w:sz="0" w:space="0" w:color="auto"/>
        <w:left w:val="none" w:sz="0" w:space="0" w:color="auto"/>
        <w:bottom w:val="none" w:sz="0" w:space="0" w:color="auto"/>
        <w:right w:val="none" w:sz="0" w:space="0" w:color="auto"/>
      </w:divBdr>
    </w:div>
    <w:div w:id="210823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hyperlink" Target="https://www.lancsfirerescue.org.uk/annual-service-plan-2023-24/"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lancsfirerescue.org.uk/publication/strategic-assessment-of-ris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ancsfirerescue.org.uk/community-risk-management-plan-2022-2027/"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ancsfirerescue.org.uk/wp-content/uploads/2018/04/Code-of-Corporate-Governance.pdf)"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file:///\\L031\shqfincommon\2022-23\Year%20End\www.frc.org.uk\auditorsresponsibiliti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L031\shqfincommon\2022-23\Year%20End\Transactions\Code%20Combination%20by%20Period%20YT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L031\shqfincommon\2022-23\Year%20End\Transactions\Code%20Combination%20by%20Period%20YTD.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a:latin typeface="Arial" panose="020B0604020202020204" pitchFamily="34" charset="0"/>
                <a:cs typeface="Arial" panose="020B0604020202020204" pitchFamily="34" charset="0"/>
              </a:rPr>
              <a:t>Expenditure Analysis</a:t>
            </a:r>
            <a:r>
              <a:rPr lang="en-US" sz="1200" baseline="0">
                <a:latin typeface="Arial" panose="020B0604020202020204" pitchFamily="34" charset="0"/>
                <a:cs typeface="Arial" panose="020B0604020202020204" pitchFamily="34" charset="0"/>
              </a:rPr>
              <a:t> </a:t>
            </a:r>
          </a:p>
          <a:p>
            <a:pPr>
              <a:defRPr sz="1200">
                <a:latin typeface="Arial" panose="020B0604020202020204" pitchFamily="34" charset="0"/>
                <a:cs typeface="Arial" panose="020B0604020202020204" pitchFamily="34" charset="0"/>
              </a:defRPr>
            </a:pPr>
            <a:r>
              <a:rPr lang="en-US" sz="1200">
                <a:latin typeface="Arial" panose="020B0604020202020204" pitchFamily="34" charset="0"/>
                <a:cs typeface="Arial" panose="020B0604020202020204" pitchFamily="34" charset="0"/>
              </a:rPr>
              <a:t>2022/23</a:t>
            </a:r>
          </a:p>
        </c:rich>
      </c:tx>
      <c:layout>
        <c:manualLayout>
          <c:xMode val="edge"/>
          <c:yMode val="edge"/>
          <c:x val="0.23783594565897856"/>
          <c:y val="0"/>
        </c:manualLayout>
      </c:layout>
      <c:overlay val="0"/>
      <c:spPr>
        <a:noFill/>
        <a:ln>
          <a:noFill/>
        </a:ln>
        <a:effectLst/>
      </c:spPr>
      <c:txPr>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view3D>
      <c:rotX val="30"/>
      <c:rotY val="17"/>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'Narrative Rpt info'!$D$4</c:f>
              <c:strCache>
                <c:ptCount val="1"/>
                <c:pt idx="0">
                  <c:v>Spend</c:v>
                </c:pt>
              </c:strCache>
            </c:strRef>
          </c:tx>
          <c:explosion val="8"/>
          <c:dPt>
            <c:idx val="0"/>
            <c:bubble3D val="0"/>
            <c:explosion val="12"/>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0C1-47DF-B31B-3CE83E508D7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0C1-47DF-B31B-3CE83E508D75}"/>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70C1-47DF-B31B-3CE83E508D75}"/>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70C1-47DF-B31B-3CE83E508D75}"/>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70C1-47DF-B31B-3CE83E508D75}"/>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70C1-47DF-B31B-3CE83E508D75}"/>
              </c:ext>
            </c:extLst>
          </c:dPt>
          <c:dLbls>
            <c:dLbl>
              <c:idx val="0"/>
              <c:layout>
                <c:manualLayout>
                  <c:x val="3.6853877053148309E-3"/>
                  <c:y val="6.8030435032029601E-2"/>
                </c:manualLayout>
              </c:layout>
              <c:spPr>
                <a:noFill/>
                <a:ln>
                  <a:solidFill>
                    <a:schemeClr val="tx1"/>
                  </a:solidFill>
                </a:ln>
                <a:effectLst/>
              </c:spPr>
              <c:txPr>
                <a:bodyPr rot="0" spcFirstLastPara="1" vertOverflow="ellipsis" vert="horz" wrap="square" lIns="38100" tIns="19050" rIns="38100" bIns="19050" anchor="ctr" anchorCtr="1">
                  <a:noAutofit/>
                </a:bodyPr>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21825854928217134"/>
                      <c:h val="0.16980321760298095"/>
                    </c:manualLayout>
                  </c15:layout>
                </c:ext>
                <c:ext xmlns:c16="http://schemas.microsoft.com/office/drawing/2014/chart" uri="{C3380CC4-5D6E-409C-BE32-E72D297353CC}">
                  <c16:uniqueId val="{00000001-70C1-47DF-B31B-3CE83E508D75}"/>
                </c:ext>
              </c:extLst>
            </c:dLbl>
            <c:dLbl>
              <c:idx val="1"/>
              <c:layout>
                <c:manualLayout>
                  <c:x val="1.2818421340359196E-2"/>
                  <c:y val="0.27136887817897182"/>
                </c:manualLayout>
              </c:layout>
              <c:tx>
                <c:rich>
                  <a:bodyPr rot="0" spcFirstLastPara="1" vertOverflow="ellipsis" vert="horz" wrap="square" lIns="38100" tIns="19050" rIns="38100" bIns="19050" anchor="ctr" anchorCtr="1">
                    <a:noAutofit/>
                  </a:bodyPr>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fld id="{07FFD356-6179-481B-84D4-1D84A43A3AF5}" type="CATEGORYNAME">
                      <a:rPr lang="en-US" sz="1200">
                        <a:latin typeface="Arial" panose="020B0604020202020204" pitchFamily="34" charset="0"/>
                        <a:cs typeface="Arial" panose="020B0604020202020204" pitchFamily="34" charset="0"/>
                      </a:rPr>
                      <a:pPr>
                        <a:defRPr sz="1200" b="0">
                          <a:solidFill>
                            <a:sysClr val="windowText" lastClr="000000"/>
                          </a:solidFill>
                          <a:latin typeface="Arial" panose="020B0604020202020204" pitchFamily="34" charset="0"/>
                          <a:cs typeface="Arial" panose="020B0604020202020204" pitchFamily="34" charset="0"/>
                        </a:defRPr>
                      </a:pPr>
                      <a:t>[CATEGORY NAME]</a:t>
                    </a:fld>
                    <a:endParaRPr lang="en-GB"/>
                  </a:p>
                </c:rich>
              </c:tx>
              <c:spPr>
                <a:noFill/>
                <a:ln>
                  <a:solidFill>
                    <a:schemeClr val="tx1"/>
                  </a:solidFill>
                </a:ln>
                <a:effectLst/>
              </c:spPr>
              <c:txPr>
                <a:bodyPr rot="0" spcFirstLastPara="1" vertOverflow="ellipsis" vert="horz" wrap="square" lIns="38100" tIns="19050" rIns="38100" bIns="19050" anchor="ctr" anchorCtr="1">
                  <a:noAutofit/>
                </a:bodyPr>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22636065502207234"/>
                      <c:h val="0.195497259733725"/>
                    </c:manualLayout>
                  </c15:layout>
                  <c15:dlblFieldTable/>
                  <c15:showDataLabelsRange val="0"/>
                </c:ext>
                <c:ext xmlns:c16="http://schemas.microsoft.com/office/drawing/2014/chart" uri="{C3380CC4-5D6E-409C-BE32-E72D297353CC}">
                  <c16:uniqueId val="{00000003-70C1-47DF-B31B-3CE83E508D75}"/>
                </c:ext>
              </c:extLst>
            </c:dLbl>
            <c:dLbl>
              <c:idx val="2"/>
              <c:layout>
                <c:manualLayout>
                  <c:x val="-2.2236940913653087E-2"/>
                  <c:y val="-2.3350584201168496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0C1-47DF-B31B-3CE83E508D75}"/>
                </c:ext>
              </c:extLst>
            </c:dLbl>
            <c:dLbl>
              <c:idx val="3"/>
              <c:layout>
                <c:manualLayout>
                  <c:x val="-3.4724143680128494E-2"/>
                  <c:y val="-6.3784858306979192E-2"/>
                </c:manualLayout>
              </c:layout>
              <c:tx>
                <c:rich>
                  <a:bodyPr rot="0" spcFirstLastPara="1" vertOverflow="ellipsis" vert="horz" wrap="square" lIns="38100" tIns="19050" rIns="38100" bIns="19050" anchor="ctr" anchorCtr="1">
                    <a:noAutofit/>
                  </a:bodyPr>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fld id="{E1DE02C1-79DF-4C7B-A07B-BD5B2C074342}" type="CATEGORYNAME">
                      <a:rPr lang="en-US" sz="1200">
                        <a:latin typeface="Arial" panose="020B0604020202020204" pitchFamily="34" charset="0"/>
                        <a:cs typeface="Arial" panose="020B0604020202020204" pitchFamily="34" charset="0"/>
                      </a:rPr>
                      <a:pPr>
                        <a:defRPr sz="1200" b="0">
                          <a:solidFill>
                            <a:sysClr val="windowText" lastClr="000000"/>
                          </a:solidFill>
                          <a:latin typeface="Arial" panose="020B0604020202020204" pitchFamily="34" charset="0"/>
                          <a:cs typeface="Arial" panose="020B0604020202020204" pitchFamily="34" charset="0"/>
                        </a:defRPr>
                      </a:pPr>
                      <a:t>[CATEGORY NAME]</a:t>
                    </a:fld>
                    <a:endParaRPr lang="en-GB"/>
                  </a:p>
                </c:rich>
              </c:tx>
              <c:spPr>
                <a:noFill/>
                <a:ln>
                  <a:solidFill>
                    <a:schemeClr val="tx1"/>
                  </a:solidFill>
                </a:ln>
                <a:effectLst/>
              </c:spPr>
              <c:txPr>
                <a:bodyPr rot="0" spcFirstLastPara="1" vertOverflow="ellipsis" vert="horz" wrap="square" lIns="38100" tIns="19050" rIns="38100" bIns="19050" anchor="ctr" anchorCtr="1">
                  <a:noAutofit/>
                </a:bodyPr>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16839916839916841"/>
                      <c:h val="8.2089946010634685E-2"/>
                    </c:manualLayout>
                  </c15:layout>
                  <c15:dlblFieldTable/>
                  <c15:showDataLabelsRange val="0"/>
                </c:ext>
                <c:ext xmlns:c16="http://schemas.microsoft.com/office/drawing/2014/chart" uri="{C3380CC4-5D6E-409C-BE32-E72D297353CC}">
                  <c16:uniqueId val="{00000007-70C1-47DF-B31B-3CE83E508D75}"/>
                </c:ext>
              </c:extLst>
            </c:dLbl>
            <c:dLbl>
              <c:idx val="4"/>
              <c:layout>
                <c:manualLayout>
                  <c:x val="-2.474762757289066E-2"/>
                  <c:y val="-8.7116985418991377E-2"/>
                </c:manualLayout>
              </c:layout>
              <c:tx>
                <c:rich>
                  <a:bodyPr rot="0" spcFirstLastPara="1" vertOverflow="ellipsis" vert="horz" wrap="square" lIns="38100" tIns="19050" rIns="38100" bIns="19050" anchor="ctr" anchorCtr="1">
                    <a:noAutofit/>
                  </a:bodyPr>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fld id="{35429D25-6DDE-4125-87EA-151FB5D785FD}" type="CATEGORYNAME">
                      <a:rPr lang="en-US" sz="1200">
                        <a:latin typeface="Arial" panose="020B0604020202020204" pitchFamily="34" charset="0"/>
                        <a:cs typeface="Arial" panose="020B0604020202020204" pitchFamily="34" charset="0"/>
                      </a:rPr>
                      <a:pPr>
                        <a:defRPr sz="1200" b="0">
                          <a:solidFill>
                            <a:sysClr val="windowText" lastClr="000000"/>
                          </a:solidFill>
                          <a:latin typeface="Arial" panose="020B0604020202020204" pitchFamily="34" charset="0"/>
                          <a:cs typeface="Arial" panose="020B0604020202020204" pitchFamily="34" charset="0"/>
                        </a:defRPr>
                      </a:pPr>
                      <a:t>[CATEGORY NAME]</a:t>
                    </a:fld>
                    <a:endParaRPr lang="en-GB"/>
                  </a:p>
                </c:rich>
              </c:tx>
              <c:spPr>
                <a:noFill/>
                <a:ln>
                  <a:solidFill>
                    <a:schemeClr val="tx1"/>
                  </a:solidFill>
                </a:ln>
                <a:effectLst/>
              </c:spPr>
              <c:txPr>
                <a:bodyPr rot="0" spcFirstLastPara="1" vertOverflow="ellipsis" vert="horz" wrap="square" lIns="38100" tIns="19050" rIns="38100" bIns="19050" anchor="ctr" anchorCtr="1">
                  <a:noAutofit/>
                </a:bodyPr>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34092862092862092"/>
                      <c:h val="9.2452640311152814E-2"/>
                    </c:manualLayout>
                  </c15:layout>
                  <c15:dlblFieldTable/>
                  <c15:showDataLabelsRange val="0"/>
                </c:ext>
                <c:ext xmlns:c16="http://schemas.microsoft.com/office/drawing/2014/chart" uri="{C3380CC4-5D6E-409C-BE32-E72D297353CC}">
                  <c16:uniqueId val="{00000009-70C1-47DF-B31B-3CE83E508D75}"/>
                </c:ext>
              </c:extLst>
            </c:dLbl>
            <c:dLbl>
              <c:idx val="5"/>
              <c:layout>
                <c:manualLayout>
                  <c:x val="0.27399523084562455"/>
                  <c:y val="-8.8286891599689936E-3"/>
                </c:manualLayout>
              </c:layout>
              <c:spPr>
                <a:noFill/>
                <a:ln>
                  <a:solidFill>
                    <a:schemeClr val="tx1"/>
                  </a:solidFill>
                </a:ln>
                <a:effectLst/>
              </c:spPr>
              <c:txPr>
                <a:bodyPr rot="0" spcFirstLastPara="1" vertOverflow="ellipsis" vert="horz" wrap="square" lIns="38100" tIns="19050" rIns="38100" bIns="19050" anchor="ctr" anchorCtr="1">
                  <a:noAutofit/>
                </a:bodyPr>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38991433021806854"/>
                      <c:h val="0.15595458747957006"/>
                    </c:manualLayout>
                  </c15:layout>
                </c:ext>
                <c:ext xmlns:c16="http://schemas.microsoft.com/office/drawing/2014/chart" uri="{C3380CC4-5D6E-409C-BE32-E72D297353CC}">
                  <c16:uniqueId val="{0000000B-70C1-47DF-B31B-3CE83E508D75}"/>
                </c:ext>
              </c:extLst>
            </c:dLbl>
            <c:spPr>
              <a:ln>
                <a:solidFill>
                  <a:schemeClr val="tx1"/>
                </a:solidFill>
              </a:ln>
            </c:spPr>
            <c:txPr>
              <a:bodyPr rot="0" spcFirstLastPara="1" vertOverflow="ellipsis" vert="horz" wrap="square" lIns="38100" tIns="19050" rIns="38100" bIns="19050" anchor="ctr" anchorCtr="1">
                <a:spAutoFit/>
              </a:bodyPr>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0"/>
            <c:showBubbleSize val="0"/>
            <c:showLeaderLines val="1"/>
            <c:leaderLines>
              <c:spPr>
                <a:ln w="19050" cap="flat" cmpd="sng" algn="ctr">
                  <a:solidFill>
                    <a:schemeClr val="tx1"/>
                  </a:solidFill>
                  <a:round/>
                </a:ln>
                <a:effectLst/>
              </c:spPr>
            </c:leaderLines>
            <c:extLst>
              <c:ext xmlns:c15="http://schemas.microsoft.com/office/drawing/2012/chart" uri="{CE6537A1-D6FC-4f65-9D91-7224C49458BB}"/>
            </c:extLst>
          </c:dLbls>
          <c:cat>
            <c:strRef>
              <c:f>'Narrative Rpt info'!$B$5:$B$10</c:f>
              <c:strCache>
                <c:ptCount val="6"/>
                <c:pt idx="0">
                  <c:v>Employees: pay costs</c:v>
                </c:pt>
                <c:pt idx="1">
                  <c:v>Other employee related costs</c:v>
                </c:pt>
                <c:pt idx="2">
                  <c:v>Premises</c:v>
                </c:pt>
                <c:pt idx="3">
                  <c:v>Transport</c:v>
                </c:pt>
                <c:pt idx="4">
                  <c:v>Supplies &amp; services</c:v>
                </c:pt>
                <c:pt idx="5">
                  <c:v>Capital financing costs &amp; other items</c:v>
                </c:pt>
              </c:strCache>
            </c:strRef>
          </c:cat>
          <c:val>
            <c:numRef>
              <c:f>'Narrative Rpt info'!$D$5:$D$10</c:f>
              <c:numCache>
                <c:formatCode>#,##0\ ;\(#,##0\)</c:formatCode>
                <c:ptCount val="6"/>
                <c:pt idx="0">
                  <c:v>49680.082709999995</c:v>
                </c:pt>
                <c:pt idx="1">
                  <c:v>1735.5135400000008</c:v>
                </c:pt>
                <c:pt idx="2">
                  <c:v>4216.6515200000003</c:v>
                </c:pt>
                <c:pt idx="3">
                  <c:v>2031.2250799999999</c:v>
                </c:pt>
                <c:pt idx="4">
                  <c:v>8192.0118300000013</c:v>
                </c:pt>
                <c:pt idx="5">
                  <c:v>6921.2703900000006</c:v>
                </c:pt>
              </c:numCache>
            </c:numRef>
          </c:val>
          <c:extLst>
            <c:ext xmlns:c16="http://schemas.microsoft.com/office/drawing/2014/chart" uri="{C3380CC4-5D6E-409C-BE32-E72D297353CC}">
              <c16:uniqueId val="{0000000C-70C1-47DF-B31B-3CE83E508D75}"/>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200">
                <a:latin typeface="Arial" panose="020B0604020202020204" pitchFamily="34" charset="0"/>
                <a:cs typeface="Arial" panose="020B0604020202020204" pitchFamily="34" charset="0"/>
              </a:rPr>
              <a:t>Income Analysis 2022/23</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17"/>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'Narrative Rpt info'!$D$4</c:f>
              <c:strCache>
                <c:ptCount val="1"/>
                <c:pt idx="0">
                  <c:v>Spend</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2D85-4728-8F99-8D7D0022978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2D85-4728-8F99-8D7D00229785}"/>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2D85-4728-8F99-8D7D00229785}"/>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2D85-4728-8F99-8D7D00229785}"/>
              </c:ext>
            </c:extLst>
          </c:dPt>
          <c:dLbls>
            <c:dLbl>
              <c:idx val="0"/>
              <c:layout>
                <c:manualLayout>
                  <c:x val="7.2761820265424465E-2"/>
                  <c:y val="-1.8227810809363146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19679399230025826"/>
                      <c:h val="0.10411564625850341"/>
                    </c:manualLayout>
                  </c15:layout>
                </c:ext>
                <c:ext xmlns:c16="http://schemas.microsoft.com/office/drawing/2014/chart" uri="{C3380CC4-5D6E-409C-BE32-E72D297353CC}">
                  <c16:uniqueId val="{00000001-2D85-4728-8F99-8D7D00229785}"/>
                </c:ext>
              </c:extLst>
            </c:dLbl>
            <c:dLbl>
              <c:idx val="1"/>
              <c:layout>
                <c:manualLayout>
                  <c:x val="1.0205215226582898E-2"/>
                  <c:y val="5.4683772784187692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D85-4728-8F99-8D7D00229785}"/>
                </c:ext>
              </c:extLst>
            </c:dLbl>
            <c:dLbl>
              <c:idx val="2"/>
              <c:layout>
                <c:manualLayout>
                  <c:x val="6.4242453814109795E-3"/>
                  <c:y val="-0.10347157669709313"/>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D85-4728-8F99-8D7D00229785}"/>
                </c:ext>
              </c:extLst>
            </c:dLbl>
            <c:dLbl>
              <c:idx val="3"/>
              <c:layout>
                <c:manualLayout>
                  <c:x val="5.4486665534054651E-2"/>
                  <c:y val="-1.9108742606226522E-2"/>
                </c:manualLayout>
              </c:layout>
              <c:spPr>
                <a:noFill/>
                <a:ln>
                  <a:solidFill>
                    <a:schemeClr val="tx1"/>
                  </a:solidFill>
                </a:ln>
                <a:effectLst/>
              </c:spPr>
              <c:txPr>
                <a:bodyPr rot="0" spcFirstLastPara="1" vertOverflow="ellipsis" vert="horz" wrap="square" lIns="38100" tIns="19050" rIns="38100" bIns="19050" anchor="ctr" anchorCtr="1">
                  <a:noAutofit/>
                </a:bodyPr>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3625347603366264"/>
                      <c:h val="8.3581504702194345E-2"/>
                    </c:manualLayout>
                  </c15:layout>
                </c:ext>
                <c:ext xmlns:c16="http://schemas.microsoft.com/office/drawing/2014/chart" uri="{C3380CC4-5D6E-409C-BE32-E72D297353CC}">
                  <c16:uniqueId val="{00000007-2D85-4728-8F99-8D7D00229785}"/>
                </c:ext>
              </c:extLst>
            </c:dLbl>
            <c:spPr>
              <a:ln>
                <a:solidFill>
                  <a:schemeClr val="tx1"/>
                </a:solidFill>
              </a:ln>
            </c:spPr>
            <c:txPr>
              <a:bodyPr rot="0" spcFirstLastPara="1" vertOverflow="ellipsis" vert="horz" wrap="square" lIns="38100" tIns="19050" rIns="38100" bIns="19050" anchor="ctr" anchorCtr="1">
                <a:spAutoFit/>
              </a:bodyPr>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0"/>
            <c:showBubbleSize val="0"/>
            <c:showLeaderLines val="1"/>
            <c:leaderLines>
              <c:spPr>
                <a:ln w="19050" cap="flat" cmpd="sng" algn="ctr">
                  <a:solidFill>
                    <a:schemeClr val="tx1"/>
                  </a:solidFill>
                  <a:round/>
                </a:ln>
                <a:effectLst/>
              </c:spPr>
            </c:leaderLines>
            <c:extLst>
              <c:ext xmlns:c15="http://schemas.microsoft.com/office/drawing/2012/chart" uri="{CE6537A1-D6FC-4f65-9D91-7224C49458BB}"/>
            </c:extLst>
          </c:dLbls>
          <c:cat>
            <c:strRef>
              <c:f>('Narrative Rpt info'!$B$12,'Narrative Rpt info'!$B$15:$B$17)</c:f>
              <c:strCache>
                <c:ptCount val="4"/>
                <c:pt idx="0">
                  <c:v>Other Income</c:v>
                </c:pt>
                <c:pt idx="1">
                  <c:v>Council tax</c:v>
                </c:pt>
                <c:pt idx="2">
                  <c:v>Business rates</c:v>
                </c:pt>
                <c:pt idx="3">
                  <c:v>Government grant</c:v>
                </c:pt>
              </c:strCache>
            </c:strRef>
          </c:cat>
          <c:val>
            <c:numRef>
              <c:f>('Narrative Rpt info'!$D$12,'Narrative Rpt info'!$D$15:$D$17)</c:f>
              <c:numCache>
                <c:formatCode>#,##0\ ;\(#,##0\)</c:formatCode>
                <c:ptCount val="4"/>
                <c:pt idx="0">
                  <c:v>-7865.3475199999993</c:v>
                </c:pt>
                <c:pt idx="1">
                  <c:v>-35111.35628</c:v>
                </c:pt>
                <c:pt idx="2">
                  <c:v>-19295.764620000002</c:v>
                </c:pt>
                <c:pt idx="3">
                  <c:v>-8831.56</c:v>
                </c:pt>
              </c:numCache>
            </c:numRef>
          </c:val>
          <c:extLst>
            <c:ext xmlns:c16="http://schemas.microsoft.com/office/drawing/2014/chart" uri="{C3380CC4-5D6E-409C-BE32-E72D297353CC}">
              <c16:uniqueId val="{00000008-2D85-4728-8F99-8D7D00229785}"/>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84587-5344-4572-98AD-E79F924A9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83</Pages>
  <Words>25025</Words>
  <Characters>142984</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LANCASHIRE POLICE AUTHORITY</vt:lpstr>
    </vt:vector>
  </TitlesOfParts>
  <Company>Lancashire County Council</Company>
  <LinksUpToDate>false</LinksUpToDate>
  <CharactersWithSpaces>167674</CharactersWithSpaces>
  <SharedDoc>false</SharedDoc>
  <HLinks>
    <vt:vector size="12" baseType="variant">
      <vt:variant>
        <vt:i4>7209068</vt:i4>
      </vt:variant>
      <vt:variant>
        <vt:i4>9</vt:i4>
      </vt:variant>
      <vt:variant>
        <vt:i4>0</vt:i4>
      </vt:variant>
      <vt:variant>
        <vt:i4>5</vt:i4>
      </vt:variant>
      <vt:variant>
        <vt:lpwstr>http://www.lancsfirerescue.org.uk/wp-content/uploads/2011/01/Final-IRMP-sept-update.pdf</vt:lpwstr>
      </vt:variant>
      <vt:variant>
        <vt:lpwstr/>
      </vt:variant>
      <vt:variant>
        <vt:i4>2359411</vt:i4>
      </vt:variant>
      <vt:variant>
        <vt:i4>6</vt:i4>
      </vt:variant>
      <vt:variant>
        <vt:i4>0</vt:i4>
      </vt:variant>
      <vt:variant>
        <vt:i4>5</vt:i4>
      </vt:variant>
      <vt:variant>
        <vt:lpwstr>http://www.lancsfirerescue.org.uk/downloads/policies/organisational/corpgov.pdf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POLICE AUTHORITY</dc:title>
  <dc:creator>Claire Cartmel</dc:creator>
  <cp:lastModifiedBy>SHQ - Latham, Adam</cp:lastModifiedBy>
  <cp:revision>3</cp:revision>
  <cp:lastPrinted>2023-07-27T11:30:00Z</cp:lastPrinted>
  <dcterms:created xsi:type="dcterms:W3CDTF">2024-05-17T08:34:00Z</dcterms:created>
  <dcterms:modified xsi:type="dcterms:W3CDTF">2024-05-17T09:40:00Z</dcterms:modified>
</cp:coreProperties>
</file>