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5256804" w:displacedByCustomXml="next"/>
    <w:sdt>
      <w:sdtPr>
        <w:id w:val="1109009909"/>
        <w:docPartObj>
          <w:docPartGallery w:val="Cover Pages"/>
          <w:docPartUnique/>
        </w:docPartObj>
      </w:sdtPr>
      <w:sdtEndPr/>
      <w:sdtContent>
        <w:p w14:paraId="0F1FB2B7" w14:textId="56088CC5" w:rsidR="001C163E" w:rsidRDefault="001C163E">
          <w:r w:rsidDel="00BD6EB5">
            <w:rPr>
              <w:noProof/>
            </w:rPr>
            <w:drawing>
              <wp:anchor distT="0" distB="0" distL="114300" distR="114300" simplePos="0" relativeHeight="251658240" behindDoc="0" locked="0" layoutInCell="1" allowOverlap="1" wp14:anchorId="022FC7BB" wp14:editId="10CB75CC">
                <wp:simplePos x="0" y="0"/>
                <wp:positionH relativeFrom="page">
                  <wp:align>right</wp:align>
                </wp:positionH>
                <wp:positionV relativeFrom="paragraph">
                  <wp:posOffset>-914400</wp:posOffset>
                </wp:positionV>
                <wp:extent cx="7550590" cy="10684750"/>
                <wp:effectExtent l="0" t="0" r="0" b="2540"/>
                <wp:wrapNone/>
                <wp:docPr id="75209185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856"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0590" cy="10684750"/>
                        </a:xfrm>
                        <a:prstGeom prst="rect">
                          <a:avLst/>
                        </a:prstGeom>
                      </pic:spPr>
                    </pic:pic>
                  </a:graphicData>
                </a:graphic>
                <wp14:sizeRelH relativeFrom="page">
                  <wp14:pctWidth>0</wp14:pctWidth>
                </wp14:sizeRelH>
                <wp14:sizeRelV relativeFrom="page">
                  <wp14:pctHeight>0</wp14:pctHeight>
                </wp14:sizeRelV>
              </wp:anchor>
            </w:drawing>
          </w:r>
          <w:r>
            <w:br w:type="page"/>
          </w:r>
        </w:p>
      </w:sdtContent>
    </w:sdt>
    <w:bookmarkEnd w:id="0"/>
    <w:p w14:paraId="3D51F372" w14:textId="72485E83" w:rsidR="006B4BE1" w:rsidRPr="003826EB" w:rsidDel="00873331" w:rsidRDefault="002B6814" w:rsidP="006B4BE1">
      <w:pPr>
        <w:rPr>
          <w:rFonts w:cs="Arial"/>
          <w:b/>
          <w:bCs/>
          <w:sz w:val="28"/>
          <w:szCs w:val="28"/>
        </w:rPr>
      </w:pPr>
      <w:r w:rsidRPr="003826EB">
        <w:rPr>
          <w:rFonts w:cs="Arial"/>
          <w:b/>
          <w:bCs/>
          <w:sz w:val="28"/>
          <w:szCs w:val="28"/>
        </w:rPr>
        <w:lastRenderedPageBreak/>
        <w:t>L</w:t>
      </w:r>
      <w:r w:rsidR="00E7631F" w:rsidRPr="003826EB">
        <w:rPr>
          <w:rFonts w:cs="Arial"/>
          <w:b/>
          <w:bCs/>
          <w:sz w:val="28"/>
          <w:szCs w:val="28"/>
        </w:rPr>
        <w:t>ancashire</w:t>
      </w:r>
      <w:r w:rsidRPr="003826EB">
        <w:rPr>
          <w:rFonts w:cs="Arial"/>
          <w:b/>
          <w:bCs/>
          <w:sz w:val="28"/>
          <w:szCs w:val="28"/>
        </w:rPr>
        <w:t xml:space="preserve"> C</w:t>
      </w:r>
      <w:r w:rsidR="00E7631F" w:rsidRPr="003826EB">
        <w:rPr>
          <w:rFonts w:cs="Arial"/>
          <w:b/>
          <w:bCs/>
          <w:sz w:val="28"/>
          <w:szCs w:val="28"/>
        </w:rPr>
        <w:t>ombined</w:t>
      </w:r>
      <w:r w:rsidRPr="003826EB">
        <w:rPr>
          <w:rFonts w:cs="Arial"/>
          <w:b/>
          <w:bCs/>
          <w:sz w:val="28"/>
          <w:szCs w:val="28"/>
        </w:rPr>
        <w:t xml:space="preserve"> F</w:t>
      </w:r>
      <w:r w:rsidR="00E7631F" w:rsidRPr="003826EB">
        <w:rPr>
          <w:rFonts w:cs="Arial"/>
          <w:b/>
          <w:bCs/>
          <w:sz w:val="28"/>
          <w:szCs w:val="28"/>
        </w:rPr>
        <w:t>ire</w:t>
      </w:r>
      <w:r w:rsidRPr="003826EB">
        <w:rPr>
          <w:rFonts w:cs="Arial"/>
          <w:b/>
          <w:bCs/>
          <w:sz w:val="28"/>
          <w:szCs w:val="28"/>
        </w:rPr>
        <w:t xml:space="preserve"> A</w:t>
      </w:r>
      <w:r w:rsidR="00E7631F" w:rsidRPr="003826EB">
        <w:rPr>
          <w:rFonts w:cs="Arial"/>
          <w:b/>
          <w:bCs/>
          <w:sz w:val="28"/>
          <w:szCs w:val="28"/>
        </w:rPr>
        <w:t>uthority</w:t>
      </w:r>
    </w:p>
    <w:p w14:paraId="0BF51ECE" w14:textId="77777777" w:rsidR="002B6814" w:rsidRPr="00927796" w:rsidRDefault="002B6814" w:rsidP="003668C6">
      <w:pPr>
        <w:rPr>
          <w:rFonts w:cs="Arial"/>
          <w:b/>
          <w:szCs w:val="24"/>
        </w:rPr>
      </w:pPr>
    </w:p>
    <w:p w14:paraId="55AB75C3" w14:textId="0E24154F" w:rsidR="002B6814" w:rsidRPr="00927796" w:rsidRDefault="00E7631F" w:rsidP="003668C6">
      <w:pPr>
        <w:rPr>
          <w:rFonts w:cs="Arial"/>
          <w:b/>
          <w:szCs w:val="24"/>
        </w:rPr>
      </w:pPr>
      <w:r w:rsidRPr="00927796">
        <w:rPr>
          <w:rFonts w:cs="Arial"/>
          <w:b/>
          <w:szCs w:val="24"/>
        </w:rPr>
        <w:t>Statement</w:t>
      </w:r>
      <w:r w:rsidR="002B6814" w:rsidRPr="00927796">
        <w:rPr>
          <w:rFonts w:cs="Arial"/>
          <w:b/>
          <w:szCs w:val="24"/>
        </w:rPr>
        <w:t xml:space="preserve"> </w:t>
      </w:r>
      <w:r w:rsidRPr="00927796">
        <w:rPr>
          <w:rFonts w:cs="Arial"/>
          <w:b/>
          <w:szCs w:val="24"/>
        </w:rPr>
        <w:t xml:space="preserve">of </w:t>
      </w:r>
      <w:r w:rsidR="002B6814" w:rsidRPr="00927796">
        <w:rPr>
          <w:rFonts w:cs="Arial"/>
          <w:b/>
          <w:szCs w:val="24"/>
        </w:rPr>
        <w:t>A</w:t>
      </w:r>
      <w:r w:rsidRPr="00927796">
        <w:rPr>
          <w:rFonts w:cs="Arial"/>
          <w:b/>
          <w:szCs w:val="24"/>
        </w:rPr>
        <w:t>ccounts</w:t>
      </w:r>
      <w:r w:rsidR="002B6814" w:rsidRPr="00927796">
        <w:rPr>
          <w:rFonts w:cs="Arial"/>
          <w:b/>
          <w:szCs w:val="24"/>
        </w:rPr>
        <w:t xml:space="preserve"> </w:t>
      </w:r>
      <w:r w:rsidR="002B6814" w:rsidRPr="00927796">
        <w:rPr>
          <w:rFonts w:cs="Arial"/>
          <w:b/>
          <w:caps/>
          <w:szCs w:val="24"/>
        </w:rPr>
        <w:t>202</w:t>
      </w:r>
      <w:r w:rsidR="0077788B" w:rsidRPr="00927796">
        <w:rPr>
          <w:rFonts w:cs="Arial"/>
          <w:b/>
          <w:caps/>
          <w:szCs w:val="24"/>
        </w:rPr>
        <w:t>4</w:t>
      </w:r>
      <w:r w:rsidR="002B6814" w:rsidRPr="00927796">
        <w:rPr>
          <w:rFonts w:cs="Arial"/>
          <w:b/>
          <w:caps/>
          <w:szCs w:val="24"/>
        </w:rPr>
        <w:t>/2</w:t>
      </w:r>
      <w:r w:rsidR="0077788B" w:rsidRPr="00927796">
        <w:rPr>
          <w:rFonts w:cs="Arial"/>
          <w:b/>
          <w:caps/>
          <w:szCs w:val="24"/>
        </w:rPr>
        <w:t>5</w:t>
      </w:r>
    </w:p>
    <w:p w14:paraId="2DD1AB22" w14:textId="77777777" w:rsidR="002B6814" w:rsidRPr="00927796" w:rsidRDefault="002B6814" w:rsidP="003668C6">
      <w:pPr>
        <w:rPr>
          <w:rFonts w:cs="Arial"/>
          <w:b/>
          <w:szCs w:val="24"/>
        </w:rPr>
      </w:pPr>
    </w:p>
    <w:p w14:paraId="5F5D1D76" w14:textId="14078B1A" w:rsidR="006B4BE1" w:rsidRPr="003826EB" w:rsidRDefault="002B6814" w:rsidP="006B4BE1">
      <w:pPr>
        <w:rPr>
          <w:rFonts w:cs="Arial"/>
          <w:bCs/>
          <w:szCs w:val="24"/>
        </w:rPr>
      </w:pPr>
      <w:r w:rsidRPr="003826EB">
        <w:rPr>
          <w:rFonts w:cs="Arial"/>
          <w:bCs/>
          <w:szCs w:val="24"/>
        </w:rPr>
        <w:t>C</w:t>
      </w:r>
      <w:r w:rsidR="00E7631F" w:rsidRPr="003826EB">
        <w:rPr>
          <w:rFonts w:cs="Arial"/>
          <w:bCs/>
          <w:szCs w:val="24"/>
        </w:rPr>
        <w:t>ontents</w:t>
      </w:r>
    </w:p>
    <w:sdt>
      <w:sdtPr>
        <w:rPr>
          <w:rFonts w:ascii="Arial" w:eastAsia="Times New Roman" w:hAnsi="Arial" w:cs="Arial"/>
          <w:color w:val="auto"/>
          <w:sz w:val="24"/>
          <w:szCs w:val="24"/>
          <w:lang w:val="en-GB"/>
        </w:rPr>
        <w:id w:val="2062289287"/>
        <w:docPartObj>
          <w:docPartGallery w:val="Table of Contents"/>
          <w:docPartUnique/>
        </w:docPartObj>
      </w:sdtPr>
      <w:sdtEndPr>
        <w:rPr>
          <w:b/>
          <w:bCs/>
          <w:noProof/>
        </w:rPr>
      </w:sdtEndPr>
      <w:sdtContent>
        <w:p w14:paraId="269485E8" w14:textId="63CDB818" w:rsidR="005A3C76" w:rsidRPr="00927796" w:rsidRDefault="005A3C76">
          <w:pPr>
            <w:pStyle w:val="TOCHeading"/>
            <w:rPr>
              <w:rFonts w:ascii="Arial" w:hAnsi="Arial" w:cs="Arial"/>
              <w:sz w:val="24"/>
              <w:szCs w:val="24"/>
            </w:rPr>
          </w:pPr>
        </w:p>
        <w:p w14:paraId="323125BD" w14:textId="1B41A73C" w:rsidR="00CE5EE4" w:rsidRDefault="005A3C76">
          <w:pPr>
            <w:pStyle w:val="TOC1"/>
            <w:tabs>
              <w:tab w:val="right" w:leader="dot" w:pos="9017"/>
            </w:tabs>
            <w:rPr>
              <w:rFonts w:asciiTheme="minorHAnsi" w:eastAsiaTheme="minorEastAsia" w:hAnsiTheme="minorHAnsi" w:cstheme="minorBidi"/>
              <w:noProof/>
              <w:kern w:val="2"/>
              <w:szCs w:val="24"/>
              <w:lang w:eastAsia="en-GB"/>
              <w14:ligatures w14:val="standardContextual"/>
            </w:rPr>
          </w:pPr>
          <w:r w:rsidRPr="00927796">
            <w:rPr>
              <w:rFonts w:cs="Arial"/>
              <w:szCs w:val="24"/>
            </w:rPr>
            <w:fldChar w:fldCharType="begin"/>
          </w:r>
          <w:r w:rsidRPr="00927796">
            <w:rPr>
              <w:rFonts w:cs="Arial"/>
              <w:szCs w:val="24"/>
            </w:rPr>
            <w:instrText xml:space="preserve"> TOC \o "1-3" \h \z \u </w:instrText>
          </w:r>
          <w:r w:rsidRPr="00927796">
            <w:rPr>
              <w:rFonts w:cs="Arial"/>
              <w:szCs w:val="24"/>
            </w:rPr>
            <w:fldChar w:fldCharType="separate"/>
          </w:r>
          <w:hyperlink w:anchor="_Toc215593381" w:history="1">
            <w:r w:rsidR="00CE5EE4" w:rsidRPr="00BE0E89">
              <w:rPr>
                <w:rStyle w:val="Hyperlink"/>
                <w:rFonts w:cs="Arial"/>
                <w:noProof/>
              </w:rPr>
              <w:t>Narrative Report</w:t>
            </w:r>
            <w:r w:rsidR="00CE5EE4">
              <w:rPr>
                <w:noProof/>
                <w:webHidden/>
              </w:rPr>
              <w:tab/>
            </w:r>
            <w:r w:rsidR="00CE5EE4">
              <w:rPr>
                <w:noProof/>
                <w:webHidden/>
              </w:rPr>
              <w:fldChar w:fldCharType="begin"/>
            </w:r>
            <w:r w:rsidR="00CE5EE4">
              <w:rPr>
                <w:noProof/>
                <w:webHidden/>
              </w:rPr>
              <w:instrText xml:space="preserve"> PAGEREF _Toc215593381 \h </w:instrText>
            </w:r>
            <w:r w:rsidR="00CE5EE4">
              <w:rPr>
                <w:noProof/>
                <w:webHidden/>
              </w:rPr>
            </w:r>
            <w:r w:rsidR="00CE5EE4">
              <w:rPr>
                <w:noProof/>
                <w:webHidden/>
              </w:rPr>
              <w:fldChar w:fldCharType="separate"/>
            </w:r>
            <w:r w:rsidR="00D33F99">
              <w:rPr>
                <w:noProof/>
                <w:webHidden/>
              </w:rPr>
              <w:t>1</w:t>
            </w:r>
            <w:r w:rsidR="00CE5EE4">
              <w:rPr>
                <w:noProof/>
                <w:webHidden/>
              </w:rPr>
              <w:fldChar w:fldCharType="end"/>
            </w:r>
          </w:hyperlink>
        </w:p>
        <w:p w14:paraId="2281A465" w14:textId="2D9EBE14"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2" w:history="1">
            <w:r w:rsidRPr="00BE0E89">
              <w:rPr>
                <w:rStyle w:val="Hyperlink"/>
                <w:rFonts w:cs="Arial"/>
                <w:noProof/>
              </w:rPr>
              <w:t>Statement on Annual Governance Arrangements</w:t>
            </w:r>
            <w:r>
              <w:rPr>
                <w:noProof/>
                <w:webHidden/>
              </w:rPr>
              <w:tab/>
            </w:r>
            <w:r>
              <w:rPr>
                <w:noProof/>
                <w:webHidden/>
              </w:rPr>
              <w:fldChar w:fldCharType="begin"/>
            </w:r>
            <w:r>
              <w:rPr>
                <w:noProof/>
                <w:webHidden/>
              </w:rPr>
              <w:instrText xml:space="preserve"> PAGEREF _Toc215593382 \h </w:instrText>
            </w:r>
            <w:r>
              <w:rPr>
                <w:noProof/>
                <w:webHidden/>
              </w:rPr>
            </w:r>
            <w:r>
              <w:rPr>
                <w:noProof/>
                <w:webHidden/>
              </w:rPr>
              <w:fldChar w:fldCharType="separate"/>
            </w:r>
            <w:r w:rsidR="00D33F99">
              <w:rPr>
                <w:noProof/>
                <w:webHidden/>
              </w:rPr>
              <w:t>8</w:t>
            </w:r>
            <w:r>
              <w:rPr>
                <w:noProof/>
                <w:webHidden/>
              </w:rPr>
              <w:fldChar w:fldCharType="end"/>
            </w:r>
          </w:hyperlink>
        </w:p>
        <w:p w14:paraId="628C7D46" w14:textId="0D34800A"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3" w:history="1">
            <w:r w:rsidRPr="00BE0E89">
              <w:rPr>
                <w:rStyle w:val="Hyperlink"/>
                <w:noProof/>
              </w:rPr>
              <w:t>Independent Auditor’s Report</w:t>
            </w:r>
            <w:r>
              <w:rPr>
                <w:noProof/>
                <w:webHidden/>
              </w:rPr>
              <w:tab/>
            </w:r>
            <w:r>
              <w:rPr>
                <w:noProof/>
                <w:webHidden/>
              </w:rPr>
              <w:fldChar w:fldCharType="begin"/>
            </w:r>
            <w:r>
              <w:rPr>
                <w:noProof/>
                <w:webHidden/>
              </w:rPr>
              <w:instrText xml:space="preserve"> PAGEREF _Toc215593383 \h </w:instrText>
            </w:r>
            <w:r>
              <w:rPr>
                <w:noProof/>
                <w:webHidden/>
              </w:rPr>
            </w:r>
            <w:r>
              <w:rPr>
                <w:noProof/>
                <w:webHidden/>
              </w:rPr>
              <w:fldChar w:fldCharType="separate"/>
            </w:r>
            <w:r w:rsidR="00D33F99">
              <w:rPr>
                <w:noProof/>
                <w:webHidden/>
              </w:rPr>
              <w:t>15</w:t>
            </w:r>
            <w:r>
              <w:rPr>
                <w:noProof/>
                <w:webHidden/>
              </w:rPr>
              <w:fldChar w:fldCharType="end"/>
            </w:r>
          </w:hyperlink>
        </w:p>
        <w:p w14:paraId="42AEC451" w14:textId="2CA93DA7"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4" w:history="1">
            <w:r w:rsidRPr="00BE0E89">
              <w:rPr>
                <w:rStyle w:val="Hyperlink"/>
                <w:rFonts w:cs="Arial"/>
                <w:noProof/>
              </w:rPr>
              <w:t>Statement of Responsibilities</w:t>
            </w:r>
            <w:r>
              <w:rPr>
                <w:noProof/>
                <w:webHidden/>
              </w:rPr>
              <w:tab/>
            </w:r>
            <w:r>
              <w:rPr>
                <w:noProof/>
                <w:webHidden/>
              </w:rPr>
              <w:fldChar w:fldCharType="begin"/>
            </w:r>
            <w:r>
              <w:rPr>
                <w:noProof/>
                <w:webHidden/>
              </w:rPr>
              <w:instrText xml:space="preserve"> PAGEREF _Toc215593384 \h </w:instrText>
            </w:r>
            <w:r>
              <w:rPr>
                <w:noProof/>
                <w:webHidden/>
              </w:rPr>
            </w:r>
            <w:r>
              <w:rPr>
                <w:noProof/>
                <w:webHidden/>
              </w:rPr>
              <w:fldChar w:fldCharType="separate"/>
            </w:r>
            <w:r w:rsidR="00D33F99">
              <w:rPr>
                <w:noProof/>
                <w:webHidden/>
              </w:rPr>
              <w:t>16</w:t>
            </w:r>
            <w:r>
              <w:rPr>
                <w:noProof/>
                <w:webHidden/>
              </w:rPr>
              <w:fldChar w:fldCharType="end"/>
            </w:r>
          </w:hyperlink>
        </w:p>
        <w:p w14:paraId="45AE21C1" w14:textId="1D3A8FD5"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5" w:history="1">
            <w:r w:rsidRPr="00BE0E89">
              <w:rPr>
                <w:rStyle w:val="Hyperlink"/>
                <w:rFonts w:cs="Arial"/>
                <w:noProof/>
              </w:rPr>
              <w:t>Explanation of Financial Statements</w:t>
            </w:r>
            <w:r>
              <w:rPr>
                <w:noProof/>
                <w:webHidden/>
              </w:rPr>
              <w:tab/>
            </w:r>
            <w:r>
              <w:rPr>
                <w:noProof/>
                <w:webHidden/>
              </w:rPr>
              <w:fldChar w:fldCharType="begin"/>
            </w:r>
            <w:r>
              <w:rPr>
                <w:noProof/>
                <w:webHidden/>
              </w:rPr>
              <w:instrText xml:space="preserve"> PAGEREF _Toc215593385 \h </w:instrText>
            </w:r>
            <w:r>
              <w:rPr>
                <w:noProof/>
                <w:webHidden/>
              </w:rPr>
            </w:r>
            <w:r>
              <w:rPr>
                <w:noProof/>
                <w:webHidden/>
              </w:rPr>
              <w:fldChar w:fldCharType="separate"/>
            </w:r>
            <w:r w:rsidR="00D33F99">
              <w:rPr>
                <w:noProof/>
                <w:webHidden/>
              </w:rPr>
              <w:t>17</w:t>
            </w:r>
            <w:r>
              <w:rPr>
                <w:noProof/>
                <w:webHidden/>
              </w:rPr>
              <w:fldChar w:fldCharType="end"/>
            </w:r>
          </w:hyperlink>
        </w:p>
        <w:p w14:paraId="4451CA25" w14:textId="7AF6BE1F"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6" w:history="1">
            <w:r w:rsidRPr="00BE0E89">
              <w:rPr>
                <w:rStyle w:val="Hyperlink"/>
                <w:noProof/>
              </w:rPr>
              <w:t>Comprehensive Income and Expenditure Statement</w:t>
            </w:r>
            <w:r>
              <w:rPr>
                <w:noProof/>
                <w:webHidden/>
              </w:rPr>
              <w:tab/>
            </w:r>
            <w:r>
              <w:rPr>
                <w:noProof/>
                <w:webHidden/>
              </w:rPr>
              <w:fldChar w:fldCharType="begin"/>
            </w:r>
            <w:r>
              <w:rPr>
                <w:noProof/>
                <w:webHidden/>
              </w:rPr>
              <w:instrText xml:space="preserve"> PAGEREF _Toc215593386 \h </w:instrText>
            </w:r>
            <w:r>
              <w:rPr>
                <w:noProof/>
                <w:webHidden/>
              </w:rPr>
            </w:r>
            <w:r>
              <w:rPr>
                <w:noProof/>
                <w:webHidden/>
              </w:rPr>
              <w:fldChar w:fldCharType="separate"/>
            </w:r>
            <w:r w:rsidR="00D33F99">
              <w:rPr>
                <w:noProof/>
                <w:webHidden/>
              </w:rPr>
              <w:t>18</w:t>
            </w:r>
            <w:r>
              <w:rPr>
                <w:noProof/>
                <w:webHidden/>
              </w:rPr>
              <w:fldChar w:fldCharType="end"/>
            </w:r>
          </w:hyperlink>
        </w:p>
        <w:p w14:paraId="10C4CFE6" w14:textId="06BC0958"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7" w:history="1">
            <w:r w:rsidRPr="00BE0E89">
              <w:rPr>
                <w:rStyle w:val="Hyperlink"/>
                <w:noProof/>
              </w:rPr>
              <w:t>Movement in Reserves Statement</w:t>
            </w:r>
            <w:r>
              <w:rPr>
                <w:noProof/>
                <w:webHidden/>
              </w:rPr>
              <w:tab/>
            </w:r>
            <w:r>
              <w:rPr>
                <w:noProof/>
                <w:webHidden/>
              </w:rPr>
              <w:fldChar w:fldCharType="begin"/>
            </w:r>
            <w:r>
              <w:rPr>
                <w:noProof/>
                <w:webHidden/>
              </w:rPr>
              <w:instrText xml:space="preserve"> PAGEREF _Toc215593387 \h </w:instrText>
            </w:r>
            <w:r>
              <w:rPr>
                <w:noProof/>
                <w:webHidden/>
              </w:rPr>
            </w:r>
            <w:r>
              <w:rPr>
                <w:noProof/>
                <w:webHidden/>
              </w:rPr>
              <w:fldChar w:fldCharType="separate"/>
            </w:r>
            <w:r w:rsidR="00D33F99">
              <w:rPr>
                <w:noProof/>
                <w:webHidden/>
              </w:rPr>
              <w:t>20</w:t>
            </w:r>
            <w:r>
              <w:rPr>
                <w:noProof/>
                <w:webHidden/>
              </w:rPr>
              <w:fldChar w:fldCharType="end"/>
            </w:r>
          </w:hyperlink>
        </w:p>
        <w:p w14:paraId="696877F4" w14:textId="1E48D18C"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8" w:history="1">
            <w:r w:rsidRPr="00BE0E89">
              <w:rPr>
                <w:rStyle w:val="Hyperlink"/>
                <w:noProof/>
              </w:rPr>
              <w:t>Balance Sheet</w:t>
            </w:r>
            <w:r>
              <w:rPr>
                <w:noProof/>
                <w:webHidden/>
              </w:rPr>
              <w:tab/>
            </w:r>
            <w:r>
              <w:rPr>
                <w:noProof/>
                <w:webHidden/>
              </w:rPr>
              <w:fldChar w:fldCharType="begin"/>
            </w:r>
            <w:r>
              <w:rPr>
                <w:noProof/>
                <w:webHidden/>
              </w:rPr>
              <w:instrText xml:space="preserve"> PAGEREF _Toc215593388 \h </w:instrText>
            </w:r>
            <w:r>
              <w:rPr>
                <w:noProof/>
                <w:webHidden/>
              </w:rPr>
            </w:r>
            <w:r>
              <w:rPr>
                <w:noProof/>
                <w:webHidden/>
              </w:rPr>
              <w:fldChar w:fldCharType="separate"/>
            </w:r>
            <w:r w:rsidR="00D33F99">
              <w:rPr>
                <w:noProof/>
                <w:webHidden/>
              </w:rPr>
              <w:t>24</w:t>
            </w:r>
            <w:r>
              <w:rPr>
                <w:noProof/>
                <w:webHidden/>
              </w:rPr>
              <w:fldChar w:fldCharType="end"/>
            </w:r>
          </w:hyperlink>
        </w:p>
        <w:p w14:paraId="67CEBDD4" w14:textId="6ED101D8"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89" w:history="1">
            <w:r w:rsidRPr="00BE0E89">
              <w:rPr>
                <w:rStyle w:val="Hyperlink"/>
                <w:noProof/>
              </w:rPr>
              <w:t>Cash Flow Statement</w:t>
            </w:r>
            <w:r>
              <w:rPr>
                <w:noProof/>
                <w:webHidden/>
              </w:rPr>
              <w:tab/>
            </w:r>
            <w:r>
              <w:rPr>
                <w:noProof/>
                <w:webHidden/>
              </w:rPr>
              <w:fldChar w:fldCharType="begin"/>
            </w:r>
            <w:r>
              <w:rPr>
                <w:noProof/>
                <w:webHidden/>
              </w:rPr>
              <w:instrText xml:space="preserve"> PAGEREF _Toc215593389 \h </w:instrText>
            </w:r>
            <w:r>
              <w:rPr>
                <w:noProof/>
                <w:webHidden/>
              </w:rPr>
            </w:r>
            <w:r>
              <w:rPr>
                <w:noProof/>
                <w:webHidden/>
              </w:rPr>
              <w:fldChar w:fldCharType="separate"/>
            </w:r>
            <w:r w:rsidR="00D33F99">
              <w:rPr>
                <w:noProof/>
                <w:webHidden/>
              </w:rPr>
              <w:t>26</w:t>
            </w:r>
            <w:r>
              <w:rPr>
                <w:noProof/>
                <w:webHidden/>
              </w:rPr>
              <w:fldChar w:fldCharType="end"/>
            </w:r>
          </w:hyperlink>
        </w:p>
        <w:p w14:paraId="01556754" w14:textId="41397799"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390" w:history="1">
            <w:r w:rsidRPr="00BE0E89">
              <w:rPr>
                <w:rStyle w:val="Hyperlink"/>
                <w:noProof/>
              </w:rPr>
              <w:t>Notes to the Core Financial Statements</w:t>
            </w:r>
            <w:r>
              <w:rPr>
                <w:noProof/>
                <w:webHidden/>
              </w:rPr>
              <w:tab/>
            </w:r>
            <w:r>
              <w:rPr>
                <w:noProof/>
                <w:webHidden/>
              </w:rPr>
              <w:fldChar w:fldCharType="begin"/>
            </w:r>
            <w:r>
              <w:rPr>
                <w:noProof/>
                <w:webHidden/>
              </w:rPr>
              <w:instrText xml:space="preserve"> PAGEREF _Toc215593390 \h </w:instrText>
            </w:r>
            <w:r>
              <w:rPr>
                <w:noProof/>
                <w:webHidden/>
              </w:rPr>
            </w:r>
            <w:r>
              <w:rPr>
                <w:noProof/>
                <w:webHidden/>
              </w:rPr>
              <w:fldChar w:fldCharType="separate"/>
            </w:r>
            <w:r w:rsidR="00D33F99">
              <w:rPr>
                <w:noProof/>
                <w:webHidden/>
              </w:rPr>
              <w:t>27</w:t>
            </w:r>
            <w:r>
              <w:rPr>
                <w:noProof/>
                <w:webHidden/>
              </w:rPr>
              <w:fldChar w:fldCharType="end"/>
            </w:r>
          </w:hyperlink>
        </w:p>
        <w:p w14:paraId="4469B7EA" w14:textId="349C8404"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1" w:history="1">
            <w:r w:rsidRPr="00BE0E89">
              <w:rPr>
                <w:rStyle w:val="Hyperlink"/>
                <w:noProof/>
              </w:rPr>
              <w:t>1</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Expenditure and Funding Analysis</w:t>
            </w:r>
            <w:r>
              <w:rPr>
                <w:noProof/>
                <w:webHidden/>
              </w:rPr>
              <w:tab/>
            </w:r>
            <w:r>
              <w:rPr>
                <w:noProof/>
                <w:webHidden/>
              </w:rPr>
              <w:fldChar w:fldCharType="begin"/>
            </w:r>
            <w:r>
              <w:rPr>
                <w:noProof/>
                <w:webHidden/>
              </w:rPr>
              <w:instrText xml:space="preserve"> PAGEREF _Toc215593391 \h </w:instrText>
            </w:r>
            <w:r>
              <w:rPr>
                <w:noProof/>
                <w:webHidden/>
              </w:rPr>
            </w:r>
            <w:r>
              <w:rPr>
                <w:noProof/>
                <w:webHidden/>
              </w:rPr>
              <w:fldChar w:fldCharType="separate"/>
            </w:r>
            <w:r w:rsidR="00D33F99">
              <w:rPr>
                <w:noProof/>
                <w:webHidden/>
              </w:rPr>
              <w:t>27</w:t>
            </w:r>
            <w:r>
              <w:rPr>
                <w:noProof/>
                <w:webHidden/>
              </w:rPr>
              <w:fldChar w:fldCharType="end"/>
            </w:r>
          </w:hyperlink>
        </w:p>
        <w:p w14:paraId="26C160E8" w14:textId="463F1B99"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392" w:history="1">
            <w:r w:rsidRPr="00BE0E89">
              <w:rPr>
                <w:rStyle w:val="Hyperlink"/>
                <w:noProof/>
              </w:rPr>
              <w:t>1a</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Note to the Expenditure and Funding Analysis</w:t>
            </w:r>
            <w:r>
              <w:rPr>
                <w:noProof/>
                <w:webHidden/>
              </w:rPr>
              <w:tab/>
            </w:r>
            <w:r>
              <w:rPr>
                <w:noProof/>
                <w:webHidden/>
              </w:rPr>
              <w:fldChar w:fldCharType="begin"/>
            </w:r>
            <w:r>
              <w:rPr>
                <w:noProof/>
                <w:webHidden/>
              </w:rPr>
              <w:instrText xml:space="preserve"> PAGEREF _Toc215593392 \h </w:instrText>
            </w:r>
            <w:r>
              <w:rPr>
                <w:noProof/>
                <w:webHidden/>
              </w:rPr>
            </w:r>
            <w:r>
              <w:rPr>
                <w:noProof/>
                <w:webHidden/>
              </w:rPr>
              <w:fldChar w:fldCharType="separate"/>
            </w:r>
            <w:r w:rsidR="00D33F99">
              <w:rPr>
                <w:noProof/>
                <w:webHidden/>
              </w:rPr>
              <w:t>29</w:t>
            </w:r>
            <w:r>
              <w:rPr>
                <w:noProof/>
                <w:webHidden/>
              </w:rPr>
              <w:fldChar w:fldCharType="end"/>
            </w:r>
          </w:hyperlink>
        </w:p>
        <w:p w14:paraId="63AF5B80" w14:textId="2C5AA54D"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3" w:history="1">
            <w:r w:rsidRPr="00BE0E89">
              <w:rPr>
                <w:rStyle w:val="Hyperlink"/>
                <w:noProof/>
              </w:rPr>
              <w:t>2</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Fire Authority Costs</w:t>
            </w:r>
            <w:r>
              <w:rPr>
                <w:noProof/>
                <w:webHidden/>
              </w:rPr>
              <w:tab/>
            </w:r>
            <w:r>
              <w:rPr>
                <w:noProof/>
                <w:webHidden/>
              </w:rPr>
              <w:fldChar w:fldCharType="begin"/>
            </w:r>
            <w:r>
              <w:rPr>
                <w:noProof/>
                <w:webHidden/>
              </w:rPr>
              <w:instrText xml:space="preserve"> PAGEREF _Toc215593393 \h </w:instrText>
            </w:r>
            <w:r>
              <w:rPr>
                <w:noProof/>
                <w:webHidden/>
              </w:rPr>
            </w:r>
            <w:r>
              <w:rPr>
                <w:noProof/>
                <w:webHidden/>
              </w:rPr>
              <w:fldChar w:fldCharType="separate"/>
            </w:r>
            <w:r w:rsidR="00D33F99">
              <w:rPr>
                <w:noProof/>
                <w:webHidden/>
              </w:rPr>
              <w:t>31</w:t>
            </w:r>
            <w:r>
              <w:rPr>
                <w:noProof/>
                <w:webHidden/>
              </w:rPr>
              <w:fldChar w:fldCharType="end"/>
            </w:r>
          </w:hyperlink>
        </w:p>
        <w:p w14:paraId="595638AE" w14:textId="6A1893DB"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4" w:history="1">
            <w:r w:rsidRPr="00BE0E89">
              <w:rPr>
                <w:rStyle w:val="Hyperlink"/>
                <w:noProof/>
              </w:rPr>
              <w:t>3</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Employees Emoluments</w:t>
            </w:r>
            <w:r>
              <w:rPr>
                <w:noProof/>
                <w:webHidden/>
              </w:rPr>
              <w:tab/>
            </w:r>
            <w:r>
              <w:rPr>
                <w:noProof/>
                <w:webHidden/>
              </w:rPr>
              <w:fldChar w:fldCharType="begin"/>
            </w:r>
            <w:r>
              <w:rPr>
                <w:noProof/>
                <w:webHidden/>
              </w:rPr>
              <w:instrText xml:space="preserve"> PAGEREF _Toc215593394 \h </w:instrText>
            </w:r>
            <w:r>
              <w:rPr>
                <w:noProof/>
                <w:webHidden/>
              </w:rPr>
            </w:r>
            <w:r>
              <w:rPr>
                <w:noProof/>
                <w:webHidden/>
              </w:rPr>
              <w:fldChar w:fldCharType="separate"/>
            </w:r>
            <w:r w:rsidR="00D33F99">
              <w:rPr>
                <w:noProof/>
                <w:webHidden/>
              </w:rPr>
              <w:t>31</w:t>
            </w:r>
            <w:r>
              <w:rPr>
                <w:noProof/>
                <w:webHidden/>
              </w:rPr>
              <w:fldChar w:fldCharType="end"/>
            </w:r>
          </w:hyperlink>
        </w:p>
        <w:p w14:paraId="5BC95CBA" w14:textId="63884676"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5" w:history="1">
            <w:r w:rsidRPr="00BE0E89">
              <w:rPr>
                <w:rStyle w:val="Hyperlink"/>
                <w:noProof/>
              </w:rPr>
              <w:t>4</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External Auditors Fees</w:t>
            </w:r>
            <w:r>
              <w:rPr>
                <w:noProof/>
                <w:webHidden/>
              </w:rPr>
              <w:tab/>
            </w:r>
            <w:r>
              <w:rPr>
                <w:noProof/>
                <w:webHidden/>
              </w:rPr>
              <w:fldChar w:fldCharType="begin"/>
            </w:r>
            <w:r>
              <w:rPr>
                <w:noProof/>
                <w:webHidden/>
              </w:rPr>
              <w:instrText xml:space="preserve"> PAGEREF _Toc215593395 \h </w:instrText>
            </w:r>
            <w:r>
              <w:rPr>
                <w:noProof/>
                <w:webHidden/>
              </w:rPr>
            </w:r>
            <w:r>
              <w:rPr>
                <w:noProof/>
                <w:webHidden/>
              </w:rPr>
              <w:fldChar w:fldCharType="separate"/>
            </w:r>
            <w:r w:rsidR="00D33F99">
              <w:rPr>
                <w:noProof/>
                <w:webHidden/>
              </w:rPr>
              <w:t>34</w:t>
            </w:r>
            <w:r>
              <w:rPr>
                <w:noProof/>
                <w:webHidden/>
              </w:rPr>
              <w:fldChar w:fldCharType="end"/>
            </w:r>
          </w:hyperlink>
        </w:p>
        <w:p w14:paraId="56F72C87" w14:textId="7E019709"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6" w:history="1">
            <w:r w:rsidRPr="00BE0E89">
              <w:rPr>
                <w:rStyle w:val="Hyperlink"/>
                <w:noProof/>
              </w:rPr>
              <w:t>5</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Related Parties Transactions</w:t>
            </w:r>
            <w:r>
              <w:rPr>
                <w:noProof/>
                <w:webHidden/>
              </w:rPr>
              <w:tab/>
            </w:r>
            <w:r>
              <w:rPr>
                <w:noProof/>
                <w:webHidden/>
              </w:rPr>
              <w:fldChar w:fldCharType="begin"/>
            </w:r>
            <w:r>
              <w:rPr>
                <w:noProof/>
                <w:webHidden/>
              </w:rPr>
              <w:instrText xml:space="preserve"> PAGEREF _Toc215593396 \h </w:instrText>
            </w:r>
            <w:r>
              <w:rPr>
                <w:noProof/>
                <w:webHidden/>
              </w:rPr>
            </w:r>
            <w:r>
              <w:rPr>
                <w:noProof/>
                <w:webHidden/>
              </w:rPr>
              <w:fldChar w:fldCharType="separate"/>
            </w:r>
            <w:r w:rsidR="00D33F99">
              <w:rPr>
                <w:noProof/>
                <w:webHidden/>
              </w:rPr>
              <w:t>34</w:t>
            </w:r>
            <w:r>
              <w:rPr>
                <w:noProof/>
                <w:webHidden/>
              </w:rPr>
              <w:fldChar w:fldCharType="end"/>
            </w:r>
          </w:hyperlink>
        </w:p>
        <w:p w14:paraId="63741287" w14:textId="562BCD5B"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7" w:history="1">
            <w:r w:rsidRPr="00BE0E89">
              <w:rPr>
                <w:rStyle w:val="Hyperlink"/>
                <w:noProof/>
              </w:rPr>
              <w:t>6</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Property, Plant &amp; Equipment</w:t>
            </w:r>
            <w:r>
              <w:rPr>
                <w:noProof/>
                <w:webHidden/>
              </w:rPr>
              <w:tab/>
            </w:r>
            <w:r>
              <w:rPr>
                <w:noProof/>
                <w:webHidden/>
              </w:rPr>
              <w:fldChar w:fldCharType="begin"/>
            </w:r>
            <w:r>
              <w:rPr>
                <w:noProof/>
                <w:webHidden/>
              </w:rPr>
              <w:instrText xml:space="preserve"> PAGEREF _Toc215593397 \h </w:instrText>
            </w:r>
            <w:r>
              <w:rPr>
                <w:noProof/>
                <w:webHidden/>
              </w:rPr>
            </w:r>
            <w:r>
              <w:rPr>
                <w:noProof/>
                <w:webHidden/>
              </w:rPr>
              <w:fldChar w:fldCharType="separate"/>
            </w:r>
            <w:r w:rsidR="00D33F99">
              <w:rPr>
                <w:noProof/>
                <w:webHidden/>
              </w:rPr>
              <w:t>35</w:t>
            </w:r>
            <w:r>
              <w:rPr>
                <w:noProof/>
                <w:webHidden/>
              </w:rPr>
              <w:fldChar w:fldCharType="end"/>
            </w:r>
          </w:hyperlink>
        </w:p>
        <w:p w14:paraId="76F7BCED" w14:textId="57434413"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8" w:history="1">
            <w:r w:rsidRPr="00BE0E89">
              <w:rPr>
                <w:rStyle w:val="Hyperlink"/>
                <w:noProof/>
              </w:rPr>
              <w:t>7</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Intangible Assets</w:t>
            </w:r>
            <w:r>
              <w:rPr>
                <w:noProof/>
                <w:webHidden/>
              </w:rPr>
              <w:tab/>
            </w:r>
            <w:r>
              <w:rPr>
                <w:noProof/>
                <w:webHidden/>
              </w:rPr>
              <w:fldChar w:fldCharType="begin"/>
            </w:r>
            <w:r>
              <w:rPr>
                <w:noProof/>
                <w:webHidden/>
              </w:rPr>
              <w:instrText xml:space="preserve"> PAGEREF _Toc215593398 \h </w:instrText>
            </w:r>
            <w:r>
              <w:rPr>
                <w:noProof/>
                <w:webHidden/>
              </w:rPr>
            </w:r>
            <w:r>
              <w:rPr>
                <w:noProof/>
                <w:webHidden/>
              </w:rPr>
              <w:fldChar w:fldCharType="separate"/>
            </w:r>
            <w:r w:rsidR="00D33F99">
              <w:rPr>
                <w:noProof/>
                <w:webHidden/>
              </w:rPr>
              <w:t>41</w:t>
            </w:r>
            <w:r>
              <w:rPr>
                <w:noProof/>
                <w:webHidden/>
              </w:rPr>
              <w:fldChar w:fldCharType="end"/>
            </w:r>
          </w:hyperlink>
        </w:p>
        <w:p w14:paraId="1917C1EB" w14:textId="2F0524E9"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399" w:history="1">
            <w:r w:rsidRPr="00BE0E89">
              <w:rPr>
                <w:rStyle w:val="Hyperlink"/>
                <w:noProof/>
              </w:rPr>
              <w:t>8</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Financial Instruments</w:t>
            </w:r>
            <w:r>
              <w:rPr>
                <w:noProof/>
                <w:webHidden/>
              </w:rPr>
              <w:tab/>
            </w:r>
            <w:r>
              <w:rPr>
                <w:noProof/>
                <w:webHidden/>
              </w:rPr>
              <w:fldChar w:fldCharType="begin"/>
            </w:r>
            <w:r>
              <w:rPr>
                <w:noProof/>
                <w:webHidden/>
              </w:rPr>
              <w:instrText xml:space="preserve"> PAGEREF _Toc215593399 \h </w:instrText>
            </w:r>
            <w:r>
              <w:rPr>
                <w:noProof/>
                <w:webHidden/>
              </w:rPr>
            </w:r>
            <w:r>
              <w:rPr>
                <w:noProof/>
                <w:webHidden/>
              </w:rPr>
              <w:fldChar w:fldCharType="separate"/>
            </w:r>
            <w:r w:rsidR="00D33F99">
              <w:rPr>
                <w:noProof/>
                <w:webHidden/>
              </w:rPr>
              <w:t>42</w:t>
            </w:r>
            <w:r>
              <w:rPr>
                <w:noProof/>
                <w:webHidden/>
              </w:rPr>
              <w:fldChar w:fldCharType="end"/>
            </w:r>
          </w:hyperlink>
        </w:p>
        <w:p w14:paraId="3F77048D" w14:textId="229C9C56" w:rsidR="00CE5EE4" w:rsidRDefault="00CE5EE4">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15593400" w:history="1">
            <w:r w:rsidRPr="00BE0E89">
              <w:rPr>
                <w:rStyle w:val="Hyperlink"/>
                <w:noProof/>
              </w:rPr>
              <w:t>9</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Debtors</w:t>
            </w:r>
            <w:r>
              <w:rPr>
                <w:noProof/>
                <w:webHidden/>
              </w:rPr>
              <w:tab/>
            </w:r>
            <w:r>
              <w:rPr>
                <w:noProof/>
                <w:webHidden/>
              </w:rPr>
              <w:fldChar w:fldCharType="begin"/>
            </w:r>
            <w:r>
              <w:rPr>
                <w:noProof/>
                <w:webHidden/>
              </w:rPr>
              <w:instrText xml:space="preserve"> PAGEREF _Toc215593400 \h </w:instrText>
            </w:r>
            <w:r>
              <w:rPr>
                <w:noProof/>
                <w:webHidden/>
              </w:rPr>
            </w:r>
            <w:r>
              <w:rPr>
                <w:noProof/>
                <w:webHidden/>
              </w:rPr>
              <w:fldChar w:fldCharType="separate"/>
            </w:r>
            <w:r w:rsidR="00D33F99">
              <w:rPr>
                <w:noProof/>
                <w:webHidden/>
              </w:rPr>
              <w:t>44</w:t>
            </w:r>
            <w:r>
              <w:rPr>
                <w:noProof/>
                <w:webHidden/>
              </w:rPr>
              <w:fldChar w:fldCharType="end"/>
            </w:r>
          </w:hyperlink>
        </w:p>
        <w:p w14:paraId="53F66731" w14:textId="733E7775"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1" w:history="1">
            <w:r w:rsidRPr="00BE0E89">
              <w:rPr>
                <w:rStyle w:val="Hyperlink"/>
                <w:noProof/>
              </w:rPr>
              <w:t>10</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Cash &amp; Cash Equivalents</w:t>
            </w:r>
            <w:r>
              <w:rPr>
                <w:noProof/>
                <w:webHidden/>
              </w:rPr>
              <w:tab/>
            </w:r>
            <w:r>
              <w:rPr>
                <w:noProof/>
                <w:webHidden/>
              </w:rPr>
              <w:fldChar w:fldCharType="begin"/>
            </w:r>
            <w:r>
              <w:rPr>
                <w:noProof/>
                <w:webHidden/>
              </w:rPr>
              <w:instrText xml:space="preserve"> PAGEREF _Toc215593401 \h </w:instrText>
            </w:r>
            <w:r>
              <w:rPr>
                <w:noProof/>
                <w:webHidden/>
              </w:rPr>
            </w:r>
            <w:r>
              <w:rPr>
                <w:noProof/>
                <w:webHidden/>
              </w:rPr>
              <w:fldChar w:fldCharType="separate"/>
            </w:r>
            <w:r w:rsidR="00D33F99">
              <w:rPr>
                <w:noProof/>
                <w:webHidden/>
              </w:rPr>
              <w:t>44</w:t>
            </w:r>
            <w:r>
              <w:rPr>
                <w:noProof/>
                <w:webHidden/>
              </w:rPr>
              <w:fldChar w:fldCharType="end"/>
            </w:r>
          </w:hyperlink>
        </w:p>
        <w:p w14:paraId="2EE1B811" w14:textId="5DBAE681"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2" w:history="1">
            <w:r w:rsidRPr="00BE0E89">
              <w:rPr>
                <w:rStyle w:val="Hyperlink"/>
                <w:noProof/>
              </w:rPr>
              <w:t>11</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Creditors</w:t>
            </w:r>
            <w:r>
              <w:rPr>
                <w:noProof/>
                <w:webHidden/>
              </w:rPr>
              <w:tab/>
            </w:r>
            <w:r>
              <w:rPr>
                <w:noProof/>
                <w:webHidden/>
              </w:rPr>
              <w:fldChar w:fldCharType="begin"/>
            </w:r>
            <w:r>
              <w:rPr>
                <w:noProof/>
                <w:webHidden/>
              </w:rPr>
              <w:instrText xml:space="preserve"> PAGEREF _Toc215593402 \h </w:instrText>
            </w:r>
            <w:r>
              <w:rPr>
                <w:noProof/>
                <w:webHidden/>
              </w:rPr>
            </w:r>
            <w:r>
              <w:rPr>
                <w:noProof/>
                <w:webHidden/>
              </w:rPr>
              <w:fldChar w:fldCharType="separate"/>
            </w:r>
            <w:r w:rsidR="00D33F99">
              <w:rPr>
                <w:noProof/>
                <w:webHidden/>
              </w:rPr>
              <w:t>45</w:t>
            </w:r>
            <w:r>
              <w:rPr>
                <w:noProof/>
                <w:webHidden/>
              </w:rPr>
              <w:fldChar w:fldCharType="end"/>
            </w:r>
          </w:hyperlink>
        </w:p>
        <w:p w14:paraId="245F21EB" w14:textId="6AC030FB"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3" w:history="1">
            <w:r w:rsidRPr="00BE0E89">
              <w:rPr>
                <w:rStyle w:val="Hyperlink"/>
                <w:noProof/>
              </w:rPr>
              <w:t>12</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Grants Received in Advance</w:t>
            </w:r>
            <w:r>
              <w:rPr>
                <w:noProof/>
                <w:webHidden/>
              </w:rPr>
              <w:tab/>
            </w:r>
            <w:r>
              <w:rPr>
                <w:noProof/>
                <w:webHidden/>
              </w:rPr>
              <w:fldChar w:fldCharType="begin"/>
            </w:r>
            <w:r>
              <w:rPr>
                <w:noProof/>
                <w:webHidden/>
              </w:rPr>
              <w:instrText xml:space="preserve"> PAGEREF _Toc215593403 \h </w:instrText>
            </w:r>
            <w:r>
              <w:rPr>
                <w:noProof/>
                <w:webHidden/>
              </w:rPr>
            </w:r>
            <w:r>
              <w:rPr>
                <w:noProof/>
                <w:webHidden/>
              </w:rPr>
              <w:fldChar w:fldCharType="separate"/>
            </w:r>
            <w:r w:rsidR="00D33F99">
              <w:rPr>
                <w:noProof/>
                <w:webHidden/>
              </w:rPr>
              <w:t>45</w:t>
            </w:r>
            <w:r>
              <w:rPr>
                <w:noProof/>
                <w:webHidden/>
              </w:rPr>
              <w:fldChar w:fldCharType="end"/>
            </w:r>
          </w:hyperlink>
        </w:p>
        <w:p w14:paraId="70A5019F" w14:textId="03C944A6"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4" w:history="1">
            <w:r w:rsidRPr="00BE0E89">
              <w:rPr>
                <w:rStyle w:val="Hyperlink"/>
                <w:noProof/>
              </w:rPr>
              <w:t>13</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Provisions</w:t>
            </w:r>
            <w:r>
              <w:rPr>
                <w:noProof/>
                <w:webHidden/>
              </w:rPr>
              <w:tab/>
            </w:r>
            <w:r>
              <w:rPr>
                <w:noProof/>
                <w:webHidden/>
              </w:rPr>
              <w:fldChar w:fldCharType="begin"/>
            </w:r>
            <w:r>
              <w:rPr>
                <w:noProof/>
                <w:webHidden/>
              </w:rPr>
              <w:instrText xml:space="preserve"> PAGEREF _Toc215593404 \h </w:instrText>
            </w:r>
            <w:r>
              <w:rPr>
                <w:noProof/>
                <w:webHidden/>
              </w:rPr>
            </w:r>
            <w:r>
              <w:rPr>
                <w:noProof/>
                <w:webHidden/>
              </w:rPr>
              <w:fldChar w:fldCharType="separate"/>
            </w:r>
            <w:r w:rsidR="00D33F99">
              <w:rPr>
                <w:noProof/>
                <w:webHidden/>
              </w:rPr>
              <w:t>45</w:t>
            </w:r>
            <w:r>
              <w:rPr>
                <w:noProof/>
                <w:webHidden/>
              </w:rPr>
              <w:fldChar w:fldCharType="end"/>
            </w:r>
          </w:hyperlink>
        </w:p>
        <w:p w14:paraId="053C1505" w14:textId="59B2203F"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5" w:history="1">
            <w:r w:rsidRPr="00BE0E89">
              <w:rPr>
                <w:rStyle w:val="Hyperlink"/>
                <w:noProof/>
              </w:rPr>
              <w:t>14</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Other Long-Term Liabilities</w:t>
            </w:r>
            <w:r>
              <w:rPr>
                <w:noProof/>
                <w:webHidden/>
              </w:rPr>
              <w:tab/>
            </w:r>
            <w:r>
              <w:rPr>
                <w:noProof/>
                <w:webHidden/>
              </w:rPr>
              <w:fldChar w:fldCharType="begin"/>
            </w:r>
            <w:r>
              <w:rPr>
                <w:noProof/>
                <w:webHidden/>
              </w:rPr>
              <w:instrText xml:space="preserve"> PAGEREF _Toc215593405 \h </w:instrText>
            </w:r>
            <w:r>
              <w:rPr>
                <w:noProof/>
                <w:webHidden/>
              </w:rPr>
            </w:r>
            <w:r>
              <w:rPr>
                <w:noProof/>
                <w:webHidden/>
              </w:rPr>
              <w:fldChar w:fldCharType="separate"/>
            </w:r>
            <w:r w:rsidR="00D33F99">
              <w:rPr>
                <w:noProof/>
                <w:webHidden/>
              </w:rPr>
              <w:t>46</w:t>
            </w:r>
            <w:r>
              <w:rPr>
                <w:noProof/>
                <w:webHidden/>
              </w:rPr>
              <w:fldChar w:fldCharType="end"/>
            </w:r>
          </w:hyperlink>
        </w:p>
        <w:p w14:paraId="6CFF15CA" w14:textId="1278F38F"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6" w:history="1">
            <w:r w:rsidRPr="00BE0E89">
              <w:rPr>
                <w:rStyle w:val="Hyperlink"/>
                <w:noProof/>
              </w:rPr>
              <w:t>15</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PFI Schemes</w:t>
            </w:r>
            <w:r>
              <w:rPr>
                <w:noProof/>
                <w:webHidden/>
              </w:rPr>
              <w:tab/>
            </w:r>
            <w:r>
              <w:rPr>
                <w:noProof/>
                <w:webHidden/>
              </w:rPr>
              <w:fldChar w:fldCharType="begin"/>
            </w:r>
            <w:r>
              <w:rPr>
                <w:noProof/>
                <w:webHidden/>
              </w:rPr>
              <w:instrText xml:space="preserve"> PAGEREF _Toc215593406 \h </w:instrText>
            </w:r>
            <w:r>
              <w:rPr>
                <w:noProof/>
                <w:webHidden/>
              </w:rPr>
            </w:r>
            <w:r>
              <w:rPr>
                <w:noProof/>
                <w:webHidden/>
              </w:rPr>
              <w:fldChar w:fldCharType="separate"/>
            </w:r>
            <w:r w:rsidR="00D33F99">
              <w:rPr>
                <w:noProof/>
                <w:webHidden/>
              </w:rPr>
              <w:t>46</w:t>
            </w:r>
            <w:r>
              <w:rPr>
                <w:noProof/>
                <w:webHidden/>
              </w:rPr>
              <w:fldChar w:fldCharType="end"/>
            </w:r>
          </w:hyperlink>
        </w:p>
        <w:p w14:paraId="10F3D056" w14:textId="24A0E2EA"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7" w:history="1">
            <w:r w:rsidRPr="00BE0E89">
              <w:rPr>
                <w:rStyle w:val="Hyperlink"/>
                <w:noProof/>
              </w:rPr>
              <w:t>16</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Local Government and Firefighters’ Pensions Schemes</w:t>
            </w:r>
            <w:r>
              <w:rPr>
                <w:noProof/>
                <w:webHidden/>
              </w:rPr>
              <w:tab/>
            </w:r>
            <w:r>
              <w:rPr>
                <w:noProof/>
                <w:webHidden/>
              </w:rPr>
              <w:fldChar w:fldCharType="begin"/>
            </w:r>
            <w:r>
              <w:rPr>
                <w:noProof/>
                <w:webHidden/>
              </w:rPr>
              <w:instrText xml:space="preserve"> PAGEREF _Toc215593407 \h </w:instrText>
            </w:r>
            <w:r>
              <w:rPr>
                <w:noProof/>
                <w:webHidden/>
              </w:rPr>
            </w:r>
            <w:r>
              <w:rPr>
                <w:noProof/>
                <w:webHidden/>
              </w:rPr>
              <w:fldChar w:fldCharType="separate"/>
            </w:r>
            <w:r w:rsidR="00D33F99">
              <w:rPr>
                <w:noProof/>
                <w:webHidden/>
              </w:rPr>
              <w:t>48</w:t>
            </w:r>
            <w:r>
              <w:rPr>
                <w:noProof/>
                <w:webHidden/>
              </w:rPr>
              <w:fldChar w:fldCharType="end"/>
            </w:r>
          </w:hyperlink>
        </w:p>
        <w:p w14:paraId="748C20B9" w14:textId="3A8EE347"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8" w:history="1">
            <w:r w:rsidRPr="00BE0E89">
              <w:rPr>
                <w:rStyle w:val="Hyperlink"/>
                <w:noProof/>
              </w:rPr>
              <w:t>17</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Usable Reserves</w:t>
            </w:r>
            <w:r>
              <w:rPr>
                <w:noProof/>
                <w:webHidden/>
              </w:rPr>
              <w:tab/>
            </w:r>
            <w:r>
              <w:rPr>
                <w:noProof/>
                <w:webHidden/>
              </w:rPr>
              <w:fldChar w:fldCharType="begin"/>
            </w:r>
            <w:r>
              <w:rPr>
                <w:noProof/>
                <w:webHidden/>
              </w:rPr>
              <w:instrText xml:space="preserve"> PAGEREF _Toc215593408 \h </w:instrText>
            </w:r>
            <w:r>
              <w:rPr>
                <w:noProof/>
                <w:webHidden/>
              </w:rPr>
            </w:r>
            <w:r>
              <w:rPr>
                <w:noProof/>
                <w:webHidden/>
              </w:rPr>
              <w:fldChar w:fldCharType="separate"/>
            </w:r>
            <w:r w:rsidR="00D33F99">
              <w:rPr>
                <w:noProof/>
                <w:webHidden/>
              </w:rPr>
              <w:t>54</w:t>
            </w:r>
            <w:r>
              <w:rPr>
                <w:noProof/>
                <w:webHidden/>
              </w:rPr>
              <w:fldChar w:fldCharType="end"/>
            </w:r>
          </w:hyperlink>
        </w:p>
        <w:p w14:paraId="3ED03CDD" w14:textId="44DA52D3"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09" w:history="1">
            <w:r w:rsidRPr="00BE0E89">
              <w:rPr>
                <w:rStyle w:val="Hyperlink"/>
                <w:noProof/>
              </w:rPr>
              <w:t>18</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Transfers (to)/from Earmarked Reserves</w:t>
            </w:r>
            <w:r>
              <w:rPr>
                <w:noProof/>
                <w:webHidden/>
              </w:rPr>
              <w:tab/>
            </w:r>
            <w:r>
              <w:rPr>
                <w:noProof/>
                <w:webHidden/>
              </w:rPr>
              <w:fldChar w:fldCharType="begin"/>
            </w:r>
            <w:r>
              <w:rPr>
                <w:noProof/>
                <w:webHidden/>
              </w:rPr>
              <w:instrText xml:space="preserve"> PAGEREF _Toc215593409 \h </w:instrText>
            </w:r>
            <w:r>
              <w:rPr>
                <w:noProof/>
                <w:webHidden/>
              </w:rPr>
            </w:r>
            <w:r>
              <w:rPr>
                <w:noProof/>
                <w:webHidden/>
              </w:rPr>
              <w:fldChar w:fldCharType="separate"/>
            </w:r>
            <w:r w:rsidR="00D33F99">
              <w:rPr>
                <w:noProof/>
                <w:webHidden/>
              </w:rPr>
              <w:t>55</w:t>
            </w:r>
            <w:r>
              <w:rPr>
                <w:noProof/>
                <w:webHidden/>
              </w:rPr>
              <w:fldChar w:fldCharType="end"/>
            </w:r>
          </w:hyperlink>
        </w:p>
        <w:p w14:paraId="55BBB43D" w14:textId="7FA711F8"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0" w:history="1">
            <w:r w:rsidRPr="00BE0E89">
              <w:rPr>
                <w:rStyle w:val="Hyperlink"/>
                <w:noProof/>
              </w:rPr>
              <w:t>19</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Unusable Reserves</w:t>
            </w:r>
            <w:r>
              <w:rPr>
                <w:noProof/>
                <w:webHidden/>
              </w:rPr>
              <w:tab/>
            </w:r>
            <w:r>
              <w:rPr>
                <w:noProof/>
                <w:webHidden/>
              </w:rPr>
              <w:fldChar w:fldCharType="begin"/>
            </w:r>
            <w:r>
              <w:rPr>
                <w:noProof/>
                <w:webHidden/>
              </w:rPr>
              <w:instrText xml:space="preserve"> PAGEREF _Toc215593410 \h </w:instrText>
            </w:r>
            <w:r>
              <w:rPr>
                <w:noProof/>
                <w:webHidden/>
              </w:rPr>
            </w:r>
            <w:r>
              <w:rPr>
                <w:noProof/>
                <w:webHidden/>
              </w:rPr>
              <w:fldChar w:fldCharType="separate"/>
            </w:r>
            <w:r w:rsidR="00D33F99">
              <w:rPr>
                <w:noProof/>
                <w:webHidden/>
              </w:rPr>
              <w:t>56</w:t>
            </w:r>
            <w:r>
              <w:rPr>
                <w:noProof/>
                <w:webHidden/>
              </w:rPr>
              <w:fldChar w:fldCharType="end"/>
            </w:r>
          </w:hyperlink>
        </w:p>
        <w:p w14:paraId="1CFE6CB7" w14:textId="2DD4011E"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1" w:history="1">
            <w:r w:rsidRPr="00BE0E89">
              <w:rPr>
                <w:rStyle w:val="Hyperlink"/>
                <w:noProof/>
              </w:rPr>
              <w:t>20</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Contingent Liability</w:t>
            </w:r>
            <w:r>
              <w:rPr>
                <w:noProof/>
                <w:webHidden/>
              </w:rPr>
              <w:tab/>
            </w:r>
            <w:r>
              <w:rPr>
                <w:noProof/>
                <w:webHidden/>
              </w:rPr>
              <w:fldChar w:fldCharType="begin"/>
            </w:r>
            <w:r>
              <w:rPr>
                <w:noProof/>
                <w:webHidden/>
              </w:rPr>
              <w:instrText xml:space="preserve"> PAGEREF _Toc215593411 \h </w:instrText>
            </w:r>
            <w:r>
              <w:rPr>
                <w:noProof/>
                <w:webHidden/>
              </w:rPr>
            </w:r>
            <w:r>
              <w:rPr>
                <w:noProof/>
                <w:webHidden/>
              </w:rPr>
              <w:fldChar w:fldCharType="separate"/>
            </w:r>
            <w:r w:rsidR="00D33F99">
              <w:rPr>
                <w:noProof/>
                <w:webHidden/>
              </w:rPr>
              <w:t>59</w:t>
            </w:r>
            <w:r>
              <w:rPr>
                <w:noProof/>
                <w:webHidden/>
              </w:rPr>
              <w:fldChar w:fldCharType="end"/>
            </w:r>
          </w:hyperlink>
        </w:p>
        <w:p w14:paraId="679D792D" w14:textId="3E2BB9B6"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2" w:history="1">
            <w:r w:rsidRPr="00BE0E89">
              <w:rPr>
                <w:rStyle w:val="Hyperlink"/>
                <w:noProof/>
              </w:rPr>
              <w:t>21</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Post Balance Sheet Events</w:t>
            </w:r>
            <w:r>
              <w:rPr>
                <w:noProof/>
                <w:webHidden/>
              </w:rPr>
              <w:tab/>
            </w:r>
            <w:r>
              <w:rPr>
                <w:noProof/>
                <w:webHidden/>
              </w:rPr>
              <w:fldChar w:fldCharType="begin"/>
            </w:r>
            <w:r>
              <w:rPr>
                <w:noProof/>
                <w:webHidden/>
              </w:rPr>
              <w:instrText xml:space="preserve"> PAGEREF _Toc215593412 \h </w:instrText>
            </w:r>
            <w:r>
              <w:rPr>
                <w:noProof/>
                <w:webHidden/>
              </w:rPr>
            </w:r>
            <w:r>
              <w:rPr>
                <w:noProof/>
                <w:webHidden/>
              </w:rPr>
              <w:fldChar w:fldCharType="separate"/>
            </w:r>
            <w:r w:rsidR="00D33F99">
              <w:rPr>
                <w:noProof/>
                <w:webHidden/>
              </w:rPr>
              <w:t>59</w:t>
            </w:r>
            <w:r>
              <w:rPr>
                <w:noProof/>
                <w:webHidden/>
              </w:rPr>
              <w:fldChar w:fldCharType="end"/>
            </w:r>
          </w:hyperlink>
        </w:p>
        <w:p w14:paraId="1F3EA53E" w14:textId="095F8E2D"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3" w:history="1">
            <w:r w:rsidRPr="00BE0E89">
              <w:rPr>
                <w:rStyle w:val="Hyperlink"/>
                <w:noProof/>
              </w:rPr>
              <w:t>22</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Nature and Extent of Risks Arising from Financial Instruments</w:t>
            </w:r>
            <w:r>
              <w:rPr>
                <w:noProof/>
                <w:webHidden/>
              </w:rPr>
              <w:tab/>
            </w:r>
            <w:r>
              <w:rPr>
                <w:noProof/>
                <w:webHidden/>
              </w:rPr>
              <w:fldChar w:fldCharType="begin"/>
            </w:r>
            <w:r>
              <w:rPr>
                <w:noProof/>
                <w:webHidden/>
              </w:rPr>
              <w:instrText xml:space="preserve"> PAGEREF _Toc215593413 \h </w:instrText>
            </w:r>
            <w:r>
              <w:rPr>
                <w:noProof/>
                <w:webHidden/>
              </w:rPr>
            </w:r>
            <w:r>
              <w:rPr>
                <w:noProof/>
                <w:webHidden/>
              </w:rPr>
              <w:fldChar w:fldCharType="separate"/>
            </w:r>
            <w:r w:rsidR="00D33F99">
              <w:rPr>
                <w:noProof/>
                <w:webHidden/>
              </w:rPr>
              <w:t>59</w:t>
            </w:r>
            <w:r>
              <w:rPr>
                <w:noProof/>
                <w:webHidden/>
              </w:rPr>
              <w:fldChar w:fldCharType="end"/>
            </w:r>
          </w:hyperlink>
        </w:p>
        <w:p w14:paraId="4155F299" w14:textId="2CC827DF"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4" w:history="1">
            <w:r w:rsidRPr="00BE0E89">
              <w:rPr>
                <w:rStyle w:val="Hyperlink"/>
                <w:noProof/>
                <w:lang w:val="en-US"/>
              </w:rPr>
              <w:t>23</w:t>
            </w:r>
            <w:r>
              <w:rPr>
                <w:rFonts w:asciiTheme="minorHAnsi" w:eastAsiaTheme="minorEastAsia" w:hAnsiTheme="minorHAnsi" w:cstheme="minorBidi"/>
                <w:noProof/>
                <w:kern w:val="2"/>
                <w:szCs w:val="24"/>
                <w:lang w:eastAsia="en-GB"/>
                <w14:ligatures w14:val="standardContextual"/>
              </w:rPr>
              <w:tab/>
            </w:r>
            <w:r w:rsidRPr="00BE0E89">
              <w:rPr>
                <w:rStyle w:val="Hyperlink"/>
                <w:noProof/>
                <w:lang w:val="en-US"/>
              </w:rPr>
              <w:t>Local Authority Controlled Company – NW FireControl Limited</w:t>
            </w:r>
            <w:r>
              <w:rPr>
                <w:noProof/>
                <w:webHidden/>
              </w:rPr>
              <w:tab/>
            </w:r>
            <w:r>
              <w:rPr>
                <w:noProof/>
                <w:webHidden/>
              </w:rPr>
              <w:fldChar w:fldCharType="begin"/>
            </w:r>
            <w:r>
              <w:rPr>
                <w:noProof/>
                <w:webHidden/>
              </w:rPr>
              <w:instrText xml:space="preserve"> PAGEREF _Toc215593414 \h </w:instrText>
            </w:r>
            <w:r>
              <w:rPr>
                <w:noProof/>
                <w:webHidden/>
              </w:rPr>
            </w:r>
            <w:r>
              <w:rPr>
                <w:noProof/>
                <w:webHidden/>
              </w:rPr>
              <w:fldChar w:fldCharType="separate"/>
            </w:r>
            <w:r w:rsidR="00D33F99">
              <w:rPr>
                <w:noProof/>
                <w:webHidden/>
              </w:rPr>
              <w:t>61</w:t>
            </w:r>
            <w:r>
              <w:rPr>
                <w:noProof/>
                <w:webHidden/>
              </w:rPr>
              <w:fldChar w:fldCharType="end"/>
            </w:r>
          </w:hyperlink>
        </w:p>
        <w:p w14:paraId="19489E78" w14:textId="5C9ED70D"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5" w:history="1">
            <w:r w:rsidRPr="00BE0E89">
              <w:rPr>
                <w:rStyle w:val="Hyperlink"/>
                <w:noProof/>
              </w:rPr>
              <w:t>24</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Adjust net surplus/(deficit) on the provision of services for non-cash movements</w:t>
            </w:r>
            <w:r>
              <w:rPr>
                <w:noProof/>
                <w:webHidden/>
              </w:rPr>
              <w:tab/>
            </w:r>
            <w:r>
              <w:rPr>
                <w:noProof/>
                <w:webHidden/>
              </w:rPr>
              <w:fldChar w:fldCharType="begin"/>
            </w:r>
            <w:r>
              <w:rPr>
                <w:noProof/>
                <w:webHidden/>
              </w:rPr>
              <w:instrText xml:space="preserve"> PAGEREF _Toc215593415 \h </w:instrText>
            </w:r>
            <w:r>
              <w:rPr>
                <w:noProof/>
                <w:webHidden/>
              </w:rPr>
            </w:r>
            <w:r>
              <w:rPr>
                <w:noProof/>
                <w:webHidden/>
              </w:rPr>
              <w:fldChar w:fldCharType="separate"/>
            </w:r>
            <w:r w:rsidR="00D33F99">
              <w:rPr>
                <w:noProof/>
                <w:webHidden/>
              </w:rPr>
              <w:t>62</w:t>
            </w:r>
            <w:r>
              <w:rPr>
                <w:noProof/>
                <w:webHidden/>
              </w:rPr>
              <w:fldChar w:fldCharType="end"/>
            </w:r>
          </w:hyperlink>
        </w:p>
        <w:p w14:paraId="11F40EA1" w14:textId="0B52CD6C"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6" w:history="1">
            <w:r w:rsidRPr="00BE0E89">
              <w:rPr>
                <w:rStyle w:val="Hyperlink"/>
                <w:noProof/>
              </w:rPr>
              <w:t>25</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Adjust for items included in the net surplus/(deficit) on the provision of services that are investing and financing activities</w:t>
            </w:r>
            <w:r>
              <w:rPr>
                <w:noProof/>
                <w:webHidden/>
              </w:rPr>
              <w:tab/>
            </w:r>
            <w:r>
              <w:rPr>
                <w:noProof/>
                <w:webHidden/>
              </w:rPr>
              <w:fldChar w:fldCharType="begin"/>
            </w:r>
            <w:r>
              <w:rPr>
                <w:noProof/>
                <w:webHidden/>
              </w:rPr>
              <w:instrText xml:space="preserve"> PAGEREF _Toc215593416 \h </w:instrText>
            </w:r>
            <w:r>
              <w:rPr>
                <w:noProof/>
                <w:webHidden/>
              </w:rPr>
            </w:r>
            <w:r>
              <w:rPr>
                <w:noProof/>
                <w:webHidden/>
              </w:rPr>
              <w:fldChar w:fldCharType="separate"/>
            </w:r>
            <w:r w:rsidR="00D33F99">
              <w:rPr>
                <w:noProof/>
                <w:webHidden/>
              </w:rPr>
              <w:t>63</w:t>
            </w:r>
            <w:r>
              <w:rPr>
                <w:noProof/>
                <w:webHidden/>
              </w:rPr>
              <w:fldChar w:fldCharType="end"/>
            </w:r>
          </w:hyperlink>
        </w:p>
        <w:p w14:paraId="5AE1F055" w14:textId="3920692D"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7" w:history="1">
            <w:r w:rsidRPr="00BE0E89">
              <w:rPr>
                <w:rStyle w:val="Hyperlink"/>
                <w:noProof/>
              </w:rPr>
              <w:t>26</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Reconciliation of liabilities arising from financing activities</w:t>
            </w:r>
            <w:r>
              <w:rPr>
                <w:noProof/>
                <w:webHidden/>
              </w:rPr>
              <w:tab/>
            </w:r>
            <w:r>
              <w:rPr>
                <w:noProof/>
                <w:webHidden/>
              </w:rPr>
              <w:fldChar w:fldCharType="begin"/>
            </w:r>
            <w:r>
              <w:rPr>
                <w:noProof/>
                <w:webHidden/>
              </w:rPr>
              <w:instrText xml:space="preserve"> PAGEREF _Toc215593417 \h </w:instrText>
            </w:r>
            <w:r>
              <w:rPr>
                <w:noProof/>
                <w:webHidden/>
              </w:rPr>
            </w:r>
            <w:r>
              <w:rPr>
                <w:noProof/>
                <w:webHidden/>
              </w:rPr>
              <w:fldChar w:fldCharType="separate"/>
            </w:r>
            <w:r w:rsidR="00D33F99">
              <w:rPr>
                <w:noProof/>
                <w:webHidden/>
              </w:rPr>
              <w:t>63</w:t>
            </w:r>
            <w:r>
              <w:rPr>
                <w:noProof/>
                <w:webHidden/>
              </w:rPr>
              <w:fldChar w:fldCharType="end"/>
            </w:r>
          </w:hyperlink>
        </w:p>
        <w:p w14:paraId="28CDCF69" w14:textId="75360B97"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8" w:history="1">
            <w:r w:rsidRPr="00BE0E89">
              <w:rPr>
                <w:rStyle w:val="Hyperlink"/>
                <w:noProof/>
              </w:rPr>
              <w:t>27</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Assumptions made about the future and other major sources of estimation and uncertainty</w:t>
            </w:r>
            <w:r>
              <w:rPr>
                <w:noProof/>
                <w:webHidden/>
              </w:rPr>
              <w:tab/>
            </w:r>
            <w:r>
              <w:rPr>
                <w:noProof/>
                <w:webHidden/>
              </w:rPr>
              <w:fldChar w:fldCharType="begin"/>
            </w:r>
            <w:r>
              <w:rPr>
                <w:noProof/>
                <w:webHidden/>
              </w:rPr>
              <w:instrText xml:space="preserve"> PAGEREF _Toc215593418 \h </w:instrText>
            </w:r>
            <w:r>
              <w:rPr>
                <w:noProof/>
                <w:webHidden/>
              </w:rPr>
            </w:r>
            <w:r>
              <w:rPr>
                <w:noProof/>
                <w:webHidden/>
              </w:rPr>
              <w:fldChar w:fldCharType="separate"/>
            </w:r>
            <w:r w:rsidR="00D33F99">
              <w:rPr>
                <w:noProof/>
                <w:webHidden/>
              </w:rPr>
              <w:t>63</w:t>
            </w:r>
            <w:r>
              <w:rPr>
                <w:noProof/>
                <w:webHidden/>
              </w:rPr>
              <w:fldChar w:fldCharType="end"/>
            </w:r>
          </w:hyperlink>
        </w:p>
        <w:p w14:paraId="7A9AC383" w14:textId="5FDC5A94"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19" w:history="1">
            <w:r w:rsidRPr="00BE0E89">
              <w:rPr>
                <w:rStyle w:val="Hyperlink"/>
                <w:noProof/>
              </w:rPr>
              <w:t>28</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Expenditure and Income Analysed by Nature</w:t>
            </w:r>
            <w:r>
              <w:rPr>
                <w:noProof/>
                <w:webHidden/>
              </w:rPr>
              <w:tab/>
            </w:r>
            <w:r>
              <w:rPr>
                <w:noProof/>
                <w:webHidden/>
              </w:rPr>
              <w:fldChar w:fldCharType="begin"/>
            </w:r>
            <w:r>
              <w:rPr>
                <w:noProof/>
                <w:webHidden/>
              </w:rPr>
              <w:instrText xml:space="preserve"> PAGEREF _Toc215593419 \h </w:instrText>
            </w:r>
            <w:r>
              <w:rPr>
                <w:noProof/>
                <w:webHidden/>
              </w:rPr>
            </w:r>
            <w:r>
              <w:rPr>
                <w:noProof/>
                <w:webHidden/>
              </w:rPr>
              <w:fldChar w:fldCharType="separate"/>
            </w:r>
            <w:r w:rsidR="00D33F99">
              <w:rPr>
                <w:noProof/>
                <w:webHidden/>
              </w:rPr>
              <w:t>65</w:t>
            </w:r>
            <w:r>
              <w:rPr>
                <w:noProof/>
                <w:webHidden/>
              </w:rPr>
              <w:fldChar w:fldCharType="end"/>
            </w:r>
          </w:hyperlink>
        </w:p>
        <w:p w14:paraId="1E4B66A9" w14:textId="457E3CE6"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20" w:history="1">
            <w:r w:rsidRPr="00BE0E89">
              <w:rPr>
                <w:rStyle w:val="Hyperlink"/>
                <w:noProof/>
              </w:rPr>
              <w:t>29</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Significant Judgements</w:t>
            </w:r>
            <w:r>
              <w:rPr>
                <w:noProof/>
                <w:webHidden/>
              </w:rPr>
              <w:tab/>
            </w:r>
            <w:r>
              <w:rPr>
                <w:noProof/>
                <w:webHidden/>
              </w:rPr>
              <w:fldChar w:fldCharType="begin"/>
            </w:r>
            <w:r>
              <w:rPr>
                <w:noProof/>
                <w:webHidden/>
              </w:rPr>
              <w:instrText xml:space="preserve"> PAGEREF _Toc215593420 \h </w:instrText>
            </w:r>
            <w:r>
              <w:rPr>
                <w:noProof/>
                <w:webHidden/>
              </w:rPr>
            </w:r>
            <w:r>
              <w:rPr>
                <w:noProof/>
                <w:webHidden/>
              </w:rPr>
              <w:fldChar w:fldCharType="separate"/>
            </w:r>
            <w:r w:rsidR="00D33F99">
              <w:rPr>
                <w:noProof/>
                <w:webHidden/>
              </w:rPr>
              <w:t>65</w:t>
            </w:r>
            <w:r>
              <w:rPr>
                <w:noProof/>
                <w:webHidden/>
              </w:rPr>
              <w:fldChar w:fldCharType="end"/>
            </w:r>
          </w:hyperlink>
        </w:p>
        <w:p w14:paraId="4DAE34CA" w14:textId="07D55C34" w:rsidR="00CE5EE4" w:rsidRDefault="00CE5EE4">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15593421" w:history="1">
            <w:r w:rsidRPr="00BE0E89">
              <w:rPr>
                <w:rStyle w:val="Hyperlink"/>
                <w:noProof/>
              </w:rPr>
              <w:t>30</w:t>
            </w:r>
            <w:r>
              <w:rPr>
                <w:rFonts w:asciiTheme="minorHAnsi" w:eastAsiaTheme="minorEastAsia" w:hAnsiTheme="minorHAnsi" w:cstheme="minorBidi"/>
                <w:noProof/>
                <w:kern w:val="2"/>
                <w:szCs w:val="24"/>
                <w:lang w:eastAsia="en-GB"/>
                <w14:ligatures w14:val="standardContextual"/>
              </w:rPr>
              <w:tab/>
            </w:r>
            <w:r w:rsidRPr="00BE0E89">
              <w:rPr>
                <w:rStyle w:val="Hyperlink"/>
                <w:noProof/>
              </w:rPr>
              <w:t>Accounting Policies</w:t>
            </w:r>
            <w:r>
              <w:rPr>
                <w:noProof/>
                <w:webHidden/>
              </w:rPr>
              <w:tab/>
            </w:r>
            <w:r>
              <w:rPr>
                <w:noProof/>
                <w:webHidden/>
              </w:rPr>
              <w:fldChar w:fldCharType="begin"/>
            </w:r>
            <w:r>
              <w:rPr>
                <w:noProof/>
                <w:webHidden/>
              </w:rPr>
              <w:instrText xml:space="preserve"> PAGEREF _Toc215593421 \h </w:instrText>
            </w:r>
            <w:r>
              <w:rPr>
                <w:noProof/>
                <w:webHidden/>
              </w:rPr>
            </w:r>
            <w:r>
              <w:rPr>
                <w:noProof/>
                <w:webHidden/>
              </w:rPr>
              <w:fldChar w:fldCharType="separate"/>
            </w:r>
            <w:r w:rsidR="00D33F99">
              <w:rPr>
                <w:noProof/>
                <w:webHidden/>
              </w:rPr>
              <w:t>65</w:t>
            </w:r>
            <w:r>
              <w:rPr>
                <w:noProof/>
                <w:webHidden/>
              </w:rPr>
              <w:fldChar w:fldCharType="end"/>
            </w:r>
          </w:hyperlink>
        </w:p>
        <w:p w14:paraId="2F2C0998" w14:textId="4BD18866"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422" w:history="1">
            <w:r w:rsidRPr="00BE0E89">
              <w:rPr>
                <w:rStyle w:val="Hyperlink"/>
                <w:noProof/>
              </w:rPr>
              <w:t>Fire Fighters Pension Fund Account and Net Assets Statement</w:t>
            </w:r>
            <w:r>
              <w:rPr>
                <w:noProof/>
                <w:webHidden/>
              </w:rPr>
              <w:tab/>
            </w:r>
            <w:r>
              <w:rPr>
                <w:noProof/>
                <w:webHidden/>
              </w:rPr>
              <w:fldChar w:fldCharType="begin"/>
            </w:r>
            <w:r>
              <w:rPr>
                <w:noProof/>
                <w:webHidden/>
              </w:rPr>
              <w:instrText xml:space="preserve"> PAGEREF _Toc215593422 \h </w:instrText>
            </w:r>
            <w:r>
              <w:rPr>
                <w:noProof/>
                <w:webHidden/>
              </w:rPr>
            </w:r>
            <w:r>
              <w:rPr>
                <w:noProof/>
                <w:webHidden/>
              </w:rPr>
              <w:fldChar w:fldCharType="separate"/>
            </w:r>
            <w:r w:rsidR="00D33F99">
              <w:rPr>
                <w:noProof/>
                <w:webHidden/>
              </w:rPr>
              <w:t>76</w:t>
            </w:r>
            <w:r>
              <w:rPr>
                <w:noProof/>
                <w:webHidden/>
              </w:rPr>
              <w:fldChar w:fldCharType="end"/>
            </w:r>
          </w:hyperlink>
        </w:p>
        <w:p w14:paraId="4778C863" w14:textId="5142B1AA" w:rsidR="00CE5EE4" w:rsidRDefault="00CE5EE4">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15593423" w:history="1">
            <w:r w:rsidRPr="00BE0E89">
              <w:rPr>
                <w:rStyle w:val="Hyperlink"/>
                <w:noProof/>
              </w:rPr>
              <w:t>Glossary of Terms</w:t>
            </w:r>
            <w:r>
              <w:rPr>
                <w:noProof/>
                <w:webHidden/>
              </w:rPr>
              <w:tab/>
            </w:r>
            <w:r>
              <w:rPr>
                <w:noProof/>
                <w:webHidden/>
              </w:rPr>
              <w:fldChar w:fldCharType="begin"/>
            </w:r>
            <w:r>
              <w:rPr>
                <w:noProof/>
                <w:webHidden/>
              </w:rPr>
              <w:instrText xml:space="preserve"> PAGEREF _Toc215593423 \h </w:instrText>
            </w:r>
            <w:r>
              <w:rPr>
                <w:noProof/>
                <w:webHidden/>
              </w:rPr>
            </w:r>
            <w:r>
              <w:rPr>
                <w:noProof/>
                <w:webHidden/>
              </w:rPr>
              <w:fldChar w:fldCharType="separate"/>
            </w:r>
            <w:r w:rsidR="00D33F99">
              <w:rPr>
                <w:noProof/>
                <w:webHidden/>
              </w:rPr>
              <w:t>78</w:t>
            </w:r>
            <w:r>
              <w:rPr>
                <w:noProof/>
                <w:webHidden/>
              </w:rPr>
              <w:fldChar w:fldCharType="end"/>
            </w:r>
          </w:hyperlink>
        </w:p>
        <w:p w14:paraId="0B3D2694" w14:textId="7FAC5255" w:rsidR="002B6814" w:rsidRPr="00D948C1" w:rsidRDefault="005A3C76" w:rsidP="095637AE">
          <w:pPr>
            <w:rPr>
              <w:highlight w:val="red"/>
            </w:rPr>
            <w:sectPr w:rsidR="002B6814" w:rsidRPr="00D948C1" w:rsidSect="00EE71C2">
              <w:headerReference w:type="even" r:id="rId12"/>
              <w:headerReference w:type="default" r:id="rId13"/>
              <w:footerReference w:type="default" r:id="rId14"/>
              <w:headerReference w:type="first" r:id="rId15"/>
              <w:pgSz w:w="11907" w:h="16840" w:code="9"/>
              <w:pgMar w:top="1440" w:right="1440" w:bottom="1440" w:left="1440" w:header="706" w:footer="706" w:gutter="0"/>
              <w:pgNumType w:start="0"/>
              <w:cols w:space="720"/>
              <w:titlePg/>
              <w:docGrid w:linePitch="326"/>
            </w:sectPr>
          </w:pPr>
          <w:r w:rsidRPr="00927796">
            <w:rPr>
              <w:rFonts w:cs="Arial"/>
              <w:b/>
              <w:bCs/>
              <w:noProof/>
              <w:szCs w:val="24"/>
            </w:rPr>
            <w:fldChar w:fldCharType="end"/>
          </w:r>
        </w:p>
      </w:sdtContent>
    </w:sdt>
    <w:p w14:paraId="10335662" w14:textId="230A968B" w:rsidR="006E6CFF" w:rsidRPr="00CF33BB" w:rsidRDefault="003668C6" w:rsidP="095637AE">
      <w:pPr>
        <w:pStyle w:val="Heading1"/>
        <w:rPr>
          <w:rFonts w:cs="Arial"/>
          <w:szCs w:val="24"/>
        </w:rPr>
      </w:pPr>
      <w:bookmarkStart w:id="1" w:name="_Toc215593381"/>
      <w:r w:rsidRPr="00CF33BB">
        <w:rPr>
          <w:rFonts w:cs="Arial"/>
          <w:szCs w:val="24"/>
        </w:rPr>
        <w:lastRenderedPageBreak/>
        <w:t>Narrative Report</w:t>
      </w:r>
      <w:bookmarkEnd w:id="1"/>
    </w:p>
    <w:p w14:paraId="1C85B084" w14:textId="77777777" w:rsidR="006E6CFF" w:rsidRPr="00CF33BB" w:rsidRDefault="006E6CFF" w:rsidP="095637AE">
      <w:pPr>
        <w:pStyle w:val="Footer"/>
        <w:tabs>
          <w:tab w:val="clear" w:pos="4153"/>
          <w:tab w:val="clear" w:pos="8306"/>
        </w:tabs>
        <w:rPr>
          <w:rFonts w:cs="Arial"/>
          <w:szCs w:val="24"/>
        </w:rPr>
      </w:pPr>
    </w:p>
    <w:p w14:paraId="4FD1734C" w14:textId="06CAD511" w:rsidR="006E6CFF" w:rsidRPr="00CF33BB" w:rsidRDefault="006E6CFF" w:rsidP="095637AE">
      <w:pPr>
        <w:rPr>
          <w:rFonts w:cs="Arial"/>
          <w:szCs w:val="24"/>
        </w:rPr>
      </w:pPr>
      <w:r w:rsidRPr="00CF33BB">
        <w:rPr>
          <w:rFonts w:cs="Arial"/>
          <w:szCs w:val="24"/>
        </w:rPr>
        <w:t xml:space="preserve">The Lancashire Combined Fire Authority (CFA) (the Authority) was established as a free-standing body from 1 April 1998. It sets its own budget, holds its own reserves, raises its own council </w:t>
      </w:r>
      <w:r w:rsidR="00A15F19" w:rsidRPr="00CF33BB">
        <w:rPr>
          <w:rFonts w:cs="Arial"/>
          <w:szCs w:val="24"/>
        </w:rPr>
        <w:t>tax,</w:t>
      </w:r>
      <w:r w:rsidRPr="00CF33BB">
        <w:rPr>
          <w:rFonts w:cs="Arial"/>
          <w:szCs w:val="24"/>
        </w:rPr>
        <w:t xml:space="preserve"> and receives funding direct from the Government and through business rates.</w:t>
      </w:r>
      <w:r w:rsidRPr="00927796">
        <w:rPr>
          <w:rFonts w:cs="Arial"/>
          <w:szCs w:val="24"/>
        </w:rPr>
        <w:t xml:space="preserve"> </w:t>
      </w:r>
    </w:p>
    <w:p w14:paraId="3140FF0E" w14:textId="77777777" w:rsidR="006E6CFF" w:rsidRPr="00CF33BB" w:rsidRDefault="006E6CFF" w:rsidP="095637AE">
      <w:pPr>
        <w:rPr>
          <w:rFonts w:cs="Arial"/>
          <w:szCs w:val="24"/>
        </w:rPr>
      </w:pPr>
    </w:p>
    <w:p w14:paraId="25858AC3" w14:textId="7D55EF1F" w:rsidR="006E6CFF" w:rsidRPr="00CF33BB" w:rsidRDefault="006E6CFF" w:rsidP="095637AE">
      <w:pPr>
        <w:rPr>
          <w:rFonts w:cs="Arial"/>
          <w:szCs w:val="24"/>
        </w:rPr>
      </w:pPr>
      <w:r w:rsidRPr="00CF33BB">
        <w:rPr>
          <w:rFonts w:cs="Arial"/>
          <w:szCs w:val="24"/>
        </w:rPr>
        <w:t xml:space="preserve">The Authority must prepare and publish a Statement of Accounts annually. Its purpose is to give electors, local taxpayers, Fire Authority Members, </w:t>
      </w:r>
      <w:r w:rsidR="0091485F" w:rsidRPr="00CF33BB">
        <w:rPr>
          <w:rFonts w:cs="Arial"/>
          <w:szCs w:val="24"/>
        </w:rPr>
        <w:t>employees,</w:t>
      </w:r>
      <w:r w:rsidRPr="00CF33BB">
        <w:rPr>
          <w:rFonts w:cs="Arial"/>
          <w:szCs w:val="24"/>
        </w:rPr>
        <w:t xml:space="preserve"> and other interested parties clear information about the Fire authority’s finances.</w:t>
      </w:r>
    </w:p>
    <w:p w14:paraId="0F292A0B" w14:textId="77777777" w:rsidR="006E6CFF" w:rsidRPr="00CF33BB" w:rsidRDefault="006E6CFF" w:rsidP="095637AE">
      <w:pPr>
        <w:rPr>
          <w:rFonts w:cs="Arial"/>
          <w:szCs w:val="24"/>
        </w:rPr>
      </w:pPr>
    </w:p>
    <w:p w14:paraId="393E9B3F" w14:textId="77777777" w:rsidR="006E6CFF" w:rsidRPr="00CF33BB" w:rsidRDefault="006E6CFF" w:rsidP="095637AE">
      <w:pPr>
        <w:rPr>
          <w:rFonts w:cs="Arial"/>
          <w:szCs w:val="24"/>
        </w:rPr>
      </w:pPr>
      <w:r w:rsidRPr="00CF33BB">
        <w:rPr>
          <w:rFonts w:cs="Arial"/>
          <w:szCs w:val="24"/>
        </w:rPr>
        <w:t>The aim is to provide information on:</w:t>
      </w:r>
    </w:p>
    <w:p w14:paraId="31D6A305" w14:textId="77777777" w:rsidR="006E6CFF" w:rsidRPr="00CF33BB" w:rsidRDefault="006E6CFF" w:rsidP="095637AE">
      <w:pPr>
        <w:rPr>
          <w:rFonts w:cs="Arial"/>
          <w:szCs w:val="24"/>
        </w:rPr>
      </w:pPr>
    </w:p>
    <w:p w14:paraId="1238B635" w14:textId="0A333CDB" w:rsidR="006E6CFF" w:rsidRPr="00CF33BB" w:rsidRDefault="006E6CFF" w:rsidP="095637AE">
      <w:pPr>
        <w:numPr>
          <w:ilvl w:val="0"/>
          <w:numId w:val="31"/>
        </w:numPr>
        <w:rPr>
          <w:rFonts w:cs="Arial"/>
          <w:szCs w:val="24"/>
        </w:rPr>
      </w:pPr>
      <w:r w:rsidRPr="00CF33BB">
        <w:rPr>
          <w:rFonts w:cs="Arial"/>
          <w:szCs w:val="24"/>
        </w:rPr>
        <w:t xml:space="preserve">the cost of providing Fire Authority services in the financial year </w:t>
      </w:r>
      <w:proofErr w:type="gramStart"/>
      <w:r w:rsidRPr="00CF33BB">
        <w:rPr>
          <w:rFonts w:cs="Arial"/>
          <w:szCs w:val="24"/>
        </w:rPr>
        <w:t>202</w:t>
      </w:r>
      <w:r w:rsidR="0033095C" w:rsidRPr="00927796">
        <w:rPr>
          <w:rFonts w:cs="Arial"/>
          <w:szCs w:val="24"/>
        </w:rPr>
        <w:t>4</w:t>
      </w:r>
      <w:r w:rsidRPr="00CF33BB">
        <w:rPr>
          <w:rFonts w:cs="Arial"/>
          <w:szCs w:val="24"/>
        </w:rPr>
        <w:t>/2</w:t>
      </w:r>
      <w:r w:rsidR="008E5019" w:rsidRPr="00927796">
        <w:rPr>
          <w:rFonts w:cs="Arial"/>
          <w:szCs w:val="24"/>
        </w:rPr>
        <w:t>5</w:t>
      </w:r>
      <w:r w:rsidRPr="00CF33BB">
        <w:rPr>
          <w:rFonts w:cs="Arial"/>
          <w:szCs w:val="24"/>
        </w:rPr>
        <w:t>;</w:t>
      </w:r>
      <w:proofErr w:type="gramEnd"/>
    </w:p>
    <w:p w14:paraId="24B2DC5B" w14:textId="77777777" w:rsidR="006E6CFF" w:rsidRPr="00CF33BB" w:rsidRDefault="006E6CFF" w:rsidP="095637AE">
      <w:pPr>
        <w:numPr>
          <w:ilvl w:val="0"/>
          <w:numId w:val="31"/>
        </w:numPr>
        <w:rPr>
          <w:rFonts w:cs="Arial"/>
          <w:szCs w:val="24"/>
        </w:rPr>
      </w:pPr>
      <w:r w:rsidRPr="00CF33BB">
        <w:rPr>
          <w:rFonts w:cs="Arial"/>
          <w:szCs w:val="24"/>
        </w:rPr>
        <w:t xml:space="preserve">how these services were paid </w:t>
      </w:r>
      <w:proofErr w:type="gramStart"/>
      <w:r w:rsidRPr="00CF33BB">
        <w:rPr>
          <w:rFonts w:cs="Arial"/>
          <w:szCs w:val="24"/>
        </w:rPr>
        <w:t>for;</w:t>
      </w:r>
      <w:proofErr w:type="gramEnd"/>
    </w:p>
    <w:p w14:paraId="7CBC655F" w14:textId="77777777" w:rsidR="006E6CFF" w:rsidRPr="00CF33BB" w:rsidRDefault="006E6CFF" w:rsidP="095637AE">
      <w:pPr>
        <w:numPr>
          <w:ilvl w:val="0"/>
          <w:numId w:val="31"/>
        </w:numPr>
        <w:rPr>
          <w:rFonts w:cs="Arial"/>
          <w:szCs w:val="24"/>
        </w:rPr>
      </w:pPr>
      <w:r w:rsidRPr="00CF33BB">
        <w:rPr>
          <w:rFonts w:cs="Arial"/>
          <w:szCs w:val="24"/>
        </w:rPr>
        <w:t>what assets the Fire Authority owned at the end of the financial year; and</w:t>
      </w:r>
    </w:p>
    <w:p w14:paraId="6289F74E" w14:textId="77777777" w:rsidR="006E6CFF" w:rsidRPr="00CF33BB" w:rsidRDefault="006E6CFF" w:rsidP="095637AE">
      <w:pPr>
        <w:numPr>
          <w:ilvl w:val="0"/>
          <w:numId w:val="31"/>
        </w:numPr>
        <w:rPr>
          <w:rFonts w:cs="Arial"/>
          <w:szCs w:val="24"/>
        </w:rPr>
      </w:pPr>
      <w:r w:rsidRPr="00CF33BB">
        <w:rPr>
          <w:rFonts w:cs="Arial"/>
          <w:szCs w:val="24"/>
        </w:rPr>
        <w:t>what was owed, to and by, the Fire Authority at the end of the financial year.</w:t>
      </w:r>
    </w:p>
    <w:p w14:paraId="61E146AC" w14:textId="77777777" w:rsidR="006E6CFF" w:rsidRPr="00CF33BB" w:rsidRDefault="006E6CFF" w:rsidP="095637AE">
      <w:pPr>
        <w:rPr>
          <w:rFonts w:cs="Arial"/>
          <w:szCs w:val="24"/>
        </w:rPr>
      </w:pPr>
    </w:p>
    <w:p w14:paraId="1A611E70" w14:textId="77777777" w:rsidR="006E6CFF" w:rsidRPr="00CF33BB" w:rsidRDefault="006E6CFF" w:rsidP="095637AE">
      <w:pPr>
        <w:rPr>
          <w:rFonts w:cs="Arial"/>
          <w:szCs w:val="24"/>
        </w:rPr>
      </w:pPr>
      <w:r w:rsidRPr="00CF33BB">
        <w:rPr>
          <w:rFonts w:cs="Arial"/>
          <w:szCs w:val="24"/>
        </w:rPr>
        <w:t>This narrative report gives a guide to the most important matters included in the Statement of Accounts.</w:t>
      </w:r>
    </w:p>
    <w:p w14:paraId="1AD95C06" w14:textId="77777777" w:rsidR="006E6CFF" w:rsidRPr="00CF33BB" w:rsidRDefault="006E6CFF" w:rsidP="095637AE">
      <w:pPr>
        <w:pStyle w:val="Footer"/>
        <w:tabs>
          <w:tab w:val="clear" w:pos="4153"/>
          <w:tab w:val="clear" w:pos="8306"/>
        </w:tabs>
        <w:rPr>
          <w:rFonts w:cs="Arial"/>
          <w:b/>
          <w:bCs/>
          <w:szCs w:val="24"/>
        </w:rPr>
      </w:pPr>
    </w:p>
    <w:p w14:paraId="1FAC0189" w14:textId="77777777" w:rsidR="006E6CFF" w:rsidRPr="00CF33BB" w:rsidRDefault="006E6CFF" w:rsidP="095637AE">
      <w:pPr>
        <w:rPr>
          <w:rFonts w:cs="Arial"/>
          <w:b/>
          <w:bCs/>
          <w:szCs w:val="24"/>
        </w:rPr>
      </w:pPr>
      <w:r w:rsidRPr="00CF33BB">
        <w:rPr>
          <w:rFonts w:cs="Arial"/>
          <w:b/>
          <w:bCs/>
          <w:szCs w:val="24"/>
        </w:rPr>
        <w:t>Contents of this Statement of Accounts</w:t>
      </w:r>
    </w:p>
    <w:p w14:paraId="24C3B6D1" w14:textId="77777777" w:rsidR="006E6CFF" w:rsidRPr="00CF33BB" w:rsidRDefault="006E6CFF" w:rsidP="095637AE">
      <w:pPr>
        <w:pStyle w:val="Footer"/>
        <w:tabs>
          <w:tab w:val="clear" w:pos="4153"/>
          <w:tab w:val="clear" w:pos="8306"/>
        </w:tabs>
        <w:rPr>
          <w:rFonts w:cs="Arial"/>
          <w:b/>
          <w:bCs/>
          <w:szCs w:val="24"/>
        </w:rPr>
      </w:pPr>
    </w:p>
    <w:p w14:paraId="034945CC" w14:textId="7A9C2D92" w:rsidR="006E6CFF" w:rsidRPr="00CF33BB" w:rsidRDefault="006E6CFF" w:rsidP="095637AE">
      <w:pPr>
        <w:rPr>
          <w:rFonts w:cs="Arial"/>
          <w:szCs w:val="24"/>
        </w:rPr>
      </w:pPr>
      <w:r w:rsidRPr="00CF33BB">
        <w:rPr>
          <w:rFonts w:cs="Arial"/>
          <w:szCs w:val="24"/>
        </w:rPr>
        <w:t>This Statement of Accounts covers the financial year ended on 31 March 202</w:t>
      </w:r>
      <w:r w:rsidR="005742EF" w:rsidRPr="00CF33BB">
        <w:rPr>
          <w:rFonts w:cs="Arial"/>
          <w:szCs w:val="24"/>
        </w:rPr>
        <w:t>5</w:t>
      </w:r>
      <w:r w:rsidRPr="00CF33BB">
        <w:rPr>
          <w:rFonts w:cs="Arial"/>
          <w:szCs w:val="24"/>
        </w:rPr>
        <w:t xml:space="preserve"> (referred to as </w:t>
      </w:r>
      <w:r w:rsidRPr="00CF33BB">
        <w:rPr>
          <w:rFonts w:cs="Arial"/>
          <w:caps/>
          <w:szCs w:val="24"/>
        </w:rPr>
        <w:t>202</w:t>
      </w:r>
      <w:r w:rsidR="005742EF" w:rsidRPr="00CF33BB">
        <w:rPr>
          <w:rFonts w:cs="Arial"/>
          <w:caps/>
          <w:szCs w:val="24"/>
        </w:rPr>
        <w:t>4</w:t>
      </w:r>
      <w:r w:rsidRPr="00CF33BB">
        <w:rPr>
          <w:rFonts w:cs="Arial"/>
          <w:caps/>
          <w:szCs w:val="24"/>
        </w:rPr>
        <w:t>/2</w:t>
      </w:r>
      <w:r w:rsidR="005742EF" w:rsidRPr="00CF33BB">
        <w:rPr>
          <w:rFonts w:cs="Arial"/>
          <w:caps/>
          <w:szCs w:val="24"/>
        </w:rPr>
        <w:t>5</w:t>
      </w:r>
      <w:r w:rsidRPr="00CF33BB">
        <w:rPr>
          <w:rFonts w:cs="Arial"/>
          <w:szCs w:val="24"/>
        </w:rPr>
        <w:t>). It has been prepared in accordance with the Accounts and Audit Regulations 2015 as amended by the Accounts and Audit (Amendment) Regulations 2021 and the Code of Practice on Local Authority Accounting in the United Kingdom. The Statement contains:</w:t>
      </w:r>
    </w:p>
    <w:p w14:paraId="2D075CBB" w14:textId="77777777" w:rsidR="006E6CFF" w:rsidRPr="00927796" w:rsidRDefault="006E6CFF" w:rsidP="095637AE">
      <w:pPr>
        <w:rPr>
          <w:rFonts w:cs="Arial"/>
          <w:b/>
          <w:bCs/>
          <w:szCs w:val="24"/>
          <w:highlight w:val="red"/>
        </w:rPr>
      </w:pPr>
    </w:p>
    <w:p w14:paraId="0E7D3F91" w14:textId="596F6B02" w:rsidR="006E6CFF" w:rsidRPr="00CF33BB" w:rsidRDefault="006E6CFF" w:rsidP="095637AE">
      <w:pPr>
        <w:rPr>
          <w:rFonts w:cs="Arial"/>
          <w:szCs w:val="24"/>
        </w:rPr>
      </w:pPr>
      <w:r w:rsidRPr="00927796">
        <w:rPr>
          <w:rFonts w:cs="Arial"/>
          <w:b/>
          <w:bCs/>
          <w:szCs w:val="24"/>
        </w:rPr>
        <w:t>Statement on</w:t>
      </w:r>
      <w:r w:rsidRPr="00927796">
        <w:rPr>
          <w:rFonts w:cs="Arial"/>
          <w:szCs w:val="24"/>
        </w:rPr>
        <w:t xml:space="preserve"> </w:t>
      </w:r>
      <w:r w:rsidRPr="00927796">
        <w:rPr>
          <w:rFonts w:cs="Arial"/>
          <w:b/>
          <w:bCs/>
          <w:szCs w:val="24"/>
        </w:rPr>
        <w:t xml:space="preserve">Annual Governance Arrangements </w:t>
      </w:r>
      <w:r w:rsidRPr="00927796">
        <w:rPr>
          <w:rFonts w:cs="Arial"/>
          <w:szCs w:val="24"/>
        </w:rPr>
        <w:t xml:space="preserve">– Sets out the Authority’s responsibilities </w:t>
      </w:r>
      <w:r w:rsidR="000F28B4" w:rsidRPr="00927796">
        <w:rPr>
          <w:rFonts w:cs="Arial"/>
          <w:szCs w:val="24"/>
        </w:rPr>
        <w:t>regarding</w:t>
      </w:r>
      <w:r w:rsidRPr="00927796">
        <w:rPr>
          <w:rFonts w:cs="Arial"/>
          <w:szCs w:val="24"/>
        </w:rPr>
        <w:t xml:space="preserve"> the system of internal control and corporate governance.</w:t>
      </w:r>
    </w:p>
    <w:p w14:paraId="75FC48AF" w14:textId="77777777" w:rsidR="006E6CFF" w:rsidRPr="00CF33BB" w:rsidRDefault="006E6CFF" w:rsidP="095637AE">
      <w:pPr>
        <w:rPr>
          <w:rFonts w:cs="Arial"/>
          <w:szCs w:val="24"/>
        </w:rPr>
      </w:pPr>
    </w:p>
    <w:p w14:paraId="6A7D4574" w14:textId="6A6176DD" w:rsidR="006E6CFF" w:rsidRPr="00CF33BB" w:rsidRDefault="006E6CFF" w:rsidP="095637AE">
      <w:pPr>
        <w:rPr>
          <w:rFonts w:cs="Arial"/>
          <w:szCs w:val="24"/>
        </w:rPr>
      </w:pPr>
      <w:r w:rsidRPr="00927796">
        <w:rPr>
          <w:rFonts w:cs="Arial"/>
          <w:b/>
          <w:bCs/>
          <w:szCs w:val="24"/>
        </w:rPr>
        <w:t>Independent Auditor’s Report to the Members of Lancashire Combined Fire Authority</w:t>
      </w:r>
      <w:r w:rsidRPr="00927796">
        <w:rPr>
          <w:rFonts w:cs="Arial"/>
          <w:szCs w:val="24"/>
        </w:rPr>
        <w:t xml:space="preserve"> – The Auditor's report to the CFA on the accounts for </w:t>
      </w:r>
      <w:r w:rsidRPr="00927796">
        <w:rPr>
          <w:rFonts w:cs="Arial"/>
          <w:caps/>
          <w:szCs w:val="24"/>
        </w:rPr>
        <w:t>202</w:t>
      </w:r>
      <w:r w:rsidR="00017786" w:rsidRPr="00927796">
        <w:rPr>
          <w:rFonts w:cs="Arial"/>
          <w:caps/>
          <w:szCs w:val="24"/>
        </w:rPr>
        <w:t>4</w:t>
      </w:r>
      <w:r w:rsidRPr="00927796">
        <w:rPr>
          <w:rFonts w:cs="Arial"/>
          <w:caps/>
          <w:szCs w:val="24"/>
        </w:rPr>
        <w:t>/2</w:t>
      </w:r>
      <w:r w:rsidR="00017786" w:rsidRPr="00927796">
        <w:rPr>
          <w:rFonts w:cs="Arial"/>
          <w:caps/>
          <w:szCs w:val="24"/>
        </w:rPr>
        <w:t>5</w:t>
      </w:r>
      <w:r w:rsidRPr="00927796">
        <w:rPr>
          <w:rFonts w:cs="Arial"/>
          <w:szCs w:val="24"/>
        </w:rPr>
        <w:t>, which are set out in the sections shown below.</w:t>
      </w:r>
    </w:p>
    <w:p w14:paraId="62DE51EC" w14:textId="77777777" w:rsidR="006E6CFF" w:rsidRPr="00CF33BB" w:rsidRDefault="006E6CFF" w:rsidP="095637AE">
      <w:pPr>
        <w:rPr>
          <w:rFonts w:cs="Arial"/>
          <w:szCs w:val="24"/>
        </w:rPr>
      </w:pPr>
    </w:p>
    <w:p w14:paraId="05F9C253" w14:textId="77777777" w:rsidR="006E6CFF" w:rsidRPr="00CF33BB" w:rsidRDefault="006E6CFF" w:rsidP="095637AE">
      <w:pPr>
        <w:rPr>
          <w:rFonts w:cs="Arial"/>
          <w:szCs w:val="24"/>
        </w:rPr>
      </w:pPr>
      <w:r w:rsidRPr="00927796">
        <w:rPr>
          <w:rFonts w:cs="Arial"/>
          <w:b/>
          <w:bCs/>
          <w:szCs w:val="24"/>
        </w:rPr>
        <w:t>Statement of Responsibilities for the Statement of Accounts</w:t>
      </w:r>
      <w:r w:rsidRPr="00927796">
        <w:rPr>
          <w:rFonts w:cs="Arial"/>
          <w:szCs w:val="24"/>
        </w:rPr>
        <w:t xml:space="preserve"> – Sets out the responsibilities of the Authority and the Treasurer with regards to the statement of accounts.</w:t>
      </w:r>
    </w:p>
    <w:p w14:paraId="59A099BB" w14:textId="77777777" w:rsidR="006E6CFF" w:rsidRPr="00CF33BB" w:rsidRDefault="006E6CFF" w:rsidP="095637AE">
      <w:pPr>
        <w:tabs>
          <w:tab w:val="left" w:pos="720"/>
          <w:tab w:val="right" w:pos="5760"/>
        </w:tabs>
        <w:rPr>
          <w:rFonts w:cs="Arial"/>
          <w:szCs w:val="24"/>
        </w:rPr>
      </w:pPr>
    </w:p>
    <w:p w14:paraId="013681E4" w14:textId="64B19CB4" w:rsidR="006E6CFF" w:rsidRPr="00CF33BB" w:rsidRDefault="006E6CFF" w:rsidP="095637AE">
      <w:pPr>
        <w:rPr>
          <w:rFonts w:cs="Arial"/>
          <w:szCs w:val="24"/>
        </w:rPr>
      </w:pPr>
      <w:r w:rsidRPr="00927796">
        <w:rPr>
          <w:rFonts w:cs="Arial"/>
          <w:b/>
          <w:bCs/>
          <w:szCs w:val="24"/>
        </w:rPr>
        <w:t xml:space="preserve">Comprehensive Income &amp; Expenditure Statement </w:t>
      </w:r>
      <w:r w:rsidRPr="00927796">
        <w:rPr>
          <w:rFonts w:cs="Arial"/>
          <w:szCs w:val="24"/>
        </w:rPr>
        <w:t>- This statement shows the accounting cost in the year of providing services in accordance with generally accepted accounting practices, rather than the amount to be funded from taxation. The Fire Authority raises taxation to cover expenditure in accordance with regulations; this may be different from the accounting cost. The taxation position is shown in the Movement in Reserves Statement.</w:t>
      </w:r>
    </w:p>
    <w:p w14:paraId="2321AAF9" w14:textId="77777777" w:rsidR="006E6CFF" w:rsidRPr="00CF33BB" w:rsidRDefault="006E6CFF" w:rsidP="095637AE">
      <w:pPr>
        <w:rPr>
          <w:rFonts w:cs="Arial"/>
          <w:szCs w:val="24"/>
        </w:rPr>
      </w:pPr>
    </w:p>
    <w:p w14:paraId="5DA8CD33" w14:textId="7A4AE1FC" w:rsidR="006E6CFF" w:rsidRPr="00CF33BB" w:rsidRDefault="006E6CFF" w:rsidP="095637AE">
      <w:pPr>
        <w:rPr>
          <w:rFonts w:cs="Arial"/>
          <w:szCs w:val="24"/>
        </w:rPr>
      </w:pPr>
      <w:r w:rsidRPr="00927796">
        <w:rPr>
          <w:rFonts w:cs="Arial"/>
          <w:b/>
          <w:bCs/>
          <w:szCs w:val="24"/>
        </w:rPr>
        <w:t xml:space="preserve">Movement In Reserves Statement </w:t>
      </w:r>
      <w:r w:rsidRPr="00927796">
        <w:rPr>
          <w:rFonts w:cs="Arial"/>
          <w:szCs w:val="24"/>
        </w:rPr>
        <w:t>– This statement shows the movement in year on the different reserves held by the Fire Authority analysed between usable and other reserves. The surplus or (deficit) on the Provision of Services line shows the true economic cost of providing the Fire Authority’s services, more details of which are shown in the Comprehensive Income and Expenditure Statement.</w:t>
      </w:r>
    </w:p>
    <w:p w14:paraId="2FD51274" w14:textId="77777777" w:rsidR="006E6CFF" w:rsidRPr="00CF33BB" w:rsidRDefault="006E6CFF" w:rsidP="095637AE">
      <w:pPr>
        <w:rPr>
          <w:rFonts w:cs="Arial"/>
          <w:b/>
          <w:bCs/>
          <w:szCs w:val="24"/>
        </w:rPr>
      </w:pPr>
    </w:p>
    <w:p w14:paraId="1C31C41C" w14:textId="294EEF5D" w:rsidR="006E6CFF" w:rsidRPr="00CF33BB" w:rsidRDefault="006E6CFF" w:rsidP="095637AE">
      <w:pPr>
        <w:rPr>
          <w:rFonts w:cs="Arial"/>
          <w:szCs w:val="24"/>
        </w:rPr>
      </w:pPr>
      <w:r w:rsidRPr="00927796">
        <w:rPr>
          <w:rFonts w:cs="Arial"/>
          <w:b/>
          <w:bCs/>
          <w:szCs w:val="24"/>
        </w:rPr>
        <w:t>Balance Sheet</w:t>
      </w:r>
      <w:r w:rsidRPr="00927796">
        <w:rPr>
          <w:rFonts w:cs="Arial"/>
          <w:szCs w:val="24"/>
        </w:rPr>
        <w:t xml:space="preserve"> – This shows information on the financial position of the Fire Authority as at the 31 March 202</w:t>
      </w:r>
      <w:r w:rsidR="005742EF" w:rsidRPr="00927796">
        <w:rPr>
          <w:rFonts w:cs="Arial"/>
          <w:szCs w:val="24"/>
        </w:rPr>
        <w:t>5</w:t>
      </w:r>
      <w:r w:rsidRPr="00927796">
        <w:rPr>
          <w:rFonts w:cs="Arial"/>
          <w:szCs w:val="24"/>
        </w:rPr>
        <w:t xml:space="preserve">, including the level of balances and reserves at the Fire Authority’s disposal, its </w:t>
      </w:r>
      <w:r w:rsidR="005436A9" w:rsidRPr="00927796">
        <w:rPr>
          <w:rFonts w:cs="Arial"/>
          <w:szCs w:val="24"/>
        </w:rPr>
        <w:t>long-term</w:t>
      </w:r>
      <w:r w:rsidRPr="00927796">
        <w:rPr>
          <w:rFonts w:cs="Arial"/>
          <w:szCs w:val="24"/>
        </w:rPr>
        <w:t xml:space="preserve"> indebtedness and the value of the assets held by the Fire Authority.</w:t>
      </w:r>
    </w:p>
    <w:p w14:paraId="3C3D2317" w14:textId="77777777" w:rsidR="006E6CFF" w:rsidRPr="00CF33BB" w:rsidRDefault="006E6CFF" w:rsidP="095637AE">
      <w:pPr>
        <w:rPr>
          <w:rFonts w:cs="Arial"/>
          <w:szCs w:val="24"/>
        </w:rPr>
      </w:pPr>
    </w:p>
    <w:p w14:paraId="1077F6AF" w14:textId="77777777" w:rsidR="006E6CFF" w:rsidRPr="00CF33BB" w:rsidRDefault="006E6CFF" w:rsidP="095637AE">
      <w:pPr>
        <w:rPr>
          <w:rFonts w:cs="Arial"/>
          <w:szCs w:val="24"/>
        </w:rPr>
      </w:pPr>
      <w:r w:rsidRPr="00CF33BB">
        <w:rPr>
          <w:rFonts w:cs="Arial"/>
          <w:b/>
          <w:bCs/>
          <w:szCs w:val="24"/>
        </w:rPr>
        <w:t>Cash Flow Statement</w:t>
      </w:r>
      <w:r w:rsidRPr="00CF33BB">
        <w:rPr>
          <w:rFonts w:cs="Arial"/>
          <w:szCs w:val="24"/>
        </w:rPr>
        <w:t xml:space="preserve"> – This shows the cash and cash equivalent movements in and out of the Fire Authority due to transactions with third parties for revenue and capital purposes.</w:t>
      </w:r>
    </w:p>
    <w:p w14:paraId="653F5C6E" w14:textId="77777777" w:rsidR="006E6CFF" w:rsidRPr="00CF33BB" w:rsidRDefault="006E6CFF" w:rsidP="095637AE">
      <w:pPr>
        <w:rPr>
          <w:rFonts w:cs="Arial"/>
          <w:szCs w:val="24"/>
        </w:rPr>
      </w:pPr>
    </w:p>
    <w:p w14:paraId="4AC9E564" w14:textId="4FDA87CD" w:rsidR="006E6CFF" w:rsidRPr="00CF33BB" w:rsidRDefault="006E6CFF" w:rsidP="095637AE">
      <w:pPr>
        <w:rPr>
          <w:rFonts w:cs="Arial"/>
          <w:szCs w:val="24"/>
        </w:rPr>
      </w:pPr>
      <w:r w:rsidRPr="00CF33BB">
        <w:rPr>
          <w:rFonts w:cs="Arial"/>
          <w:b/>
          <w:bCs/>
          <w:szCs w:val="24"/>
        </w:rPr>
        <w:t>Fire Fighters Pension Fund Account and Net Assets Statement</w:t>
      </w:r>
      <w:r w:rsidRPr="00CF33BB">
        <w:rPr>
          <w:rFonts w:cs="Arial"/>
          <w:szCs w:val="24"/>
        </w:rPr>
        <w:t xml:space="preserve"> – Shows the financial position of the fire fighters pension fund account, showing whether the Authority owes, or is owed, money by the Government </w:t>
      </w:r>
      <w:r w:rsidR="007D71A7" w:rsidRPr="00CF33BB">
        <w:rPr>
          <w:rFonts w:cs="Arial"/>
          <w:szCs w:val="24"/>
        </w:rPr>
        <w:t>to</w:t>
      </w:r>
      <w:r w:rsidRPr="00CF33BB">
        <w:rPr>
          <w:rFonts w:cs="Arial"/>
          <w:szCs w:val="24"/>
        </w:rPr>
        <w:t xml:space="preserve"> balance the account, together with details of its net assets.</w:t>
      </w:r>
    </w:p>
    <w:p w14:paraId="4BF85B5F" w14:textId="77777777" w:rsidR="003668C6" w:rsidRPr="00CF33BB" w:rsidRDefault="003668C6" w:rsidP="095637AE">
      <w:pPr>
        <w:rPr>
          <w:rFonts w:cs="Arial"/>
          <w:szCs w:val="24"/>
        </w:rPr>
      </w:pPr>
    </w:p>
    <w:p w14:paraId="3E7209B7" w14:textId="77777777" w:rsidR="006E6CFF" w:rsidRPr="00CF33BB" w:rsidRDefault="006E6CFF" w:rsidP="095637AE">
      <w:pPr>
        <w:rPr>
          <w:rFonts w:cs="Arial"/>
          <w:b/>
          <w:bCs/>
          <w:szCs w:val="24"/>
        </w:rPr>
      </w:pPr>
      <w:r w:rsidRPr="00CF33BB">
        <w:rPr>
          <w:rFonts w:cs="Arial"/>
          <w:b/>
          <w:bCs/>
          <w:szCs w:val="24"/>
        </w:rPr>
        <w:t>Review of the Year</w:t>
      </w:r>
    </w:p>
    <w:p w14:paraId="37EB89E6" w14:textId="77777777" w:rsidR="006E6CFF" w:rsidRPr="00927796" w:rsidRDefault="006E6CFF" w:rsidP="095637AE">
      <w:pPr>
        <w:rPr>
          <w:rFonts w:cs="Arial"/>
          <w:szCs w:val="24"/>
          <w:highlight w:val="red"/>
        </w:rPr>
      </w:pPr>
    </w:p>
    <w:p w14:paraId="5DBCFA32" w14:textId="77777777" w:rsidR="00231DD6" w:rsidRPr="00927796" w:rsidRDefault="00231DD6" w:rsidP="00231DD6">
      <w:pPr>
        <w:tabs>
          <w:tab w:val="num" w:pos="284"/>
        </w:tabs>
        <w:rPr>
          <w:rFonts w:cs="Arial"/>
          <w:szCs w:val="24"/>
        </w:rPr>
      </w:pPr>
      <w:r w:rsidRPr="00927796">
        <w:rPr>
          <w:rFonts w:cs="Arial"/>
          <w:szCs w:val="24"/>
        </w:rPr>
        <w:t>Preventing fires and other emergencies is one of our key priorities and the most effective way to make Lancashire safer. It is pleasing that we saw a reduction in the number of accidental house fires of more than double the national average, reflecting dedicated prevention services that provide safety interventions in homes, educate people in our fire safety campaigns, and teach children fire safety in schools.</w:t>
      </w:r>
    </w:p>
    <w:p w14:paraId="35D74341" w14:textId="77777777" w:rsidR="00231DD6" w:rsidRPr="00927796" w:rsidRDefault="00231DD6" w:rsidP="00231DD6">
      <w:pPr>
        <w:tabs>
          <w:tab w:val="num" w:pos="284"/>
        </w:tabs>
        <w:rPr>
          <w:rFonts w:cs="Arial"/>
          <w:szCs w:val="24"/>
        </w:rPr>
      </w:pPr>
    </w:p>
    <w:p w14:paraId="1E3BEE74" w14:textId="77777777" w:rsidR="00231DD6" w:rsidRPr="00927796" w:rsidRDefault="00231DD6" w:rsidP="00231DD6">
      <w:pPr>
        <w:tabs>
          <w:tab w:val="num" w:pos="284"/>
        </w:tabs>
        <w:rPr>
          <w:rFonts w:cs="Arial"/>
          <w:szCs w:val="24"/>
        </w:rPr>
      </w:pPr>
      <w:r w:rsidRPr="00927796">
        <w:rPr>
          <w:rFonts w:cs="Arial"/>
          <w:szCs w:val="24"/>
        </w:rPr>
        <w:t>Supporting businesses, employers, and landlords to meet their legal duties and keep people safe in their buildings amid changes to fire safety legislation remained an area of focus. Our business fire safety check service delivered more interventions than ever before and when those responsible for fire safety failed to comply, we took enforcement action.</w:t>
      </w:r>
    </w:p>
    <w:p w14:paraId="7C37A9CF" w14:textId="77777777" w:rsidR="00231DD6" w:rsidRPr="00927796" w:rsidRDefault="00231DD6" w:rsidP="00231DD6">
      <w:pPr>
        <w:tabs>
          <w:tab w:val="num" w:pos="284"/>
        </w:tabs>
        <w:rPr>
          <w:rFonts w:cs="Arial"/>
          <w:szCs w:val="24"/>
        </w:rPr>
      </w:pPr>
    </w:p>
    <w:p w14:paraId="7E7A69F3" w14:textId="77777777" w:rsidR="00231DD6" w:rsidRPr="00927796" w:rsidRDefault="00231DD6" w:rsidP="00231DD6">
      <w:pPr>
        <w:tabs>
          <w:tab w:val="num" w:pos="284"/>
        </w:tabs>
        <w:rPr>
          <w:rFonts w:cs="Arial"/>
          <w:szCs w:val="24"/>
        </w:rPr>
      </w:pPr>
      <w:r w:rsidRPr="00927796">
        <w:rPr>
          <w:rFonts w:cs="Arial"/>
          <w:szCs w:val="24"/>
        </w:rPr>
        <w:t>Last year a supported living care provider was prosecuted for fires safety breaches in a case believed to be the first of its kind, and in which tragically someone lost their life. We will always work with those willing to address fire safety issues however we will not hesitate to act when necessary.</w:t>
      </w:r>
    </w:p>
    <w:p w14:paraId="393F83F1" w14:textId="77777777" w:rsidR="00231DD6" w:rsidRPr="00927796" w:rsidRDefault="00231DD6" w:rsidP="00231DD6">
      <w:pPr>
        <w:tabs>
          <w:tab w:val="num" w:pos="284"/>
        </w:tabs>
        <w:rPr>
          <w:rFonts w:cs="Arial"/>
          <w:szCs w:val="24"/>
        </w:rPr>
      </w:pPr>
    </w:p>
    <w:p w14:paraId="54B58758" w14:textId="77777777" w:rsidR="00231DD6" w:rsidRPr="00927796" w:rsidRDefault="00231DD6" w:rsidP="00231DD6">
      <w:pPr>
        <w:tabs>
          <w:tab w:val="num" w:pos="284"/>
        </w:tabs>
        <w:rPr>
          <w:rFonts w:cs="Arial"/>
          <w:szCs w:val="24"/>
        </w:rPr>
      </w:pPr>
      <w:r w:rsidRPr="00927796">
        <w:rPr>
          <w:rFonts w:cs="Arial"/>
          <w:szCs w:val="24"/>
        </w:rPr>
        <w:t>Firefighters responded to 17,000 incidents across Lancashire during the year, including complex, challenging, and protracted emergencies demanding expert operational skills and, in some cases, exceptional dedication and bravery.</w:t>
      </w:r>
    </w:p>
    <w:p w14:paraId="53163028" w14:textId="77777777" w:rsidR="00231DD6" w:rsidRPr="00927796" w:rsidRDefault="00231DD6" w:rsidP="00231DD6">
      <w:pPr>
        <w:tabs>
          <w:tab w:val="num" w:pos="284"/>
        </w:tabs>
        <w:rPr>
          <w:rFonts w:cs="Arial"/>
          <w:szCs w:val="24"/>
        </w:rPr>
      </w:pPr>
    </w:p>
    <w:p w14:paraId="15424BAC" w14:textId="77777777" w:rsidR="00231DD6" w:rsidRPr="00927796" w:rsidRDefault="00231DD6" w:rsidP="00231DD6">
      <w:pPr>
        <w:tabs>
          <w:tab w:val="num" w:pos="284"/>
        </w:tabs>
        <w:rPr>
          <w:rFonts w:cs="Arial"/>
          <w:szCs w:val="24"/>
        </w:rPr>
      </w:pPr>
      <w:r w:rsidRPr="00927796">
        <w:rPr>
          <w:rFonts w:cs="Arial"/>
          <w:szCs w:val="24"/>
        </w:rPr>
        <w:t>Investment in two new water towers strengthened firefighting capabilities in tall buildings. These innovative fire engines can penetrate buildings at height to inject water, simultaneously minimising damage to homes and businesses and improving firefighter safety. We now have four water towers providing greater cover across Lancashire.</w:t>
      </w:r>
    </w:p>
    <w:p w14:paraId="2B5DB07F" w14:textId="77777777" w:rsidR="00231DD6" w:rsidRPr="00927796" w:rsidRDefault="00231DD6" w:rsidP="00231DD6">
      <w:pPr>
        <w:tabs>
          <w:tab w:val="num" w:pos="284"/>
        </w:tabs>
        <w:rPr>
          <w:rFonts w:cs="Arial"/>
          <w:szCs w:val="24"/>
        </w:rPr>
      </w:pPr>
    </w:p>
    <w:p w14:paraId="4448B5A7" w14:textId="77777777" w:rsidR="00231DD6" w:rsidRPr="00927796" w:rsidRDefault="00231DD6" w:rsidP="00231DD6">
      <w:pPr>
        <w:tabs>
          <w:tab w:val="num" w:pos="284"/>
        </w:tabs>
        <w:rPr>
          <w:rFonts w:cs="Arial"/>
          <w:szCs w:val="24"/>
        </w:rPr>
      </w:pPr>
      <w:r w:rsidRPr="00927796">
        <w:rPr>
          <w:rFonts w:cs="Arial"/>
          <w:szCs w:val="24"/>
        </w:rPr>
        <w:t>As part of our work to improve the sustainability of our on-call fire engines, we invested in research into recruitment and retention challenges and opportunities. In a first for the fire and rescue service nationally, this led to the development of an innovative online tool which provides local leaders with data and insight to support their stations and maximise fire engine availability.</w:t>
      </w:r>
    </w:p>
    <w:p w14:paraId="346DA661" w14:textId="77777777" w:rsidR="00231DD6" w:rsidRPr="00927796" w:rsidRDefault="00231DD6" w:rsidP="00231DD6">
      <w:pPr>
        <w:tabs>
          <w:tab w:val="num" w:pos="284"/>
        </w:tabs>
        <w:rPr>
          <w:rFonts w:cs="Arial"/>
          <w:szCs w:val="24"/>
        </w:rPr>
      </w:pPr>
    </w:p>
    <w:p w14:paraId="6D94A17D" w14:textId="77777777" w:rsidR="00231DD6" w:rsidRPr="00927796" w:rsidRDefault="00231DD6" w:rsidP="00231DD6">
      <w:pPr>
        <w:tabs>
          <w:tab w:val="num" w:pos="284"/>
        </w:tabs>
        <w:rPr>
          <w:rFonts w:cs="Arial"/>
          <w:szCs w:val="24"/>
        </w:rPr>
      </w:pPr>
      <w:r w:rsidRPr="00927796">
        <w:rPr>
          <w:rFonts w:cs="Arial"/>
          <w:szCs w:val="24"/>
        </w:rPr>
        <w:t>Our people are central to everything we achieve and investment in their training, equipment, wellbeing, and safety is a long-held priority. Last year this focussed on supporting mental health alongside investment in body worn cameras to improve firefighter safety and operational learning.</w:t>
      </w:r>
    </w:p>
    <w:p w14:paraId="0F055079" w14:textId="4BCF4BE4" w:rsidR="00231DD6" w:rsidRPr="00927796" w:rsidRDefault="00231DD6" w:rsidP="7C049D64">
      <w:pPr>
        <w:tabs>
          <w:tab w:val="num" w:pos="284"/>
        </w:tabs>
        <w:rPr>
          <w:rFonts w:cs="Arial"/>
          <w:szCs w:val="24"/>
        </w:rPr>
      </w:pPr>
    </w:p>
    <w:p w14:paraId="136F4248" w14:textId="12AA0ED8" w:rsidR="00231DD6" w:rsidRPr="00927796" w:rsidRDefault="00231DD6" w:rsidP="00231DD6">
      <w:pPr>
        <w:tabs>
          <w:tab w:val="num" w:pos="284"/>
        </w:tabs>
        <w:rPr>
          <w:rFonts w:cs="Arial"/>
          <w:szCs w:val="24"/>
        </w:rPr>
      </w:pPr>
      <w:r w:rsidRPr="00927796">
        <w:rPr>
          <w:rFonts w:cs="Arial"/>
          <w:szCs w:val="24"/>
        </w:rPr>
        <w:t>We also created a wider range of opportunities for people in our Service to develop their careers and take their next step, be that through specialist skills, different roles</w:t>
      </w:r>
      <w:r w:rsidR="006C50AE">
        <w:rPr>
          <w:rFonts w:cs="Arial"/>
          <w:szCs w:val="24"/>
        </w:rPr>
        <w:t xml:space="preserve"> </w:t>
      </w:r>
      <w:r w:rsidRPr="00927796">
        <w:rPr>
          <w:rFonts w:cs="Arial"/>
          <w:szCs w:val="24"/>
        </w:rPr>
        <w:t>or promotion. The way we deliver training changed from a fixed model in a central location to flexible provision, using technology or taking training to fire stations.</w:t>
      </w:r>
    </w:p>
    <w:p w14:paraId="2E4E7217" w14:textId="77777777" w:rsidR="00231DD6" w:rsidRPr="00927796" w:rsidRDefault="00231DD6" w:rsidP="00231DD6">
      <w:pPr>
        <w:tabs>
          <w:tab w:val="num" w:pos="284"/>
        </w:tabs>
        <w:rPr>
          <w:rFonts w:cs="Arial"/>
          <w:szCs w:val="24"/>
        </w:rPr>
      </w:pPr>
    </w:p>
    <w:p w14:paraId="0116F437" w14:textId="1198AB75" w:rsidR="006E6CFF" w:rsidRPr="00927796" w:rsidRDefault="00231DD6" w:rsidP="7C049D64">
      <w:pPr>
        <w:tabs>
          <w:tab w:val="num" w:pos="284"/>
        </w:tabs>
        <w:rPr>
          <w:rFonts w:cs="Arial"/>
          <w:szCs w:val="24"/>
          <w:highlight w:val="red"/>
        </w:rPr>
      </w:pPr>
      <w:r w:rsidRPr="00927796">
        <w:rPr>
          <w:rFonts w:cs="Arial"/>
          <w:szCs w:val="24"/>
        </w:rPr>
        <w:lastRenderedPageBreak/>
        <w:t>I am proud of the contribution everyone in the Service makes every day, on the frontline and supporting behind the scenes. There is an unwavering determination to achieve our goals, respond positively to challenges, and make a difference in our communities.</w:t>
      </w:r>
    </w:p>
    <w:p w14:paraId="2CD21999" w14:textId="77777777" w:rsidR="00E65136" w:rsidRPr="00927796" w:rsidRDefault="00E65136" w:rsidP="095637AE">
      <w:pPr>
        <w:rPr>
          <w:rFonts w:cs="Arial"/>
          <w:b/>
          <w:bCs/>
          <w:szCs w:val="24"/>
        </w:rPr>
      </w:pPr>
    </w:p>
    <w:p w14:paraId="68A39F1F" w14:textId="10C9FEB3" w:rsidR="006E6CFF" w:rsidRPr="00CF33BB" w:rsidRDefault="006E6CFF" w:rsidP="095637AE">
      <w:pPr>
        <w:rPr>
          <w:rFonts w:cs="Arial"/>
          <w:b/>
          <w:bCs/>
          <w:szCs w:val="24"/>
        </w:rPr>
      </w:pPr>
      <w:r w:rsidRPr="00CF33BB">
        <w:rPr>
          <w:rFonts w:cs="Arial"/>
          <w:b/>
          <w:bCs/>
          <w:szCs w:val="24"/>
        </w:rPr>
        <w:t>The 202</w:t>
      </w:r>
      <w:r w:rsidR="005742EF" w:rsidRPr="00CF33BB">
        <w:rPr>
          <w:rFonts w:cs="Arial"/>
          <w:b/>
          <w:bCs/>
          <w:szCs w:val="24"/>
        </w:rPr>
        <w:t>4</w:t>
      </w:r>
      <w:r w:rsidRPr="00CF33BB">
        <w:rPr>
          <w:rFonts w:cs="Arial"/>
          <w:b/>
          <w:bCs/>
          <w:szCs w:val="24"/>
        </w:rPr>
        <w:t>/2</w:t>
      </w:r>
      <w:r w:rsidR="005742EF" w:rsidRPr="00CF33BB">
        <w:rPr>
          <w:rFonts w:cs="Arial"/>
          <w:b/>
          <w:bCs/>
          <w:szCs w:val="24"/>
        </w:rPr>
        <w:t>5</w:t>
      </w:r>
      <w:r w:rsidRPr="00CF33BB">
        <w:rPr>
          <w:rFonts w:cs="Arial"/>
          <w:b/>
          <w:bCs/>
          <w:szCs w:val="24"/>
        </w:rPr>
        <w:t xml:space="preserve"> Financial Overview</w:t>
      </w:r>
    </w:p>
    <w:p w14:paraId="681C4A7E" w14:textId="77777777" w:rsidR="006E6CFF" w:rsidRPr="00927796" w:rsidRDefault="006E6CFF" w:rsidP="095637AE">
      <w:pPr>
        <w:rPr>
          <w:rFonts w:cs="Arial"/>
          <w:szCs w:val="24"/>
          <w:highlight w:val="red"/>
        </w:rPr>
      </w:pPr>
    </w:p>
    <w:p w14:paraId="2062AE19" w14:textId="79A9DB4C" w:rsidR="006E6CFF" w:rsidRPr="00CF33BB" w:rsidRDefault="006E6CFF" w:rsidP="095637AE">
      <w:pPr>
        <w:rPr>
          <w:rFonts w:cs="Arial"/>
          <w:color w:val="000000" w:themeColor="text1"/>
          <w:szCs w:val="24"/>
        </w:rPr>
      </w:pPr>
      <w:r w:rsidRPr="00927796">
        <w:rPr>
          <w:rFonts w:cs="Arial"/>
          <w:color w:val="000000" w:themeColor="text1"/>
          <w:szCs w:val="24"/>
        </w:rPr>
        <w:t>The Authority’s spending is planned and controlled by an annual budget process, which leads to the setting of its budget requirement. Expenditure on the day-to-day running costs of the service is determined through the Revenue Budget and is recorded in the Comprehensive Income and Expenditure Statement.</w:t>
      </w:r>
    </w:p>
    <w:p w14:paraId="04BDC542" w14:textId="77777777" w:rsidR="006E6CFF" w:rsidRPr="00CF33BB" w:rsidRDefault="006E6CFF" w:rsidP="095637AE">
      <w:pPr>
        <w:rPr>
          <w:rFonts w:cs="Arial"/>
          <w:color w:val="000000" w:themeColor="text1"/>
          <w:szCs w:val="24"/>
        </w:rPr>
      </w:pPr>
    </w:p>
    <w:p w14:paraId="7F453616" w14:textId="5D86063B" w:rsidR="006E6CFF" w:rsidRPr="00CF33BB" w:rsidRDefault="006E6CFF" w:rsidP="095637AE">
      <w:pPr>
        <w:rPr>
          <w:rFonts w:cs="Arial"/>
          <w:color w:val="000000" w:themeColor="text1"/>
          <w:szCs w:val="24"/>
        </w:rPr>
      </w:pPr>
      <w:r w:rsidRPr="00927796">
        <w:rPr>
          <w:rFonts w:cs="Arial"/>
          <w:color w:val="000000" w:themeColor="text1"/>
          <w:szCs w:val="24"/>
        </w:rPr>
        <w:t xml:space="preserve">In setting its budget the Authority aims to balance the public’s requirement for and expectations of our services with the cost of providing this. As such the revenue budget focuses on the need </w:t>
      </w:r>
      <w:proofErr w:type="gramStart"/>
      <w:r w:rsidRPr="00927796">
        <w:rPr>
          <w:rFonts w:cs="Arial"/>
          <w:color w:val="000000" w:themeColor="text1"/>
          <w:szCs w:val="24"/>
        </w:rPr>
        <w:t>to:-</w:t>
      </w:r>
      <w:proofErr w:type="gramEnd"/>
    </w:p>
    <w:p w14:paraId="1D38E447" w14:textId="77777777" w:rsidR="006E6CFF" w:rsidRPr="00CF33BB" w:rsidRDefault="006E6CFF" w:rsidP="095637AE">
      <w:pPr>
        <w:rPr>
          <w:rFonts w:cs="Arial"/>
          <w:color w:val="000000" w:themeColor="text1"/>
          <w:szCs w:val="24"/>
        </w:rPr>
      </w:pPr>
    </w:p>
    <w:p w14:paraId="2A9A3C0E" w14:textId="77777777" w:rsidR="006E6CFF" w:rsidRPr="00CF33BB" w:rsidRDefault="006E6CFF" w:rsidP="095637AE">
      <w:pPr>
        <w:numPr>
          <w:ilvl w:val="0"/>
          <w:numId w:val="37"/>
        </w:numPr>
        <w:rPr>
          <w:rFonts w:cs="Arial"/>
          <w:color w:val="000000" w:themeColor="text1"/>
          <w:szCs w:val="24"/>
        </w:rPr>
      </w:pPr>
      <w:r w:rsidRPr="00927796">
        <w:rPr>
          <w:rFonts w:cs="Arial"/>
          <w:color w:val="000000" w:themeColor="text1"/>
          <w:szCs w:val="24"/>
        </w:rPr>
        <w:t xml:space="preserve">deliver services as outlined in the Risk Management Plan and other </w:t>
      </w:r>
      <w:proofErr w:type="gramStart"/>
      <w:r w:rsidRPr="00927796">
        <w:rPr>
          <w:rFonts w:cs="Arial"/>
          <w:color w:val="000000" w:themeColor="text1"/>
          <w:szCs w:val="24"/>
        </w:rPr>
        <w:t>plans;</w:t>
      </w:r>
      <w:proofErr w:type="gramEnd"/>
    </w:p>
    <w:p w14:paraId="79FEAAC4" w14:textId="77777777" w:rsidR="006E6CFF" w:rsidRPr="00CF33BB" w:rsidRDefault="006E6CFF" w:rsidP="095637AE">
      <w:pPr>
        <w:numPr>
          <w:ilvl w:val="0"/>
          <w:numId w:val="37"/>
        </w:numPr>
        <w:rPr>
          <w:rFonts w:cs="Arial"/>
          <w:color w:val="000000" w:themeColor="text1"/>
          <w:szCs w:val="24"/>
        </w:rPr>
      </w:pPr>
      <w:r w:rsidRPr="00927796">
        <w:rPr>
          <w:rFonts w:cs="Arial"/>
          <w:color w:val="000000" w:themeColor="text1"/>
          <w:szCs w:val="24"/>
        </w:rPr>
        <w:t xml:space="preserve">maintain future council tax increases at reasonable </w:t>
      </w:r>
      <w:proofErr w:type="gramStart"/>
      <w:r w:rsidRPr="00927796">
        <w:rPr>
          <w:rFonts w:cs="Arial"/>
          <w:color w:val="000000" w:themeColor="text1"/>
          <w:szCs w:val="24"/>
        </w:rPr>
        <w:t>levels;</w:t>
      </w:r>
      <w:proofErr w:type="gramEnd"/>
    </w:p>
    <w:p w14:paraId="39EA1E8F" w14:textId="77777777" w:rsidR="006E6CFF" w:rsidRPr="00CF33BB" w:rsidRDefault="006E6CFF" w:rsidP="095637AE">
      <w:pPr>
        <w:numPr>
          <w:ilvl w:val="0"/>
          <w:numId w:val="37"/>
        </w:numPr>
        <w:rPr>
          <w:rFonts w:cs="Arial"/>
          <w:color w:val="000000" w:themeColor="text1"/>
          <w:szCs w:val="24"/>
        </w:rPr>
      </w:pPr>
      <w:r w:rsidRPr="00927796">
        <w:rPr>
          <w:rFonts w:cs="Arial"/>
          <w:color w:val="000000" w:themeColor="text1"/>
          <w:szCs w:val="24"/>
        </w:rPr>
        <w:t xml:space="preserve">continue to deliver efficiencies in line with </w:t>
      </w:r>
      <w:proofErr w:type="gramStart"/>
      <w:r w:rsidRPr="00927796">
        <w:rPr>
          <w:rFonts w:cs="Arial"/>
          <w:color w:val="000000" w:themeColor="text1"/>
          <w:szCs w:val="24"/>
        </w:rPr>
        <w:t>targets;</w:t>
      </w:r>
      <w:proofErr w:type="gramEnd"/>
    </w:p>
    <w:p w14:paraId="65A32971" w14:textId="77777777" w:rsidR="006E6CFF" w:rsidRPr="00CF33BB" w:rsidRDefault="006E6CFF" w:rsidP="095637AE">
      <w:pPr>
        <w:numPr>
          <w:ilvl w:val="0"/>
          <w:numId w:val="37"/>
        </w:numPr>
        <w:rPr>
          <w:rFonts w:cs="Arial"/>
          <w:color w:val="000000" w:themeColor="text1"/>
          <w:szCs w:val="24"/>
        </w:rPr>
      </w:pPr>
      <w:r w:rsidRPr="00927796">
        <w:rPr>
          <w:rFonts w:cs="Arial"/>
          <w:color w:val="000000" w:themeColor="text1"/>
          <w:szCs w:val="24"/>
        </w:rPr>
        <w:t xml:space="preserve">continue to invest in improvements in service delivery and </w:t>
      </w:r>
      <w:proofErr w:type="gramStart"/>
      <w:r w:rsidRPr="00927796">
        <w:rPr>
          <w:rFonts w:cs="Arial"/>
          <w:color w:val="000000" w:themeColor="text1"/>
          <w:szCs w:val="24"/>
        </w:rPr>
        <w:t>facilities;</w:t>
      </w:r>
      <w:proofErr w:type="gramEnd"/>
    </w:p>
    <w:p w14:paraId="3F79B78E" w14:textId="77777777" w:rsidR="006E6CFF" w:rsidRPr="00CF33BB" w:rsidRDefault="006E6CFF" w:rsidP="095637AE">
      <w:pPr>
        <w:numPr>
          <w:ilvl w:val="0"/>
          <w:numId w:val="37"/>
        </w:numPr>
        <w:rPr>
          <w:rFonts w:cs="Arial"/>
          <w:color w:val="000000" w:themeColor="text1"/>
          <w:szCs w:val="24"/>
        </w:rPr>
      </w:pPr>
      <w:r w:rsidRPr="00927796">
        <w:rPr>
          <w:rFonts w:cs="Arial"/>
          <w:color w:val="000000" w:themeColor="text1"/>
          <w:szCs w:val="24"/>
        </w:rPr>
        <w:t>set a robust budget that takes account of known and anticipated pressures; and</w:t>
      </w:r>
    </w:p>
    <w:p w14:paraId="3B83A4D1" w14:textId="77777777" w:rsidR="006E6CFF" w:rsidRPr="0026417B" w:rsidRDefault="006E6CFF" w:rsidP="095637AE">
      <w:pPr>
        <w:numPr>
          <w:ilvl w:val="0"/>
          <w:numId w:val="37"/>
        </w:numPr>
        <w:rPr>
          <w:rFonts w:cs="Arial"/>
          <w:color w:val="000000" w:themeColor="text1"/>
          <w:szCs w:val="24"/>
        </w:rPr>
      </w:pPr>
      <w:r w:rsidRPr="00927796">
        <w:rPr>
          <w:rFonts w:cs="Arial"/>
          <w:color w:val="000000" w:themeColor="text1"/>
          <w:szCs w:val="24"/>
        </w:rPr>
        <w:t>maintain an adequate level of reserves.</w:t>
      </w:r>
    </w:p>
    <w:p w14:paraId="4456C4C9" w14:textId="77777777" w:rsidR="006E6CFF" w:rsidRPr="0026417B" w:rsidRDefault="006E6CFF" w:rsidP="095637AE">
      <w:pPr>
        <w:rPr>
          <w:rFonts w:cs="Arial"/>
          <w:color w:val="000000" w:themeColor="text1"/>
          <w:szCs w:val="24"/>
        </w:rPr>
      </w:pPr>
    </w:p>
    <w:p w14:paraId="6736E314" w14:textId="77777777" w:rsidR="00E95779" w:rsidRDefault="00B87077" w:rsidP="7C049D64">
      <w:pPr>
        <w:rPr>
          <w:rFonts w:cs="Arial"/>
          <w:szCs w:val="24"/>
        </w:rPr>
      </w:pPr>
      <w:r w:rsidRPr="00927796">
        <w:rPr>
          <w:rFonts w:cs="Arial"/>
          <w:szCs w:val="24"/>
        </w:rPr>
        <w:t>The Authority agreed a net revenue budget of £7</w:t>
      </w:r>
      <w:r w:rsidR="00524EF2" w:rsidRPr="00927796">
        <w:rPr>
          <w:rFonts w:cs="Arial"/>
          <w:szCs w:val="24"/>
        </w:rPr>
        <w:t>5</w:t>
      </w:r>
      <w:r w:rsidRPr="00927796">
        <w:rPr>
          <w:rFonts w:cs="Arial"/>
          <w:szCs w:val="24"/>
        </w:rPr>
        <w:t>.</w:t>
      </w:r>
      <w:r w:rsidR="00524EF2" w:rsidRPr="00927796">
        <w:rPr>
          <w:rFonts w:cs="Arial"/>
          <w:szCs w:val="24"/>
        </w:rPr>
        <w:t>2</w:t>
      </w:r>
      <w:r w:rsidRPr="00927796">
        <w:rPr>
          <w:rFonts w:cs="Arial"/>
          <w:szCs w:val="24"/>
        </w:rPr>
        <w:t>m and a council tax of £8</w:t>
      </w:r>
      <w:r w:rsidR="00D14637" w:rsidRPr="00927796">
        <w:rPr>
          <w:rFonts w:cs="Arial"/>
          <w:szCs w:val="24"/>
        </w:rPr>
        <w:t>4</w:t>
      </w:r>
      <w:r w:rsidRPr="00927796">
        <w:rPr>
          <w:rFonts w:cs="Arial"/>
          <w:szCs w:val="24"/>
        </w:rPr>
        <w:t>.</w:t>
      </w:r>
      <w:r w:rsidR="00FC66E0" w:rsidRPr="00927796">
        <w:rPr>
          <w:rFonts w:cs="Arial"/>
          <w:szCs w:val="24"/>
        </w:rPr>
        <w:t>73</w:t>
      </w:r>
      <w:r w:rsidRPr="00927796">
        <w:rPr>
          <w:rFonts w:cs="Arial"/>
          <w:szCs w:val="24"/>
        </w:rPr>
        <w:t xml:space="preserve"> for the </w:t>
      </w:r>
      <w:r w:rsidR="00FC66E0" w:rsidRPr="00927796">
        <w:rPr>
          <w:rFonts w:cs="Arial"/>
          <w:szCs w:val="24"/>
        </w:rPr>
        <w:t>financial</w:t>
      </w:r>
      <w:r w:rsidRPr="00927796">
        <w:rPr>
          <w:rFonts w:cs="Arial"/>
          <w:szCs w:val="24"/>
        </w:rPr>
        <w:t xml:space="preserve"> year 2024/25. This represented a</w:t>
      </w:r>
      <w:r w:rsidR="0060113C" w:rsidRPr="00927796">
        <w:rPr>
          <w:rFonts w:cs="Arial"/>
          <w:szCs w:val="24"/>
        </w:rPr>
        <w:t xml:space="preserve"> 2.99%</w:t>
      </w:r>
      <w:r w:rsidRPr="00927796">
        <w:rPr>
          <w:rFonts w:cs="Arial"/>
          <w:szCs w:val="24"/>
        </w:rPr>
        <w:t xml:space="preserve"> </w:t>
      </w:r>
      <w:r w:rsidR="0060113C" w:rsidRPr="00927796">
        <w:rPr>
          <w:rFonts w:cs="Arial"/>
          <w:szCs w:val="24"/>
        </w:rPr>
        <w:t>(</w:t>
      </w:r>
      <w:r w:rsidR="009B7B55" w:rsidRPr="00927796">
        <w:rPr>
          <w:rFonts w:cs="Arial"/>
          <w:szCs w:val="24"/>
        </w:rPr>
        <w:t>£</w:t>
      </w:r>
      <w:r w:rsidR="008D66EF" w:rsidRPr="00927796">
        <w:rPr>
          <w:rFonts w:cs="Arial"/>
          <w:szCs w:val="24"/>
        </w:rPr>
        <w:t>2.46</w:t>
      </w:r>
      <w:r w:rsidR="0060113C" w:rsidRPr="00927796">
        <w:rPr>
          <w:rFonts w:cs="Arial"/>
          <w:szCs w:val="24"/>
        </w:rPr>
        <w:t>)</w:t>
      </w:r>
      <w:r w:rsidRPr="00927796">
        <w:rPr>
          <w:rFonts w:cs="Arial"/>
          <w:szCs w:val="24"/>
        </w:rPr>
        <w:t xml:space="preserve"> increase in council tax, in line with the Council Tax referendum limit. Based on this, the budget was considered affordable, prudent, and sustainable, whilst ensuring that the Authority was able to deliver against its corporate priorities.</w:t>
      </w:r>
    </w:p>
    <w:p w14:paraId="3C04B070" w14:textId="77777777" w:rsidR="00E95779" w:rsidRDefault="00E95779">
      <w:pPr>
        <w:rPr>
          <w:rFonts w:cs="Arial"/>
          <w:szCs w:val="24"/>
        </w:rPr>
      </w:pPr>
      <w:r>
        <w:rPr>
          <w:rFonts w:cs="Arial"/>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1168"/>
        <w:gridCol w:w="1168"/>
      </w:tblGrid>
      <w:tr w:rsidR="00E95779" w:rsidRPr="00D948C1" w14:paraId="2548DB3C" w14:textId="77777777" w:rsidTr="00E34E93">
        <w:tc>
          <w:tcPr>
            <w:tcW w:w="7586" w:type="dxa"/>
          </w:tcPr>
          <w:p w14:paraId="132CFE74" w14:textId="77777777" w:rsidR="00E95779" w:rsidRDefault="0040050A" w:rsidP="095637AE">
            <w:pPr>
              <w:jc w:val="both"/>
              <w:rPr>
                <w:rFonts w:cs="Arial"/>
                <w:color w:val="000000" w:themeColor="text1"/>
                <w:szCs w:val="24"/>
              </w:rPr>
            </w:pPr>
            <w:r w:rsidRPr="008C2BC1">
              <w:rPr>
                <w:rFonts w:cs="Arial"/>
                <w:color w:val="000000" w:themeColor="text1"/>
                <w:szCs w:val="24"/>
              </w:rPr>
              <w:lastRenderedPageBreak/>
              <w:t>T</w:t>
            </w:r>
            <w:r w:rsidR="00D859CA" w:rsidRPr="008C2BC1">
              <w:rPr>
                <w:rFonts w:cs="Arial"/>
                <w:color w:val="000000" w:themeColor="text1"/>
                <w:szCs w:val="24"/>
              </w:rPr>
              <w:t xml:space="preserve">he </w:t>
            </w:r>
            <w:r w:rsidR="002448DC" w:rsidRPr="008C2BC1">
              <w:rPr>
                <w:rFonts w:cs="Arial"/>
                <w:color w:val="000000" w:themeColor="text1"/>
                <w:szCs w:val="24"/>
              </w:rPr>
              <w:t xml:space="preserve">following </w:t>
            </w:r>
            <w:r w:rsidR="00D859CA" w:rsidRPr="008C2BC1">
              <w:rPr>
                <w:rFonts w:cs="Arial"/>
                <w:color w:val="000000" w:themeColor="text1"/>
                <w:szCs w:val="24"/>
              </w:rPr>
              <w:t xml:space="preserve">charts </w:t>
            </w:r>
            <w:r w:rsidR="002448DC" w:rsidRPr="008C2BC1">
              <w:rPr>
                <w:rFonts w:cs="Arial"/>
                <w:color w:val="000000" w:themeColor="text1"/>
                <w:szCs w:val="24"/>
              </w:rPr>
              <w:t>show our</w:t>
            </w:r>
            <w:r w:rsidRPr="008C2BC1">
              <w:rPr>
                <w:rFonts w:cs="Arial"/>
                <w:color w:val="000000" w:themeColor="text1"/>
                <w:szCs w:val="24"/>
              </w:rPr>
              <w:t xml:space="preserve"> key areas of</w:t>
            </w:r>
            <w:r w:rsidR="002448DC" w:rsidRPr="008C2BC1">
              <w:rPr>
                <w:rFonts w:cs="Arial"/>
                <w:color w:val="000000" w:themeColor="text1"/>
                <w:szCs w:val="24"/>
              </w:rPr>
              <w:t xml:space="preserve"> budgeted income and expenditure</w:t>
            </w:r>
            <w:r w:rsidR="00E95779">
              <w:rPr>
                <w:rFonts w:cs="Arial"/>
                <w:color w:val="000000" w:themeColor="text1"/>
                <w:szCs w:val="24"/>
              </w:rPr>
              <w:t>:</w:t>
            </w:r>
          </w:p>
          <w:p w14:paraId="2555A655" w14:textId="7B80DC58" w:rsidR="000A6B17" w:rsidRPr="00D948C1" w:rsidRDefault="000A6B17" w:rsidP="095637AE">
            <w:pPr>
              <w:jc w:val="both"/>
              <w:rPr>
                <w:rFonts w:cs="Arial"/>
                <w:noProof/>
                <w:color w:val="000000" w:themeColor="text1"/>
                <w:highlight w:val="red"/>
              </w:rPr>
            </w:pPr>
          </w:p>
        </w:tc>
        <w:tc>
          <w:tcPr>
            <w:tcW w:w="1168" w:type="dxa"/>
          </w:tcPr>
          <w:p w14:paraId="35BF0862" w14:textId="77777777" w:rsidR="00E95779" w:rsidRPr="00D948C1" w:rsidRDefault="00E95779" w:rsidP="095637AE">
            <w:pPr>
              <w:jc w:val="both"/>
              <w:rPr>
                <w:rFonts w:cs="Arial"/>
                <w:color w:val="000000" w:themeColor="text1"/>
                <w:highlight w:val="red"/>
              </w:rPr>
            </w:pPr>
          </w:p>
        </w:tc>
        <w:tc>
          <w:tcPr>
            <w:tcW w:w="1168" w:type="dxa"/>
          </w:tcPr>
          <w:p w14:paraId="61DAE325" w14:textId="644D6A59" w:rsidR="00E95779" w:rsidRPr="00D948C1" w:rsidRDefault="00E95779" w:rsidP="095637AE">
            <w:pPr>
              <w:jc w:val="both"/>
              <w:rPr>
                <w:rFonts w:cs="Arial"/>
                <w:color w:val="000000" w:themeColor="text1"/>
                <w:highlight w:val="red"/>
              </w:rPr>
            </w:pPr>
          </w:p>
        </w:tc>
      </w:tr>
    </w:tbl>
    <w:p w14:paraId="10547006" w14:textId="56B4F50F" w:rsidR="004A1184" w:rsidRPr="00D948C1" w:rsidRDefault="00A31778" w:rsidP="095637AE">
      <w:pPr>
        <w:rPr>
          <w:rFonts w:cs="Arial"/>
          <w:color w:val="000000" w:themeColor="text1"/>
          <w:highlight w:val="red"/>
        </w:rPr>
      </w:pPr>
      <w:r>
        <w:rPr>
          <w:noProof/>
        </w:rPr>
        <w:drawing>
          <wp:inline distT="0" distB="0" distL="0" distR="0" wp14:anchorId="3A057FF7" wp14:editId="723D6E9E">
            <wp:extent cx="5338800" cy="3924000"/>
            <wp:effectExtent l="0" t="0" r="0" b="635"/>
            <wp:docPr id="408577923" name="Chart 1" descr="Pie chart showing the Authority's expenditure analysis for 2024/25. Employee pay costs 73%, supplies and services 13%, capital financing and other items 7%, premises 5%, transport 3% and other employee related costs -1%.">
              <a:extLst xmlns:a="http://schemas.openxmlformats.org/drawingml/2006/main">
                <a:ext uri="{FF2B5EF4-FFF2-40B4-BE49-F238E27FC236}">
                  <a16:creationId xmlns:a16="http://schemas.microsoft.com/office/drawing/2014/main" id="{70646ACC-4D9B-4F14-BAF4-06B528C8D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934A3">
        <w:rPr>
          <w:noProof/>
        </w:rPr>
        <w:drawing>
          <wp:inline distT="0" distB="0" distL="0" distR="0" wp14:anchorId="45F76754" wp14:editId="20694AE5">
            <wp:extent cx="5340705" cy="3573480"/>
            <wp:effectExtent l="0" t="0" r="0" b="8255"/>
            <wp:docPr id="279747416" name="Chart 1" descr="Pie chart showing the Authority's income analysis for 2024/25. Council tax 49%, business rates 28%, government grant 17% and other income 7%.">
              <a:extLst xmlns:a="http://schemas.openxmlformats.org/drawingml/2006/main">
                <a:ext uri="{FF2B5EF4-FFF2-40B4-BE49-F238E27FC236}">
                  <a16:creationId xmlns:a16="http://schemas.microsoft.com/office/drawing/2014/main" id="{3F73873E-F689-4F4D-806A-5D85CDB21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4A1184" w:rsidRPr="095637AE">
        <w:rPr>
          <w:rFonts w:cs="Arial"/>
          <w:color w:val="000000" w:themeColor="text1"/>
          <w:highlight w:val="red"/>
        </w:rPr>
        <w:br w:type="page"/>
      </w:r>
    </w:p>
    <w:p w14:paraId="095A2956" w14:textId="768401A1" w:rsidR="006E6CFF" w:rsidRPr="00886131" w:rsidRDefault="0040050A" w:rsidP="095637AE">
      <w:pPr>
        <w:rPr>
          <w:rFonts w:cs="Arial"/>
          <w:color w:val="000000" w:themeColor="text1"/>
          <w:szCs w:val="24"/>
        </w:rPr>
      </w:pPr>
      <w:r w:rsidRPr="00CF33BB">
        <w:rPr>
          <w:rFonts w:cs="Arial"/>
          <w:color w:val="000000" w:themeColor="text1"/>
          <w:szCs w:val="24"/>
        </w:rPr>
        <w:lastRenderedPageBreak/>
        <w:t xml:space="preserve">The net revenue position shows a small </w:t>
      </w:r>
      <w:r w:rsidR="00613B91" w:rsidRPr="00CF33BB">
        <w:rPr>
          <w:rFonts w:cs="Arial"/>
          <w:color w:val="000000" w:themeColor="text1"/>
          <w:szCs w:val="24"/>
        </w:rPr>
        <w:t>und</w:t>
      </w:r>
      <w:r w:rsidRPr="00CF33BB">
        <w:rPr>
          <w:rFonts w:cs="Arial"/>
          <w:color w:val="000000" w:themeColor="text1"/>
          <w:szCs w:val="24"/>
        </w:rPr>
        <w:t>erspend</w:t>
      </w:r>
      <w:r w:rsidRPr="00886131">
        <w:rPr>
          <w:rFonts w:cs="Arial"/>
          <w:color w:val="000000" w:themeColor="text1"/>
          <w:szCs w:val="24"/>
        </w:rPr>
        <w:t xml:space="preserve"> of £0.8m over the year</w:t>
      </w:r>
      <w:r w:rsidR="000E606D" w:rsidRPr="00886131">
        <w:rPr>
          <w:rFonts w:cs="Arial"/>
          <w:color w:val="000000" w:themeColor="text1"/>
          <w:szCs w:val="24"/>
        </w:rPr>
        <w:t>:</w:t>
      </w:r>
    </w:p>
    <w:p w14:paraId="40428272" w14:textId="77777777" w:rsidR="006E6CFF" w:rsidRPr="00927796" w:rsidRDefault="006E6CFF" w:rsidP="095637AE">
      <w:pPr>
        <w:rPr>
          <w:rFonts w:cs="Arial"/>
          <w:color w:val="000000" w:themeColor="text1"/>
          <w:szCs w:val="24"/>
          <w:highlight w:val="red"/>
        </w:rPr>
      </w:pPr>
    </w:p>
    <w:tbl>
      <w:tblPr>
        <w:tblStyle w:val="TableGrid"/>
        <w:tblW w:w="8573" w:type="dxa"/>
        <w:tblLook w:val="04A0" w:firstRow="1" w:lastRow="0" w:firstColumn="1" w:lastColumn="0" w:noHBand="0" w:noVBand="1"/>
      </w:tblPr>
      <w:tblGrid>
        <w:gridCol w:w="4082"/>
        <w:gridCol w:w="1497"/>
        <w:gridCol w:w="1497"/>
        <w:gridCol w:w="1497"/>
      </w:tblGrid>
      <w:tr w:rsidR="00F74CEC" w:rsidRPr="00927796" w14:paraId="13B198A7" w14:textId="77777777" w:rsidTr="002D5D55">
        <w:trPr>
          <w:trHeight w:val="601"/>
        </w:trPr>
        <w:tc>
          <w:tcPr>
            <w:tcW w:w="4082" w:type="dxa"/>
            <w:shd w:val="clear" w:color="auto" w:fill="BD2716"/>
            <w:vAlign w:val="center"/>
          </w:tcPr>
          <w:p w14:paraId="31EE9F7F" w14:textId="40E65C67"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Comparison (£000)</w:t>
            </w:r>
          </w:p>
        </w:tc>
        <w:tc>
          <w:tcPr>
            <w:tcW w:w="1497" w:type="dxa"/>
            <w:shd w:val="clear" w:color="auto" w:fill="BD2716"/>
            <w:vAlign w:val="center"/>
          </w:tcPr>
          <w:p w14:paraId="2A6988F4" w14:textId="30C1F4C9"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Budget</w:t>
            </w:r>
          </w:p>
        </w:tc>
        <w:tc>
          <w:tcPr>
            <w:tcW w:w="1497" w:type="dxa"/>
            <w:shd w:val="clear" w:color="auto" w:fill="BD2716"/>
            <w:vAlign w:val="center"/>
          </w:tcPr>
          <w:p w14:paraId="2DB7CCDD" w14:textId="5BA56808"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Spend</w:t>
            </w:r>
          </w:p>
        </w:tc>
        <w:tc>
          <w:tcPr>
            <w:tcW w:w="1497" w:type="dxa"/>
            <w:shd w:val="clear" w:color="auto" w:fill="BD2716"/>
            <w:vAlign w:val="center"/>
          </w:tcPr>
          <w:p w14:paraId="7F3AF40D" w14:textId="13C0C88D"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(Under)/ Overspend</w:t>
            </w:r>
          </w:p>
        </w:tc>
      </w:tr>
      <w:tr w:rsidR="00F74CEC" w:rsidRPr="00927796" w14:paraId="54226C00" w14:textId="77777777" w:rsidTr="002D5D55">
        <w:trPr>
          <w:trHeight w:val="300"/>
        </w:trPr>
        <w:tc>
          <w:tcPr>
            <w:tcW w:w="4082" w:type="dxa"/>
            <w:vAlign w:val="center"/>
          </w:tcPr>
          <w:p w14:paraId="1F39F0F2" w14:textId="34612977" w:rsidR="00F74CEC" w:rsidRPr="00927796" w:rsidRDefault="00F74CEC" w:rsidP="00F74CEC">
            <w:pPr>
              <w:rPr>
                <w:rFonts w:cs="Arial"/>
                <w:color w:val="000000" w:themeColor="text1"/>
                <w:szCs w:val="24"/>
                <w:highlight w:val="red"/>
              </w:rPr>
            </w:pPr>
            <w:r w:rsidRPr="00927796">
              <w:rPr>
                <w:rFonts w:cs="Arial"/>
                <w:szCs w:val="24"/>
                <w:lang w:eastAsia="en-GB"/>
              </w:rPr>
              <w:t>Employees: pay costs</w:t>
            </w:r>
          </w:p>
        </w:tc>
        <w:tc>
          <w:tcPr>
            <w:tcW w:w="1497" w:type="dxa"/>
            <w:vAlign w:val="center"/>
          </w:tcPr>
          <w:p w14:paraId="0CDD4930" w14:textId="5A2A9FCA" w:rsidR="00F74CEC" w:rsidRPr="002D5D55" w:rsidRDefault="007C76A4" w:rsidP="002D5D55">
            <w:pPr>
              <w:jc w:val="right"/>
              <w:rPr>
                <w:rFonts w:cs="Arial"/>
                <w:color w:val="000000" w:themeColor="text1"/>
                <w:szCs w:val="24"/>
              </w:rPr>
            </w:pPr>
            <w:r w:rsidRPr="00927796">
              <w:rPr>
                <w:rFonts w:cs="Arial"/>
                <w:color w:val="000000" w:themeColor="text1"/>
                <w:szCs w:val="24"/>
              </w:rPr>
              <w:t>57,914</w:t>
            </w:r>
          </w:p>
        </w:tc>
        <w:tc>
          <w:tcPr>
            <w:tcW w:w="1497" w:type="dxa"/>
            <w:vAlign w:val="center"/>
          </w:tcPr>
          <w:p w14:paraId="204D5EAD" w14:textId="7C6C4B8E" w:rsidR="00F74CEC" w:rsidRPr="002D5D55" w:rsidRDefault="007C76A4" w:rsidP="002D5D55">
            <w:pPr>
              <w:jc w:val="right"/>
              <w:rPr>
                <w:rFonts w:cs="Arial"/>
                <w:color w:val="000000" w:themeColor="text1"/>
                <w:szCs w:val="24"/>
              </w:rPr>
            </w:pPr>
            <w:r w:rsidRPr="00927796">
              <w:rPr>
                <w:rFonts w:cs="Arial"/>
                <w:color w:val="000000" w:themeColor="text1"/>
                <w:szCs w:val="24"/>
              </w:rPr>
              <w:t>58,523</w:t>
            </w:r>
          </w:p>
        </w:tc>
        <w:tc>
          <w:tcPr>
            <w:tcW w:w="1497" w:type="dxa"/>
            <w:vAlign w:val="center"/>
          </w:tcPr>
          <w:p w14:paraId="5335DB14" w14:textId="6F8245CB" w:rsidR="00F74CEC" w:rsidRPr="002D5D55" w:rsidRDefault="007C76A4" w:rsidP="002D5D55">
            <w:pPr>
              <w:jc w:val="right"/>
              <w:rPr>
                <w:rFonts w:cs="Arial"/>
                <w:color w:val="000000" w:themeColor="text1"/>
                <w:szCs w:val="24"/>
              </w:rPr>
            </w:pPr>
            <w:r w:rsidRPr="00927796">
              <w:rPr>
                <w:rFonts w:cs="Arial"/>
                <w:color w:val="000000" w:themeColor="text1"/>
                <w:szCs w:val="24"/>
              </w:rPr>
              <w:t>609</w:t>
            </w:r>
          </w:p>
        </w:tc>
      </w:tr>
      <w:tr w:rsidR="00F74CEC" w:rsidRPr="00927796" w14:paraId="57C9C122" w14:textId="77777777" w:rsidTr="002D5D55">
        <w:trPr>
          <w:trHeight w:val="300"/>
        </w:trPr>
        <w:tc>
          <w:tcPr>
            <w:tcW w:w="4082" w:type="dxa"/>
            <w:vAlign w:val="center"/>
          </w:tcPr>
          <w:p w14:paraId="47961EC1" w14:textId="0E808C5B" w:rsidR="00F74CEC" w:rsidRPr="00927796" w:rsidRDefault="00F74CEC" w:rsidP="00F74CEC">
            <w:pPr>
              <w:rPr>
                <w:rFonts w:cs="Arial"/>
                <w:color w:val="000000" w:themeColor="text1"/>
                <w:szCs w:val="24"/>
                <w:highlight w:val="red"/>
              </w:rPr>
            </w:pPr>
            <w:r w:rsidRPr="00927796">
              <w:rPr>
                <w:rFonts w:cs="Arial"/>
                <w:szCs w:val="24"/>
                <w:lang w:eastAsia="en-GB"/>
              </w:rPr>
              <w:t>Other employee related costs</w:t>
            </w:r>
          </w:p>
        </w:tc>
        <w:tc>
          <w:tcPr>
            <w:tcW w:w="1497" w:type="dxa"/>
            <w:vAlign w:val="center"/>
          </w:tcPr>
          <w:p w14:paraId="6526BB63" w14:textId="34306907" w:rsidR="00F74CEC" w:rsidRPr="002D5D55" w:rsidRDefault="007C76A4" w:rsidP="002D5D55">
            <w:pPr>
              <w:jc w:val="right"/>
              <w:rPr>
                <w:rFonts w:cs="Arial"/>
                <w:color w:val="000000" w:themeColor="text1"/>
                <w:szCs w:val="24"/>
              </w:rPr>
            </w:pPr>
            <w:r w:rsidRPr="00927796">
              <w:rPr>
                <w:rFonts w:cs="Arial"/>
                <w:color w:val="000000" w:themeColor="text1"/>
                <w:szCs w:val="24"/>
              </w:rPr>
              <w:t>(1,102)</w:t>
            </w:r>
          </w:p>
        </w:tc>
        <w:tc>
          <w:tcPr>
            <w:tcW w:w="1497" w:type="dxa"/>
            <w:vAlign w:val="center"/>
          </w:tcPr>
          <w:p w14:paraId="19EFA6AD" w14:textId="1C1F7E71" w:rsidR="00F74CEC" w:rsidRPr="002D5D55" w:rsidRDefault="007C76A4" w:rsidP="002D5D55">
            <w:pPr>
              <w:jc w:val="right"/>
              <w:rPr>
                <w:rFonts w:cs="Arial"/>
                <w:color w:val="000000" w:themeColor="text1"/>
                <w:szCs w:val="24"/>
              </w:rPr>
            </w:pPr>
            <w:r w:rsidRPr="00927796">
              <w:rPr>
                <w:rFonts w:cs="Arial"/>
                <w:color w:val="000000" w:themeColor="text1"/>
                <w:szCs w:val="24"/>
              </w:rPr>
              <w:t>(1,202)</w:t>
            </w:r>
          </w:p>
        </w:tc>
        <w:tc>
          <w:tcPr>
            <w:tcW w:w="1497" w:type="dxa"/>
            <w:vAlign w:val="center"/>
          </w:tcPr>
          <w:p w14:paraId="19D9E8EE" w14:textId="18DFF392" w:rsidR="00F74CEC" w:rsidRPr="002D5D55" w:rsidRDefault="007C76A4" w:rsidP="002D5D55">
            <w:pPr>
              <w:jc w:val="right"/>
              <w:rPr>
                <w:rFonts w:cs="Arial"/>
                <w:color w:val="000000" w:themeColor="text1"/>
                <w:szCs w:val="24"/>
              </w:rPr>
            </w:pPr>
            <w:r w:rsidRPr="00927796">
              <w:rPr>
                <w:rFonts w:cs="Arial"/>
                <w:color w:val="000000" w:themeColor="text1"/>
                <w:szCs w:val="24"/>
              </w:rPr>
              <w:t>(99)</w:t>
            </w:r>
          </w:p>
        </w:tc>
      </w:tr>
      <w:tr w:rsidR="00F74CEC" w:rsidRPr="00927796" w14:paraId="1B0A931A" w14:textId="77777777" w:rsidTr="002D5D55">
        <w:trPr>
          <w:trHeight w:val="300"/>
        </w:trPr>
        <w:tc>
          <w:tcPr>
            <w:tcW w:w="4082" w:type="dxa"/>
            <w:vAlign w:val="center"/>
          </w:tcPr>
          <w:p w14:paraId="72032AE9" w14:textId="74953587" w:rsidR="00F74CEC" w:rsidRPr="00927796" w:rsidRDefault="00F74CEC" w:rsidP="00F74CEC">
            <w:pPr>
              <w:rPr>
                <w:rFonts w:cs="Arial"/>
                <w:color w:val="000000" w:themeColor="text1"/>
                <w:szCs w:val="24"/>
                <w:highlight w:val="red"/>
              </w:rPr>
            </w:pPr>
            <w:r w:rsidRPr="00927796">
              <w:rPr>
                <w:rFonts w:cs="Arial"/>
                <w:szCs w:val="24"/>
                <w:lang w:eastAsia="en-GB"/>
              </w:rPr>
              <w:t>Premises</w:t>
            </w:r>
          </w:p>
        </w:tc>
        <w:tc>
          <w:tcPr>
            <w:tcW w:w="1497" w:type="dxa"/>
            <w:vAlign w:val="center"/>
          </w:tcPr>
          <w:p w14:paraId="7E922C9E" w14:textId="11A8C5B2" w:rsidR="00F74CEC" w:rsidRPr="002D5D55" w:rsidRDefault="007C76A4" w:rsidP="002D5D55">
            <w:pPr>
              <w:jc w:val="right"/>
              <w:rPr>
                <w:rFonts w:cs="Arial"/>
                <w:color w:val="000000" w:themeColor="text1"/>
                <w:szCs w:val="24"/>
              </w:rPr>
            </w:pPr>
            <w:r w:rsidRPr="00927796">
              <w:rPr>
                <w:rFonts w:cs="Arial"/>
                <w:color w:val="000000" w:themeColor="text1"/>
                <w:szCs w:val="24"/>
              </w:rPr>
              <w:t>5,011</w:t>
            </w:r>
          </w:p>
        </w:tc>
        <w:tc>
          <w:tcPr>
            <w:tcW w:w="1497" w:type="dxa"/>
            <w:vAlign w:val="center"/>
          </w:tcPr>
          <w:p w14:paraId="48C6B2E4" w14:textId="489FEDB1" w:rsidR="00F74CEC" w:rsidRPr="002D5D55" w:rsidRDefault="007C76A4" w:rsidP="002D5D55">
            <w:pPr>
              <w:jc w:val="right"/>
              <w:rPr>
                <w:rFonts w:cs="Arial"/>
                <w:color w:val="000000" w:themeColor="text1"/>
                <w:szCs w:val="24"/>
              </w:rPr>
            </w:pPr>
            <w:r w:rsidRPr="00927796">
              <w:rPr>
                <w:rFonts w:cs="Arial"/>
                <w:color w:val="000000" w:themeColor="text1"/>
                <w:szCs w:val="24"/>
              </w:rPr>
              <w:t>3,955</w:t>
            </w:r>
          </w:p>
        </w:tc>
        <w:tc>
          <w:tcPr>
            <w:tcW w:w="1497" w:type="dxa"/>
            <w:vAlign w:val="center"/>
          </w:tcPr>
          <w:p w14:paraId="09C9BAA9" w14:textId="33494BFA" w:rsidR="00F74CEC" w:rsidRPr="002D5D55" w:rsidRDefault="007C76A4" w:rsidP="002D5D55">
            <w:pPr>
              <w:jc w:val="right"/>
              <w:rPr>
                <w:rFonts w:cs="Arial"/>
                <w:color w:val="000000" w:themeColor="text1"/>
                <w:szCs w:val="24"/>
              </w:rPr>
            </w:pPr>
            <w:r w:rsidRPr="00927796">
              <w:rPr>
                <w:rFonts w:cs="Arial"/>
                <w:color w:val="000000" w:themeColor="text1"/>
                <w:szCs w:val="24"/>
              </w:rPr>
              <w:t>(1,056)</w:t>
            </w:r>
          </w:p>
        </w:tc>
      </w:tr>
      <w:tr w:rsidR="00F74CEC" w:rsidRPr="00927796" w14:paraId="7DFD6B5E" w14:textId="77777777" w:rsidTr="002D5D55">
        <w:trPr>
          <w:trHeight w:val="300"/>
        </w:trPr>
        <w:tc>
          <w:tcPr>
            <w:tcW w:w="4082" w:type="dxa"/>
            <w:vAlign w:val="center"/>
          </w:tcPr>
          <w:p w14:paraId="225AB64C" w14:textId="1B337E45" w:rsidR="00F74CEC" w:rsidRPr="00927796" w:rsidRDefault="00F74CEC" w:rsidP="00F74CEC">
            <w:pPr>
              <w:rPr>
                <w:rFonts w:cs="Arial"/>
                <w:color w:val="000000" w:themeColor="text1"/>
                <w:szCs w:val="24"/>
                <w:highlight w:val="red"/>
              </w:rPr>
            </w:pPr>
            <w:r w:rsidRPr="00927796">
              <w:rPr>
                <w:rFonts w:cs="Arial"/>
                <w:szCs w:val="24"/>
                <w:lang w:eastAsia="en-GB"/>
              </w:rPr>
              <w:t>Transport</w:t>
            </w:r>
          </w:p>
        </w:tc>
        <w:tc>
          <w:tcPr>
            <w:tcW w:w="1497" w:type="dxa"/>
            <w:vAlign w:val="center"/>
          </w:tcPr>
          <w:p w14:paraId="0D10492B" w14:textId="193014CF" w:rsidR="00F74CEC" w:rsidRPr="002D5D55" w:rsidRDefault="00604264" w:rsidP="002D5D55">
            <w:pPr>
              <w:jc w:val="right"/>
              <w:rPr>
                <w:rFonts w:cs="Arial"/>
                <w:color w:val="000000" w:themeColor="text1"/>
                <w:szCs w:val="24"/>
              </w:rPr>
            </w:pPr>
            <w:r w:rsidRPr="00927796">
              <w:rPr>
                <w:rFonts w:cs="Arial"/>
                <w:color w:val="000000" w:themeColor="text1"/>
                <w:szCs w:val="24"/>
              </w:rPr>
              <w:t>2,345</w:t>
            </w:r>
          </w:p>
        </w:tc>
        <w:tc>
          <w:tcPr>
            <w:tcW w:w="1497" w:type="dxa"/>
            <w:vAlign w:val="center"/>
          </w:tcPr>
          <w:p w14:paraId="44D3BC01" w14:textId="4F1110B1" w:rsidR="00F74CEC" w:rsidRPr="002D5D55" w:rsidRDefault="00604264" w:rsidP="002D5D55">
            <w:pPr>
              <w:jc w:val="right"/>
              <w:rPr>
                <w:rFonts w:cs="Arial"/>
                <w:color w:val="000000" w:themeColor="text1"/>
                <w:szCs w:val="24"/>
              </w:rPr>
            </w:pPr>
            <w:r w:rsidRPr="00927796">
              <w:rPr>
                <w:rFonts w:cs="Arial"/>
                <w:color w:val="000000" w:themeColor="text1"/>
                <w:szCs w:val="24"/>
              </w:rPr>
              <w:t>2,122</w:t>
            </w:r>
          </w:p>
        </w:tc>
        <w:tc>
          <w:tcPr>
            <w:tcW w:w="1497" w:type="dxa"/>
            <w:vAlign w:val="center"/>
          </w:tcPr>
          <w:p w14:paraId="09E053D9" w14:textId="5CED7BFB" w:rsidR="00F74CEC" w:rsidRPr="002D5D55" w:rsidRDefault="00604264" w:rsidP="002D5D55">
            <w:pPr>
              <w:jc w:val="right"/>
              <w:rPr>
                <w:rFonts w:cs="Arial"/>
                <w:color w:val="000000" w:themeColor="text1"/>
                <w:szCs w:val="24"/>
              </w:rPr>
            </w:pPr>
            <w:r w:rsidRPr="00927796">
              <w:rPr>
                <w:rFonts w:cs="Arial"/>
                <w:color w:val="000000" w:themeColor="text1"/>
                <w:szCs w:val="24"/>
              </w:rPr>
              <w:t>(223)</w:t>
            </w:r>
          </w:p>
        </w:tc>
      </w:tr>
      <w:tr w:rsidR="00F74CEC" w:rsidRPr="00927796" w14:paraId="6380032B" w14:textId="77777777" w:rsidTr="002D5D55">
        <w:trPr>
          <w:trHeight w:val="300"/>
        </w:trPr>
        <w:tc>
          <w:tcPr>
            <w:tcW w:w="4082" w:type="dxa"/>
            <w:vAlign w:val="center"/>
          </w:tcPr>
          <w:p w14:paraId="7E0CF68C" w14:textId="217FEB38" w:rsidR="00F74CEC" w:rsidRPr="00927796" w:rsidRDefault="00F74CEC" w:rsidP="00F74CEC">
            <w:pPr>
              <w:rPr>
                <w:rFonts w:cs="Arial"/>
                <w:color w:val="000000" w:themeColor="text1"/>
                <w:szCs w:val="24"/>
                <w:highlight w:val="red"/>
              </w:rPr>
            </w:pPr>
            <w:r w:rsidRPr="00927796">
              <w:rPr>
                <w:rFonts w:cs="Arial"/>
                <w:szCs w:val="24"/>
                <w:lang w:eastAsia="en-GB"/>
              </w:rPr>
              <w:t>Supplies &amp; services</w:t>
            </w:r>
          </w:p>
        </w:tc>
        <w:tc>
          <w:tcPr>
            <w:tcW w:w="1497" w:type="dxa"/>
            <w:vAlign w:val="center"/>
          </w:tcPr>
          <w:p w14:paraId="525B4D5F" w14:textId="2C2D3215" w:rsidR="00F74CEC" w:rsidRPr="002D5D55" w:rsidRDefault="00604264" w:rsidP="002D5D55">
            <w:pPr>
              <w:jc w:val="right"/>
              <w:rPr>
                <w:rFonts w:cs="Arial"/>
                <w:color w:val="000000" w:themeColor="text1"/>
                <w:szCs w:val="24"/>
              </w:rPr>
            </w:pPr>
            <w:r w:rsidRPr="00927796">
              <w:rPr>
                <w:rFonts w:cs="Arial"/>
                <w:color w:val="000000" w:themeColor="text1"/>
                <w:szCs w:val="24"/>
              </w:rPr>
              <w:t>11,321</w:t>
            </w:r>
          </w:p>
        </w:tc>
        <w:tc>
          <w:tcPr>
            <w:tcW w:w="1497" w:type="dxa"/>
            <w:vAlign w:val="center"/>
          </w:tcPr>
          <w:p w14:paraId="13B420BD" w14:textId="6EDDFE3F" w:rsidR="00F74CEC" w:rsidRPr="002D5D55" w:rsidRDefault="00604264" w:rsidP="002D5D55">
            <w:pPr>
              <w:jc w:val="right"/>
              <w:rPr>
                <w:rFonts w:cs="Arial"/>
                <w:color w:val="000000" w:themeColor="text1"/>
                <w:szCs w:val="24"/>
              </w:rPr>
            </w:pPr>
            <w:r w:rsidRPr="00927796">
              <w:rPr>
                <w:rFonts w:cs="Arial"/>
                <w:color w:val="000000" w:themeColor="text1"/>
                <w:szCs w:val="24"/>
              </w:rPr>
              <w:t>10,618</w:t>
            </w:r>
          </w:p>
        </w:tc>
        <w:tc>
          <w:tcPr>
            <w:tcW w:w="1497" w:type="dxa"/>
            <w:vAlign w:val="center"/>
          </w:tcPr>
          <w:p w14:paraId="0058A35E" w14:textId="362776EB" w:rsidR="00F74CEC" w:rsidRPr="002D5D55" w:rsidRDefault="00604264" w:rsidP="002D5D55">
            <w:pPr>
              <w:jc w:val="right"/>
              <w:rPr>
                <w:rFonts w:cs="Arial"/>
                <w:color w:val="000000" w:themeColor="text1"/>
                <w:szCs w:val="24"/>
              </w:rPr>
            </w:pPr>
            <w:r w:rsidRPr="00927796">
              <w:rPr>
                <w:rFonts w:cs="Arial"/>
                <w:color w:val="000000" w:themeColor="text1"/>
                <w:szCs w:val="24"/>
              </w:rPr>
              <w:t>(703)</w:t>
            </w:r>
          </w:p>
        </w:tc>
      </w:tr>
      <w:tr w:rsidR="00F74CEC" w:rsidRPr="00927796" w14:paraId="1EE312E2" w14:textId="77777777" w:rsidTr="002D5D55">
        <w:trPr>
          <w:trHeight w:val="300"/>
        </w:trPr>
        <w:tc>
          <w:tcPr>
            <w:tcW w:w="4082" w:type="dxa"/>
            <w:vAlign w:val="center"/>
          </w:tcPr>
          <w:p w14:paraId="41068767" w14:textId="436F8821" w:rsidR="00F74CEC" w:rsidRPr="00927796" w:rsidRDefault="00F74CEC" w:rsidP="00F74CEC">
            <w:pPr>
              <w:rPr>
                <w:rFonts w:cs="Arial"/>
                <w:color w:val="000000" w:themeColor="text1"/>
                <w:szCs w:val="24"/>
                <w:highlight w:val="red"/>
              </w:rPr>
            </w:pPr>
            <w:r w:rsidRPr="00927796">
              <w:rPr>
                <w:rFonts w:cs="Arial"/>
                <w:szCs w:val="24"/>
                <w:lang w:eastAsia="en-GB"/>
              </w:rPr>
              <w:t>Capital financing costs &amp; other items</w:t>
            </w:r>
          </w:p>
        </w:tc>
        <w:tc>
          <w:tcPr>
            <w:tcW w:w="1497" w:type="dxa"/>
            <w:vAlign w:val="center"/>
          </w:tcPr>
          <w:p w14:paraId="3285492B" w14:textId="5C8EC6B1" w:rsidR="00F74CEC" w:rsidRPr="002D5D55" w:rsidRDefault="00604264" w:rsidP="002D5D55">
            <w:pPr>
              <w:jc w:val="right"/>
              <w:rPr>
                <w:rFonts w:cs="Arial"/>
                <w:color w:val="000000" w:themeColor="text1"/>
                <w:szCs w:val="24"/>
              </w:rPr>
            </w:pPr>
            <w:r w:rsidRPr="00927796">
              <w:rPr>
                <w:rFonts w:cs="Arial"/>
                <w:color w:val="000000" w:themeColor="text1"/>
                <w:szCs w:val="24"/>
              </w:rPr>
              <w:t>4,414</w:t>
            </w:r>
          </w:p>
        </w:tc>
        <w:tc>
          <w:tcPr>
            <w:tcW w:w="1497" w:type="dxa"/>
            <w:vAlign w:val="center"/>
          </w:tcPr>
          <w:p w14:paraId="3E54CCCA" w14:textId="1AC46645" w:rsidR="00F74CEC" w:rsidRPr="002D5D55" w:rsidRDefault="00604264" w:rsidP="002D5D55">
            <w:pPr>
              <w:jc w:val="right"/>
              <w:rPr>
                <w:rFonts w:cs="Arial"/>
                <w:color w:val="000000" w:themeColor="text1"/>
                <w:szCs w:val="24"/>
              </w:rPr>
            </w:pPr>
            <w:r w:rsidRPr="00927796">
              <w:rPr>
                <w:rFonts w:cs="Arial"/>
                <w:color w:val="000000" w:themeColor="text1"/>
                <w:szCs w:val="24"/>
              </w:rPr>
              <w:t>5,911</w:t>
            </w:r>
          </w:p>
        </w:tc>
        <w:tc>
          <w:tcPr>
            <w:tcW w:w="1497" w:type="dxa"/>
            <w:vAlign w:val="center"/>
          </w:tcPr>
          <w:p w14:paraId="564136E0" w14:textId="4A570A5E" w:rsidR="00F74CEC" w:rsidRPr="002D5D55" w:rsidRDefault="00604264" w:rsidP="002D5D55">
            <w:pPr>
              <w:jc w:val="right"/>
              <w:rPr>
                <w:rFonts w:cs="Arial"/>
                <w:color w:val="000000" w:themeColor="text1"/>
                <w:szCs w:val="24"/>
              </w:rPr>
            </w:pPr>
            <w:r w:rsidRPr="00927796">
              <w:rPr>
                <w:rFonts w:cs="Arial"/>
                <w:color w:val="000000" w:themeColor="text1"/>
                <w:szCs w:val="24"/>
              </w:rPr>
              <w:t>1,497</w:t>
            </w:r>
          </w:p>
        </w:tc>
      </w:tr>
      <w:tr w:rsidR="00F74CEC" w:rsidRPr="00927796" w14:paraId="663997DA" w14:textId="77777777" w:rsidTr="002D5D55">
        <w:trPr>
          <w:trHeight w:val="300"/>
        </w:trPr>
        <w:tc>
          <w:tcPr>
            <w:tcW w:w="4082" w:type="dxa"/>
            <w:vAlign w:val="center"/>
          </w:tcPr>
          <w:p w14:paraId="085823F9" w14:textId="28C62A17" w:rsidR="00F74CEC" w:rsidRPr="00927796" w:rsidRDefault="00F74CEC" w:rsidP="00F74CEC">
            <w:pPr>
              <w:rPr>
                <w:rFonts w:cs="Arial"/>
                <w:color w:val="000000" w:themeColor="text1"/>
                <w:szCs w:val="24"/>
                <w:highlight w:val="red"/>
              </w:rPr>
            </w:pPr>
            <w:r w:rsidRPr="00927796">
              <w:rPr>
                <w:rFonts w:cs="Arial"/>
                <w:b/>
                <w:bCs/>
                <w:szCs w:val="24"/>
                <w:lang w:eastAsia="en-GB"/>
              </w:rPr>
              <w:t>Total Expenditure</w:t>
            </w:r>
          </w:p>
        </w:tc>
        <w:tc>
          <w:tcPr>
            <w:tcW w:w="1497" w:type="dxa"/>
            <w:vAlign w:val="center"/>
          </w:tcPr>
          <w:p w14:paraId="3868BFF4" w14:textId="6D16987A" w:rsidR="00F74CEC" w:rsidRPr="002D5D55" w:rsidRDefault="00604264" w:rsidP="002D5D55">
            <w:pPr>
              <w:jc w:val="right"/>
              <w:rPr>
                <w:rFonts w:cs="Arial"/>
                <w:b/>
                <w:color w:val="000000" w:themeColor="text1"/>
                <w:szCs w:val="24"/>
              </w:rPr>
            </w:pPr>
            <w:r w:rsidRPr="002D5D55">
              <w:rPr>
                <w:rFonts w:cs="Arial"/>
                <w:b/>
                <w:color w:val="000000" w:themeColor="text1"/>
                <w:szCs w:val="24"/>
              </w:rPr>
              <w:t>79,903</w:t>
            </w:r>
          </w:p>
        </w:tc>
        <w:tc>
          <w:tcPr>
            <w:tcW w:w="1497" w:type="dxa"/>
            <w:vAlign w:val="center"/>
          </w:tcPr>
          <w:p w14:paraId="2598CBD5" w14:textId="6EE797BC" w:rsidR="00F74CEC" w:rsidRPr="002D5D55" w:rsidRDefault="00604264" w:rsidP="002D5D55">
            <w:pPr>
              <w:jc w:val="right"/>
              <w:rPr>
                <w:rFonts w:cs="Arial"/>
                <w:b/>
                <w:color w:val="000000" w:themeColor="text1"/>
                <w:szCs w:val="24"/>
              </w:rPr>
            </w:pPr>
            <w:r w:rsidRPr="002D5D55">
              <w:rPr>
                <w:rFonts w:cs="Arial"/>
                <w:b/>
                <w:color w:val="000000" w:themeColor="text1"/>
                <w:szCs w:val="24"/>
              </w:rPr>
              <w:t>79,927</w:t>
            </w:r>
          </w:p>
        </w:tc>
        <w:tc>
          <w:tcPr>
            <w:tcW w:w="1497" w:type="dxa"/>
            <w:vAlign w:val="center"/>
          </w:tcPr>
          <w:p w14:paraId="71D07C33" w14:textId="64DBA6FF" w:rsidR="00F74CEC" w:rsidRPr="002D5D55" w:rsidRDefault="00604264" w:rsidP="002D5D55">
            <w:pPr>
              <w:jc w:val="right"/>
              <w:rPr>
                <w:rFonts w:cs="Arial"/>
                <w:b/>
                <w:color w:val="000000" w:themeColor="text1"/>
                <w:szCs w:val="24"/>
              </w:rPr>
            </w:pPr>
            <w:r w:rsidRPr="002D5D55">
              <w:rPr>
                <w:rFonts w:cs="Arial"/>
                <w:b/>
                <w:color w:val="000000" w:themeColor="text1"/>
                <w:szCs w:val="24"/>
              </w:rPr>
              <w:t>25</w:t>
            </w:r>
          </w:p>
        </w:tc>
      </w:tr>
      <w:tr w:rsidR="00F74CEC" w:rsidRPr="00927796" w14:paraId="6E3F1FA8" w14:textId="77777777" w:rsidTr="002D5D55">
        <w:trPr>
          <w:trHeight w:val="300"/>
        </w:trPr>
        <w:tc>
          <w:tcPr>
            <w:tcW w:w="4082" w:type="dxa"/>
            <w:vAlign w:val="center"/>
          </w:tcPr>
          <w:p w14:paraId="7FBA1EA3" w14:textId="55496E80" w:rsidR="00F74CEC" w:rsidRPr="00927796" w:rsidRDefault="00F74CEC" w:rsidP="00F74CEC">
            <w:pPr>
              <w:rPr>
                <w:rFonts w:cs="Arial"/>
                <w:color w:val="000000" w:themeColor="text1"/>
                <w:szCs w:val="24"/>
                <w:highlight w:val="red"/>
              </w:rPr>
            </w:pPr>
            <w:r w:rsidRPr="00927796">
              <w:rPr>
                <w:rFonts w:cs="Arial"/>
                <w:szCs w:val="24"/>
                <w:lang w:eastAsia="en-GB"/>
              </w:rPr>
              <w:t>Other Income</w:t>
            </w:r>
          </w:p>
        </w:tc>
        <w:tc>
          <w:tcPr>
            <w:tcW w:w="1497" w:type="dxa"/>
            <w:vAlign w:val="center"/>
          </w:tcPr>
          <w:p w14:paraId="22365D62" w14:textId="24747344" w:rsidR="00F74CEC" w:rsidRPr="002D5D55" w:rsidRDefault="00604264" w:rsidP="002D5D55">
            <w:pPr>
              <w:jc w:val="right"/>
              <w:rPr>
                <w:rFonts w:cs="Arial"/>
                <w:color w:val="000000" w:themeColor="text1"/>
                <w:szCs w:val="24"/>
              </w:rPr>
            </w:pPr>
            <w:r w:rsidRPr="00927796">
              <w:rPr>
                <w:rFonts w:cs="Arial"/>
                <w:color w:val="000000" w:themeColor="text1"/>
                <w:szCs w:val="24"/>
              </w:rPr>
              <w:t>(4,748)</w:t>
            </w:r>
          </w:p>
        </w:tc>
        <w:tc>
          <w:tcPr>
            <w:tcW w:w="1497" w:type="dxa"/>
            <w:vAlign w:val="center"/>
          </w:tcPr>
          <w:p w14:paraId="1AA95058" w14:textId="026636A5" w:rsidR="00F74CEC" w:rsidRPr="002D5D55" w:rsidRDefault="00604264" w:rsidP="002D5D55">
            <w:pPr>
              <w:jc w:val="right"/>
              <w:rPr>
                <w:rFonts w:cs="Arial"/>
                <w:color w:val="000000" w:themeColor="text1"/>
                <w:szCs w:val="24"/>
              </w:rPr>
            </w:pPr>
            <w:r w:rsidRPr="00927796">
              <w:rPr>
                <w:rFonts w:cs="Arial"/>
                <w:color w:val="000000" w:themeColor="text1"/>
                <w:szCs w:val="24"/>
              </w:rPr>
              <w:t>(5,339)</w:t>
            </w:r>
          </w:p>
        </w:tc>
        <w:tc>
          <w:tcPr>
            <w:tcW w:w="1497" w:type="dxa"/>
            <w:vAlign w:val="center"/>
          </w:tcPr>
          <w:p w14:paraId="6C7C0E57" w14:textId="4D8E771A" w:rsidR="00F74CEC" w:rsidRPr="002D5D55" w:rsidRDefault="00604264" w:rsidP="002D5D55">
            <w:pPr>
              <w:jc w:val="right"/>
              <w:rPr>
                <w:rFonts w:cs="Arial"/>
                <w:color w:val="000000" w:themeColor="text1"/>
                <w:szCs w:val="24"/>
              </w:rPr>
            </w:pPr>
            <w:r w:rsidRPr="00927796">
              <w:rPr>
                <w:rFonts w:cs="Arial"/>
                <w:color w:val="000000" w:themeColor="text1"/>
                <w:szCs w:val="24"/>
              </w:rPr>
              <w:t>(591)</w:t>
            </w:r>
          </w:p>
        </w:tc>
      </w:tr>
      <w:tr w:rsidR="00F74CEC" w:rsidRPr="00927796" w14:paraId="6FFB0D66" w14:textId="77777777" w:rsidTr="002D5D55">
        <w:trPr>
          <w:trHeight w:val="300"/>
        </w:trPr>
        <w:tc>
          <w:tcPr>
            <w:tcW w:w="4082" w:type="dxa"/>
            <w:vAlign w:val="center"/>
          </w:tcPr>
          <w:p w14:paraId="06AE5A35" w14:textId="7D20FC8A" w:rsidR="00F74CEC" w:rsidRPr="00927796" w:rsidRDefault="00F74CEC" w:rsidP="00F74CEC">
            <w:pPr>
              <w:rPr>
                <w:rFonts w:cs="Arial"/>
                <w:color w:val="000000" w:themeColor="text1"/>
                <w:szCs w:val="24"/>
                <w:highlight w:val="red"/>
              </w:rPr>
            </w:pPr>
            <w:r w:rsidRPr="00927796">
              <w:rPr>
                <w:rFonts w:cs="Arial"/>
                <w:b/>
                <w:bCs/>
                <w:szCs w:val="24"/>
                <w:lang w:eastAsia="en-GB"/>
              </w:rPr>
              <w:t>Budget requirement</w:t>
            </w:r>
          </w:p>
        </w:tc>
        <w:tc>
          <w:tcPr>
            <w:tcW w:w="1497" w:type="dxa"/>
            <w:vAlign w:val="center"/>
          </w:tcPr>
          <w:p w14:paraId="69C76590" w14:textId="13C5BC06" w:rsidR="00F74CEC" w:rsidRPr="002D5D55" w:rsidRDefault="00604264" w:rsidP="002D5D55">
            <w:pPr>
              <w:jc w:val="right"/>
              <w:rPr>
                <w:rFonts w:cs="Arial"/>
                <w:b/>
                <w:color w:val="000000" w:themeColor="text1"/>
                <w:szCs w:val="24"/>
              </w:rPr>
            </w:pPr>
            <w:r w:rsidRPr="002D5D55">
              <w:rPr>
                <w:rFonts w:cs="Arial"/>
                <w:b/>
                <w:color w:val="000000" w:themeColor="text1"/>
                <w:szCs w:val="24"/>
              </w:rPr>
              <w:t>75,155</w:t>
            </w:r>
          </w:p>
        </w:tc>
        <w:tc>
          <w:tcPr>
            <w:tcW w:w="1497" w:type="dxa"/>
            <w:vAlign w:val="center"/>
          </w:tcPr>
          <w:p w14:paraId="21903C00" w14:textId="14B82EA0" w:rsidR="00F74CEC" w:rsidRPr="002D5D55" w:rsidRDefault="00604264" w:rsidP="002D5D55">
            <w:pPr>
              <w:jc w:val="right"/>
              <w:rPr>
                <w:rFonts w:cs="Arial"/>
                <w:b/>
                <w:color w:val="000000" w:themeColor="text1"/>
                <w:szCs w:val="24"/>
              </w:rPr>
            </w:pPr>
            <w:r w:rsidRPr="002D5D55">
              <w:rPr>
                <w:rFonts w:cs="Arial"/>
                <w:b/>
                <w:color w:val="000000" w:themeColor="text1"/>
                <w:szCs w:val="24"/>
              </w:rPr>
              <w:t>74,588</w:t>
            </w:r>
          </w:p>
        </w:tc>
        <w:tc>
          <w:tcPr>
            <w:tcW w:w="1497" w:type="dxa"/>
            <w:vAlign w:val="center"/>
          </w:tcPr>
          <w:p w14:paraId="355A9B0D" w14:textId="43D72667" w:rsidR="00F74CEC" w:rsidRPr="002D5D55" w:rsidRDefault="00604264" w:rsidP="002D5D55">
            <w:pPr>
              <w:jc w:val="right"/>
              <w:rPr>
                <w:rFonts w:cs="Arial"/>
                <w:b/>
                <w:color w:val="000000" w:themeColor="text1"/>
                <w:szCs w:val="24"/>
              </w:rPr>
            </w:pPr>
            <w:r w:rsidRPr="002D5D55">
              <w:rPr>
                <w:rFonts w:cs="Arial"/>
                <w:b/>
                <w:color w:val="000000" w:themeColor="text1"/>
                <w:szCs w:val="24"/>
              </w:rPr>
              <w:t>(567)</w:t>
            </w:r>
          </w:p>
        </w:tc>
      </w:tr>
    </w:tbl>
    <w:p w14:paraId="43364480" w14:textId="77777777" w:rsidR="00870DA3" w:rsidRPr="00927796" w:rsidRDefault="00870DA3" w:rsidP="095637AE">
      <w:pPr>
        <w:rPr>
          <w:rFonts w:cs="Arial"/>
          <w:color w:val="000000" w:themeColor="text1"/>
          <w:szCs w:val="24"/>
          <w:highlight w:val="red"/>
        </w:rPr>
      </w:pPr>
    </w:p>
    <w:tbl>
      <w:tblPr>
        <w:tblStyle w:val="TableGrid"/>
        <w:tblW w:w="0" w:type="auto"/>
        <w:tblLook w:val="04A0" w:firstRow="1" w:lastRow="0" w:firstColumn="1" w:lastColumn="0" w:noHBand="0" w:noVBand="1"/>
      </w:tblPr>
      <w:tblGrid>
        <w:gridCol w:w="4082"/>
        <w:gridCol w:w="1497"/>
        <w:gridCol w:w="1497"/>
        <w:gridCol w:w="1497"/>
      </w:tblGrid>
      <w:tr w:rsidR="00D0621D" w:rsidRPr="00927796" w14:paraId="4AC883F5" w14:textId="77777777" w:rsidTr="002D5D55">
        <w:trPr>
          <w:trHeight w:val="300"/>
        </w:trPr>
        <w:tc>
          <w:tcPr>
            <w:tcW w:w="8573" w:type="dxa"/>
            <w:gridSpan w:val="4"/>
            <w:shd w:val="clear" w:color="auto" w:fill="D9D9D9" w:themeFill="background1" w:themeFillShade="D9"/>
          </w:tcPr>
          <w:p w14:paraId="7E602DC3" w14:textId="14A236F4" w:rsidR="00D0621D" w:rsidRPr="002D5D55" w:rsidRDefault="00D0621D" w:rsidP="095637AE">
            <w:pPr>
              <w:rPr>
                <w:rFonts w:cs="Arial"/>
                <w:b/>
                <w:color w:val="000000" w:themeColor="text1"/>
                <w:szCs w:val="24"/>
              </w:rPr>
            </w:pPr>
            <w:r w:rsidRPr="002D5D55">
              <w:rPr>
                <w:rFonts w:cs="Arial"/>
                <w:b/>
                <w:color w:val="000000" w:themeColor="text1"/>
                <w:szCs w:val="24"/>
              </w:rPr>
              <w:t>Funded by:</w:t>
            </w:r>
          </w:p>
        </w:tc>
      </w:tr>
      <w:tr w:rsidR="00D0621D" w:rsidRPr="00927796" w14:paraId="4E4CF225" w14:textId="77777777" w:rsidTr="002D5D55">
        <w:trPr>
          <w:trHeight w:val="300"/>
        </w:trPr>
        <w:tc>
          <w:tcPr>
            <w:tcW w:w="4082" w:type="dxa"/>
            <w:vAlign w:val="center"/>
          </w:tcPr>
          <w:p w14:paraId="097B1A0F" w14:textId="023615C3" w:rsidR="00D0621D" w:rsidRPr="002D5D55" w:rsidRDefault="00D0621D" w:rsidP="00D0621D">
            <w:pPr>
              <w:rPr>
                <w:rFonts w:cs="Arial"/>
                <w:color w:val="000000" w:themeColor="text1"/>
                <w:szCs w:val="24"/>
              </w:rPr>
            </w:pPr>
            <w:r w:rsidRPr="00927796">
              <w:rPr>
                <w:rFonts w:cs="Arial"/>
                <w:szCs w:val="24"/>
                <w:lang w:eastAsia="en-GB"/>
              </w:rPr>
              <w:t>Council tax</w:t>
            </w:r>
          </w:p>
        </w:tc>
        <w:tc>
          <w:tcPr>
            <w:tcW w:w="1497" w:type="dxa"/>
            <w:vAlign w:val="center"/>
          </w:tcPr>
          <w:p w14:paraId="52A372F0" w14:textId="052F3AA4" w:rsidR="00D0621D" w:rsidRPr="002D5D55" w:rsidRDefault="00D0621D" w:rsidP="002D5D55">
            <w:pPr>
              <w:jc w:val="right"/>
              <w:rPr>
                <w:rFonts w:cs="Arial"/>
                <w:color w:val="000000" w:themeColor="text1"/>
                <w:szCs w:val="24"/>
              </w:rPr>
            </w:pPr>
            <w:r w:rsidRPr="00927796">
              <w:rPr>
                <w:rFonts w:cs="Arial"/>
                <w:color w:val="000000" w:themeColor="text1"/>
                <w:szCs w:val="24"/>
              </w:rPr>
              <w:t>(39,396)</w:t>
            </w:r>
          </w:p>
        </w:tc>
        <w:tc>
          <w:tcPr>
            <w:tcW w:w="1497" w:type="dxa"/>
            <w:vAlign w:val="center"/>
          </w:tcPr>
          <w:p w14:paraId="637D3195" w14:textId="2E33020A" w:rsidR="00D0621D" w:rsidRPr="002D5D55" w:rsidRDefault="00D0621D" w:rsidP="002D5D55">
            <w:pPr>
              <w:jc w:val="right"/>
              <w:rPr>
                <w:rFonts w:cs="Arial"/>
                <w:color w:val="000000" w:themeColor="text1"/>
                <w:szCs w:val="24"/>
              </w:rPr>
            </w:pPr>
            <w:r w:rsidRPr="00927796">
              <w:rPr>
                <w:rFonts w:cs="Arial"/>
                <w:color w:val="000000" w:themeColor="text1"/>
                <w:szCs w:val="24"/>
              </w:rPr>
              <w:t>(39,396)</w:t>
            </w:r>
          </w:p>
        </w:tc>
        <w:tc>
          <w:tcPr>
            <w:tcW w:w="1497" w:type="dxa"/>
            <w:vAlign w:val="center"/>
          </w:tcPr>
          <w:p w14:paraId="54E41D82" w14:textId="572CC982" w:rsidR="00D0621D" w:rsidRPr="002D5D55" w:rsidRDefault="00535E0D" w:rsidP="002D5D55">
            <w:pPr>
              <w:jc w:val="right"/>
              <w:rPr>
                <w:rFonts w:cs="Arial"/>
                <w:color w:val="000000" w:themeColor="text1"/>
                <w:szCs w:val="24"/>
              </w:rPr>
            </w:pPr>
            <w:r w:rsidRPr="00927796">
              <w:rPr>
                <w:rFonts w:cs="Arial"/>
                <w:color w:val="000000" w:themeColor="text1"/>
                <w:szCs w:val="24"/>
              </w:rPr>
              <w:t>-</w:t>
            </w:r>
          </w:p>
        </w:tc>
      </w:tr>
      <w:tr w:rsidR="00D0621D" w:rsidRPr="00927796" w14:paraId="477C7B8F" w14:textId="77777777" w:rsidTr="002D5D55">
        <w:trPr>
          <w:trHeight w:val="300"/>
        </w:trPr>
        <w:tc>
          <w:tcPr>
            <w:tcW w:w="4082" w:type="dxa"/>
            <w:vAlign w:val="center"/>
          </w:tcPr>
          <w:p w14:paraId="78F2612F" w14:textId="6FED8E36" w:rsidR="00D0621D" w:rsidRPr="002D5D55" w:rsidRDefault="00D0621D" w:rsidP="00D0621D">
            <w:pPr>
              <w:rPr>
                <w:rFonts w:cs="Arial"/>
                <w:color w:val="000000" w:themeColor="text1"/>
                <w:szCs w:val="24"/>
              </w:rPr>
            </w:pPr>
            <w:r w:rsidRPr="00927796">
              <w:rPr>
                <w:rFonts w:cs="Arial"/>
                <w:szCs w:val="24"/>
                <w:lang w:eastAsia="en-GB"/>
              </w:rPr>
              <w:t>Business rates</w:t>
            </w:r>
          </w:p>
        </w:tc>
        <w:tc>
          <w:tcPr>
            <w:tcW w:w="1497" w:type="dxa"/>
            <w:vAlign w:val="center"/>
          </w:tcPr>
          <w:p w14:paraId="05874FEC" w14:textId="23878398" w:rsidR="00D0621D" w:rsidRPr="002D5D55" w:rsidRDefault="00535E0D" w:rsidP="002D5D55">
            <w:pPr>
              <w:jc w:val="right"/>
              <w:rPr>
                <w:rFonts w:cs="Arial"/>
                <w:color w:val="000000" w:themeColor="text1"/>
                <w:szCs w:val="24"/>
              </w:rPr>
            </w:pPr>
            <w:r w:rsidRPr="00927796">
              <w:rPr>
                <w:rFonts w:cs="Arial"/>
                <w:color w:val="000000" w:themeColor="text1"/>
                <w:szCs w:val="24"/>
              </w:rPr>
              <w:t>(22,289)</w:t>
            </w:r>
          </w:p>
        </w:tc>
        <w:tc>
          <w:tcPr>
            <w:tcW w:w="1497" w:type="dxa"/>
            <w:vAlign w:val="center"/>
          </w:tcPr>
          <w:p w14:paraId="3311D05A" w14:textId="2D830FD0" w:rsidR="00D0621D" w:rsidRPr="002D5D55" w:rsidRDefault="00535E0D" w:rsidP="002D5D55">
            <w:pPr>
              <w:jc w:val="right"/>
              <w:rPr>
                <w:rFonts w:cs="Arial"/>
                <w:color w:val="000000" w:themeColor="text1"/>
                <w:szCs w:val="24"/>
              </w:rPr>
            </w:pPr>
            <w:r w:rsidRPr="00927796">
              <w:rPr>
                <w:rFonts w:cs="Arial"/>
                <w:color w:val="000000" w:themeColor="text1"/>
                <w:szCs w:val="24"/>
              </w:rPr>
              <w:t>(22,457)</w:t>
            </w:r>
          </w:p>
        </w:tc>
        <w:tc>
          <w:tcPr>
            <w:tcW w:w="1497" w:type="dxa"/>
            <w:vAlign w:val="center"/>
          </w:tcPr>
          <w:p w14:paraId="4D72C856" w14:textId="20DF793F" w:rsidR="00D0621D" w:rsidRPr="002D5D55" w:rsidRDefault="00535E0D" w:rsidP="002D5D55">
            <w:pPr>
              <w:jc w:val="right"/>
              <w:rPr>
                <w:rFonts w:cs="Arial"/>
                <w:color w:val="000000" w:themeColor="text1"/>
                <w:szCs w:val="24"/>
              </w:rPr>
            </w:pPr>
            <w:r w:rsidRPr="00927796">
              <w:rPr>
                <w:rFonts w:cs="Arial"/>
                <w:color w:val="000000" w:themeColor="text1"/>
                <w:szCs w:val="24"/>
              </w:rPr>
              <w:t>(168)</w:t>
            </w:r>
          </w:p>
        </w:tc>
      </w:tr>
      <w:tr w:rsidR="00D0621D" w:rsidRPr="00927796" w14:paraId="46DD5D61" w14:textId="77777777" w:rsidTr="002D5D55">
        <w:trPr>
          <w:trHeight w:val="300"/>
        </w:trPr>
        <w:tc>
          <w:tcPr>
            <w:tcW w:w="4082" w:type="dxa"/>
            <w:vAlign w:val="center"/>
          </w:tcPr>
          <w:p w14:paraId="0D9D0182" w14:textId="0775AC8D" w:rsidR="00D0621D" w:rsidRPr="002D5D55" w:rsidRDefault="00D0621D" w:rsidP="00D0621D">
            <w:pPr>
              <w:rPr>
                <w:rFonts w:cs="Arial"/>
                <w:color w:val="000000" w:themeColor="text1"/>
                <w:szCs w:val="24"/>
              </w:rPr>
            </w:pPr>
            <w:r w:rsidRPr="00927796">
              <w:rPr>
                <w:rFonts w:cs="Arial"/>
                <w:szCs w:val="24"/>
                <w:lang w:eastAsia="en-GB"/>
              </w:rPr>
              <w:t>Government grant</w:t>
            </w:r>
          </w:p>
        </w:tc>
        <w:tc>
          <w:tcPr>
            <w:tcW w:w="1497" w:type="dxa"/>
            <w:vAlign w:val="center"/>
          </w:tcPr>
          <w:p w14:paraId="5B4F828F" w14:textId="15F1BD9D" w:rsidR="00D0621D" w:rsidRPr="002D5D55" w:rsidRDefault="00535E0D" w:rsidP="002D5D55">
            <w:pPr>
              <w:jc w:val="right"/>
              <w:rPr>
                <w:rFonts w:cs="Arial"/>
                <w:color w:val="000000" w:themeColor="text1"/>
                <w:szCs w:val="24"/>
              </w:rPr>
            </w:pPr>
            <w:r w:rsidRPr="00927796">
              <w:rPr>
                <w:rFonts w:cs="Arial"/>
                <w:color w:val="000000" w:themeColor="text1"/>
                <w:szCs w:val="24"/>
              </w:rPr>
              <w:t>(13,470)</w:t>
            </w:r>
          </w:p>
        </w:tc>
        <w:tc>
          <w:tcPr>
            <w:tcW w:w="1497" w:type="dxa"/>
            <w:vAlign w:val="center"/>
          </w:tcPr>
          <w:p w14:paraId="145099D8" w14:textId="6DB2C8B5" w:rsidR="00D0621D" w:rsidRPr="002D5D55" w:rsidRDefault="00535E0D" w:rsidP="002D5D55">
            <w:pPr>
              <w:jc w:val="right"/>
              <w:rPr>
                <w:rFonts w:cs="Arial"/>
                <w:color w:val="000000" w:themeColor="text1"/>
                <w:szCs w:val="24"/>
              </w:rPr>
            </w:pPr>
            <w:r w:rsidRPr="00927796">
              <w:rPr>
                <w:rFonts w:cs="Arial"/>
                <w:color w:val="000000" w:themeColor="text1"/>
                <w:szCs w:val="24"/>
              </w:rPr>
              <w:t>(13,470)</w:t>
            </w:r>
          </w:p>
        </w:tc>
        <w:tc>
          <w:tcPr>
            <w:tcW w:w="1497" w:type="dxa"/>
            <w:vAlign w:val="center"/>
          </w:tcPr>
          <w:p w14:paraId="732AAA8A" w14:textId="60DBAF9C" w:rsidR="00D0621D" w:rsidRPr="002D5D55" w:rsidRDefault="00535E0D" w:rsidP="002D5D55">
            <w:pPr>
              <w:jc w:val="right"/>
              <w:rPr>
                <w:rFonts w:cs="Arial"/>
                <w:color w:val="000000" w:themeColor="text1"/>
                <w:szCs w:val="24"/>
              </w:rPr>
            </w:pPr>
            <w:r w:rsidRPr="00927796">
              <w:rPr>
                <w:rFonts w:cs="Arial"/>
                <w:color w:val="000000" w:themeColor="text1"/>
                <w:szCs w:val="24"/>
              </w:rPr>
              <w:t>-</w:t>
            </w:r>
          </w:p>
        </w:tc>
      </w:tr>
      <w:tr w:rsidR="00D0621D" w:rsidRPr="00927796" w14:paraId="47848BFA" w14:textId="77777777" w:rsidTr="002D5D55">
        <w:trPr>
          <w:trHeight w:val="300"/>
        </w:trPr>
        <w:tc>
          <w:tcPr>
            <w:tcW w:w="4082" w:type="dxa"/>
            <w:vAlign w:val="center"/>
          </w:tcPr>
          <w:p w14:paraId="355425C9" w14:textId="48695C3D" w:rsidR="00D0621D" w:rsidRPr="002D5D55" w:rsidRDefault="00D0621D" w:rsidP="00D0621D">
            <w:pPr>
              <w:rPr>
                <w:rFonts w:cs="Arial"/>
                <w:color w:val="000000" w:themeColor="text1"/>
                <w:szCs w:val="24"/>
              </w:rPr>
            </w:pPr>
            <w:r w:rsidRPr="00927796">
              <w:rPr>
                <w:rFonts w:cs="Arial"/>
                <w:b/>
                <w:bCs/>
                <w:szCs w:val="24"/>
                <w:lang w:eastAsia="en-GB"/>
              </w:rPr>
              <w:t>Sub-total</w:t>
            </w:r>
          </w:p>
        </w:tc>
        <w:tc>
          <w:tcPr>
            <w:tcW w:w="1497" w:type="dxa"/>
            <w:vAlign w:val="center"/>
          </w:tcPr>
          <w:p w14:paraId="783A57CC" w14:textId="117F3695" w:rsidR="00D0621D" w:rsidRPr="002D5D55" w:rsidRDefault="00B761DA" w:rsidP="002D5D55">
            <w:pPr>
              <w:jc w:val="right"/>
              <w:rPr>
                <w:rFonts w:cs="Arial"/>
                <w:b/>
                <w:color w:val="000000" w:themeColor="text1"/>
                <w:szCs w:val="24"/>
              </w:rPr>
            </w:pPr>
            <w:r w:rsidRPr="00927796">
              <w:rPr>
                <w:rFonts w:cs="Arial"/>
                <w:b/>
                <w:bCs/>
                <w:color w:val="000000" w:themeColor="text1"/>
                <w:szCs w:val="24"/>
              </w:rPr>
              <w:t>(75,155)</w:t>
            </w:r>
          </w:p>
        </w:tc>
        <w:tc>
          <w:tcPr>
            <w:tcW w:w="1497" w:type="dxa"/>
            <w:vAlign w:val="center"/>
          </w:tcPr>
          <w:p w14:paraId="71472DC2" w14:textId="4E06771C" w:rsidR="00D0621D" w:rsidRPr="002D5D55" w:rsidRDefault="00B761DA" w:rsidP="002D5D55">
            <w:pPr>
              <w:jc w:val="right"/>
              <w:rPr>
                <w:rFonts w:cs="Arial"/>
                <w:b/>
                <w:color w:val="000000" w:themeColor="text1"/>
                <w:szCs w:val="24"/>
              </w:rPr>
            </w:pPr>
            <w:r w:rsidRPr="00927796">
              <w:rPr>
                <w:rFonts w:cs="Arial"/>
                <w:b/>
                <w:bCs/>
                <w:color w:val="000000" w:themeColor="text1"/>
                <w:szCs w:val="24"/>
              </w:rPr>
              <w:t>(75,323)</w:t>
            </w:r>
          </w:p>
        </w:tc>
        <w:tc>
          <w:tcPr>
            <w:tcW w:w="1497" w:type="dxa"/>
            <w:vAlign w:val="center"/>
          </w:tcPr>
          <w:p w14:paraId="52B36708" w14:textId="4836FD6A" w:rsidR="00D0621D" w:rsidRPr="002D5D55" w:rsidRDefault="00B761DA" w:rsidP="002D5D55">
            <w:pPr>
              <w:jc w:val="right"/>
              <w:rPr>
                <w:rFonts w:cs="Arial"/>
                <w:b/>
                <w:color w:val="000000" w:themeColor="text1"/>
                <w:szCs w:val="24"/>
              </w:rPr>
            </w:pPr>
            <w:r w:rsidRPr="00927796">
              <w:rPr>
                <w:rFonts w:cs="Arial"/>
                <w:b/>
                <w:bCs/>
                <w:color w:val="000000" w:themeColor="text1"/>
                <w:szCs w:val="24"/>
              </w:rPr>
              <w:t>(168)</w:t>
            </w:r>
          </w:p>
        </w:tc>
      </w:tr>
      <w:tr w:rsidR="00D0621D" w:rsidRPr="00927796" w14:paraId="199BA592" w14:textId="77777777" w:rsidTr="002D5D55">
        <w:trPr>
          <w:trHeight w:val="300"/>
        </w:trPr>
        <w:tc>
          <w:tcPr>
            <w:tcW w:w="4082" w:type="dxa"/>
            <w:vAlign w:val="center"/>
          </w:tcPr>
          <w:p w14:paraId="42FAC924" w14:textId="0D0460C9" w:rsidR="00D0621D" w:rsidRPr="002D5D55" w:rsidRDefault="00D0621D" w:rsidP="00D0621D">
            <w:pPr>
              <w:rPr>
                <w:rFonts w:cs="Arial"/>
                <w:color w:val="000000" w:themeColor="text1"/>
                <w:szCs w:val="24"/>
              </w:rPr>
            </w:pPr>
            <w:r w:rsidRPr="00927796">
              <w:rPr>
                <w:rFonts w:cs="Arial"/>
                <w:b/>
                <w:bCs/>
                <w:szCs w:val="24"/>
                <w:lang w:eastAsia="en-GB"/>
              </w:rPr>
              <w:t>Net (Under)/Overspend</w:t>
            </w:r>
          </w:p>
        </w:tc>
        <w:tc>
          <w:tcPr>
            <w:tcW w:w="1497" w:type="dxa"/>
            <w:vAlign w:val="center"/>
          </w:tcPr>
          <w:p w14:paraId="2A034352" w14:textId="1BE71427" w:rsidR="00D0621D" w:rsidRPr="002D5D55" w:rsidRDefault="00B761DA" w:rsidP="002D5D55">
            <w:pPr>
              <w:jc w:val="right"/>
              <w:rPr>
                <w:rFonts w:cs="Arial"/>
                <w:b/>
                <w:color w:val="000000" w:themeColor="text1"/>
                <w:szCs w:val="24"/>
              </w:rPr>
            </w:pPr>
            <w:r w:rsidRPr="002D5D55">
              <w:rPr>
                <w:rFonts w:cs="Arial"/>
                <w:b/>
                <w:color w:val="000000" w:themeColor="text1"/>
                <w:szCs w:val="24"/>
              </w:rPr>
              <w:t>-</w:t>
            </w:r>
          </w:p>
        </w:tc>
        <w:tc>
          <w:tcPr>
            <w:tcW w:w="1497" w:type="dxa"/>
            <w:vAlign w:val="center"/>
          </w:tcPr>
          <w:p w14:paraId="5A3A6114" w14:textId="296A68DF" w:rsidR="00D0621D" w:rsidRPr="002D5D55" w:rsidRDefault="00B761DA" w:rsidP="002D5D55">
            <w:pPr>
              <w:jc w:val="right"/>
              <w:rPr>
                <w:rFonts w:cs="Arial"/>
                <w:b/>
                <w:color w:val="000000" w:themeColor="text1"/>
                <w:szCs w:val="24"/>
              </w:rPr>
            </w:pPr>
            <w:r w:rsidRPr="002D5D55">
              <w:rPr>
                <w:rFonts w:cs="Arial"/>
                <w:b/>
                <w:color w:val="000000" w:themeColor="text1"/>
                <w:szCs w:val="24"/>
              </w:rPr>
              <w:t>(735)</w:t>
            </w:r>
          </w:p>
        </w:tc>
        <w:tc>
          <w:tcPr>
            <w:tcW w:w="1497" w:type="dxa"/>
            <w:vAlign w:val="center"/>
          </w:tcPr>
          <w:p w14:paraId="0CAB1044" w14:textId="3D8D3586" w:rsidR="00D0621D" w:rsidRPr="002D5D55" w:rsidRDefault="00B761DA" w:rsidP="002D5D55">
            <w:pPr>
              <w:jc w:val="right"/>
              <w:rPr>
                <w:rFonts w:cs="Arial"/>
                <w:b/>
                <w:color w:val="000000" w:themeColor="text1"/>
                <w:szCs w:val="24"/>
              </w:rPr>
            </w:pPr>
            <w:r w:rsidRPr="002D5D55">
              <w:rPr>
                <w:rFonts w:cs="Arial"/>
                <w:b/>
                <w:color w:val="000000" w:themeColor="text1"/>
                <w:szCs w:val="24"/>
              </w:rPr>
              <w:t>(735)</w:t>
            </w:r>
          </w:p>
        </w:tc>
      </w:tr>
    </w:tbl>
    <w:p w14:paraId="13FF4A82" w14:textId="77777777" w:rsidR="00D0621D" w:rsidRPr="00927796" w:rsidRDefault="00D0621D" w:rsidP="095637AE">
      <w:pPr>
        <w:rPr>
          <w:rFonts w:cs="Arial"/>
          <w:color w:val="000000" w:themeColor="text1"/>
          <w:szCs w:val="24"/>
          <w:highlight w:val="red"/>
        </w:rPr>
      </w:pPr>
    </w:p>
    <w:p w14:paraId="7B09AC7D" w14:textId="77777777" w:rsidR="006E6CFF" w:rsidRPr="002D5D55" w:rsidRDefault="006E6CFF" w:rsidP="095637AE">
      <w:pPr>
        <w:rPr>
          <w:rFonts w:cs="Arial"/>
          <w:color w:val="000000" w:themeColor="text1"/>
          <w:szCs w:val="24"/>
        </w:rPr>
      </w:pPr>
      <w:r w:rsidRPr="002D5D55">
        <w:rPr>
          <w:rFonts w:cs="Arial"/>
          <w:color w:val="000000" w:themeColor="text1"/>
          <w:szCs w:val="24"/>
        </w:rPr>
        <w:t>The following reconciliation shows the comparison between the revenue budget position, as set out above, and the Total Comprehensive Income and Expenditure figure reported in the accounts.</w:t>
      </w:r>
    </w:p>
    <w:p w14:paraId="3D2B2063" w14:textId="77777777" w:rsidR="006E6CFF" w:rsidRPr="00D948C1" w:rsidRDefault="006E6CFF" w:rsidP="095637AE">
      <w:pPr>
        <w:jc w:val="both"/>
        <w:rPr>
          <w:rFonts w:cs="Arial"/>
          <w:color w:val="000000" w:themeColor="text1"/>
          <w:highlight w:val="red"/>
        </w:rPr>
      </w:pP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7"/>
        <w:gridCol w:w="1645"/>
      </w:tblGrid>
      <w:tr w:rsidR="006E6CFF" w:rsidRPr="00D948C1" w14:paraId="6DBC44B2" w14:textId="77777777" w:rsidTr="0022314C">
        <w:trPr>
          <w:tblHeader/>
        </w:trPr>
        <w:tc>
          <w:tcPr>
            <w:tcW w:w="6917" w:type="dxa"/>
            <w:shd w:val="clear" w:color="auto" w:fill="BD2716"/>
            <w:vAlign w:val="center"/>
          </w:tcPr>
          <w:p w14:paraId="3A863BE0" w14:textId="5F058BD2" w:rsidR="006E6CFF" w:rsidRPr="002D5D55" w:rsidRDefault="00B10A2A" w:rsidP="095637AE">
            <w:pPr>
              <w:rPr>
                <w:rFonts w:cs="Arial"/>
                <w:color w:val="FFFFFF" w:themeColor="background1"/>
              </w:rPr>
            </w:pPr>
            <w:r w:rsidRPr="002D5D55">
              <w:rPr>
                <w:rFonts w:cs="Arial"/>
                <w:color w:val="FFFFFF" w:themeColor="background1"/>
              </w:rPr>
              <w:t>Reconciliation</w:t>
            </w:r>
          </w:p>
        </w:tc>
        <w:tc>
          <w:tcPr>
            <w:tcW w:w="1645" w:type="dxa"/>
            <w:shd w:val="clear" w:color="auto" w:fill="BD2716"/>
            <w:vAlign w:val="center"/>
          </w:tcPr>
          <w:p w14:paraId="4AB3C5E8" w14:textId="722B8BF1" w:rsidR="006E6CFF" w:rsidRPr="00D948C1" w:rsidRDefault="5E14CFF5" w:rsidP="095637AE">
            <w:pPr>
              <w:jc w:val="right"/>
              <w:rPr>
                <w:rFonts w:cs="Arial"/>
                <w:highlight w:val="red"/>
                <w:lang w:eastAsia="en-GB"/>
              </w:rPr>
            </w:pPr>
            <w:r w:rsidRPr="002D5D55">
              <w:rPr>
                <w:rFonts w:cs="Arial"/>
                <w:color w:val="FFFFFF" w:themeColor="background1"/>
                <w:lang w:eastAsia="en-GB"/>
              </w:rPr>
              <w:t>£000</w:t>
            </w:r>
          </w:p>
        </w:tc>
      </w:tr>
      <w:tr w:rsidR="006E6CFF" w:rsidRPr="00D948C1" w14:paraId="00175959" w14:textId="77777777" w:rsidTr="0022314C">
        <w:tc>
          <w:tcPr>
            <w:tcW w:w="6917" w:type="dxa"/>
            <w:vAlign w:val="center"/>
          </w:tcPr>
          <w:p w14:paraId="6AA464AF" w14:textId="77777777" w:rsidR="006E6CFF" w:rsidRPr="002D5D55" w:rsidRDefault="006E6CFF" w:rsidP="095637AE">
            <w:pPr>
              <w:rPr>
                <w:rFonts w:cs="Arial"/>
                <w:color w:val="000000" w:themeColor="text1"/>
              </w:rPr>
            </w:pPr>
            <w:r w:rsidRPr="002D5D55">
              <w:rPr>
                <w:rFonts w:cs="Arial"/>
                <w:b/>
                <w:color w:val="000000" w:themeColor="text1"/>
              </w:rPr>
              <w:t>Revenue Outturn</w:t>
            </w:r>
            <w:r w:rsidRPr="00082289">
              <w:rPr>
                <w:rFonts w:cs="Arial"/>
                <w:b/>
                <w:bCs/>
                <w:color w:val="000000" w:themeColor="text1"/>
              </w:rPr>
              <w:t xml:space="preserve"> </w:t>
            </w:r>
          </w:p>
        </w:tc>
        <w:tc>
          <w:tcPr>
            <w:tcW w:w="1645" w:type="dxa"/>
            <w:vAlign w:val="center"/>
          </w:tcPr>
          <w:p w14:paraId="3FB78FE0" w14:textId="3972ADA0" w:rsidR="006E6CFF" w:rsidRPr="002D5D55" w:rsidRDefault="005742EF" w:rsidP="095637AE">
            <w:pPr>
              <w:jc w:val="right"/>
              <w:rPr>
                <w:rFonts w:cs="Arial"/>
                <w:b/>
                <w:lang w:eastAsia="en-GB"/>
              </w:rPr>
            </w:pPr>
            <w:r w:rsidRPr="00927796">
              <w:rPr>
                <w:rFonts w:cs="Arial"/>
                <w:b/>
                <w:bCs/>
                <w:lang w:eastAsia="en-GB"/>
              </w:rPr>
              <w:t>(735)</w:t>
            </w:r>
          </w:p>
        </w:tc>
      </w:tr>
      <w:tr w:rsidR="006E6CFF" w:rsidRPr="00D948C1" w14:paraId="7D31BB21" w14:textId="77777777" w:rsidTr="0022314C">
        <w:tc>
          <w:tcPr>
            <w:tcW w:w="6917" w:type="dxa"/>
            <w:vAlign w:val="center"/>
          </w:tcPr>
          <w:p w14:paraId="1ACB5E10" w14:textId="77777777" w:rsidR="006E6CFF" w:rsidRPr="002D5D55" w:rsidRDefault="006E6CFF" w:rsidP="095637AE">
            <w:pPr>
              <w:rPr>
                <w:rFonts w:cs="Arial"/>
              </w:rPr>
            </w:pPr>
            <w:r w:rsidRPr="002D5D55">
              <w:rPr>
                <w:rFonts w:cs="Arial"/>
                <w:color w:val="000000" w:themeColor="text1"/>
              </w:rPr>
              <w:t>Remove Capital Contributions and transfers to / from reserves</w:t>
            </w:r>
            <w:r w:rsidRPr="00082289">
              <w:rPr>
                <w:rFonts w:cs="Arial"/>
                <w:color w:val="000000" w:themeColor="text1"/>
              </w:rPr>
              <w:t xml:space="preserve"> </w:t>
            </w:r>
          </w:p>
        </w:tc>
        <w:tc>
          <w:tcPr>
            <w:tcW w:w="1645" w:type="dxa"/>
            <w:vAlign w:val="center"/>
          </w:tcPr>
          <w:p w14:paraId="06E43E2B" w14:textId="7F7BB5BA" w:rsidR="006E6CFF" w:rsidRPr="002D5D55" w:rsidRDefault="006E6CFF" w:rsidP="095637AE">
            <w:pPr>
              <w:jc w:val="right"/>
              <w:rPr>
                <w:rFonts w:cs="Arial"/>
                <w:lang w:eastAsia="en-GB"/>
              </w:rPr>
            </w:pPr>
            <w:r w:rsidRPr="002D5D55">
              <w:rPr>
                <w:rFonts w:cs="Arial"/>
                <w:lang w:eastAsia="en-GB"/>
              </w:rPr>
              <w:t>(</w:t>
            </w:r>
            <w:r w:rsidR="005742EF" w:rsidRPr="00927796">
              <w:rPr>
                <w:rFonts w:cs="Arial"/>
                <w:lang w:eastAsia="en-GB"/>
              </w:rPr>
              <w:t>5,239</w:t>
            </w:r>
            <w:r w:rsidRPr="002D5D55">
              <w:rPr>
                <w:rFonts w:cs="Arial"/>
                <w:lang w:eastAsia="en-GB"/>
              </w:rPr>
              <w:t>)</w:t>
            </w:r>
          </w:p>
        </w:tc>
      </w:tr>
      <w:tr w:rsidR="006E6CFF" w:rsidRPr="00D948C1" w14:paraId="0937268F" w14:textId="77777777" w:rsidTr="0022314C">
        <w:tc>
          <w:tcPr>
            <w:tcW w:w="6917" w:type="dxa"/>
            <w:vAlign w:val="center"/>
          </w:tcPr>
          <w:p w14:paraId="77E4D413" w14:textId="77777777" w:rsidR="006E6CFF" w:rsidRPr="002D5D55" w:rsidRDefault="006E6CFF" w:rsidP="095637AE">
            <w:pPr>
              <w:rPr>
                <w:rFonts w:cs="Arial"/>
              </w:rPr>
            </w:pPr>
            <w:r w:rsidRPr="002D5D55">
              <w:rPr>
                <w:rFonts w:cs="Arial"/>
                <w:color w:val="000000" w:themeColor="text1"/>
              </w:rPr>
              <w:t>Adjustments for Capital Purposes</w:t>
            </w:r>
          </w:p>
        </w:tc>
        <w:tc>
          <w:tcPr>
            <w:tcW w:w="1645" w:type="dxa"/>
            <w:vAlign w:val="center"/>
          </w:tcPr>
          <w:p w14:paraId="20A8DD1B" w14:textId="02191B18" w:rsidR="006E6CFF" w:rsidRPr="002D5D55" w:rsidRDefault="005742EF" w:rsidP="095637AE">
            <w:pPr>
              <w:jc w:val="right"/>
              <w:rPr>
                <w:rFonts w:cs="Arial"/>
                <w:lang w:eastAsia="en-GB"/>
              </w:rPr>
            </w:pPr>
            <w:r w:rsidRPr="00927796">
              <w:rPr>
                <w:rFonts w:cs="Arial"/>
                <w:lang w:eastAsia="en-GB"/>
              </w:rPr>
              <w:t>5,159</w:t>
            </w:r>
          </w:p>
        </w:tc>
      </w:tr>
      <w:tr w:rsidR="006E6CFF" w:rsidRPr="00D948C1" w14:paraId="7752FEF1" w14:textId="77777777" w:rsidTr="0022314C">
        <w:tc>
          <w:tcPr>
            <w:tcW w:w="6917" w:type="dxa"/>
            <w:vAlign w:val="center"/>
          </w:tcPr>
          <w:p w14:paraId="23CEF5F2" w14:textId="77777777" w:rsidR="006E6CFF" w:rsidRPr="002D5D55" w:rsidRDefault="006E6CFF" w:rsidP="095637AE">
            <w:pPr>
              <w:rPr>
                <w:rFonts w:cs="Arial"/>
              </w:rPr>
            </w:pPr>
            <w:r w:rsidRPr="002D5D55">
              <w:rPr>
                <w:rFonts w:cs="Arial"/>
                <w:color w:val="000000" w:themeColor="text1"/>
              </w:rPr>
              <w:t>Net change for Pensions Adjustments</w:t>
            </w:r>
          </w:p>
        </w:tc>
        <w:tc>
          <w:tcPr>
            <w:tcW w:w="1645" w:type="dxa"/>
            <w:vAlign w:val="center"/>
          </w:tcPr>
          <w:p w14:paraId="55BE0F04" w14:textId="18311C05" w:rsidR="006E6CFF" w:rsidRPr="002D5D55" w:rsidRDefault="005742EF" w:rsidP="095637AE">
            <w:pPr>
              <w:jc w:val="right"/>
              <w:rPr>
                <w:rFonts w:cs="Arial"/>
                <w:lang w:eastAsia="en-GB"/>
              </w:rPr>
            </w:pPr>
            <w:r w:rsidRPr="00927796">
              <w:rPr>
                <w:rFonts w:cs="Arial"/>
                <w:lang w:eastAsia="en-GB"/>
              </w:rPr>
              <w:t>3,451</w:t>
            </w:r>
          </w:p>
        </w:tc>
      </w:tr>
      <w:tr w:rsidR="006E6CFF" w:rsidRPr="00D948C1" w14:paraId="7F9D45A4" w14:textId="77777777" w:rsidTr="0022314C">
        <w:tc>
          <w:tcPr>
            <w:tcW w:w="6917" w:type="dxa"/>
            <w:vAlign w:val="center"/>
          </w:tcPr>
          <w:p w14:paraId="460B525F" w14:textId="77777777" w:rsidR="006E6CFF" w:rsidRPr="002D5D55" w:rsidRDefault="006E6CFF" w:rsidP="095637AE">
            <w:pPr>
              <w:rPr>
                <w:rFonts w:cs="Arial"/>
              </w:rPr>
            </w:pPr>
            <w:r w:rsidRPr="002D5D55">
              <w:rPr>
                <w:rFonts w:cs="Arial"/>
                <w:color w:val="000000" w:themeColor="text1"/>
              </w:rPr>
              <w:t>Other Differences</w:t>
            </w:r>
          </w:p>
        </w:tc>
        <w:tc>
          <w:tcPr>
            <w:tcW w:w="1645" w:type="dxa"/>
            <w:vAlign w:val="center"/>
          </w:tcPr>
          <w:p w14:paraId="3B63D2DD" w14:textId="2F0CBD6B" w:rsidR="006E6CFF" w:rsidRPr="002D5D55" w:rsidRDefault="005742EF" w:rsidP="095637AE">
            <w:pPr>
              <w:jc w:val="right"/>
              <w:rPr>
                <w:rFonts w:cs="Arial"/>
                <w:lang w:eastAsia="en-GB"/>
              </w:rPr>
            </w:pPr>
            <w:r w:rsidRPr="00927796">
              <w:rPr>
                <w:rFonts w:cs="Arial"/>
                <w:lang w:eastAsia="en-GB"/>
              </w:rPr>
              <w:t>417</w:t>
            </w:r>
          </w:p>
        </w:tc>
      </w:tr>
      <w:tr w:rsidR="006E6CFF" w:rsidRPr="00D948C1" w14:paraId="4B4E1FA0" w14:textId="77777777" w:rsidTr="0022314C">
        <w:tc>
          <w:tcPr>
            <w:tcW w:w="6917" w:type="dxa"/>
            <w:tcBorders>
              <w:top w:val="single" w:sz="4" w:space="0" w:color="auto"/>
              <w:left w:val="single" w:sz="4" w:space="0" w:color="auto"/>
              <w:bottom w:val="single" w:sz="4" w:space="0" w:color="auto"/>
              <w:right w:val="single" w:sz="4" w:space="0" w:color="auto"/>
            </w:tcBorders>
            <w:vAlign w:val="center"/>
          </w:tcPr>
          <w:p w14:paraId="4F85B138" w14:textId="77777777" w:rsidR="006E6CFF" w:rsidRPr="002D5D55" w:rsidRDefault="006E6CFF" w:rsidP="095637AE">
            <w:pPr>
              <w:rPr>
                <w:rFonts w:cs="Arial"/>
              </w:rPr>
            </w:pPr>
            <w:r w:rsidRPr="002D5D55">
              <w:rPr>
                <w:rFonts w:cs="Arial"/>
                <w:b/>
                <w:color w:val="000000" w:themeColor="text1"/>
              </w:rPr>
              <w:t>Deficit on provision of services</w:t>
            </w:r>
          </w:p>
        </w:tc>
        <w:tc>
          <w:tcPr>
            <w:tcW w:w="1645" w:type="dxa"/>
            <w:tcBorders>
              <w:top w:val="single" w:sz="4" w:space="0" w:color="auto"/>
              <w:left w:val="single" w:sz="4" w:space="0" w:color="auto"/>
              <w:bottom w:val="single" w:sz="4" w:space="0" w:color="auto"/>
              <w:right w:val="single" w:sz="4" w:space="0" w:color="auto"/>
            </w:tcBorders>
            <w:vAlign w:val="center"/>
          </w:tcPr>
          <w:p w14:paraId="56EC88EF" w14:textId="7E4CCA0B" w:rsidR="006E6CFF" w:rsidRPr="00DC19CA" w:rsidRDefault="005742EF" w:rsidP="095637AE">
            <w:pPr>
              <w:jc w:val="right"/>
              <w:rPr>
                <w:rFonts w:cs="Arial"/>
                <w:b/>
                <w:lang w:eastAsia="en-GB"/>
              </w:rPr>
            </w:pPr>
            <w:r w:rsidRPr="00927796">
              <w:rPr>
                <w:rFonts w:cs="Arial"/>
                <w:b/>
                <w:bCs/>
                <w:lang w:eastAsia="en-GB"/>
              </w:rPr>
              <w:t>3,054</w:t>
            </w:r>
          </w:p>
        </w:tc>
      </w:tr>
      <w:tr w:rsidR="006E6CFF" w:rsidRPr="00D948C1" w14:paraId="61F89BFF" w14:textId="77777777" w:rsidTr="0022314C">
        <w:tc>
          <w:tcPr>
            <w:tcW w:w="6917" w:type="dxa"/>
            <w:vAlign w:val="center"/>
          </w:tcPr>
          <w:p w14:paraId="0F201F0F" w14:textId="77777777" w:rsidR="006E6CFF" w:rsidRPr="00DC19CA" w:rsidRDefault="006E6CFF" w:rsidP="095637AE">
            <w:pPr>
              <w:rPr>
                <w:rFonts w:cs="Arial"/>
              </w:rPr>
            </w:pPr>
            <w:r w:rsidRPr="00DC19CA">
              <w:rPr>
                <w:rFonts w:cs="Arial"/>
                <w:color w:val="000000" w:themeColor="text1"/>
              </w:rPr>
              <w:t>(Surplus)/Deficit on revaluation of fixed assets</w:t>
            </w:r>
          </w:p>
        </w:tc>
        <w:tc>
          <w:tcPr>
            <w:tcW w:w="1645" w:type="dxa"/>
            <w:vAlign w:val="center"/>
          </w:tcPr>
          <w:p w14:paraId="5E54456F" w14:textId="70889D7B" w:rsidR="006E6CFF" w:rsidRPr="00DC19CA" w:rsidRDefault="006E6CFF" w:rsidP="095637AE">
            <w:pPr>
              <w:jc w:val="right"/>
              <w:rPr>
                <w:rFonts w:cs="Arial"/>
                <w:lang w:eastAsia="en-GB"/>
              </w:rPr>
            </w:pPr>
            <w:r w:rsidRPr="00DC19CA">
              <w:rPr>
                <w:rFonts w:cs="Arial"/>
                <w:lang w:eastAsia="en-GB"/>
              </w:rPr>
              <w:t>(</w:t>
            </w:r>
            <w:r w:rsidR="005742EF" w:rsidRPr="00927796">
              <w:rPr>
                <w:rFonts w:cs="Arial"/>
                <w:lang w:eastAsia="en-GB"/>
              </w:rPr>
              <w:t>3,64</w:t>
            </w:r>
            <w:r w:rsidR="005374BB" w:rsidRPr="00927796">
              <w:rPr>
                <w:rFonts w:cs="Arial"/>
                <w:lang w:eastAsia="en-GB"/>
              </w:rPr>
              <w:t>5</w:t>
            </w:r>
            <w:r w:rsidRPr="00DC19CA">
              <w:rPr>
                <w:rFonts w:cs="Arial"/>
                <w:lang w:eastAsia="en-GB"/>
              </w:rPr>
              <w:t>)</w:t>
            </w:r>
          </w:p>
        </w:tc>
      </w:tr>
      <w:tr w:rsidR="006E6CFF" w:rsidRPr="00D948C1" w14:paraId="4CF4D591" w14:textId="77777777" w:rsidTr="0022314C">
        <w:tc>
          <w:tcPr>
            <w:tcW w:w="6917" w:type="dxa"/>
            <w:vAlign w:val="center"/>
          </w:tcPr>
          <w:p w14:paraId="19857C53" w14:textId="77777777" w:rsidR="006E6CFF" w:rsidRPr="00DC19CA" w:rsidRDefault="006E6CFF" w:rsidP="095637AE">
            <w:pPr>
              <w:rPr>
                <w:rFonts w:cs="Arial"/>
              </w:rPr>
            </w:pPr>
            <w:r w:rsidRPr="00DC19CA">
              <w:rPr>
                <w:rFonts w:cs="Arial"/>
                <w:color w:val="000000" w:themeColor="text1"/>
              </w:rPr>
              <w:t>Actuarial (gains)/losses on pension fund assets</w:t>
            </w:r>
          </w:p>
        </w:tc>
        <w:tc>
          <w:tcPr>
            <w:tcW w:w="1645" w:type="dxa"/>
            <w:vAlign w:val="center"/>
          </w:tcPr>
          <w:p w14:paraId="30FF4B34" w14:textId="440E763D" w:rsidR="006E6CFF" w:rsidRPr="00DC19CA" w:rsidRDefault="006E6CFF" w:rsidP="095637AE">
            <w:pPr>
              <w:jc w:val="right"/>
              <w:rPr>
                <w:rFonts w:cs="Arial"/>
                <w:lang w:eastAsia="en-GB"/>
              </w:rPr>
            </w:pPr>
            <w:r w:rsidRPr="00DC19CA">
              <w:rPr>
                <w:rFonts w:cs="Arial"/>
                <w:lang w:eastAsia="en-GB"/>
              </w:rPr>
              <w:t>(</w:t>
            </w:r>
            <w:r w:rsidR="005742EF" w:rsidRPr="00927796">
              <w:rPr>
                <w:rFonts w:cs="Arial"/>
                <w:lang w:eastAsia="en-GB"/>
              </w:rPr>
              <w:t>67,199</w:t>
            </w:r>
            <w:r w:rsidRPr="00DC19CA">
              <w:rPr>
                <w:rFonts w:cs="Arial"/>
                <w:lang w:eastAsia="en-GB"/>
              </w:rPr>
              <w:t>)</w:t>
            </w:r>
          </w:p>
        </w:tc>
      </w:tr>
      <w:tr w:rsidR="006E6CFF" w:rsidRPr="00D948C1" w14:paraId="30A98FEE" w14:textId="77777777" w:rsidTr="0022314C">
        <w:tc>
          <w:tcPr>
            <w:tcW w:w="6917" w:type="dxa"/>
            <w:vAlign w:val="center"/>
          </w:tcPr>
          <w:p w14:paraId="67B2070C" w14:textId="77777777" w:rsidR="006E6CFF" w:rsidRPr="00DC19CA" w:rsidRDefault="006E6CFF" w:rsidP="095637AE">
            <w:pPr>
              <w:rPr>
                <w:rFonts w:cs="Arial"/>
              </w:rPr>
            </w:pPr>
            <w:r w:rsidRPr="00DC19CA">
              <w:rPr>
                <w:rFonts w:cs="Arial"/>
                <w:b/>
                <w:color w:val="000000" w:themeColor="text1"/>
              </w:rPr>
              <w:t>Total Comprehensive Income and Expenditure</w:t>
            </w:r>
          </w:p>
        </w:tc>
        <w:tc>
          <w:tcPr>
            <w:tcW w:w="1645" w:type="dxa"/>
            <w:vAlign w:val="center"/>
          </w:tcPr>
          <w:p w14:paraId="33C53C5D" w14:textId="79DAD40E" w:rsidR="006E6CFF" w:rsidRPr="00DC19CA" w:rsidRDefault="006E6CFF" w:rsidP="095637AE">
            <w:pPr>
              <w:jc w:val="right"/>
              <w:rPr>
                <w:rFonts w:cs="Arial"/>
                <w:b/>
                <w:lang w:eastAsia="en-GB"/>
              </w:rPr>
            </w:pPr>
            <w:r w:rsidRPr="00DC19CA">
              <w:rPr>
                <w:rFonts w:cs="Arial"/>
                <w:b/>
                <w:lang w:eastAsia="en-GB"/>
              </w:rPr>
              <w:t>(</w:t>
            </w:r>
            <w:r w:rsidR="005742EF" w:rsidRPr="00927796">
              <w:rPr>
                <w:rFonts w:cs="Arial"/>
                <w:b/>
                <w:bCs/>
                <w:lang w:eastAsia="en-GB"/>
              </w:rPr>
              <w:t>67,791</w:t>
            </w:r>
            <w:r w:rsidRPr="00DC19CA">
              <w:rPr>
                <w:rFonts w:cs="Arial"/>
                <w:b/>
                <w:lang w:eastAsia="en-GB"/>
              </w:rPr>
              <w:t>)</w:t>
            </w:r>
          </w:p>
        </w:tc>
      </w:tr>
    </w:tbl>
    <w:p w14:paraId="7403769F" w14:textId="77777777" w:rsidR="006E6CFF" w:rsidRPr="00D948C1" w:rsidRDefault="006E6CFF" w:rsidP="095637AE">
      <w:pPr>
        <w:jc w:val="both"/>
        <w:rPr>
          <w:rFonts w:cs="Arial"/>
          <w:color w:val="000000" w:themeColor="text1"/>
          <w:highlight w:val="red"/>
        </w:rPr>
      </w:pPr>
    </w:p>
    <w:p w14:paraId="60AD3FA9" w14:textId="12B6507C" w:rsidR="007F5B56" w:rsidRDefault="00634FF1" w:rsidP="095637AE">
      <w:pPr>
        <w:rPr>
          <w:rFonts w:cs="Arial"/>
          <w:color w:val="000000" w:themeColor="text1"/>
        </w:rPr>
      </w:pPr>
      <w:r w:rsidRPr="00D17655">
        <w:rPr>
          <w:rFonts w:cs="Arial"/>
          <w:color w:val="000000" w:themeColor="text1"/>
        </w:rPr>
        <w:t xml:space="preserve">The Authority’s general fund balance, that includes our share of </w:t>
      </w:r>
      <w:proofErr w:type="gramStart"/>
      <w:r w:rsidRPr="00D17655">
        <w:rPr>
          <w:rFonts w:cs="Arial"/>
          <w:color w:val="000000" w:themeColor="text1"/>
        </w:rPr>
        <w:t>North West</w:t>
      </w:r>
      <w:proofErr w:type="gramEnd"/>
      <w:r w:rsidRPr="00D17655">
        <w:rPr>
          <w:rFonts w:cs="Arial"/>
          <w:color w:val="000000" w:themeColor="text1"/>
        </w:rPr>
        <w:t xml:space="preserve"> </w:t>
      </w:r>
      <w:proofErr w:type="spellStart"/>
      <w:r w:rsidRPr="00D17655">
        <w:rPr>
          <w:rFonts w:cs="Arial"/>
          <w:color w:val="000000" w:themeColor="text1"/>
        </w:rPr>
        <w:t>FireControl</w:t>
      </w:r>
      <w:proofErr w:type="spellEnd"/>
      <w:r w:rsidRPr="00D17655">
        <w:rPr>
          <w:rFonts w:cs="Arial"/>
          <w:color w:val="000000" w:themeColor="text1"/>
        </w:rPr>
        <w:t>, was £</w:t>
      </w:r>
      <w:r w:rsidR="00247DC9" w:rsidRPr="00D17655">
        <w:rPr>
          <w:rFonts w:cs="Arial"/>
          <w:color w:val="000000" w:themeColor="text1"/>
        </w:rPr>
        <w:t>5.6</w:t>
      </w:r>
      <w:r w:rsidR="005E1CA2" w:rsidRPr="00D17655">
        <w:rPr>
          <w:rFonts w:cs="Arial"/>
          <w:color w:val="000000" w:themeColor="text1"/>
        </w:rPr>
        <w:t>6</w:t>
      </w:r>
      <w:r w:rsidRPr="00D17655">
        <w:rPr>
          <w:rFonts w:cs="Arial"/>
          <w:color w:val="000000" w:themeColor="text1"/>
        </w:rPr>
        <w:t xml:space="preserve">m at the start of the year. Following a review of reserves during the year and the transfer of the </w:t>
      </w:r>
      <w:r w:rsidR="00C45C70" w:rsidRPr="00D17655">
        <w:rPr>
          <w:rFonts w:cs="Arial"/>
          <w:color w:val="000000" w:themeColor="text1"/>
        </w:rPr>
        <w:t xml:space="preserve">underspend </w:t>
      </w:r>
      <w:r w:rsidRPr="00D17655">
        <w:rPr>
          <w:rFonts w:cs="Arial"/>
          <w:color w:val="000000" w:themeColor="text1"/>
        </w:rPr>
        <w:t>the reserve balance at the end of the year is £</w:t>
      </w:r>
      <w:r w:rsidR="00B133B7" w:rsidRPr="00D17655">
        <w:rPr>
          <w:rFonts w:cs="Arial"/>
          <w:color w:val="000000" w:themeColor="text1"/>
        </w:rPr>
        <w:t>6.56</w:t>
      </w:r>
      <w:r w:rsidRPr="00D17655">
        <w:rPr>
          <w:rFonts w:cs="Arial"/>
          <w:color w:val="000000" w:themeColor="text1"/>
        </w:rPr>
        <w:t xml:space="preserve">m. The Authority’s year-end balance excluding our share of </w:t>
      </w:r>
      <w:proofErr w:type="gramStart"/>
      <w:r w:rsidRPr="00D17655">
        <w:rPr>
          <w:rFonts w:cs="Arial"/>
          <w:color w:val="000000" w:themeColor="text1"/>
        </w:rPr>
        <w:t>North West</w:t>
      </w:r>
      <w:proofErr w:type="gramEnd"/>
      <w:r w:rsidRPr="00D17655">
        <w:rPr>
          <w:rFonts w:cs="Arial"/>
          <w:color w:val="000000" w:themeColor="text1"/>
        </w:rPr>
        <w:t xml:space="preserve"> </w:t>
      </w:r>
      <w:proofErr w:type="spellStart"/>
      <w:r w:rsidRPr="00D17655">
        <w:rPr>
          <w:rFonts w:cs="Arial"/>
          <w:color w:val="000000" w:themeColor="text1"/>
        </w:rPr>
        <w:t>FireControl</w:t>
      </w:r>
      <w:proofErr w:type="spellEnd"/>
      <w:r w:rsidRPr="00D17655">
        <w:rPr>
          <w:rFonts w:cs="Arial"/>
          <w:color w:val="000000" w:themeColor="text1"/>
        </w:rPr>
        <w:t xml:space="preserve"> is £</w:t>
      </w:r>
      <w:r w:rsidR="00186F71" w:rsidRPr="00D17655">
        <w:rPr>
          <w:rFonts w:cs="Arial"/>
          <w:color w:val="000000" w:themeColor="text1"/>
        </w:rPr>
        <w:t>5.72</w:t>
      </w:r>
      <w:r w:rsidRPr="00D17655">
        <w:rPr>
          <w:rFonts w:cs="Arial"/>
          <w:color w:val="000000" w:themeColor="text1"/>
        </w:rPr>
        <w:t>m (this is above the minimum level of reserves approved by the Authority at its budget meeting in 2024).</w:t>
      </w:r>
      <w:r w:rsidRPr="095637AE">
        <w:rPr>
          <w:rFonts w:cs="Arial"/>
          <w:color w:val="000000" w:themeColor="text1"/>
        </w:rPr>
        <w:t xml:space="preserve"> </w:t>
      </w:r>
    </w:p>
    <w:p w14:paraId="7EF0DC93" w14:textId="77777777" w:rsidR="00634FF1" w:rsidRPr="00D948C1" w:rsidRDefault="00634FF1" w:rsidP="095637AE">
      <w:pPr>
        <w:rPr>
          <w:rFonts w:cs="Arial"/>
          <w:color w:val="000000" w:themeColor="text1"/>
          <w:highlight w:val="red"/>
        </w:rPr>
      </w:pPr>
    </w:p>
    <w:p w14:paraId="794AFF1A" w14:textId="7A4F50F7" w:rsidR="00634FF1" w:rsidRPr="001425BA" w:rsidRDefault="00634FF1" w:rsidP="095637AE">
      <w:pPr>
        <w:rPr>
          <w:rFonts w:cs="Arial"/>
          <w:color w:val="000000" w:themeColor="text1"/>
        </w:rPr>
      </w:pPr>
      <w:r w:rsidRPr="001425BA">
        <w:rPr>
          <w:rFonts w:cs="Arial"/>
          <w:color w:val="000000" w:themeColor="text1"/>
        </w:rPr>
        <w:t>The Authority also holds an additional £</w:t>
      </w:r>
      <w:r w:rsidR="00343BF5">
        <w:rPr>
          <w:rFonts w:cs="Arial"/>
          <w:color w:val="000000" w:themeColor="text1"/>
        </w:rPr>
        <w:t>29</w:t>
      </w:r>
      <w:r w:rsidR="009B1A38" w:rsidRPr="001425BA">
        <w:rPr>
          <w:rFonts w:cs="Arial"/>
          <w:color w:val="000000" w:themeColor="text1"/>
        </w:rPr>
        <w:t>.</w:t>
      </w:r>
      <w:r w:rsidR="00343BF5">
        <w:rPr>
          <w:rFonts w:cs="Arial"/>
          <w:color w:val="000000" w:themeColor="text1"/>
        </w:rPr>
        <w:t>01</w:t>
      </w:r>
      <w:r w:rsidRPr="001425BA">
        <w:rPr>
          <w:rFonts w:cs="Arial"/>
          <w:color w:val="000000" w:themeColor="text1"/>
        </w:rPr>
        <w:t>m of earmarked reserves and £</w:t>
      </w:r>
      <w:r w:rsidR="00E20A1B">
        <w:rPr>
          <w:rFonts w:cs="Arial"/>
          <w:color w:val="000000" w:themeColor="text1"/>
        </w:rPr>
        <w:t>0</w:t>
      </w:r>
      <w:r w:rsidR="00B822B7" w:rsidRPr="001425BA">
        <w:rPr>
          <w:rFonts w:cs="Arial"/>
          <w:color w:val="000000" w:themeColor="text1"/>
        </w:rPr>
        <w:t>.</w:t>
      </w:r>
      <w:r w:rsidR="00E20A1B">
        <w:rPr>
          <w:rFonts w:cs="Arial"/>
          <w:color w:val="000000" w:themeColor="text1"/>
        </w:rPr>
        <w:t>19</w:t>
      </w:r>
      <w:r w:rsidRPr="001425BA">
        <w:rPr>
          <w:rFonts w:cs="Arial"/>
          <w:color w:val="000000" w:themeColor="text1"/>
        </w:rPr>
        <w:t xml:space="preserve">m of capital receipts. The </w:t>
      </w:r>
      <w:r w:rsidR="008F0AE7">
        <w:rPr>
          <w:rFonts w:cs="Arial"/>
          <w:color w:val="000000" w:themeColor="text1"/>
        </w:rPr>
        <w:t xml:space="preserve">earmarked </w:t>
      </w:r>
      <w:r w:rsidRPr="001425BA">
        <w:rPr>
          <w:rFonts w:cs="Arial"/>
          <w:color w:val="000000" w:themeColor="text1"/>
        </w:rPr>
        <w:t>reserves</w:t>
      </w:r>
      <w:r w:rsidR="008F0AE7">
        <w:rPr>
          <w:rFonts w:cs="Arial"/>
          <w:color w:val="000000" w:themeColor="text1"/>
        </w:rPr>
        <w:t xml:space="preserve"> designated </w:t>
      </w:r>
      <w:r w:rsidR="00D8303E">
        <w:rPr>
          <w:rFonts w:cs="Arial"/>
          <w:color w:val="000000" w:themeColor="text1"/>
        </w:rPr>
        <w:t>for capital funding</w:t>
      </w:r>
      <w:r w:rsidRPr="001425BA">
        <w:rPr>
          <w:rFonts w:cs="Arial"/>
          <w:color w:val="000000" w:themeColor="text1"/>
        </w:rPr>
        <w:t xml:space="preserve"> and </w:t>
      </w:r>
      <w:r w:rsidR="00D8303E">
        <w:rPr>
          <w:rFonts w:cs="Arial"/>
          <w:color w:val="000000" w:themeColor="text1"/>
        </w:rPr>
        <w:t xml:space="preserve">capital </w:t>
      </w:r>
      <w:r w:rsidRPr="001425BA">
        <w:rPr>
          <w:rFonts w:cs="Arial"/>
          <w:color w:val="000000" w:themeColor="text1"/>
        </w:rPr>
        <w:t xml:space="preserve">receipts are fully utilised within the medium-term financial strategy. It is also worth noting that </w:t>
      </w:r>
      <w:r w:rsidR="006F4356">
        <w:rPr>
          <w:rFonts w:cs="Arial"/>
          <w:color w:val="000000" w:themeColor="text1"/>
        </w:rPr>
        <w:t>£5.29m of</w:t>
      </w:r>
      <w:r w:rsidRPr="001425BA">
        <w:rPr>
          <w:rFonts w:cs="Arial"/>
          <w:color w:val="000000" w:themeColor="text1"/>
        </w:rPr>
        <w:t xml:space="preserve"> the earmarked reserve relates to the Authority’s two PFI schemes, whereby monies are set aside </w:t>
      </w:r>
      <w:r w:rsidRPr="001425BA">
        <w:rPr>
          <w:rFonts w:cs="Arial"/>
          <w:color w:val="000000" w:themeColor="text1"/>
        </w:rPr>
        <w:lastRenderedPageBreak/>
        <w:t>in the early years of the schemes to meet future costs, thus smoothing out the impact of inflationary pressures.</w:t>
      </w:r>
    </w:p>
    <w:p w14:paraId="4D298F3E" w14:textId="77777777" w:rsidR="00634FF1" w:rsidRPr="00D948C1" w:rsidRDefault="00634FF1" w:rsidP="095637AE">
      <w:pPr>
        <w:rPr>
          <w:rFonts w:cs="Arial"/>
          <w:color w:val="000000" w:themeColor="text1"/>
          <w:highlight w:val="red"/>
        </w:rPr>
      </w:pPr>
    </w:p>
    <w:p w14:paraId="4E690EAC" w14:textId="400E97CE" w:rsidR="00634FF1" w:rsidRPr="001425BA" w:rsidRDefault="00634FF1" w:rsidP="095637AE">
      <w:pPr>
        <w:rPr>
          <w:rFonts w:cs="Arial"/>
          <w:color w:val="000000" w:themeColor="text1"/>
          <w:szCs w:val="24"/>
        </w:rPr>
      </w:pPr>
      <w:r w:rsidRPr="001425BA">
        <w:rPr>
          <w:rFonts w:cs="Arial"/>
          <w:color w:val="000000" w:themeColor="text1"/>
          <w:szCs w:val="24"/>
        </w:rPr>
        <w:t>The Authority has continued to invest in its asset base, with capital expenditure</w:t>
      </w:r>
      <w:r w:rsidR="003C1C2B" w:rsidRPr="001425BA">
        <w:rPr>
          <w:rFonts w:cs="Arial"/>
          <w:color w:val="000000" w:themeColor="text1"/>
          <w:szCs w:val="24"/>
        </w:rPr>
        <w:t xml:space="preserve"> excluding NW </w:t>
      </w:r>
      <w:proofErr w:type="spellStart"/>
      <w:r w:rsidR="003C1C2B" w:rsidRPr="001425BA">
        <w:rPr>
          <w:rFonts w:cs="Arial"/>
          <w:color w:val="000000" w:themeColor="text1"/>
          <w:szCs w:val="24"/>
        </w:rPr>
        <w:t>FireControl</w:t>
      </w:r>
      <w:proofErr w:type="spellEnd"/>
      <w:r w:rsidR="00017786" w:rsidRPr="00927796">
        <w:rPr>
          <w:rFonts w:cs="Arial"/>
          <w:color w:val="000000" w:themeColor="text1"/>
          <w:szCs w:val="24"/>
        </w:rPr>
        <w:t xml:space="preserve"> Limited</w:t>
      </w:r>
      <w:r w:rsidRPr="001425BA">
        <w:rPr>
          <w:rFonts w:cs="Arial"/>
          <w:color w:val="000000" w:themeColor="text1"/>
          <w:szCs w:val="24"/>
        </w:rPr>
        <w:t xml:space="preserve"> incurred in the year totalling £</w:t>
      </w:r>
      <w:r w:rsidR="00017786" w:rsidRPr="00927796">
        <w:rPr>
          <w:rFonts w:cs="Arial"/>
          <w:color w:val="000000" w:themeColor="text1"/>
          <w:szCs w:val="24"/>
        </w:rPr>
        <w:t>4.</w:t>
      </w:r>
      <w:r w:rsidR="00370349" w:rsidRPr="00927796">
        <w:rPr>
          <w:rFonts w:cs="Arial"/>
          <w:color w:val="000000" w:themeColor="text1"/>
          <w:szCs w:val="24"/>
        </w:rPr>
        <w:t>1</w:t>
      </w:r>
      <w:r w:rsidRPr="001425BA">
        <w:rPr>
          <w:rFonts w:cs="Arial"/>
          <w:color w:val="000000" w:themeColor="text1"/>
          <w:szCs w:val="24"/>
        </w:rPr>
        <w:t xml:space="preserve">m, with the main contributors to this being set out </w:t>
      </w:r>
      <w:proofErr w:type="gramStart"/>
      <w:r w:rsidRPr="001425BA">
        <w:rPr>
          <w:rFonts w:cs="Arial"/>
          <w:color w:val="000000" w:themeColor="text1"/>
          <w:szCs w:val="24"/>
        </w:rPr>
        <w:t>below:-</w:t>
      </w:r>
      <w:proofErr w:type="gramEnd"/>
    </w:p>
    <w:p w14:paraId="2F64AB76" w14:textId="77777777" w:rsidR="00634FF1" w:rsidRPr="00927796" w:rsidRDefault="00634FF1" w:rsidP="095637AE">
      <w:pPr>
        <w:jc w:val="both"/>
        <w:rPr>
          <w:rFonts w:cs="Arial"/>
          <w:color w:val="000000" w:themeColor="text1"/>
          <w:szCs w:val="24"/>
          <w:highlight w:val="red"/>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gridCol w:w="822"/>
      </w:tblGrid>
      <w:tr w:rsidR="00634FF1" w:rsidRPr="00927796" w14:paraId="3DC535D2" w14:textId="77777777" w:rsidTr="095637AE">
        <w:trPr>
          <w:tblHeader/>
        </w:trPr>
        <w:tc>
          <w:tcPr>
            <w:tcW w:w="9101" w:type="dxa"/>
            <w:shd w:val="clear" w:color="auto" w:fill="BD2716"/>
            <w:vAlign w:val="center"/>
          </w:tcPr>
          <w:p w14:paraId="44129294" w14:textId="77777777" w:rsidR="00634FF1" w:rsidRPr="001425BA" w:rsidRDefault="00634FF1" w:rsidP="095637AE">
            <w:pPr>
              <w:rPr>
                <w:rFonts w:cs="Arial"/>
                <w:color w:val="FFFFFF" w:themeColor="background1"/>
                <w:szCs w:val="24"/>
              </w:rPr>
            </w:pPr>
            <w:r w:rsidRPr="001425BA">
              <w:rPr>
                <w:rFonts w:cs="Arial"/>
                <w:color w:val="FFFFFF" w:themeColor="background1"/>
                <w:szCs w:val="24"/>
              </w:rPr>
              <w:t>Capital Expenditure</w:t>
            </w:r>
          </w:p>
        </w:tc>
        <w:tc>
          <w:tcPr>
            <w:tcW w:w="822" w:type="dxa"/>
            <w:shd w:val="clear" w:color="auto" w:fill="BD2716"/>
            <w:vAlign w:val="center"/>
          </w:tcPr>
          <w:p w14:paraId="178E00E6" w14:textId="77777777" w:rsidR="00634FF1" w:rsidRPr="00927796" w:rsidRDefault="00634FF1" w:rsidP="095637AE">
            <w:pPr>
              <w:jc w:val="right"/>
              <w:rPr>
                <w:rFonts w:cs="Arial"/>
                <w:color w:val="FFFFFF" w:themeColor="background1"/>
                <w:szCs w:val="24"/>
                <w:highlight w:val="red"/>
              </w:rPr>
            </w:pPr>
            <w:r w:rsidRPr="001425BA">
              <w:rPr>
                <w:rFonts w:cs="Arial"/>
                <w:color w:val="FFFFFF" w:themeColor="background1"/>
                <w:szCs w:val="24"/>
              </w:rPr>
              <w:t>£m</w:t>
            </w:r>
          </w:p>
        </w:tc>
      </w:tr>
      <w:tr w:rsidR="00634FF1" w:rsidRPr="00927796" w14:paraId="59744DF0" w14:textId="77777777" w:rsidTr="095637AE">
        <w:tc>
          <w:tcPr>
            <w:tcW w:w="9101" w:type="dxa"/>
          </w:tcPr>
          <w:p w14:paraId="51AE90F4" w14:textId="77777777" w:rsidR="00634FF1" w:rsidRPr="001425BA" w:rsidRDefault="00634FF1" w:rsidP="095637AE">
            <w:pPr>
              <w:rPr>
                <w:rFonts w:cs="Arial"/>
                <w:color w:val="000000" w:themeColor="text1"/>
                <w:szCs w:val="24"/>
              </w:rPr>
            </w:pPr>
            <w:r w:rsidRPr="001425BA">
              <w:rPr>
                <w:rFonts w:cs="Arial"/>
                <w:color w:val="000000" w:themeColor="text1"/>
                <w:szCs w:val="24"/>
              </w:rPr>
              <w:t>Vehicles</w:t>
            </w:r>
          </w:p>
          <w:p w14:paraId="30FBCE69" w14:textId="77777777" w:rsidR="00634FF1" w:rsidRPr="001425BA" w:rsidRDefault="00634FF1" w:rsidP="095637AE">
            <w:pPr>
              <w:numPr>
                <w:ilvl w:val="0"/>
                <w:numId w:val="35"/>
              </w:numPr>
              <w:contextualSpacing/>
              <w:rPr>
                <w:rFonts w:eastAsia="Calibri" w:cs="Arial"/>
                <w:color w:val="000000" w:themeColor="text1"/>
                <w:szCs w:val="24"/>
              </w:rPr>
            </w:pPr>
            <w:r w:rsidRPr="001425BA">
              <w:rPr>
                <w:rFonts w:eastAsia="Calibri" w:cs="Arial"/>
                <w:color w:val="000000" w:themeColor="text1"/>
                <w:szCs w:val="24"/>
              </w:rPr>
              <w:t>Fire Appliances, Command Units, Aerial Appliance and various Support Vehicles including vans and cars.</w:t>
            </w:r>
          </w:p>
        </w:tc>
        <w:tc>
          <w:tcPr>
            <w:tcW w:w="822" w:type="dxa"/>
            <w:vAlign w:val="center"/>
          </w:tcPr>
          <w:p w14:paraId="4215CD5D" w14:textId="10F13840" w:rsidR="00634FF1" w:rsidRPr="001425BA" w:rsidRDefault="00426B04" w:rsidP="00426B04">
            <w:pPr>
              <w:jc w:val="right"/>
              <w:rPr>
                <w:rFonts w:cs="Arial"/>
                <w:color w:val="000000" w:themeColor="text1"/>
                <w:szCs w:val="24"/>
              </w:rPr>
            </w:pPr>
            <w:r w:rsidRPr="00927796">
              <w:rPr>
                <w:rFonts w:cs="Arial"/>
                <w:color w:val="000000" w:themeColor="text1"/>
                <w:szCs w:val="24"/>
              </w:rPr>
              <w:t>2.2</w:t>
            </w:r>
          </w:p>
        </w:tc>
      </w:tr>
      <w:tr w:rsidR="00634FF1" w:rsidRPr="00927796" w14:paraId="2BFC9A01" w14:textId="77777777" w:rsidTr="095637AE">
        <w:tc>
          <w:tcPr>
            <w:tcW w:w="9101" w:type="dxa"/>
          </w:tcPr>
          <w:p w14:paraId="5DDED244" w14:textId="77777777" w:rsidR="00634FF1" w:rsidRPr="001425BA" w:rsidRDefault="00634FF1" w:rsidP="095637AE">
            <w:pPr>
              <w:rPr>
                <w:rFonts w:cs="Arial"/>
                <w:color w:val="000000" w:themeColor="text1"/>
                <w:szCs w:val="24"/>
              </w:rPr>
            </w:pPr>
            <w:r w:rsidRPr="001425BA">
              <w:rPr>
                <w:rFonts w:cs="Arial"/>
                <w:color w:val="000000" w:themeColor="text1"/>
                <w:szCs w:val="24"/>
              </w:rPr>
              <w:t>Operational Equipment</w:t>
            </w:r>
          </w:p>
          <w:p w14:paraId="483571FD" w14:textId="77777777" w:rsidR="00634FF1" w:rsidRPr="001425BA" w:rsidRDefault="00634FF1" w:rsidP="095637AE">
            <w:pPr>
              <w:numPr>
                <w:ilvl w:val="0"/>
                <w:numId w:val="35"/>
              </w:numPr>
              <w:contextualSpacing/>
              <w:rPr>
                <w:rFonts w:eastAsia="Calibri" w:cs="Arial"/>
                <w:color w:val="000000" w:themeColor="text1"/>
                <w:szCs w:val="24"/>
              </w:rPr>
            </w:pPr>
            <w:r w:rsidRPr="001425BA">
              <w:rPr>
                <w:rFonts w:eastAsia="Calibri" w:cs="Arial"/>
                <w:color w:val="000000" w:themeColor="text1"/>
                <w:szCs w:val="24"/>
              </w:rPr>
              <w:t>RTC Rescue Equipment, Drone, Thermal Imagining Cameras, Appliance CCTV</w:t>
            </w:r>
          </w:p>
        </w:tc>
        <w:tc>
          <w:tcPr>
            <w:tcW w:w="822" w:type="dxa"/>
            <w:vAlign w:val="center"/>
          </w:tcPr>
          <w:p w14:paraId="7BEC1C0A" w14:textId="2983DE3F" w:rsidR="00634FF1" w:rsidRPr="001425BA" w:rsidRDefault="00C60ED8" w:rsidP="095637AE">
            <w:pPr>
              <w:jc w:val="right"/>
              <w:rPr>
                <w:rFonts w:cs="Arial"/>
                <w:color w:val="000000" w:themeColor="text1"/>
                <w:szCs w:val="24"/>
              </w:rPr>
            </w:pPr>
            <w:r w:rsidRPr="00927796">
              <w:rPr>
                <w:rFonts w:cs="Arial"/>
                <w:color w:val="000000" w:themeColor="text1"/>
                <w:szCs w:val="24"/>
              </w:rPr>
              <w:t>1.0</w:t>
            </w:r>
          </w:p>
        </w:tc>
      </w:tr>
      <w:tr w:rsidR="00634FF1" w:rsidRPr="00927796" w14:paraId="7D7AD5C1" w14:textId="77777777" w:rsidTr="095637AE">
        <w:tc>
          <w:tcPr>
            <w:tcW w:w="9101" w:type="dxa"/>
          </w:tcPr>
          <w:p w14:paraId="14ACE145" w14:textId="77777777" w:rsidR="00634FF1" w:rsidRPr="001425BA" w:rsidRDefault="00634FF1" w:rsidP="095637AE">
            <w:pPr>
              <w:rPr>
                <w:rFonts w:cs="Arial"/>
                <w:color w:val="000000" w:themeColor="text1"/>
                <w:szCs w:val="24"/>
              </w:rPr>
            </w:pPr>
            <w:r w:rsidRPr="001425BA">
              <w:rPr>
                <w:rFonts w:cs="Arial"/>
                <w:color w:val="000000" w:themeColor="text1"/>
                <w:szCs w:val="24"/>
              </w:rPr>
              <w:t>ICT Equipment</w:t>
            </w:r>
          </w:p>
          <w:p w14:paraId="474AE3CA" w14:textId="77777777" w:rsidR="00634FF1" w:rsidRPr="001425BA" w:rsidRDefault="00634FF1" w:rsidP="095637AE">
            <w:pPr>
              <w:numPr>
                <w:ilvl w:val="0"/>
                <w:numId w:val="35"/>
              </w:numPr>
              <w:contextualSpacing/>
              <w:rPr>
                <w:rFonts w:cs="Arial"/>
                <w:color w:val="000000" w:themeColor="text1"/>
                <w:szCs w:val="24"/>
              </w:rPr>
            </w:pPr>
            <w:r w:rsidRPr="001425BA">
              <w:rPr>
                <w:rFonts w:eastAsia="Calibri" w:cs="Arial"/>
                <w:color w:val="000000" w:themeColor="text1"/>
                <w:szCs w:val="24"/>
              </w:rPr>
              <w:t>Command Support software, Firewall, Website, Station uninterruptable power supply</w:t>
            </w:r>
          </w:p>
        </w:tc>
        <w:tc>
          <w:tcPr>
            <w:tcW w:w="822" w:type="dxa"/>
            <w:vAlign w:val="center"/>
          </w:tcPr>
          <w:p w14:paraId="0243C8CB" w14:textId="2E44F847" w:rsidR="00634FF1" w:rsidRPr="001425BA" w:rsidRDefault="00C60ED8" w:rsidP="095637AE">
            <w:pPr>
              <w:jc w:val="right"/>
              <w:rPr>
                <w:rFonts w:cs="Arial"/>
                <w:color w:val="000000" w:themeColor="text1"/>
                <w:szCs w:val="24"/>
              </w:rPr>
            </w:pPr>
            <w:r w:rsidRPr="00927796">
              <w:rPr>
                <w:rFonts w:cs="Arial"/>
                <w:color w:val="000000" w:themeColor="text1"/>
                <w:szCs w:val="24"/>
              </w:rPr>
              <w:t>0.3</w:t>
            </w:r>
          </w:p>
        </w:tc>
      </w:tr>
      <w:tr w:rsidR="00634FF1" w:rsidRPr="00927796" w14:paraId="57A7DCF7" w14:textId="77777777" w:rsidTr="095637AE">
        <w:tc>
          <w:tcPr>
            <w:tcW w:w="9101" w:type="dxa"/>
          </w:tcPr>
          <w:p w14:paraId="6C674E4A" w14:textId="77777777" w:rsidR="00634FF1" w:rsidRPr="001425BA" w:rsidRDefault="00634FF1" w:rsidP="095637AE">
            <w:pPr>
              <w:rPr>
                <w:rFonts w:cs="Arial"/>
                <w:color w:val="000000" w:themeColor="text1"/>
                <w:szCs w:val="24"/>
              </w:rPr>
            </w:pPr>
            <w:r w:rsidRPr="001425BA">
              <w:rPr>
                <w:rFonts w:cs="Arial"/>
                <w:color w:val="000000" w:themeColor="text1"/>
                <w:szCs w:val="24"/>
              </w:rPr>
              <w:t>Buildings</w:t>
            </w:r>
          </w:p>
          <w:p w14:paraId="5233637E" w14:textId="77777777" w:rsidR="00634FF1" w:rsidRPr="001425BA" w:rsidRDefault="00634FF1" w:rsidP="095637AE">
            <w:pPr>
              <w:numPr>
                <w:ilvl w:val="0"/>
                <w:numId w:val="36"/>
              </w:numPr>
              <w:contextualSpacing/>
              <w:rPr>
                <w:rFonts w:eastAsia="Calibri" w:cs="Arial"/>
                <w:color w:val="000000" w:themeColor="text1"/>
                <w:szCs w:val="24"/>
              </w:rPr>
            </w:pPr>
            <w:r w:rsidRPr="001425BA">
              <w:rPr>
                <w:rFonts w:eastAsia="Calibri" w:cs="Arial"/>
                <w:color w:val="000000" w:themeColor="text1"/>
                <w:szCs w:val="24"/>
              </w:rPr>
              <w:t>Dormitory facilities, Drill tower replacements &amp; work at the fleet workshop</w:t>
            </w:r>
          </w:p>
        </w:tc>
        <w:tc>
          <w:tcPr>
            <w:tcW w:w="822" w:type="dxa"/>
            <w:vAlign w:val="center"/>
          </w:tcPr>
          <w:p w14:paraId="05F65F04" w14:textId="0CBE52E2" w:rsidR="00634FF1" w:rsidRPr="001425BA" w:rsidRDefault="00C60ED8" w:rsidP="095637AE">
            <w:pPr>
              <w:jc w:val="right"/>
              <w:rPr>
                <w:rFonts w:cs="Arial"/>
                <w:color w:val="000000" w:themeColor="text1"/>
                <w:szCs w:val="24"/>
              </w:rPr>
            </w:pPr>
            <w:r w:rsidRPr="00927796">
              <w:rPr>
                <w:rFonts w:cs="Arial"/>
                <w:color w:val="000000" w:themeColor="text1"/>
                <w:szCs w:val="24"/>
              </w:rPr>
              <w:t>0.6</w:t>
            </w:r>
          </w:p>
        </w:tc>
      </w:tr>
      <w:tr w:rsidR="00634FF1" w:rsidRPr="00927796" w14:paraId="6DEEBE87" w14:textId="77777777" w:rsidTr="095637AE">
        <w:tc>
          <w:tcPr>
            <w:tcW w:w="9101" w:type="dxa"/>
          </w:tcPr>
          <w:p w14:paraId="5DD4D8A1" w14:textId="77777777" w:rsidR="00634FF1" w:rsidRPr="001425BA" w:rsidRDefault="00634FF1" w:rsidP="095637AE">
            <w:pPr>
              <w:rPr>
                <w:rFonts w:cs="Arial"/>
                <w:b/>
                <w:color w:val="000000" w:themeColor="text1"/>
                <w:szCs w:val="24"/>
              </w:rPr>
            </w:pPr>
            <w:r w:rsidRPr="001425BA">
              <w:rPr>
                <w:rFonts w:cs="Arial"/>
                <w:b/>
                <w:color w:val="000000" w:themeColor="text1"/>
                <w:szCs w:val="24"/>
              </w:rPr>
              <w:t>Total</w:t>
            </w:r>
          </w:p>
        </w:tc>
        <w:tc>
          <w:tcPr>
            <w:tcW w:w="822" w:type="dxa"/>
            <w:vAlign w:val="center"/>
          </w:tcPr>
          <w:p w14:paraId="49877DB7" w14:textId="7C7E72CD" w:rsidR="00634FF1" w:rsidRPr="001425BA" w:rsidRDefault="00C60ED8" w:rsidP="095637AE">
            <w:pPr>
              <w:jc w:val="right"/>
              <w:rPr>
                <w:rFonts w:cs="Arial"/>
                <w:b/>
                <w:color w:val="000000" w:themeColor="text1"/>
                <w:szCs w:val="24"/>
              </w:rPr>
            </w:pPr>
            <w:r w:rsidRPr="00927796">
              <w:rPr>
                <w:rFonts w:cs="Arial"/>
                <w:b/>
                <w:bCs/>
                <w:color w:val="000000" w:themeColor="text1"/>
                <w:szCs w:val="24"/>
              </w:rPr>
              <w:t>4.1</w:t>
            </w:r>
          </w:p>
        </w:tc>
      </w:tr>
    </w:tbl>
    <w:p w14:paraId="7B103434" w14:textId="77777777" w:rsidR="00634FF1" w:rsidRPr="006D70D3" w:rsidRDefault="00634FF1" w:rsidP="095637AE">
      <w:pPr>
        <w:jc w:val="both"/>
        <w:rPr>
          <w:rFonts w:cs="Arial"/>
          <w:color w:val="000000" w:themeColor="text1"/>
          <w:szCs w:val="24"/>
        </w:rPr>
      </w:pPr>
    </w:p>
    <w:p w14:paraId="37AFB623" w14:textId="0418E1F2" w:rsidR="00634FF1" w:rsidRPr="006D70D3" w:rsidRDefault="00634FF1" w:rsidP="095637AE">
      <w:pPr>
        <w:rPr>
          <w:rFonts w:cs="Arial"/>
          <w:color w:val="000000" w:themeColor="text1"/>
          <w:szCs w:val="24"/>
        </w:rPr>
      </w:pPr>
      <w:r w:rsidRPr="006D70D3">
        <w:rPr>
          <w:rFonts w:cs="Arial"/>
          <w:color w:val="000000" w:themeColor="text1"/>
          <w:szCs w:val="24"/>
        </w:rPr>
        <w:t xml:space="preserve">The Balance Sheet shows that the Authority’s Total Net Liabilities </w:t>
      </w:r>
      <w:r w:rsidR="00C712B1" w:rsidRPr="006D70D3">
        <w:rPr>
          <w:rFonts w:cs="Arial"/>
          <w:color w:val="000000" w:themeColor="text1"/>
          <w:szCs w:val="24"/>
        </w:rPr>
        <w:t>have reduced from</w:t>
      </w:r>
      <w:r w:rsidRPr="006D70D3">
        <w:rPr>
          <w:rFonts w:cs="Arial"/>
          <w:color w:val="000000" w:themeColor="text1"/>
          <w:szCs w:val="24"/>
        </w:rPr>
        <w:t xml:space="preserve"> (£503.0m) to (£</w:t>
      </w:r>
      <w:r w:rsidR="00CA7DA6" w:rsidRPr="006D70D3">
        <w:rPr>
          <w:rFonts w:cs="Arial"/>
          <w:color w:val="000000" w:themeColor="text1"/>
          <w:szCs w:val="24"/>
        </w:rPr>
        <w:t>435.2</w:t>
      </w:r>
      <w:r w:rsidRPr="006D70D3">
        <w:rPr>
          <w:rFonts w:cs="Arial"/>
          <w:color w:val="000000" w:themeColor="text1"/>
          <w:szCs w:val="24"/>
        </w:rPr>
        <w:t>m)</w:t>
      </w:r>
      <w:r w:rsidR="004C395E" w:rsidRPr="006D70D3">
        <w:rPr>
          <w:rFonts w:cs="Arial"/>
          <w:color w:val="000000" w:themeColor="text1"/>
          <w:szCs w:val="24"/>
        </w:rPr>
        <w:t xml:space="preserve"> mainly </w:t>
      </w:r>
      <w:r w:rsidR="00DE638C" w:rsidRPr="006D70D3">
        <w:rPr>
          <w:rFonts w:cs="Arial"/>
          <w:color w:val="000000" w:themeColor="text1"/>
          <w:szCs w:val="24"/>
        </w:rPr>
        <w:t>because of</w:t>
      </w:r>
      <w:r w:rsidR="004C395E" w:rsidRPr="006D70D3">
        <w:rPr>
          <w:rFonts w:cs="Arial"/>
          <w:color w:val="000000" w:themeColor="text1"/>
          <w:szCs w:val="24"/>
        </w:rPr>
        <w:t xml:space="preserve"> the </w:t>
      </w:r>
      <w:r w:rsidR="009F33B7" w:rsidRPr="006D70D3">
        <w:rPr>
          <w:rFonts w:cs="Arial"/>
          <w:color w:val="000000" w:themeColor="text1"/>
          <w:szCs w:val="24"/>
        </w:rPr>
        <w:t xml:space="preserve">change in actuarial assumptions </w:t>
      </w:r>
      <w:r w:rsidR="005A0D3D" w:rsidRPr="006D70D3">
        <w:rPr>
          <w:rFonts w:cs="Arial"/>
          <w:color w:val="000000" w:themeColor="text1"/>
          <w:szCs w:val="24"/>
        </w:rPr>
        <w:t>of the uniformed firefighters</w:t>
      </w:r>
      <w:r w:rsidR="004E45E3" w:rsidRPr="006D70D3">
        <w:rPr>
          <w:rFonts w:cs="Arial"/>
          <w:color w:val="000000" w:themeColor="text1"/>
          <w:szCs w:val="24"/>
        </w:rPr>
        <w:t xml:space="preserve"> pension scheme</w:t>
      </w:r>
      <w:r w:rsidR="00C768B9" w:rsidRPr="006D70D3">
        <w:rPr>
          <w:rFonts w:cs="Arial"/>
          <w:color w:val="000000" w:themeColor="text1"/>
          <w:szCs w:val="24"/>
        </w:rPr>
        <w:t>. T</w:t>
      </w:r>
      <w:r w:rsidR="00B10B86" w:rsidRPr="006D70D3">
        <w:rPr>
          <w:rFonts w:cs="Arial"/>
          <w:color w:val="000000" w:themeColor="text1"/>
          <w:szCs w:val="24"/>
        </w:rPr>
        <w:t>he</w:t>
      </w:r>
      <w:r w:rsidR="00E80BC6" w:rsidRPr="006D70D3">
        <w:rPr>
          <w:rFonts w:cs="Arial"/>
          <w:color w:val="000000" w:themeColor="text1"/>
          <w:szCs w:val="24"/>
        </w:rPr>
        <w:t xml:space="preserve"> reduction in the liability was c£60m</w:t>
      </w:r>
      <w:r w:rsidR="00C63182" w:rsidRPr="006D70D3">
        <w:rPr>
          <w:rFonts w:cs="Arial"/>
          <w:color w:val="000000" w:themeColor="text1"/>
          <w:szCs w:val="24"/>
        </w:rPr>
        <w:t xml:space="preserve"> and </w:t>
      </w:r>
      <w:r w:rsidR="00DD37EC" w:rsidRPr="006D70D3">
        <w:rPr>
          <w:rFonts w:cs="Arial"/>
          <w:color w:val="000000" w:themeColor="text1"/>
          <w:szCs w:val="24"/>
        </w:rPr>
        <w:t xml:space="preserve">£50m </w:t>
      </w:r>
      <w:r w:rsidR="00C63182" w:rsidRPr="006D70D3">
        <w:rPr>
          <w:rFonts w:cs="Arial"/>
          <w:color w:val="000000" w:themeColor="text1"/>
          <w:szCs w:val="24"/>
        </w:rPr>
        <w:t>of this</w:t>
      </w:r>
      <w:r w:rsidR="00DD37EC" w:rsidRPr="006D70D3">
        <w:rPr>
          <w:rFonts w:cs="Arial"/>
          <w:color w:val="000000" w:themeColor="text1"/>
          <w:szCs w:val="24"/>
        </w:rPr>
        <w:t xml:space="preserve"> was due to a </w:t>
      </w:r>
      <w:r w:rsidR="0025233E" w:rsidRPr="006D70D3">
        <w:rPr>
          <w:rFonts w:cs="Arial"/>
          <w:color w:val="000000" w:themeColor="text1"/>
          <w:szCs w:val="24"/>
        </w:rPr>
        <w:t>gain due to changes in financial assumptions</w:t>
      </w:r>
      <w:r w:rsidR="00C768B9" w:rsidRPr="006D70D3">
        <w:rPr>
          <w:rFonts w:cs="Arial"/>
          <w:color w:val="000000" w:themeColor="text1"/>
          <w:szCs w:val="24"/>
        </w:rPr>
        <w:t xml:space="preserve">; essentially </w:t>
      </w:r>
      <w:r w:rsidR="00F433E7" w:rsidRPr="006D70D3">
        <w:rPr>
          <w:rFonts w:cs="Arial"/>
          <w:color w:val="000000" w:themeColor="text1"/>
          <w:szCs w:val="24"/>
        </w:rPr>
        <w:t xml:space="preserve">reflecting </w:t>
      </w:r>
      <w:r w:rsidR="00110895" w:rsidRPr="006D70D3">
        <w:rPr>
          <w:rFonts w:cs="Arial"/>
          <w:color w:val="000000" w:themeColor="text1"/>
          <w:szCs w:val="24"/>
        </w:rPr>
        <w:t>increasing assumptions about inflation and interest rates compared to the previous year</w:t>
      </w:r>
      <w:r w:rsidRPr="006D70D3">
        <w:rPr>
          <w:rFonts w:cs="Arial"/>
          <w:color w:val="000000" w:themeColor="text1"/>
          <w:szCs w:val="24"/>
        </w:rPr>
        <w:t>. The net liability reflects the Authority’s compliance with International Accounting Standards and in particular the requirement to show the full pensions liability in the accounts. Whilst the liability on the Local Government Pension Scheme is funded the Fire-fighters Pension Scheme is unfunded, there are no assets from which future liabilities will be paid, and hence the Authority’s overall Fire-fighters pension liability of (£</w:t>
      </w:r>
      <w:r w:rsidR="009956F9" w:rsidRPr="006D70D3">
        <w:rPr>
          <w:rFonts w:cs="Arial"/>
          <w:color w:val="000000" w:themeColor="text1"/>
          <w:szCs w:val="24"/>
        </w:rPr>
        <w:t>588</w:t>
      </w:r>
      <w:r w:rsidRPr="006D70D3">
        <w:rPr>
          <w:rFonts w:cs="Arial"/>
          <w:color w:val="000000" w:themeColor="text1"/>
          <w:szCs w:val="24"/>
        </w:rPr>
        <w:t>m) is extremely large. If this liability was excluded the Authority’s Total Net Assets would be £1</w:t>
      </w:r>
      <w:r w:rsidR="00CD5726" w:rsidRPr="006D70D3">
        <w:rPr>
          <w:rFonts w:cs="Arial"/>
          <w:color w:val="000000" w:themeColor="text1"/>
          <w:szCs w:val="24"/>
        </w:rPr>
        <w:t>53</w:t>
      </w:r>
      <w:r w:rsidRPr="006D70D3">
        <w:rPr>
          <w:rFonts w:cs="Arial"/>
          <w:color w:val="000000" w:themeColor="text1"/>
          <w:szCs w:val="24"/>
        </w:rPr>
        <w:t>m</w:t>
      </w:r>
      <w:r w:rsidRPr="006D70D3" w:rsidDel="00CD5726">
        <w:rPr>
          <w:rFonts w:cs="Arial"/>
          <w:color w:val="000000" w:themeColor="text1"/>
          <w:szCs w:val="24"/>
        </w:rPr>
        <w:t>.</w:t>
      </w:r>
    </w:p>
    <w:p w14:paraId="6AEB314E" w14:textId="77777777" w:rsidR="00634FF1" w:rsidRPr="006D70D3" w:rsidRDefault="00634FF1" w:rsidP="095637AE">
      <w:pPr>
        <w:rPr>
          <w:rFonts w:cs="Arial"/>
          <w:color w:val="000000" w:themeColor="text1"/>
          <w:szCs w:val="24"/>
        </w:rPr>
      </w:pPr>
    </w:p>
    <w:p w14:paraId="5BCF804F" w14:textId="1103C241" w:rsidR="00634FF1" w:rsidRPr="006D70D3" w:rsidRDefault="00634FF1" w:rsidP="095637AE">
      <w:pPr>
        <w:rPr>
          <w:rFonts w:cs="Arial"/>
          <w:color w:val="000000" w:themeColor="text1"/>
          <w:szCs w:val="24"/>
        </w:rPr>
      </w:pPr>
      <w:r w:rsidRPr="006D70D3">
        <w:rPr>
          <w:rFonts w:cs="Arial"/>
          <w:color w:val="000000" w:themeColor="text1"/>
          <w:szCs w:val="24"/>
        </w:rPr>
        <w:t>Long-term assets have increased slightly in value to £1</w:t>
      </w:r>
      <w:r w:rsidR="001B62DE" w:rsidRPr="006D70D3">
        <w:rPr>
          <w:rFonts w:cs="Arial"/>
          <w:color w:val="000000" w:themeColor="text1"/>
          <w:szCs w:val="24"/>
        </w:rPr>
        <w:t>30</w:t>
      </w:r>
      <w:r w:rsidRPr="006D70D3">
        <w:rPr>
          <w:rFonts w:cs="Arial"/>
          <w:color w:val="000000" w:themeColor="text1"/>
          <w:szCs w:val="24"/>
        </w:rPr>
        <w:t>m from £12</w:t>
      </w:r>
      <w:r w:rsidR="001B62DE" w:rsidRPr="006D70D3">
        <w:rPr>
          <w:rFonts w:cs="Arial"/>
          <w:color w:val="000000" w:themeColor="text1"/>
          <w:szCs w:val="24"/>
        </w:rPr>
        <w:t>8</w:t>
      </w:r>
      <w:r w:rsidRPr="006D70D3">
        <w:rPr>
          <w:rFonts w:cs="Arial"/>
          <w:color w:val="000000" w:themeColor="text1"/>
          <w:szCs w:val="24"/>
        </w:rPr>
        <w:t>m, reflecting the investment in our asset base and the impact of revaluations.</w:t>
      </w:r>
      <w:r w:rsidRPr="00927796">
        <w:rPr>
          <w:rFonts w:cs="Arial"/>
          <w:color w:val="000000" w:themeColor="text1"/>
          <w:szCs w:val="24"/>
        </w:rPr>
        <w:t xml:space="preserve"> </w:t>
      </w:r>
    </w:p>
    <w:p w14:paraId="427A4405" w14:textId="77777777" w:rsidR="00634FF1" w:rsidRPr="006D70D3" w:rsidRDefault="00634FF1" w:rsidP="095637AE">
      <w:pPr>
        <w:rPr>
          <w:rFonts w:cs="Arial"/>
          <w:b/>
          <w:color w:val="000000" w:themeColor="text1"/>
          <w:szCs w:val="24"/>
        </w:rPr>
      </w:pPr>
    </w:p>
    <w:p w14:paraId="67904E2E" w14:textId="77777777" w:rsidR="00634FF1" w:rsidRPr="008F5D0D" w:rsidRDefault="00634FF1" w:rsidP="095637AE">
      <w:pPr>
        <w:rPr>
          <w:rFonts w:cs="Arial"/>
          <w:b/>
          <w:szCs w:val="24"/>
        </w:rPr>
      </w:pPr>
      <w:r w:rsidRPr="00927796">
        <w:rPr>
          <w:rFonts w:cs="Arial"/>
          <w:b/>
          <w:bCs/>
          <w:szCs w:val="24"/>
        </w:rPr>
        <w:t>Future Financial Plans</w:t>
      </w:r>
    </w:p>
    <w:p w14:paraId="261416CD" w14:textId="77777777" w:rsidR="00634FF1" w:rsidRPr="006D70D3" w:rsidRDefault="00634FF1" w:rsidP="095637AE">
      <w:pPr>
        <w:rPr>
          <w:rFonts w:cs="Arial"/>
          <w:color w:val="000000" w:themeColor="text1"/>
          <w:szCs w:val="24"/>
        </w:rPr>
      </w:pPr>
    </w:p>
    <w:p w14:paraId="6BBB7303" w14:textId="6B9222B1" w:rsidR="00634FF1" w:rsidRPr="006D70D3" w:rsidRDefault="001B62DE" w:rsidP="095637AE">
      <w:pPr>
        <w:rPr>
          <w:rFonts w:cs="Arial"/>
          <w:szCs w:val="24"/>
        </w:rPr>
      </w:pPr>
      <w:r w:rsidRPr="006D70D3">
        <w:rPr>
          <w:rFonts w:cs="Arial"/>
          <w:szCs w:val="24"/>
        </w:rPr>
        <w:t>A new Government was elected in 2025</w:t>
      </w:r>
      <w:r w:rsidR="00211ECA" w:rsidRPr="006D70D3">
        <w:rPr>
          <w:rFonts w:cs="Arial"/>
          <w:szCs w:val="24"/>
        </w:rPr>
        <w:t xml:space="preserve"> and thus a </w:t>
      </w:r>
      <w:r w:rsidR="00720105" w:rsidRPr="006D70D3">
        <w:rPr>
          <w:rFonts w:cs="Arial"/>
          <w:szCs w:val="24"/>
        </w:rPr>
        <w:t>one-year</w:t>
      </w:r>
      <w:r w:rsidR="00211ECA" w:rsidRPr="006D70D3">
        <w:rPr>
          <w:rFonts w:cs="Arial"/>
          <w:szCs w:val="24"/>
        </w:rPr>
        <w:t xml:space="preserve"> settlement was provided for the final year of the previous Government for 2025/26. </w:t>
      </w:r>
      <w:r w:rsidR="008D042A" w:rsidRPr="006D70D3">
        <w:rPr>
          <w:rFonts w:cs="Arial"/>
          <w:szCs w:val="24"/>
        </w:rPr>
        <w:t xml:space="preserve">The new Government has committed to a </w:t>
      </w:r>
      <w:r w:rsidR="00863325" w:rsidRPr="006D70D3">
        <w:rPr>
          <w:rFonts w:cs="Arial"/>
          <w:szCs w:val="24"/>
        </w:rPr>
        <w:t xml:space="preserve">spending review, a </w:t>
      </w:r>
      <w:r w:rsidR="00720105" w:rsidRPr="006D70D3">
        <w:rPr>
          <w:rFonts w:cs="Arial"/>
          <w:szCs w:val="24"/>
        </w:rPr>
        <w:t>multi-year</w:t>
      </w:r>
      <w:r w:rsidR="008D042A" w:rsidRPr="006D70D3">
        <w:rPr>
          <w:rFonts w:cs="Arial"/>
          <w:szCs w:val="24"/>
        </w:rPr>
        <w:t xml:space="preserve"> settlement</w:t>
      </w:r>
      <w:r w:rsidR="00863325" w:rsidRPr="006D70D3">
        <w:rPr>
          <w:rFonts w:cs="Arial"/>
          <w:szCs w:val="24"/>
        </w:rPr>
        <w:t>, a review of the f</w:t>
      </w:r>
      <w:r w:rsidR="004F6AD1" w:rsidRPr="006D70D3">
        <w:rPr>
          <w:rFonts w:cs="Arial"/>
          <w:szCs w:val="24"/>
        </w:rPr>
        <w:t xml:space="preserve">unding formula and </w:t>
      </w:r>
      <w:r w:rsidR="00A9598D" w:rsidRPr="006D70D3">
        <w:rPr>
          <w:rFonts w:cs="Arial"/>
          <w:szCs w:val="24"/>
        </w:rPr>
        <w:t xml:space="preserve">review of </w:t>
      </w:r>
      <w:r w:rsidR="004F6AD1" w:rsidRPr="006D70D3">
        <w:rPr>
          <w:rFonts w:cs="Arial"/>
          <w:szCs w:val="24"/>
        </w:rPr>
        <w:t>business rates</w:t>
      </w:r>
      <w:r w:rsidR="00C1369B" w:rsidRPr="006D70D3">
        <w:rPr>
          <w:rFonts w:cs="Arial"/>
          <w:szCs w:val="24"/>
        </w:rPr>
        <w:t xml:space="preserve"> </w:t>
      </w:r>
      <w:r w:rsidR="00A9598D" w:rsidRPr="006D70D3">
        <w:rPr>
          <w:rFonts w:cs="Arial"/>
          <w:szCs w:val="24"/>
        </w:rPr>
        <w:t xml:space="preserve">retention scheme </w:t>
      </w:r>
      <w:r w:rsidR="00C1369B" w:rsidRPr="006D70D3">
        <w:rPr>
          <w:rFonts w:cs="Arial"/>
          <w:szCs w:val="24"/>
        </w:rPr>
        <w:t>for 2026/27</w:t>
      </w:r>
      <w:r w:rsidR="00A9598D" w:rsidRPr="006D70D3">
        <w:rPr>
          <w:rFonts w:cs="Arial"/>
          <w:szCs w:val="24"/>
        </w:rPr>
        <w:t xml:space="preserve">; all of which may </w:t>
      </w:r>
      <w:r w:rsidR="00E601CF" w:rsidRPr="006D70D3">
        <w:rPr>
          <w:rFonts w:cs="Arial"/>
          <w:szCs w:val="24"/>
        </w:rPr>
        <w:t xml:space="preserve">impact </w:t>
      </w:r>
      <w:r w:rsidR="009B4895" w:rsidRPr="006D70D3">
        <w:rPr>
          <w:rFonts w:cs="Arial"/>
          <w:szCs w:val="24"/>
        </w:rPr>
        <w:t xml:space="preserve">on </w:t>
      </w:r>
      <w:proofErr w:type="gramStart"/>
      <w:r w:rsidR="009B4895" w:rsidRPr="006D70D3">
        <w:rPr>
          <w:rFonts w:cs="Arial"/>
          <w:szCs w:val="24"/>
        </w:rPr>
        <w:t>future plans</w:t>
      </w:r>
      <w:proofErr w:type="gramEnd"/>
      <w:r w:rsidR="00634FF1" w:rsidRPr="006D70D3">
        <w:rPr>
          <w:rFonts w:cs="Arial"/>
          <w:szCs w:val="24"/>
        </w:rPr>
        <w:t>. The 2024/25 Local Government Finance Settlement showed an increase in the Governments Settlement Funding Assessment of 7.5%.</w:t>
      </w:r>
      <w:r w:rsidR="00634FF1" w:rsidRPr="00927796">
        <w:rPr>
          <w:rFonts w:cs="Arial"/>
          <w:szCs w:val="24"/>
        </w:rPr>
        <w:t xml:space="preserve"> </w:t>
      </w:r>
    </w:p>
    <w:p w14:paraId="1138314E" w14:textId="77777777" w:rsidR="00634FF1" w:rsidRPr="006D70D3" w:rsidRDefault="00634FF1" w:rsidP="095637AE">
      <w:pPr>
        <w:rPr>
          <w:rFonts w:cs="Arial"/>
          <w:color w:val="000000" w:themeColor="text1"/>
          <w:szCs w:val="24"/>
        </w:rPr>
      </w:pPr>
    </w:p>
    <w:p w14:paraId="33C83083" w14:textId="44B4AA41" w:rsidR="00634FF1" w:rsidRPr="006D70D3" w:rsidRDefault="00634FF1" w:rsidP="095637AE">
      <w:pPr>
        <w:rPr>
          <w:rFonts w:cs="Arial"/>
          <w:color w:val="000000" w:themeColor="text1"/>
          <w:szCs w:val="24"/>
        </w:rPr>
      </w:pPr>
      <w:r w:rsidRPr="006D70D3">
        <w:rPr>
          <w:rFonts w:cs="Arial"/>
          <w:color w:val="000000" w:themeColor="text1"/>
          <w:szCs w:val="24"/>
        </w:rPr>
        <w:t xml:space="preserve">The Government allowed Fire Authorities to increase council tax levels by </w:t>
      </w:r>
      <w:r w:rsidR="002238C1" w:rsidRPr="006D70D3">
        <w:rPr>
          <w:rFonts w:cs="Arial"/>
          <w:color w:val="000000" w:themeColor="text1"/>
          <w:szCs w:val="24"/>
        </w:rPr>
        <w:t>£5</w:t>
      </w:r>
      <w:r w:rsidRPr="006D70D3">
        <w:rPr>
          <w:rFonts w:cs="Arial"/>
          <w:color w:val="000000" w:themeColor="text1"/>
          <w:szCs w:val="24"/>
        </w:rPr>
        <w:t xml:space="preserve"> compared to </w:t>
      </w:r>
      <w:r w:rsidR="002238C1" w:rsidRPr="006D70D3">
        <w:rPr>
          <w:rFonts w:cs="Arial"/>
          <w:color w:val="000000" w:themeColor="text1"/>
          <w:szCs w:val="24"/>
        </w:rPr>
        <w:t>2.99%</w:t>
      </w:r>
      <w:r w:rsidRPr="006D70D3">
        <w:rPr>
          <w:rFonts w:cs="Arial"/>
          <w:color w:val="000000" w:themeColor="text1"/>
          <w:szCs w:val="24"/>
        </w:rPr>
        <w:t xml:space="preserve"> the previous year, resulting in a council tax of £8</w:t>
      </w:r>
      <w:r w:rsidR="007C0651" w:rsidRPr="006D70D3">
        <w:rPr>
          <w:rFonts w:cs="Arial"/>
          <w:color w:val="000000" w:themeColor="text1"/>
          <w:szCs w:val="24"/>
        </w:rPr>
        <w:t>9</w:t>
      </w:r>
      <w:r w:rsidRPr="006D70D3">
        <w:rPr>
          <w:rFonts w:cs="Arial"/>
          <w:color w:val="000000" w:themeColor="text1"/>
          <w:szCs w:val="24"/>
        </w:rPr>
        <w:t>.73 per band D property.</w:t>
      </w:r>
      <w:r w:rsidR="005400E8" w:rsidRPr="006D70D3">
        <w:rPr>
          <w:rFonts w:cs="Arial"/>
          <w:color w:val="000000" w:themeColor="text1"/>
          <w:szCs w:val="24"/>
        </w:rPr>
        <w:t xml:space="preserve"> </w:t>
      </w:r>
    </w:p>
    <w:p w14:paraId="21F9EDC1" w14:textId="77777777" w:rsidR="00634FF1" w:rsidRPr="006D70D3" w:rsidRDefault="00634FF1" w:rsidP="095637AE">
      <w:pPr>
        <w:rPr>
          <w:rFonts w:cs="Arial"/>
          <w:color w:val="000000" w:themeColor="text1"/>
          <w:szCs w:val="24"/>
        </w:rPr>
      </w:pPr>
    </w:p>
    <w:p w14:paraId="0C22C8A1" w14:textId="7654E618" w:rsidR="00634FF1" w:rsidRPr="006D70D3" w:rsidRDefault="00634FF1" w:rsidP="095637AE">
      <w:pPr>
        <w:rPr>
          <w:rFonts w:cs="Arial"/>
          <w:color w:val="000000" w:themeColor="text1"/>
          <w:szCs w:val="24"/>
        </w:rPr>
      </w:pPr>
      <w:r w:rsidRPr="006D70D3">
        <w:rPr>
          <w:rFonts w:cs="Arial"/>
          <w:color w:val="000000" w:themeColor="text1"/>
          <w:szCs w:val="24"/>
        </w:rPr>
        <w:t>The Authority agreed a net revenue budget of £7</w:t>
      </w:r>
      <w:r w:rsidR="004E79DF" w:rsidRPr="006D70D3">
        <w:rPr>
          <w:rFonts w:cs="Arial"/>
          <w:color w:val="000000" w:themeColor="text1"/>
          <w:szCs w:val="24"/>
        </w:rPr>
        <w:t>7</w:t>
      </w:r>
      <w:r w:rsidRPr="006D70D3">
        <w:rPr>
          <w:rFonts w:cs="Arial"/>
          <w:color w:val="000000" w:themeColor="text1"/>
          <w:szCs w:val="24"/>
        </w:rPr>
        <w:t>.</w:t>
      </w:r>
      <w:r w:rsidR="004E79DF" w:rsidRPr="006D70D3">
        <w:rPr>
          <w:rFonts w:cs="Arial"/>
          <w:color w:val="000000" w:themeColor="text1"/>
          <w:szCs w:val="24"/>
        </w:rPr>
        <w:t>5</w:t>
      </w:r>
      <w:r w:rsidRPr="006D70D3">
        <w:rPr>
          <w:rFonts w:cs="Arial"/>
          <w:color w:val="000000" w:themeColor="text1"/>
          <w:szCs w:val="24"/>
        </w:rPr>
        <w:t xml:space="preserve">m, allowing for inflationary pressures. Based on this the budget, as presented, is considered affordable, prudent, and sustainable, </w:t>
      </w:r>
      <w:r w:rsidRPr="006D70D3">
        <w:rPr>
          <w:rFonts w:cs="Arial"/>
          <w:color w:val="000000" w:themeColor="text1"/>
          <w:szCs w:val="24"/>
        </w:rPr>
        <w:lastRenderedPageBreak/>
        <w:t>whilst ensuring that the Authority can deliver against its corporate priorities.</w:t>
      </w:r>
      <w:r w:rsidR="00E26229" w:rsidRPr="006D70D3">
        <w:rPr>
          <w:rFonts w:cs="Arial"/>
          <w:color w:val="000000" w:themeColor="text1"/>
          <w:szCs w:val="24"/>
        </w:rPr>
        <w:t xml:space="preserve"> </w:t>
      </w:r>
      <w:r w:rsidR="00720105" w:rsidRPr="006D70D3">
        <w:rPr>
          <w:rFonts w:cs="Arial"/>
          <w:color w:val="000000" w:themeColor="text1"/>
          <w:szCs w:val="24"/>
        </w:rPr>
        <w:t>Overall,</w:t>
      </w:r>
      <w:r w:rsidR="00E26229" w:rsidRPr="006D70D3">
        <w:rPr>
          <w:rFonts w:cs="Arial"/>
          <w:color w:val="000000" w:themeColor="text1"/>
          <w:szCs w:val="24"/>
        </w:rPr>
        <w:t xml:space="preserve"> the net budget increased by 3%.</w:t>
      </w:r>
    </w:p>
    <w:p w14:paraId="2D776EDA" w14:textId="77777777" w:rsidR="00634FF1" w:rsidRPr="006D70D3" w:rsidRDefault="00634FF1" w:rsidP="095637AE">
      <w:pPr>
        <w:rPr>
          <w:rFonts w:cs="Arial"/>
          <w:szCs w:val="24"/>
        </w:rPr>
      </w:pPr>
    </w:p>
    <w:p w14:paraId="59E47B08" w14:textId="387E97A2" w:rsidR="00634FF1" w:rsidRPr="006D70D3" w:rsidRDefault="00634FF1" w:rsidP="095637AE">
      <w:pPr>
        <w:autoSpaceDE w:val="0"/>
        <w:autoSpaceDN w:val="0"/>
        <w:adjustRightInd w:val="0"/>
        <w:rPr>
          <w:rFonts w:cs="Arial"/>
          <w:color w:val="000000" w:themeColor="text1"/>
          <w:szCs w:val="24"/>
        </w:rPr>
      </w:pPr>
      <w:r w:rsidRPr="006D70D3">
        <w:rPr>
          <w:rFonts w:cs="Arial"/>
          <w:color w:val="000000" w:themeColor="text1"/>
          <w:szCs w:val="24"/>
        </w:rPr>
        <w:t>Given economic uncertainty, the potential impact of the Fair Funding Review and potential changes to local retention of Business rates, it is extremely difficult to anticipate what funding will look like beyond the existing settlement, hence for the purpose of medium</w:t>
      </w:r>
      <w:r w:rsidR="00550085" w:rsidRPr="006D70D3">
        <w:rPr>
          <w:rFonts w:cs="Arial"/>
          <w:color w:val="000000" w:themeColor="text1"/>
          <w:szCs w:val="24"/>
        </w:rPr>
        <w:t>-</w:t>
      </w:r>
      <w:r w:rsidRPr="006D70D3">
        <w:rPr>
          <w:rFonts w:cs="Arial"/>
          <w:color w:val="000000" w:themeColor="text1"/>
          <w:szCs w:val="24"/>
        </w:rPr>
        <w:t>term financial strategy we had assumed that the funding will increases broadly in line with inflation. Based on this we have been able to set a balanced budget in future years, after allowing for council tax increases in line with forecast inflation.</w:t>
      </w:r>
      <w:r w:rsidRPr="00927796">
        <w:rPr>
          <w:rFonts w:cs="Arial"/>
          <w:color w:val="000000" w:themeColor="text1"/>
          <w:szCs w:val="24"/>
        </w:rPr>
        <w:t xml:space="preserve"> </w:t>
      </w:r>
    </w:p>
    <w:p w14:paraId="2D50D9F1" w14:textId="77777777" w:rsidR="00634FF1" w:rsidRPr="006D70D3" w:rsidRDefault="00634FF1" w:rsidP="095637AE">
      <w:pPr>
        <w:rPr>
          <w:rFonts w:cs="Arial"/>
          <w:szCs w:val="24"/>
        </w:rPr>
      </w:pPr>
    </w:p>
    <w:p w14:paraId="11C5CBF2" w14:textId="2ABB10F1" w:rsidR="00634FF1" w:rsidRPr="006D70D3" w:rsidRDefault="00634FF1" w:rsidP="095637AE">
      <w:pPr>
        <w:rPr>
          <w:rFonts w:cs="Arial"/>
          <w:color w:val="000000" w:themeColor="text1"/>
          <w:szCs w:val="24"/>
        </w:rPr>
      </w:pPr>
      <w:r w:rsidRPr="006D70D3">
        <w:rPr>
          <w:rFonts w:cs="Arial"/>
          <w:color w:val="000000" w:themeColor="text1"/>
          <w:szCs w:val="24"/>
        </w:rPr>
        <w:t xml:space="preserve">The capital budget continues to invest in our asset base, in particular new buildings/stations, vehicle replacement, new operational </w:t>
      </w:r>
      <w:r w:rsidR="00550085" w:rsidRPr="006D70D3">
        <w:rPr>
          <w:rFonts w:cs="Arial"/>
          <w:color w:val="000000" w:themeColor="text1"/>
          <w:szCs w:val="24"/>
        </w:rPr>
        <w:t>equipment,</w:t>
      </w:r>
      <w:r w:rsidRPr="006D70D3">
        <w:rPr>
          <w:rFonts w:cs="Arial"/>
          <w:color w:val="000000" w:themeColor="text1"/>
          <w:szCs w:val="24"/>
        </w:rPr>
        <w:t xml:space="preserve"> and new IT requirements. This gives rise to a capital program of £</w:t>
      </w:r>
      <w:r w:rsidR="00B96771" w:rsidRPr="006D70D3">
        <w:rPr>
          <w:rFonts w:cs="Arial"/>
          <w:color w:val="000000" w:themeColor="text1"/>
          <w:szCs w:val="24"/>
        </w:rPr>
        <w:t>86</w:t>
      </w:r>
      <w:r w:rsidRPr="006D70D3">
        <w:rPr>
          <w:rFonts w:cs="Arial"/>
          <w:color w:val="000000" w:themeColor="text1"/>
          <w:szCs w:val="24"/>
        </w:rPr>
        <w:t>m over the next five years.</w:t>
      </w:r>
    </w:p>
    <w:p w14:paraId="6C2DAAC6" w14:textId="77777777" w:rsidR="00634FF1" w:rsidRPr="006D70D3" w:rsidRDefault="00634FF1" w:rsidP="095637AE">
      <w:pPr>
        <w:rPr>
          <w:rFonts w:cs="Arial"/>
          <w:color w:val="000000" w:themeColor="text1"/>
          <w:szCs w:val="24"/>
        </w:rPr>
      </w:pPr>
    </w:p>
    <w:p w14:paraId="2EFD600C" w14:textId="4CBD9969" w:rsidR="00634FF1" w:rsidRPr="006D70D3" w:rsidRDefault="00634FF1" w:rsidP="095637AE">
      <w:pPr>
        <w:rPr>
          <w:rFonts w:cs="Arial"/>
          <w:color w:val="000000" w:themeColor="text1"/>
          <w:szCs w:val="24"/>
        </w:rPr>
      </w:pPr>
      <w:r w:rsidRPr="006D70D3">
        <w:rPr>
          <w:rFonts w:cs="Arial"/>
          <w:color w:val="000000" w:themeColor="text1"/>
          <w:szCs w:val="24"/>
        </w:rPr>
        <w:t>We will continue to invest to ensure that our staff have the best equipment available, our vehicle programme sees us investing in enhanced aerial capability, whilst our operational equipment investment includes the replacement of our Breathing Apparatus sets and telemetry</w:t>
      </w:r>
      <w:r w:rsidR="00CE194D">
        <w:rPr>
          <w:rFonts w:cs="Arial"/>
          <w:color w:val="000000" w:themeColor="text1"/>
          <w:szCs w:val="24"/>
        </w:rPr>
        <w:t>.</w:t>
      </w:r>
    </w:p>
    <w:p w14:paraId="495A7869" w14:textId="77777777" w:rsidR="00634FF1" w:rsidRPr="006D70D3" w:rsidRDefault="00634FF1" w:rsidP="095637AE">
      <w:pPr>
        <w:rPr>
          <w:rFonts w:cs="Arial"/>
          <w:color w:val="000000" w:themeColor="text1"/>
          <w:szCs w:val="24"/>
        </w:rPr>
      </w:pPr>
    </w:p>
    <w:p w14:paraId="2ECA3BFF" w14:textId="77777777" w:rsidR="00634FF1" w:rsidRPr="006D70D3" w:rsidRDefault="00634FF1" w:rsidP="095637AE">
      <w:pPr>
        <w:rPr>
          <w:rFonts w:cs="Arial"/>
          <w:color w:val="000000" w:themeColor="text1"/>
          <w:szCs w:val="24"/>
        </w:rPr>
      </w:pPr>
      <w:r w:rsidRPr="006D70D3">
        <w:rPr>
          <w:rFonts w:cs="Arial"/>
          <w:color w:val="000000" w:themeColor="text1"/>
          <w:szCs w:val="24"/>
        </w:rPr>
        <w:t>When the national Emergency Services Mobile Communications Programme (ESMCP) progresses to a stage where we can purchase replacement radio and mobilising equipment, we will upgrade our current provision. This project has incurred delays and is outside of our control. It is assumed that any costs to the Authority will be funded by specific capital grant.</w:t>
      </w:r>
    </w:p>
    <w:p w14:paraId="1F6C7609" w14:textId="77777777" w:rsidR="00634FF1" w:rsidRPr="006D70D3" w:rsidRDefault="00634FF1" w:rsidP="095637AE">
      <w:pPr>
        <w:rPr>
          <w:rFonts w:cs="Arial"/>
          <w:color w:val="000000" w:themeColor="text1"/>
          <w:szCs w:val="24"/>
        </w:rPr>
      </w:pPr>
    </w:p>
    <w:p w14:paraId="1EF90D4A" w14:textId="77777777" w:rsidR="00634FF1" w:rsidRPr="006D70D3" w:rsidRDefault="00634FF1" w:rsidP="095637AE">
      <w:pPr>
        <w:rPr>
          <w:rFonts w:cs="Arial"/>
          <w:szCs w:val="24"/>
        </w:rPr>
      </w:pPr>
      <w:r w:rsidRPr="006D70D3">
        <w:rPr>
          <w:rFonts w:cs="Arial"/>
          <w:szCs w:val="24"/>
        </w:rPr>
        <w:t>Most of the capital programme relates to planned enhancements to our building stock, including the potential replacement of Service HQ and Preston Fire Station, together with enhancements to our training props at our Service Training Centre.</w:t>
      </w:r>
    </w:p>
    <w:p w14:paraId="537F9770" w14:textId="77777777" w:rsidR="00634FF1" w:rsidRPr="006D70D3" w:rsidRDefault="00634FF1" w:rsidP="095637AE">
      <w:pPr>
        <w:rPr>
          <w:rFonts w:cs="Arial"/>
          <w:szCs w:val="24"/>
        </w:rPr>
      </w:pPr>
    </w:p>
    <w:p w14:paraId="60E18F6F" w14:textId="20B32B96" w:rsidR="00634FF1" w:rsidRPr="006D70D3" w:rsidRDefault="00634FF1" w:rsidP="095637AE">
      <w:pPr>
        <w:rPr>
          <w:rFonts w:cs="Arial"/>
          <w:color w:val="000000" w:themeColor="text1"/>
          <w:szCs w:val="24"/>
        </w:rPr>
      </w:pPr>
      <w:r w:rsidRPr="006D70D3">
        <w:rPr>
          <w:rFonts w:cs="Arial"/>
          <w:szCs w:val="24"/>
        </w:rPr>
        <w:t>The capital programme shows the Authority utilising all its capital reserves and receipts by the end of 202</w:t>
      </w:r>
      <w:r w:rsidR="00B96771" w:rsidRPr="006D70D3">
        <w:rPr>
          <w:rFonts w:cs="Arial"/>
          <w:szCs w:val="24"/>
        </w:rPr>
        <w:t>6</w:t>
      </w:r>
      <w:r w:rsidRPr="006D70D3">
        <w:rPr>
          <w:rFonts w:cs="Arial"/>
          <w:szCs w:val="24"/>
        </w:rPr>
        <w:t>/2</w:t>
      </w:r>
      <w:r w:rsidR="00B96771" w:rsidRPr="006D70D3">
        <w:rPr>
          <w:rFonts w:cs="Arial"/>
          <w:szCs w:val="24"/>
        </w:rPr>
        <w:t>7</w:t>
      </w:r>
      <w:r w:rsidRPr="006D70D3">
        <w:rPr>
          <w:rFonts w:cs="Arial"/>
          <w:szCs w:val="24"/>
        </w:rPr>
        <w:t>, meaning that the remainder of the capital programme will need to be met from £</w:t>
      </w:r>
      <w:r w:rsidR="003609D2" w:rsidRPr="006D70D3">
        <w:rPr>
          <w:rFonts w:cs="Arial"/>
          <w:szCs w:val="24"/>
        </w:rPr>
        <w:t>49</w:t>
      </w:r>
      <w:r w:rsidRPr="006D70D3">
        <w:rPr>
          <w:rFonts w:cs="Arial"/>
          <w:szCs w:val="24"/>
        </w:rPr>
        <w:t>m of new borrowing. New borrowing will impact the revenue budget as capital financing (interest payable and Minimum Revenue Provision - MRP) charges and therefore efficiency savings of £2.5m will need to be delivered in the medium term, and this is reflected in our Medium-Term Financial Strategy.</w:t>
      </w:r>
    </w:p>
    <w:p w14:paraId="484876CE" w14:textId="77777777" w:rsidR="00634FF1" w:rsidRPr="006D70D3" w:rsidRDefault="00634FF1" w:rsidP="095637AE">
      <w:pPr>
        <w:rPr>
          <w:rFonts w:cs="Arial"/>
          <w:color w:val="000000" w:themeColor="text1"/>
          <w:szCs w:val="24"/>
        </w:rPr>
      </w:pPr>
    </w:p>
    <w:p w14:paraId="1F02A2BE" w14:textId="77777777" w:rsidR="00634FF1" w:rsidRPr="006D70D3" w:rsidRDefault="00634FF1" w:rsidP="095637AE">
      <w:pPr>
        <w:rPr>
          <w:rFonts w:cs="Arial"/>
          <w:color w:val="000000" w:themeColor="text1"/>
          <w:szCs w:val="24"/>
        </w:rPr>
      </w:pPr>
      <w:r w:rsidRPr="006D70D3">
        <w:rPr>
          <w:rFonts w:cs="Arial"/>
          <w:color w:val="000000" w:themeColor="text1"/>
          <w:szCs w:val="24"/>
        </w:rPr>
        <w:t xml:space="preserve">The following significant financial risks have all been assessed and the Treasurer feels that these are adequately covered within the budget estimates or within the level of reserves currently </w:t>
      </w:r>
      <w:proofErr w:type="gramStart"/>
      <w:r w:rsidRPr="006D70D3">
        <w:rPr>
          <w:rFonts w:cs="Arial"/>
          <w:color w:val="000000" w:themeColor="text1"/>
          <w:szCs w:val="24"/>
        </w:rPr>
        <w:t>held:-</w:t>
      </w:r>
      <w:proofErr w:type="gramEnd"/>
    </w:p>
    <w:p w14:paraId="432A07B3" w14:textId="77777777" w:rsidR="00634FF1" w:rsidRPr="006D70D3" w:rsidRDefault="00634FF1" w:rsidP="095637AE">
      <w:pPr>
        <w:rPr>
          <w:rFonts w:cs="Arial"/>
          <w:color w:val="000000" w:themeColor="text1"/>
          <w:szCs w:val="24"/>
        </w:rPr>
      </w:pPr>
    </w:p>
    <w:p w14:paraId="7FB66FE9"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Reduction in Business Rate funding following the reset of business rates due in 2026/27.</w:t>
      </w:r>
    </w:p>
    <w:p w14:paraId="14F04352"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Adverse impact for the Fire Sector following the three-year Spending Review that is due for completion in late 2025.</w:t>
      </w:r>
    </w:p>
    <w:p w14:paraId="60535610"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Adverse impact for LFRS following the review of the Funding Formula</w:t>
      </w:r>
    </w:p>
    <w:p w14:paraId="78198345"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Non delivery of savings required in the MTFS.</w:t>
      </w:r>
    </w:p>
    <w:p w14:paraId="05CDD7A5"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Changes to the Business Rates Retention Scheme.</w:t>
      </w:r>
    </w:p>
    <w:p w14:paraId="44D685DF"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Adverse changes because of the implementation of the Fair Funding Review.</w:t>
      </w:r>
    </w:p>
    <w:p w14:paraId="74DA86F0" w14:textId="77777777" w:rsidR="003A7FA9" w:rsidRPr="00A63FB1" w:rsidRDefault="003A7FA9" w:rsidP="00A63FB1">
      <w:pPr>
        <w:numPr>
          <w:ilvl w:val="0"/>
          <w:numId w:val="37"/>
        </w:numPr>
        <w:rPr>
          <w:rFonts w:cs="Arial"/>
          <w:color w:val="000000" w:themeColor="text1"/>
          <w:szCs w:val="24"/>
        </w:rPr>
      </w:pPr>
      <w:r w:rsidRPr="00A63FB1">
        <w:rPr>
          <w:rFonts w:cs="Arial"/>
          <w:color w:val="000000" w:themeColor="text1"/>
          <w:szCs w:val="24"/>
        </w:rPr>
        <w:t>Reduction in Council Tax funding.</w:t>
      </w:r>
    </w:p>
    <w:p w14:paraId="7E779799" w14:textId="77777777" w:rsidR="003A7FA9" w:rsidRPr="00853E26" w:rsidRDefault="003A7FA9" w:rsidP="00A63FB1">
      <w:pPr>
        <w:numPr>
          <w:ilvl w:val="0"/>
          <w:numId w:val="37"/>
        </w:numPr>
        <w:rPr>
          <w:rFonts w:cs="Arial"/>
          <w:color w:val="000000" w:themeColor="text1"/>
          <w:szCs w:val="24"/>
        </w:rPr>
      </w:pPr>
      <w:r w:rsidRPr="00853E26">
        <w:rPr>
          <w:rFonts w:cs="Arial"/>
          <w:color w:val="000000" w:themeColor="text1"/>
          <w:szCs w:val="24"/>
        </w:rPr>
        <w:t>Higher than anticipated inflation.</w:t>
      </w:r>
    </w:p>
    <w:p w14:paraId="4CFFD6DF" w14:textId="77777777" w:rsidR="003A7FA9" w:rsidRPr="00853E26" w:rsidRDefault="003A7FA9" w:rsidP="00A63FB1">
      <w:pPr>
        <w:numPr>
          <w:ilvl w:val="0"/>
          <w:numId w:val="37"/>
        </w:numPr>
        <w:rPr>
          <w:rFonts w:cs="Arial"/>
          <w:color w:val="000000" w:themeColor="text1"/>
          <w:szCs w:val="24"/>
        </w:rPr>
      </w:pPr>
      <w:r w:rsidRPr="00853E26">
        <w:rPr>
          <w:rFonts w:cs="Arial"/>
          <w:color w:val="000000" w:themeColor="text1"/>
          <w:szCs w:val="24"/>
        </w:rPr>
        <w:t>Larger increases in pension costs.</w:t>
      </w:r>
    </w:p>
    <w:p w14:paraId="0DE30075" w14:textId="77777777" w:rsidR="003A7FA9" w:rsidRPr="00853E26" w:rsidRDefault="003A7FA9" w:rsidP="00A63FB1">
      <w:pPr>
        <w:numPr>
          <w:ilvl w:val="0"/>
          <w:numId w:val="37"/>
        </w:numPr>
        <w:rPr>
          <w:rFonts w:cs="Arial"/>
          <w:color w:val="000000" w:themeColor="text1"/>
          <w:szCs w:val="24"/>
        </w:rPr>
      </w:pPr>
      <w:r w:rsidRPr="00853E26">
        <w:rPr>
          <w:rFonts w:cs="Arial"/>
          <w:color w:val="000000" w:themeColor="text1"/>
          <w:szCs w:val="24"/>
        </w:rPr>
        <w:t>Significant changes to retirement profiles.</w:t>
      </w:r>
    </w:p>
    <w:p w14:paraId="58953B01" w14:textId="77777777" w:rsidR="003A7FA9" w:rsidRPr="00853E26" w:rsidRDefault="003A7FA9" w:rsidP="00A63FB1">
      <w:pPr>
        <w:numPr>
          <w:ilvl w:val="0"/>
          <w:numId w:val="37"/>
        </w:numPr>
        <w:rPr>
          <w:rFonts w:cs="Arial"/>
          <w:color w:val="000000" w:themeColor="text1"/>
          <w:szCs w:val="24"/>
        </w:rPr>
      </w:pPr>
      <w:r w:rsidRPr="00853E26">
        <w:rPr>
          <w:rFonts w:cs="Arial"/>
          <w:color w:val="000000" w:themeColor="text1"/>
          <w:szCs w:val="24"/>
        </w:rPr>
        <w:lastRenderedPageBreak/>
        <w:t>Increase in demand led pressures.</w:t>
      </w:r>
    </w:p>
    <w:p w14:paraId="70057F89" w14:textId="77777777" w:rsidR="003A7FA9" w:rsidRPr="00853E26" w:rsidRDefault="003A7FA9" w:rsidP="00A63FB1">
      <w:pPr>
        <w:numPr>
          <w:ilvl w:val="0"/>
          <w:numId w:val="37"/>
        </w:numPr>
        <w:rPr>
          <w:rFonts w:cs="Arial"/>
          <w:color w:val="000000" w:themeColor="text1"/>
          <w:szCs w:val="24"/>
        </w:rPr>
      </w:pPr>
      <w:r w:rsidRPr="00853E26">
        <w:rPr>
          <w:rFonts w:cs="Arial"/>
          <w:color w:val="000000" w:themeColor="text1"/>
          <w:szCs w:val="24"/>
        </w:rPr>
        <w:t>Higher insurance claims.</w:t>
      </w:r>
    </w:p>
    <w:p w14:paraId="1DFA935F" w14:textId="77777777" w:rsidR="003A7FA9" w:rsidRPr="00853E26" w:rsidRDefault="003A7FA9" w:rsidP="00A63FB1">
      <w:pPr>
        <w:numPr>
          <w:ilvl w:val="0"/>
          <w:numId w:val="37"/>
        </w:numPr>
        <w:rPr>
          <w:rFonts w:cs="Arial"/>
          <w:color w:val="000000" w:themeColor="text1"/>
          <w:szCs w:val="24"/>
        </w:rPr>
      </w:pPr>
      <w:r w:rsidRPr="00853E26">
        <w:rPr>
          <w:rFonts w:cs="Arial"/>
          <w:color w:val="000000" w:themeColor="text1"/>
          <w:szCs w:val="24"/>
        </w:rPr>
        <w:t>Higher interest rates assumed for borrowing.</w:t>
      </w:r>
    </w:p>
    <w:p w14:paraId="2A814AC2" w14:textId="77777777" w:rsidR="009828AD" w:rsidRDefault="009828AD" w:rsidP="00381C1B">
      <w:pPr>
        <w:rPr>
          <w:rFonts w:cs="Arial"/>
          <w:b/>
          <w:szCs w:val="24"/>
        </w:rPr>
      </w:pPr>
    </w:p>
    <w:p w14:paraId="057A58EE" w14:textId="68980193" w:rsidR="00634FF1" w:rsidRPr="00A63FB1" w:rsidRDefault="00634FF1" w:rsidP="00381C1B">
      <w:pPr>
        <w:rPr>
          <w:rFonts w:cs="Arial"/>
          <w:b/>
          <w:szCs w:val="24"/>
        </w:rPr>
      </w:pPr>
      <w:r w:rsidRPr="00A63FB1">
        <w:rPr>
          <w:rFonts w:cs="Arial"/>
          <w:b/>
          <w:szCs w:val="24"/>
        </w:rPr>
        <w:t>Accounting Changes</w:t>
      </w:r>
    </w:p>
    <w:p w14:paraId="41B261A0" w14:textId="77777777" w:rsidR="00634FF1" w:rsidRPr="00146B02" w:rsidRDefault="00634FF1" w:rsidP="00381C1B">
      <w:pPr>
        <w:rPr>
          <w:rFonts w:cs="Arial"/>
          <w:szCs w:val="24"/>
        </w:rPr>
      </w:pPr>
    </w:p>
    <w:p w14:paraId="735815AF" w14:textId="0D838D60" w:rsidR="00634FF1" w:rsidRPr="00146B02" w:rsidRDefault="00634FF1" w:rsidP="00381C1B">
      <w:pPr>
        <w:rPr>
          <w:rFonts w:cs="Arial"/>
          <w:b/>
          <w:szCs w:val="24"/>
        </w:rPr>
      </w:pPr>
      <w:r w:rsidRPr="00146B02">
        <w:rPr>
          <w:rFonts w:cs="Arial"/>
          <w:szCs w:val="24"/>
        </w:rPr>
        <w:t>The accounts have been prepared in accordance with the requirements of the Code of Practice on Local Authority Accounting in the United Kingdom 202</w:t>
      </w:r>
      <w:r w:rsidR="00C60ED8" w:rsidRPr="00146B02">
        <w:rPr>
          <w:rFonts w:cs="Arial"/>
          <w:szCs w:val="24"/>
        </w:rPr>
        <w:t>4</w:t>
      </w:r>
      <w:r w:rsidRPr="00146B02">
        <w:rPr>
          <w:rFonts w:cs="Arial"/>
          <w:szCs w:val="24"/>
        </w:rPr>
        <w:t>/2</w:t>
      </w:r>
      <w:r w:rsidR="00C60ED8" w:rsidRPr="00146B02">
        <w:rPr>
          <w:rFonts w:cs="Arial"/>
          <w:szCs w:val="24"/>
        </w:rPr>
        <w:t>5</w:t>
      </w:r>
      <w:r w:rsidRPr="00146B02">
        <w:rPr>
          <w:rFonts w:cs="Arial"/>
          <w:szCs w:val="24"/>
        </w:rPr>
        <w:t xml:space="preserve"> (the Code).</w:t>
      </w:r>
      <w:bookmarkStart w:id="2" w:name="Governance"/>
      <w:bookmarkEnd w:id="2"/>
    </w:p>
    <w:p w14:paraId="1544BD42" w14:textId="77777777" w:rsidR="00634FF1" w:rsidRPr="00927796" w:rsidRDefault="00634FF1" w:rsidP="00381C1B">
      <w:pPr>
        <w:rPr>
          <w:rFonts w:cs="Arial"/>
          <w:b/>
          <w:bCs/>
          <w:szCs w:val="24"/>
          <w:highlight w:val="red"/>
        </w:rPr>
      </w:pPr>
      <w:bookmarkStart w:id="3" w:name="Audit"/>
      <w:bookmarkEnd w:id="3"/>
    </w:p>
    <w:p w14:paraId="376F9B4C" w14:textId="48694886" w:rsidR="00360D75" w:rsidRPr="00146B02" w:rsidRDefault="00A5396C" w:rsidP="00853E26">
      <w:pPr>
        <w:pStyle w:val="Heading1"/>
        <w:rPr>
          <w:rFonts w:cs="Arial"/>
          <w:szCs w:val="24"/>
        </w:rPr>
      </w:pPr>
      <w:bookmarkStart w:id="4" w:name="_Toc215593382"/>
      <w:r w:rsidRPr="00927796">
        <w:rPr>
          <w:rFonts w:cs="Arial"/>
          <w:szCs w:val="24"/>
        </w:rPr>
        <w:t xml:space="preserve">Statement on Annual Governance Arrangements by </w:t>
      </w:r>
      <w:r w:rsidR="00286A54" w:rsidRPr="00927796">
        <w:rPr>
          <w:rFonts w:cs="Arial"/>
          <w:szCs w:val="24"/>
        </w:rPr>
        <w:t>T</w:t>
      </w:r>
      <w:r w:rsidRPr="00927796">
        <w:rPr>
          <w:rFonts w:cs="Arial"/>
          <w:szCs w:val="24"/>
        </w:rPr>
        <w:t xml:space="preserve">he Chairman </w:t>
      </w:r>
      <w:r w:rsidR="00286A54" w:rsidRPr="00927796">
        <w:rPr>
          <w:rFonts w:cs="Arial"/>
          <w:szCs w:val="24"/>
        </w:rPr>
        <w:t>o</w:t>
      </w:r>
      <w:r w:rsidRPr="00927796">
        <w:rPr>
          <w:rFonts w:cs="Arial"/>
          <w:szCs w:val="24"/>
        </w:rPr>
        <w:t xml:space="preserve">f </w:t>
      </w:r>
      <w:r w:rsidR="00286A54" w:rsidRPr="00927796">
        <w:rPr>
          <w:rFonts w:cs="Arial"/>
          <w:szCs w:val="24"/>
        </w:rPr>
        <w:t>T</w:t>
      </w:r>
      <w:r w:rsidRPr="00927796">
        <w:rPr>
          <w:rFonts w:cs="Arial"/>
          <w:szCs w:val="24"/>
        </w:rPr>
        <w:t xml:space="preserve">he Combined Fire Authority, The Treasurer </w:t>
      </w:r>
      <w:r w:rsidR="00286A54" w:rsidRPr="00927796">
        <w:rPr>
          <w:rFonts w:cs="Arial"/>
          <w:szCs w:val="24"/>
        </w:rPr>
        <w:t>t</w:t>
      </w:r>
      <w:r w:rsidRPr="00927796">
        <w:rPr>
          <w:rFonts w:cs="Arial"/>
          <w:szCs w:val="24"/>
        </w:rPr>
        <w:t xml:space="preserve">o The Combined Fire Authority </w:t>
      </w:r>
      <w:r w:rsidR="00286A54" w:rsidRPr="00927796">
        <w:rPr>
          <w:rFonts w:cs="Arial"/>
          <w:szCs w:val="24"/>
        </w:rPr>
        <w:t>a</w:t>
      </w:r>
      <w:r w:rsidRPr="00927796">
        <w:rPr>
          <w:rFonts w:cs="Arial"/>
          <w:szCs w:val="24"/>
        </w:rPr>
        <w:t>nd The Chief Fire Officer</w:t>
      </w:r>
      <w:bookmarkEnd w:id="4"/>
    </w:p>
    <w:p w14:paraId="4FA59045" w14:textId="77777777" w:rsidR="00360D75" w:rsidRPr="00927796" w:rsidRDefault="00360D75" w:rsidP="00381C1B">
      <w:pPr>
        <w:rPr>
          <w:rFonts w:cs="Arial"/>
          <w:szCs w:val="24"/>
        </w:rPr>
      </w:pPr>
    </w:p>
    <w:p w14:paraId="1D9C82DB" w14:textId="77777777" w:rsidR="00360D75" w:rsidRPr="00927796" w:rsidRDefault="00360D75" w:rsidP="00381C1B">
      <w:pPr>
        <w:rPr>
          <w:rFonts w:cs="Arial"/>
          <w:b/>
          <w:bCs/>
          <w:szCs w:val="24"/>
        </w:rPr>
      </w:pPr>
      <w:r w:rsidRPr="00927796">
        <w:rPr>
          <w:rFonts w:cs="Arial"/>
          <w:b/>
          <w:bCs/>
          <w:szCs w:val="24"/>
        </w:rPr>
        <w:t>Scope of Responsibility</w:t>
      </w:r>
    </w:p>
    <w:p w14:paraId="1854D298" w14:textId="77777777" w:rsidR="00360D75" w:rsidRPr="00927796" w:rsidRDefault="00360D75" w:rsidP="00381C1B">
      <w:pPr>
        <w:rPr>
          <w:rFonts w:cs="Arial"/>
          <w:b/>
          <w:bCs/>
          <w:szCs w:val="24"/>
        </w:rPr>
      </w:pPr>
    </w:p>
    <w:p w14:paraId="091FCC31" w14:textId="7E1970B1" w:rsidR="00360D75" w:rsidRPr="00927796" w:rsidRDefault="00360D75" w:rsidP="00381C1B">
      <w:pPr>
        <w:rPr>
          <w:rFonts w:cs="Arial"/>
          <w:szCs w:val="24"/>
        </w:rPr>
      </w:pPr>
      <w:r w:rsidRPr="00927796">
        <w:rPr>
          <w:rFonts w:cs="Arial"/>
          <w:szCs w:val="24"/>
        </w:rPr>
        <w:t xml:space="preserve">Lancashire Combined Fire Authority (the Authority) is responsible for ensuring that its business is conducted in accordance with the law and proper standards, and that public money is safeguarded and properly accounted for, and used economically, efficiently and effectively. The Authority also has a duty under the Local Government Act 1999 to </w:t>
      </w:r>
      <w:proofErr w:type="gramStart"/>
      <w:r w:rsidRPr="00927796">
        <w:rPr>
          <w:rFonts w:cs="Arial"/>
          <w:szCs w:val="24"/>
        </w:rPr>
        <w:t>make arrangements</w:t>
      </w:r>
      <w:proofErr w:type="gramEnd"/>
      <w:r w:rsidRPr="00927796">
        <w:rPr>
          <w:rFonts w:cs="Arial"/>
          <w:szCs w:val="24"/>
        </w:rPr>
        <w:t xml:space="preserve"> to secure continuous improvement in the way in which its functions are exercised, having regard to a combination of economy, efficiency and effectiveness.</w:t>
      </w:r>
    </w:p>
    <w:p w14:paraId="23E92568" w14:textId="77777777" w:rsidR="00360D75" w:rsidRPr="00927796" w:rsidRDefault="00360D75" w:rsidP="00381C1B">
      <w:pPr>
        <w:autoSpaceDE w:val="0"/>
        <w:autoSpaceDN w:val="0"/>
        <w:adjustRightInd w:val="0"/>
        <w:rPr>
          <w:rFonts w:cs="Arial"/>
          <w:szCs w:val="24"/>
        </w:rPr>
      </w:pPr>
    </w:p>
    <w:p w14:paraId="424CC3B3" w14:textId="77777777" w:rsidR="00360D75" w:rsidRPr="00927796" w:rsidRDefault="00360D75" w:rsidP="00381C1B">
      <w:pPr>
        <w:autoSpaceDE w:val="0"/>
        <w:autoSpaceDN w:val="0"/>
        <w:adjustRightInd w:val="0"/>
        <w:rPr>
          <w:rFonts w:cs="Arial"/>
          <w:szCs w:val="24"/>
        </w:rPr>
      </w:pPr>
      <w:r w:rsidRPr="00927796">
        <w:rPr>
          <w:rFonts w:cs="Arial"/>
          <w:szCs w:val="24"/>
        </w:rPr>
        <w:t>In discharging this overall responsibility, the Authority is responsible for putting in place proper arrangements for the governance of its affairs facilitating the effective exercise of its functions, and which includes arrangements for the management of risk.</w:t>
      </w:r>
    </w:p>
    <w:p w14:paraId="15FC775B" w14:textId="77777777" w:rsidR="00360D75" w:rsidRPr="00927796" w:rsidRDefault="00360D75" w:rsidP="00381C1B">
      <w:pPr>
        <w:autoSpaceDE w:val="0"/>
        <w:autoSpaceDN w:val="0"/>
        <w:adjustRightInd w:val="0"/>
        <w:rPr>
          <w:rFonts w:cs="Arial"/>
          <w:szCs w:val="24"/>
        </w:rPr>
      </w:pPr>
    </w:p>
    <w:p w14:paraId="117BA2EC" w14:textId="171956EE" w:rsidR="00360D75" w:rsidRPr="00927796" w:rsidRDefault="00360D75" w:rsidP="00381C1B">
      <w:pPr>
        <w:rPr>
          <w:rFonts w:cs="Arial"/>
          <w:szCs w:val="24"/>
        </w:rPr>
      </w:pPr>
      <w:r w:rsidRPr="00927796">
        <w:rPr>
          <w:rFonts w:cs="Arial"/>
          <w:szCs w:val="24"/>
        </w:rPr>
        <w:t xml:space="preserve">The Authority approved and adopted an updated Local Code of Corporate Governance in </w:t>
      </w:r>
      <w:r w:rsidR="007B0422" w:rsidRPr="00927796">
        <w:rPr>
          <w:rFonts w:cs="Arial"/>
          <w:szCs w:val="24"/>
        </w:rPr>
        <w:t>2018,</w:t>
      </w:r>
      <w:r w:rsidRPr="00927796">
        <w:rPr>
          <w:rFonts w:cs="Arial"/>
          <w:szCs w:val="24"/>
        </w:rPr>
        <w:t xml:space="preserve"> and this was reviewed by the Audit Committee in July 2024. It aligns with the principles of the CIPFA/SOLACE Framework </w:t>
      </w:r>
      <w:r w:rsidRPr="00927796">
        <w:rPr>
          <w:rFonts w:cs="Arial"/>
          <w:i/>
          <w:iCs/>
          <w:szCs w:val="24"/>
        </w:rPr>
        <w:t>Delivering</w:t>
      </w:r>
      <w:r w:rsidRPr="00927796">
        <w:rPr>
          <w:rFonts w:cs="Arial"/>
          <w:szCs w:val="24"/>
        </w:rPr>
        <w:t xml:space="preserve"> </w:t>
      </w:r>
      <w:r w:rsidRPr="00927796">
        <w:rPr>
          <w:rFonts w:cs="Arial"/>
          <w:i/>
          <w:iCs/>
          <w:szCs w:val="24"/>
        </w:rPr>
        <w:t>Good Governance in Local Government Framework 2016</w:t>
      </w:r>
      <w:r w:rsidRPr="00927796">
        <w:rPr>
          <w:rFonts w:cs="Arial"/>
          <w:szCs w:val="24"/>
        </w:rPr>
        <w:t xml:space="preserve">. Included within the Code are the following core </w:t>
      </w:r>
      <w:proofErr w:type="gramStart"/>
      <w:r w:rsidRPr="00927796">
        <w:rPr>
          <w:rFonts w:cs="Arial"/>
          <w:szCs w:val="24"/>
        </w:rPr>
        <w:t>principles:-</w:t>
      </w:r>
      <w:proofErr w:type="gramEnd"/>
    </w:p>
    <w:p w14:paraId="4F25E870" w14:textId="77777777" w:rsidR="00360D75" w:rsidRPr="00927796" w:rsidRDefault="00360D75" w:rsidP="00381C1B">
      <w:pPr>
        <w:rPr>
          <w:rFonts w:cs="Arial"/>
          <w:szCs w:val="24"/>
        </w:rPr>
      </w:pPr>
    </w:p>
    <w:p w14:paraId="7C52ED12" w14:textId="77777777" w:rsidR="00360D75" w:rsidRPr="00927796" w:rsidRDefault="00360D75" w:rsidP="00381C1B">
      <w:pPr>
        <w:numPr>
          <w:ilvl w:val="0"/>
          <w:numId w:val="32"/>
        </w:numPr>
        <w:tabs>
          <w:tab w:val="clear" w:pos="720"/>
          <w:tab w:val="num" w:pos="426"/>
        </w:tabs>
        <w:ind w:left="426" w:hanging="426"/>
        <w:rPr>
          <w:rFonts w:cs="Arial"/>
          <w:szCs w:val="24"/>
        </w:rPr>
      </w:pPr>
      <w:r w:rsidRPr="00927796">
        <w:rPr>
          <w:rFonts w:cs="Arial"/>
          <w:color w:val="000000" w:themeColor="text1"/>
          <w:szCs w:val="24"/>
        </w:rPr>
        <w:t xml:space="preserve">Behaving with integrity, demonstrating strong commitment to ethical values, and respecting the rule of law </w:t>
      </w:r>
    </w:p>
    <w:p w14:paraId="145DCA52" w14:textId="77777777" w:rsidR="00360D75" w:rsidRPr="00927796" w:rsidRDefault="00360D75" w:rsidP="00381C1B">
      <w:pPr>
        <w:numPr>
          <w:ilvl w:val="0"/>
          <w:numId w:val="32"/>
        </w:numPr>
        <w:tabs>
          <w:tab w:val="clear" w:pos="720"/>
          <w:tab w:val="num" w:pos="426"/>
        </w:tabs>
        <w:ind w:left="426" w:hanging="426"/>
        <w:rPr>
          <w:rFonts w:cs="Arial"/>
          <w:color w:val="000000"/>
          <w:szCs w:val="24"/>
        </w:rPr>
      </w:pPr>
      <w:r w:rsidRPr="00927796">
        <w:rPr>
          <w:rFonts w:cs="Arial"/>
          <w:color w:val="000000" w:themeColor="text1"/>
          <w:szCs w:val="24"/>
        </w:rPr>
        <w:t xml:space="preserve">Ensuring openness and comprehensive stakeholder engagement </w:t>
      </w:r>
    </w:p>
    <w:p w14:paraId="6D276C26" w14:textId="77777777" w:rsidR="00360D75" w:rsidRPr="00927796" w:rsidRDefault="00360D75" w:rsidP="00381C1B">
      <w:pPr>
        <w:numPr>
          <w:ilvl w:val="0"/>
          <w:numId w:val="32"/>
        </w:numPr>
        <w:tabs>
          <w:tab w:val="clear" w:pos="720"/>
          <w:tab w:val="num" w:pos="426"/>
        </w:tabs>
        <w:ind w:left="426" w:hanging="426"/>
        <w:rPr>
          <w:rFonts w:cs="Arial"/>
          <w:szCs w:val="24"/>
        </w:rPr>
      </w:pPr>
      <w:r w:rsidRPr="00927796">
        <w:rPr>
          <w:rFonts w:cs="Arial"/>
          <w:color w:val="000000" w:themeColor="text1"/>
          <w:szCs w:val="24"/>
        </w:rPr>
        <w:t xml:space="preserve">Defining outcomes in terms of sustainable economic, social, and environmental benefits </w:t>
      </w:r>
    </w:p>
    <w:p w14:paraId="1C6CEF22" w14:textId="77777777" w:rsidR="00360D75" w:rsidRPr="00927796" w:rsidRDefault="00360D75" w:rsidP="00381C1B">
      <w:pPr>
        <w:numPr>
          <w:ilvl w:val="0"/>
          <w:numId w:val="32"/>
        </w:numPr>
        <w:tabs>
          <w:tab w:val="clear" w:pos="720"/>
          <w:tab w:val="num" w:pos="426"/>
        </w:tabs>
        <w:ind w:left="426" w:hanging="426"/>
        <w:rPr>
          <w:rFonts w:cs="Arial"/>
          <w:szCs w:val="24"/>
        </w:rPr>
      </w:pPr>
      <w:r w:rsidRPr="00927796">
        <w:rPr>
          <w:rFonts w:cs="Arial"/>
          <w:color w:val="000000" w:themeColor="text1"/>
          <w:szCs w:val="24"/>
        </w:rPr>
        <w:t xml:space="preserve">Determining the interventions necessary to optimise the achievement of the intended outcomes </w:t>
      </w:r>
    </w:p>
    <w:p w14:paraId="1A1EB29C" w14:textId="77777777" w:rsidR="00360D75" w:rsidRPr="00927796" w:rsidRDefault="00360D75" w:rsidP="00381C1B">
      <w:pPr>
        <w:numPr>
          <w:ilvl w:val="0"/>
          <w:numId w:val="32"/>
        </w:numPr>
        <w:tabs>
          <w:tab w:val="clear" w:pos="720"/>
          <w:tab w:val="num" w:pos="426"/>
        </w:tabs>
        <w:ind w:left="426" w:hanging="426"/>
        <w:rPr>
          <w:rFonts w:cs="Arial"/>
          <w:szCs w:val="24"/>
        </w:rPr>
      </w:pPr>
      <w:r w:rsidRPr="00927796">
        <w:rPr>
          <w:rFonts w:cs="Arial"/>
          <w:color w:val="000000" w:themeColor="text1"/>
          <w:szCs w:val="24"/>
        </w:rPr>
        <w:t xml:space="preserve">Developing the entity’s capacity, including the capability of its leadership and the individuals within it </w:t>
      </w:r>
    </w:p>
    <w:p w14:paraId="26B6DA8C" w14:textId="77777777" w:rsidR="00360D75" w:rsidRPr="00927796" w:rsidRDefault="00360D75" w:rsidP="00381C1B">
      <w:pPr>
        <w:numPr>
          <w:ilvl w:val="0"/>
          <w:numId w:val="32"/>
        </w:numPr>
        <w:tabs>
          <w:tab w:val="clear" w:pos="720"/>
          <w:tab w:val="num" w:pos="426"/>
        </w:tabs>
        <w:ind w:left="426" w:hanging="426"/>
        <w:rPr>
          <w:rFonts w:cs="Arial"/>
          <w:szCs w:val="24"/>
        </w:rPr>
      </w:pPr>
      <w:r w:rsidRPr="00927796">
        <w:rPr>
          <w:rFonts w:cs="Arial"/>
          <w:color w:val="000000" w:themeColor="text1"/>
          <w:szCs w:val="24"/>
        </w:rPr>
        <w:t xml:space="preserve">Managing risks and performance through robust internal control and strong public financial management </w:t>
      </w:r>
    </w:p>
    <w:p w14:paraId="4FEAF876" w14:textId="77777777" w:rsidR="00360D75" w:rsidRPr="00927796" w:rsidRDefault="00360D75" w:rsidP="00381C1B">
      <w:pPr>
        <w:numPr>
          <w:ilvl w:val="0"/>
          <w:numId w:val="32"/>
        </w:numPr>
        <w:tabs>
          <w:tab w:val="clear" w:pos="720"/>
          <w:tab w:val="num" w:pos="426"/>
        </w:tabs>
        <w:ind w:left="426" w:hanging="426"/>
        <w:rPr>
          <w:rFonts w:cs="Arial"/>
          <w:szCs w:val="24"/>
        </w:rPr>
      </w:pPr>
      <w:r w:rsidRPr="00927796">
        <w:rPr>
          <w:rFonts w:cs="Arial"/>
          <w:color w:val="000000" w:themeColor="text1"/>
          <w:szCs w:val="24"/>
        </w:rPr>
        <w:t xml:space="preserve">Implementing good practices in transparency, reporting, and audit to deliver effective accountability </w:t>
      </w:r>
    </w:p>
    <w:p w14:paraId="044AAB46" w14:textId="77777777" w:rsidR="00360D75" w:rsidRPr="00927796" w:rsidRDefault="00360D75" w:rsidP="00381C1B">
      <w:pPr>
        <w:rPr>
          <w:rFonts w:cs="Arial"/>
          <w:b/>
          <w:bCs/>
          <w:szCs w:val="24"/>
        </w:rPr>
      </w:pPr>
    </w:p>
    <w:p w14:paraId="3F995F31" w14:textId="77777777" w:rsidR="00360D75" w:rsidRPr="00927796" w:rsidRDefault="00360D75" w:rsidP="00381C1B">
      <w:pPr>
        <w:rPr>
          <w:rFonts w:cs="Arial"/>
          <w:szCs w:val="24"/>
        </w:rPr>
      </w:pPr>
      <w:r w:rsidRPr="00927796">
        <w:rPr>
          <w:rFonts w:cs="Arial"/>
          <w:szCs w:val="24"/>
        </w:rPr>
        <w:t xml:space="preserve">(A copy of the code, setting out the core and supporting principles, what the Authority commits itself to do and how it will do this can be found on our website at </w:t>
      </w:r>
      <w:hyperlink r:id="rId18">
        <w:r w:rsidRPr="00927796">
          <w:rPr>
            <w:rStyle w:val="Hyperlink"/>
            <w:rFonts w:cs="Arial"/>
            <w:szCs w:val="24"/>
          </w:rPr>
          <w:t>Code of Corporate Governance | Lancashire Fire and Rescue Service</w:t>
        </w:r>
      </w:hyperlink>
      <w:r w:rsidRPr="00927796">
        <w:rPr>
          <w:rFonts w:cs="Arial"/>
          <w:szCs w:val="24"/>
        </w:rPr>
        <w:t>.</w:t>
      </w:r>
    </w:p>
    <w:p w14:paraId="79E5AE91" w14:textId="77777777" w:rsidR="00360D75" w:rsidRPr="00927796" w:rsidRDefault="00360D75" w:rsidP="00381C1B">
      <w:pPr>
        <w:rPr>
          <w:rFonts w:cs="Arial"/>
          <w:szCs w:val="24"/>
          <w:lang w:eastAsia="en-GB"/>
        </w:rPr>
      </w:pPr>
    </w:p>
    <w:p w14:paraId="7B66F3B9" w14:textId="06E495DA" w:rsidR="00360D75" w:rsidRPr="00927796" w:rsidRDefault="00360D75" w:rsidP="00381C1B">
      <w:pPr>
        <w:autoSpaceDE w:val="0"/>
        <w:autoSpaceDN w:val="0"/>
        <w:adjustRightInd w:val="0"/>
        <w:rPr>
          <w:rFonts w:cs="Arial"/>
          <w:szCs w:val="24"/>
        </w:rPr>
      </w:pPr>
      <w:r w:rsidRPr="00927796">
        <w:rPr>
          <w:rFonts w:cs="Arial"/>
          <w:szCs w:val="24"/>
        </w:rPr>
        <w:t xml:space="preserve">This statement explains how the Authority has complied with the code </w:t>
      </w:r>
      <w:r w:rsidR="004C0E43" w:rsidRPr="00927796">
        <w:rPr>
          <w:rFonts w:cs="Arial"/>
          <w:szCs w:val="24"/>
        </w:rPr>
        <w:t>and</w:t>
      </w:r>
      <w:r w:rsidRPr="00927796">
        <w:rPr>
          <w:rFonts w:cs="Arial"/>
          <w:szCs w:val="24"/>
        </w:rPr>
        <w:t xml:space="preserve"> meets the requirements of regulation 6(2) of the Accounts and Audit Regulations 2015 in relation to the publication of a statement on internal control.</w:t>
      </w:r>
    </w:p>
    <w:p w14:paraId="34D36253" w14:textId="77777777" w:rsidR="00360D75" w:rsidRPr="00853E26" w:rsidRDefault="00360D75" w:rsidP="00381C1B">
      <w:pPr>
        <w:rPr>
          <w:rFonts w:cs="Arial"/>
          <w:b/>
          <w:bCs/>
          <w:szCs w:val="24"/>
        </w:rPr>
      </w:pPr>
      <w:r w:rsidRPr="00927796">
        <w:rPr>
          <w:rFonts w:cs="Arial"/>
          <w:b/>
          <w:bCs/>
          <w:szCs w:val="24"/>
        </w:rPr>
        <w:lastRenderedPageBreak/>
        <w:t>The Purpose of the Governance Framework</w:t>
      </w:r>
    </w:p>
    <w:p w14:paraId="2C6FE976" w14:textId="77777777" w:rsidR="00360D75" w:rsidRPr="00853E26" w:rsidRDefault="00360D75" w:rsidP="00381C1B">
      <w:pPr>
        <w:rPr>
          <w:rFonts w:cs="Arial"/>
          <w:szCs w:val="24"/>
        </w:rPr>
      </w:pPr>
    </w:p>
    <w:p w14:paraId="5C5C2F81" w14:textId="572AC442" w:rsidR="00360D75" w:rsidRPr="00927796" w:rsidRDefault="00360D75" w:rsidP="00381C1B">
      <w:pPr>
        <w:autoSpaceDE w:val="0"/>
        <w:autoSpaceDN w:val="0"/>
        <w:adjustRightInd w:val="0"/>
        <w:rPr>
          <w:rFonts w:cs="Arial"/>
          <w:szCs w:val="24"/>
        </w:rPr>
      </w:pPr>
      <w:r w:rsidRPr="00927796">
        <w:rPr>
          <w:rFonts w:cs="Arial"/>
          <w:szCs w:val="24"/>
        </w:rPr>
        <w:t>The governance framework comprises the systems and processes, and culture and values, by which the Authority is directed and controlled and its activities through which it accounts to, engages with and leads the community. It enables the Authority to monitor the achievement of its strategic objectives and to consider whether those objectives have led to the delivery of appropriate, cost-effective services.</w:t>
      </w:r>
    </w:p>
    <w:p w14:paraId="57974752" w14:textId="77777777" w:rsidR="00360D75" w:rsidRPr="00927796" w:rsidRDefault="00360D75" w:rsidP="00381C1B">
      <w:pPr>
        <w:autoSpaceDE w:val="0"/>
        <w:autoSpaceDN w:val="0"/>
        <w:adjustRightInd w:val="0"/>
        <w:rPr>
          <w:rFonts w:cs="Arial"/>
          <w:szCs w:val="24"/>
        </w:rPr>
      </w:pPr>
    </w:p>
    <w:p w14:paraId="6197FE5C" w14:textId="52F0202F" w:rsidR="00360D75" w:rsidRPr="00927796" w:rsidRDefault="00360D75" w:rsidP="00381C1B">
      <w:pPr>
        <w:autoSpaceDE w:val="0"/>
        <w:autoSpaceDN w:val="0"/>
        <w:adjustRightInd w:val="0"/>
        <w:rPr>
          <w:rFonts w:cs="Arial"/>
          <w:szCs w:val="24"/>
        </w:rPr>
      </w:pPr>
      <w:r w:rsidRPr="00927796">
        <w:rPr>
          <w:rFonts w:cs="Arial"/>
          <w:szCs w:val="24"/>
        </w:rPr>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The system of internal control is based on an on-going process designed to identify and prioritise the risks to the achievement of the Authority’s policies, aims and objectives, to evaluate the likelihood of those risks being realised and the impact should they be realised, and to manage them efficiently, effectively and economically.</w:t>
      </w:r>
    </w:p>
    <w:p w14:paraId="1F060D01" w14:textId="77777777" w:rsidR="00360D75" w:rsidRPr="00927796" w:rsidRDefault="00360D75" w:rsidP="00381C1B">
      <w:pPr>
        <w:autoSpaceDE w:val="0"/>
        <w:autoSpaceDN w:val="0"/>
        <w:adjustRightInd w:val="0"/>
        <w:rPr>
          <w:rFonts w:cs="Arial"/>
          <w:szCs w:val="24"/>
        </w:rPr>
      </w:pPr>
    </w:p>
    <w:p w14:paraId="462DA353" w14:textId="77777777" w:rsidR="00360D75" w:rsidRPr="00927796" w:rsidRDefault="00360D75" w:rsidP="00381C1B">
      <w:pPr>
        <w:autoSpaceDE w:val="0"/>
        <w:autoSpaceDN w:val="0"/>
        <w:adjustRightInd w:val="0"/>
        <w:rPr>
          <w:rFonts w:cs="Arial"/>
          <w:szCs w:val="24"/>
        </w:rPr>
      </w:pPr>
      <w:r w:rsidRPr="00927796">
        <w:rPr>
          <w:rFonts w:cs="Arial"/>
          <w:szCs w:val="24"/>
        </w:rPr>
        <w:t>The governance framework has been in place at the Authority for the year ended 31 March 2025 and up to the date of approval of the 2024/25 Statement of Accounts.</w:t>
      </w:r>
    </w:p>
    <w:p w14:paraId="5FDF7753" w14:textId="77777777" w:rsidR="00360D75" w:rsidRPr="00927796" w:rsidRDefault="00360D75" w:rsidP="7C049D64">
      <w:pPr>
        <w:rPr>
          <w:rFonts w:cs="Arial"/>
          <w:szCs w:val="24"/>
        </w:rPr>
      </w:pPr>
    </w:p>
    <w:p w14:paraId="1AF192A2" w14:textId="77777777" w:rsidR="00360D75" w:rsidRPr="00853E26" w:rsidRDefault="00360D75" w:rsidP="00381C1B">
      <w:pPr>
        <w:rPr>
          <w:rFonts w:cs="Arial"/>
          <w:b/>
          <w:bCs/>
          <w:szCs w:val="24"/>
        </w:rPr>
      </w:pPr>
      <w:r w:rsidRPr="00927796">
        <w:rPr>
          <w:rFonts w:cs="Arial"/>
          <w:b/>
          <w:bCs/>
          <w:szCs w:val="24"/>
        </w:rPr>
        <w:t>The Governance Framework</w:t>
      </w:r>
    </w:p>
    <w:p w14:paraId="4092FE69" w14:textId="77777777" w:rsidR="00360D75" w:rsidRPr="00927796" w:rsidRDefault="00360D75" w:rsidP="00381C1B">
      <w:pPr>
        <w:rPr>
          <w:rFonts w:cs="Arial"/>
          <w:szCs w:val="24"/>
        </w:rPr>
      </w:pPr>
    </w:p>
    <w:p w14:paraId="6236C667" w14:textId="77777777" w:rsidR="00360D75" w:rsidRPr="00927796" w:rsidRDefault="00360D75" w:rsidP="00381C1B">
      <w:pPr>
        <w:autoSpaceDE w:val="0"/>
        <w:autoSpaceDN w:val="0"/>
        <w:adjustRightInd w:val="0"/>
        <w:rPr>
          <w:rFonts w:cs="Arial"/>
          <w:szCs w:val="24"/>
        </w:rPr>
      </w:pPr>
      <w:r w:rsidRPr="00927796">
        <w:rPr>
          <w:rFonts w:cs="Arial"/>
          <w:szCs w:val="24"/>
        </w:rPr>
        <w:t xml:space="preserve">The Authority’s Local Code of Corporate Governance set out its framework for corporate governance. The key elements of the systems and processes that comprise the Authority’s governance arrangements in accordance with the seven principles of the Local Code of Corporate Governance </w:t>
      </w:r>
      <w:proofErr w:type="gramStart"/>
      <w:r w:rsidRPr="00927796">
        <w:rPr>
          <w:rFonts w:cs="Arial"/>
          <w:szCs w:val="24"/>
        </w:rPr>
        <w:t>include:-</w:t>
      </w:r>
      <w:proofErr w:type="gramEnd"/>
    </w:p>
    <w:p w14:paraId="6A664976" w14:textId="77777777" w:rsidR="00360D75" w:rsidRPr="00927796" w:rsidRDefault="00360D75" w:rsidP="00381C1B">
      <w:pPr>
        <w:autoSpaceDE w:val="0"/>
        <w:autoSpaceDN w:val="0"/>
        <w:adjustRightInd w:val="0"/>
        <w:rPr>
          <w:rFonts w:cs="Arial"/>
          <w:szCs w:val="24"/>
        </w:rPr>
      </w:pPr>
    </w:p>
    <w:p w14:paraId="711D3138" w14:textId="77777777" w:rsidR="00360D75" w:rsidRPr="00927796" w:rsidRDefault="00360D75" w:rsidP="00381C1B">
      <w:pPr>
        <w:numPr>
          <w:ilvl w:val="0"/>
          <w:numId w:val="34"/>
        </w:numPr>
        <w:rPr>
          <w:rFonts w:cs="Arial"/>
          <w:szCs w:val="24"/>
        </w:rPr>
      </w:pPr>
      <w:r w:rsidRPr="00927796">
        <w:rPr>
          <w:rFonts w:cs="Arial"/>
          <w:szCs w:val="24"/>
        </w:rPr>
        <w:t xml:space="preserve">The Community Risk Management Plan (CRMP) sets out the direction of the Service and how we will make Lancashire safer. It is informed by the greatest risks to the people and communities of Lancashire which are identified in our strategic assessment of risk (opens in a new tab). The plan describes our aim, priorities, equality objectives and values, alongside how we will prevent, protect and respond to the risks in Lancashire. The current plan covering 2022-2027 can be found on our website at </w:t>
      </w:r>
      <w:hyperlink r:id="rId19">
        <w:r w:rsidRPr="00927796">
          <w:rPr>
            <w:rStyle w:val="Hyperlink"/>
            <w:rFonts w:cs="Arial"/>
            <w:szCs w:val="24"/>
          </w:rPr>
          <w:t>Communi</w:t>
        </w:r>
        <w:bookmarkStart w:id="5" w:name="_Hlt203645573"/>
        <w:r w:rsidRPr="00927796">
          <w:rPr>
            <w:rStyle w:val="Hyperlink"/>
            <w:rFonts w:cs="Arial"/>
            <w:szCs w:val="24"/>
          </w:rPr>
          <w:t>t</w:t>
        </w:r>
        <w:bookmarkEnd w:id="5"/>
        <w:r w:rsidRPr="00927796">
          <w:rPr>
            <w:rStyle w:val="Hyperlink"/>
            <w:rFonts w:cs="Arial"/>
            <w:szCs w:val="24"/>
          </w:rPr>
          <w:t>y Risk Management Plan 2022-2027 | Lancashire Fire and Rescue Service (lancsfirerescue.org.uk)</w:t>
        </w:r>
      </w:hyperlink>
      <w:r w:rsidRPr="00927796">
        <w:rPr>
          <w:rFonts w:cs="Arial"/>
          <w:szCs w:val="24"/>
        </w:rPr>
        <w:t>.</w:t>
      </w:r>
    </w:p>
    <w:p w14:paraId="07F62D21" w14:textId="77777777" w:rsidR="00360D75" w:rsidRPr="00927796" w:rsidRDefault="00360D75" w:rsidP="00381C1B">
      <w:pPr>
        <w:ind w:left="360"/>
        <w:rPr>
          <w:rFonts w:cs="Arial"/>
          <w:szCs w:val="24"/>
        </w:rPr>
      </w:pPr>
    </w:p>
    <w:p w14:paraId="0A2E012A" w14:textId="77777777" w:rsidR="00360D75" w:rsidRPr="00927796" w:rsidRDefault="00360D75" w:rsidP="00381C1B">
      <w:pPr>
        <w:numPr>
          <w:ilvl w:val="0"/>
          <w:numId w:val="34"/>
        </w:numPr>
        <w:rPr>
          <w:rFonts w:cs="Arial"/>
          <w:szCs w:val="24"/>
        </w:rPr>
      </w:pPr>
      <w:r w:rsidRPr="00927796">
        <w:rPr>
          <w:rFonts w:cs="Arial"/>
          <w:szCs w:val="24"/>
        </w:rPr>
        <w:t xml:space="preserve">Lancashire Fire and Rescue Service </w:t>
      </w:r>
      <w:proofErr w:type="gramStart"/>
      <w:r w:rsidRPr="00927796">
        <w:rPr>
          <w:rFonts w:cs="Arial"/>
          <w:szCs w:val="24"/>
        </w:rPr>
        <w:t>has</w:t>
      </w:r>
      <w:proofErr w:type="gramEnd"/>
      <w:r w:rsidRPr="00927796">
        <w:rPr>
          <w:rFonts w:cs="Arial"/>
          <w:szCs w:val="24"/>
        </w:rPr>
        <w:t xml:space="preserve"> six core strategies: our People, Prevention, Protection, Response, Financial and Digital Strategies. Our prevention, protection and response activities address the fire and rescue related risks that are identified in those strategies and outline the measures in place and actions we take to make Lancashire safer. Each strategy is periodically reviewed and evaluated to ensure we are delivering against our outlined objectives and are doing so in the most efficient and effective way. Wherever necessary, changes will be made within each strategy to ensure we operate in line with our aim, priorities and values.</w:t>
      </w:r>
    </w:p>
    <w:p w14:paraId="21EF6840" w14:textId="77777777" w:rsidR="00360D75" w:rsidRPr="00927796" w:rsidRDefault="00360D75" w:rsidP="00381C1B">
      <w:pPr>
        <w:ind w:left="360"/>
        <w:rPr>
          <w:rFonts w:cs="Arial"/>
          <w:szCs w:val="24"/>
        </w:rPr>
      </w:pPr>
    </w:p>
    <w:p w14:paraId="787F175E" w14:textId="18856E0F" w:rsidR="00360D75" w:rsidRPr="0078602B" w:rsidRDefault="00360D75" w:rsidP="00381C1B">
      <w:pPr>
        <w:numPr>
          <w:ilvl w:val="0"/>
          <w:numId w:val="34"/>
        </w:numPr>
        <w:rPr>
          <w:rFonts w:cs="Arial"/>
          <w:szCs w:val="24"/>
        </w:rPr>
      </w:pPr>
      <w:r w:rsidRPr="00E66AC4">
        <w:rPr>
          <w:rFonts w:cs="Arial"/>
          <w:szCs w:val="24"/>
        </w:rPr>
        <w:t>The Strategic Assessment of Risk’ (</w:t>
      </w:r>
      <w:proofErr w:type="spellStart"/>
      <w:r w:rsidRPr="00E66AC4">
        <w:rPr>
          <w:rFonts w:cs="Arial"/>
          <w:szCs w:val="24"/>
        </w:rPr>
        <w:t>SAoR</w:t>
      </w:r>
      <w:proofErr w:type="spellEnd"/>
      <w:r w:rsidRPr="00E66AC4">
        <w:rPr>
          <w:rFonts w:cs="Arial"/>
          <w:szCs w:val="24"/>
        </w:rPr>
        <w:t xml:space="preserve">) seeks to underpin our Community Risk Management Plan (CRMP) by ensuring that risk management drives decision-making within Lancashire. This document can be found on our website </w:t>
      </w:r>
      <w:r w:rsidRPr="0078602B">
        <w:rPr>
          <w:rFonts w:cs="Arial"/>
          <w:szCs w:val="24"/>
        </w:rPr>
        <w:t xml:space="preserve">at </w:t>
      </w:r>
      <w:hyperlink r:id="rId20">
        <w:r w:rsidRPr="0078602B">
          <w:rPr>
            <w:rStyle w:val="Hyperlink"/>
            <w:rFonts w:cs="Arial"/>
            <w:szCs w:val="24"/>
          </w:rPr>
          <w:t>Strategic Assessment of Risk 2023-2024 | Lancashire Fire and Rescue Service (lancsfirerescue.org.uk)</w:t>
        </w:r>
      </w:hyperlink>
      <w:r w:rsidRPr="0078602B">
        <w:rPr>
          <w:rFonts w:cs="Arial"/>
          <w:szCs w:val="24"/>
        </w:rPr>
        <w:t>;</w:t>
      </w:r>
    </w:p>
    <w:p w14:paraId="3EB07339" w14:textId="77777777" w:rsidR="00360D75" w:rsidRPr="00927796" w:rsidRDefault="00360D75" w:rsidP="00381C1B">
      <w:pPr>
        <w:pStyle w:val="ListParagraph"/>
        <w:rPr>
          <w:rFonts w:cs="Arial"/>
          <w:szCs w:val="24"/>
        </w:rPr>
      </w:pPr>
    </w:p>
    <w:p w14:paraId="12413823" w14:textId="77777777" w:rsidR="00360D75" w:rsidRPr="00927796" w:rsidRDefault="00360D75" w:rsidP="00381C1B">
      <w:pPr>
        <w:numPr>
          <w:ilvl w:val="0"/>
          <w:numId w:val="34"/>
        </w:numPr>
        <w:rPr>
          <w:rFonts w:cs="Arial"/>
          <w:color w:val="0000FF"/>
          <w:szCs w:val="24"/>
          <w:u w:val="single"/>
        </w:rPr>
      </w:pPr>
      <w:r w:rsidRPr="00927796">
        <w:rPr>
          <w:rFonts w:cs="Arial"/>
          <w:szCs w:val="24"/>
        </w:rPr>
        <w:t xml:space="preserve">The Annual Service Plan details the activities we will undertake to deliver the strategy set out in our CRMP. The current plan was approved this year and can be found on our website at </w:t>
      </w:r>
      <w:hyperlink r:id="rId21">
        <w:r w:rsidRPr="00927796">
          <w:rPr>
            <w:rStyle w:val="Hyperlink"/>
            <w:rFonts w:cs="Arial"/>
            <w:szCs w:val="24"/>
          </w:rPr>
          <w:t>Annual Service Plan 2025-2026 | Lancashire Fire and Rescue Service</w:t>
        </w:r>
      </w:hyperlink>
      <w:r w:rsidRPr="00927796">
        <w:rPr>
          <w:rFonts w:cs="Arial"/>
          <w:szCs w:val="24"/>
        </w:rPr>
        <w:t>;</w:t>
      </w:r>
    </w:p>
    <w:p w14:paraId="6B1355CD" w14:textId="77777777" w:rsidR="00360D75" w:rsidRPr="00927796" w:rsidRDefault="00360D75" w:rsidP="00381C1B">
      <w:pPr>
        <w:pStyle w:val="ListParagraph"/>
        <w:rPr>
          <w:rFonts w:cs="Arial"/>
          <w:szCs w:val="24"/>
        </w:rPr>
      </w:pPr>
    </w:p>
    <w:p w14:paraId="5FCF976D"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The Lancashire Combined Fire Authority’s consultation strategy has been in place since the integrated risk management planning arrangements were introduced in 2003 </w:t>
      </w:r>
      <w:hyperlink r:id="rId22">
        <w:r w:rsidRPr="00927796">
          <w:rPr>
            <w:rStyle w:val="Hyperlink"/>
            <w:rFonts w:cs="Arial"/>
            <w:szCs w:val="24"/>
          </w:rPr>
          <w:t>Consultation Strategy | Lancashire Fire and Rescue Service</w:t>
        </w:r>
      </w:hyperlink>
      <w:r w:rsidRPr="00927796">
        <w:rPr>
          <w:rFonts w:cs="Arial"/>
          <w:szCs w:val="24"/>
        </w:rPr>
        <w:t xml:space="preserve">; </w:t>
      </w:r>
    </w:p>
    <w:p w14:paraId="39F1177A" w14:textId="77777777" w:rsidR="00360D75" w:rsidRPr="00927796" w:rsidRDefault="00360D75" w:rsidP="00381C1B">
      <w:pPr>
        <w:rPr>
          <w:rFonts w:cs="Arial"/>
          <w:szCs w:val="24"/>
        </w:rPr>
      </w:pPr>
    </w:p>
    <w:p w14:paraId="004237F2" w14:textId="51DBF2D1" w:rsidR="00360D75" w:rsidDel="003359CF" w:rsidRDefault="00360D75" w:rsidP="259FAA53">
      <w:pPr>
        <w:numPr>
          <w:ilvl w:val="0"/>
          <w:numId w:val="34"/>
        </w:numPr>
        <w:tabs>
          <w:tab w:val="clear" w:pos="360"/>
          <w:tab w:val="num" w:pos="284"/>
        </w:tabs>
        <w:ind w:left="284" w:hanging="284"/>
        <w:rPr>
          <w:rFonts w:cs="Arial"/>
        </w:rPr>
      </w:pPr>
      <w:r w:rsidRPr="259FAA53">
        <w:rPr>
          <w:rFonts w:cs="Arial"/>
        </w:rPr>
        <w:t xml:space="preserve">A comprehensive performance management framework, with the Performance Committee and Service Management Team receiving regular reports on performance against targets and any corrective action taken to address any variances. On an annual basis the Authority publishes an Annual Service </w:t>
      </w:r>
      <w:r w:rsidRPr="002F6A68">
        <w:rPr>
          <w:rFonts w:cs="Arial"/>
        </w:rPr>
        <w:t>Report</w:t>
      </w:r>
      <w:r w:rsidR="00E71A1E" w:rsidRPr="002F6A68">
        <w:rPr>
          <w:rFonts w:cs="Arial"/>
        </w:rPr>
        <w:t xml:space="preserve">, this can be found </w:t>
      </w:r>
      <w:r w:rsidR="003359CF" w:rsidRPr="002F6A68">
        <w:rPr>
          <w:rFonts w:cs="Arial"/>
        </w:rPr>
        <w:t xml:space="preserve">on our website at </w:t>
      </w:r>
      <w:hyperlink r:id="rId23" w:history="1">
        <w:r w:rsidR="003359CF" w:rsidRPr="008C0FF6">
          <w:rPr>
            <w:rStyle w:val="Hyperlink"/>
            <w:rFonts w:cs="Arial"/>
          </w:rPr>
          <w:t>Annual Service Report 24_25.pdf</w:t>
        </w:r>
      </w:hyperlink>
      <w:r w:rsidR="003359CF" w:rsidRPr="259FAA53">
        <w:rPr>
          <w:rFonts w:cs="Arial"/>
        </w:rPr>
        <w:t>;</w:t>
      </w:r>
    </w:p>
    <w:p w14:paraId="4B4A0A76" w14:textId="505C275C" w:rsidR="63926665" w:rsidRDefault="63926665" w:rsidP="5D4E894B">
      <w:pPr>
        <w:tabs>
          <w:tab w:val="num" w:pos="284"/>
        </w:tabs>
        <w:ind w:left="284" w:hanging="284"/>
        <w:rPr>
          <w:rFonts w:cs="Arial"/>
        </w:rPr>
      </w:pPr>
    </w:p>
    <w:p w14:paraId="363667CA" w14:textId="77777777" w:rsidR="00360D75" w:rsidRPr="003359CF" w:rsidRDefault="00360D75" w:rsidP="002F6A68">
      <w:pPr>
        <w:ind w:left="284"/>
        <w:rPr>
          <w:rFonts w:cs="Arial"/>
          <w:szCs w:val="24"/>
        </w:rPr>
      </w:pPr>
    </w:p>
    <w:p w14:paraId="60387324"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A Corporate Programme Board provides oversight across 5 </w:t>
      </w:r>
      <w:proofErr w:type="gramStart"/>
      <w:r w:rsidRPr="00927796">
        <w:rPr>
          <w:rFonts w:cs="Arial"/>
          <w:szCs w:val="24"/>
        </w:rPr>
        <w:t>areas:-</w:t>
      </w:r>
      <w:proofErr w:type="gramEnd"/>
    </w:p>
    <w:p w14:paraId="70A62635" w14:textId="77777777" w:rsidR="00360D75" w:rsidRPr="00927796" w:rsidRDefault="00360D75" w:rsidP="00381C1B">
      <w:pPr>
        <w:numPr>
          <w:ilvl w:val="1"/>
          <w:numId w:val="34"/>
        </w:numPr>
        <w:rPr>
          <w:rFonts w:cs="Arial"/>
          <w:szCs w:val="24"/>
        </w:rPr>
      </w:pPr>
      <w:r w:rsidRPr="00927796">
        <w:rPr>
          <w:rFonts w:cs="Arial"/>
          <w:szCs w:val="24"/>
        </w:rPr>
        <w:t>Business Process Improvement Programme</w:t>
      </w:r>
    </w:p>
    <w:p w14:paraId="3114C24E" w14:textId="77777777" w:rsidR="00360D75" w:rsidRPr="00927796" w:rsidRDefault="00360D75" w:rsidP="00381C1B">
      <w:pPr>
        <w:numPr>
          <w:ilvl w:val="1"/>
          <w:numId w:val="34"/>
        </w:numPr>
        <w:rPr>
          <w:rFonts w:cs="Arial"/>
          <w:szCs w:val="24"/>
        </w:rPr>
      </w:pPr>
      <w:r w:rsidRPr="00927796">
        <w:rPr>
          <w:rFonts w:cs="Arial"/>
          <w:szCs w:val="24"/>
        </w:rPr>
        <w:t>Service Delivery Change Programme</w:t>
      </w:r>
    </w:p>
    <w:p w14:paraId="046EF857" w14:textId="77777777" w:rsidR="00360D75" w:rsidRPr="00927796" w:rsidRDefault="00360D75" w:rsidP="00381C1B">
      <w:pPr>
        <w:numPr>
          <w:ilvl w:val="1"/>
          <w:numId w:val="34"/>
        </w:numPr>
        <w:rPr>
          <w:rFonts w:cs="Arial"/>
          <w:szCs w:val="24"/>
        </w:rPr>
      </w:pPr>
      <w:r w:rsidRPr="00927796">
        <w:rPr>
          <w:rFonts w:cs="Arial"/>
          <w:szCs w:val="24"/>
        </w:rPr>
        <w:t>Capital Projects Programme.</w:t>
      </w:r>
    </w:p>
    <w:p w14:paraId="3039D874" w14:textId="77777777" w:rsidR="00360D75" w:rsidRPr="00927796" w:rsidRDefault="00360D75" w:rsidP="00381C1B">
      <w:pPr>
        <w:numPr>
          <w:ilvl w:val="1"/>
          <w:numId w:val="34"/>
        </w:numPr>
        <w:rPr>
          <w:rFonts w:cs="Arial"/>
          <w:szCs w:val="24"/>
        </w:rPr>
      </w:pPr>
      <w:r w:rsidRPr="00927796">
        <w:rPr>
          <w:rFonts w:cs="Arial"/>
          <w:szCs w:val="24"/>
        </w:rPr>
        <w:t>People Strategy</w:t>
      </w:r>
    </w:p>
    <w:p w14:paraId="3631B27B" w14:textId="77777777" w:rsidR="00360D75" w:rsidRPr="00927796" w:rsidRDefault="00360D75" w:rsidP="00381C1B">
      <w:pPr>
        <w:numPr>
          <w:ilvl w:val="1"/>
          <w:numId w:val="34"/>
        </w:numPr>
        <w:rPr>
          <w:rFonts w:cs="Arial"/>
          <w:szCs w:val="24"/>
        </w:rPr>
      </w:pPr>
      <w:r w:rsidRPr="00927796">
        <w:rPr>
          <w:rFonts w:cs="Arial"/>
          <w:szCs w:val="24"/>
        </w:rPr>
        <w:t>Risk Management</w:t>
      </w:r>
    </w:p>
    <w:p w14:paraId="2B98F872" w14:textId="77777777" w:rsidR="00360D75" w:rsidRPr="00927796" w:rsidRDefault="00360D75" w:rsidP="00381C1B">
      <w:pPr>
        <w:ind w:left="720"/>
        <w:rPr>
          <w:rFonts w:cs="Arial"/>
          <w:szCs w:val="24"/>
        </w:rPr>
      </w:pPr>
    </w:p>
    <w:p w14:paraId="267FE623" w14:textId="77777777" w:rsidR="00360D75" w:rsidRPr="00927796" w:rsidRDefault="00360D75" w:rsidP="00381C1B">
      <w:pPr>
        <w:ind w:left="284"/>
        <w:rPr>
          <w:rFonts w:cs="Arial"/>
          <w:szCs w:val="24"/>
        </w:rPr>
      </w:pPr>
      <w:r w:rsidRPr="00927796">
        <w:rPr>
          <w:rFonts w:cs="Arial"/>
          <w:szCs w:val="24"/>
        </w:rPr>
        <w:t xml:space="preserve">All major projects and reviews follow similar format and report to the Corporate Programme </w:t>
      </w:r>
      <w:proofErr w:type="gramStart"/>
      <w:r w:rsidRPr="00927796">
        <w:rPr>
          <w:rFonts w:cs="Arial"/>
          <w:szCs w:val="24"/>
        </w:rPr>
        <w:t>Board;</w:t>
      </w:r>
      <w:proofErr w:type="gramEnd"/>
    </w:p>
    <w:p w14:paraId="13AC9373" w14:textId="77777777" w:rsidR="00360D75" w:rsidRPr="00927796" w:rsidRDefault="00360D75" w:rsidP="00381C1B">
      <w:pPr>
        <w:rPr>
          <w:rFonts w:cs="Arial"/>
          <w:szCs w:val="24"/>
        </w:rPr>
      </w:pPr>
    </w:p>
    <w:p w14:paraId="5EA1683C"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The Authority operates a Committee Structure aligned to strategic objectives, within agreed Terms of Reference, as </w:t>
      </w:r>
      <w:proofErr w:type="gramStart"/>
      <w:r w:rsidRPr="00927796">
        <w:rPr>
          <w:rFonts w:cs="Arial"/>
          <w:szCs w:val="24"/>
        </w:rPr>
        <w:t>follows:-</w:t>
      </w:r>
      <w:proofErr w:type="gramEnd"/>
    </w:p>
    <w:p w14:paraId="7128AE3F" w14:textId="77777777" w:rsidR="00360D75" w:rsidRPr="00927796" w:rsidRDefault="00360D75" w:rsidP="00381C1B">
      <w:pPr>
        <w:ind w:left="284"/>
        <w:rPr>
          <w:rFonts w:cs="Arial"/>
          <w:szCs w:val="24"/>
        </w:rPr>
      </w:pPr>
    </w:p>
    <w:p w14:paraId="40B188AB"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The Audit Committee - To advise on the adequacy and effectiveness of the Authority's Internal and External Audit Service and risk management arrangements, which operates in line with the core functions identified in CIPFAs Audit Committees – Practical Guidance for Local Authorities.</w:t>
      </w:r>
    </w:p>
    <w:p w14:paraId="75D4E39B"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The Resources Committee - To consider reports and make decisions relating to financial, human resources and property related issues.</w:t>
      </w:r>
    </w:p>
    <w:p w14:paraId="032CA933"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The Planning Committee - To consider reports and make decisions relating to all aspect of planning arrangements, including consultation and communication arrangements.</w:t>
      </w:r>
    </w:p>
    <w:p w14:paraId="6363AE9D"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The Performance Committee - To consider reports and make recommendations on all aspects of performance management.</w:t>
      </w:r>
    </w:p>
    <w:p w14:paraId="022EB9DF"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The Appeals Committee -To hear relevant appeals, grievances and complaints.</w:t>
      </w:r>
    </w:p>
    <w:p w14:paraId="559D5BA7"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Clear management structure within the Service. The Executive Board, comprising the Chief Fire Officer (head of paid service), and 4 Executive Directors, is responsible for determining policy, monitoring performance and developing service plans in line with the Authority’s overall strategic objectives and is assisted in this process by the Service Management Team.</w:t>
      </w:r>
    </w:p>
    <w:p w14:paraId="10D205FE" w14:textId="77777777" w:rsidR="00360D75" w:rsidRPr="00927796" w:rsidRDefault="00360D75" w:rsidP="00381C1B">
      <w:pPr>
        <w:rPr>
          <w:rFonts w:cs="Arial"/>
          <w:szCs w:val="24"/>
        </w:rPr>
      </w:pPr>
    </w:p>
    <w:p w14:paraId="643C901A"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The Combination Scheme Order, Standing Orders, Terms of Reference of individual Committees, Scheme of Delegation and Financial Regulations establish overall arrangements for policy setting and decision making and the delegation of powers to members and officers.</w:t>
      </w:r>
    </w:p>
    <w:p w14:paraId="02712372" w14:textId="77777777" w:rsidR="00360D75" w:rsidRPr="00927796" w:rsidRDefault="00360D75" w:rsidP="00381C1B">
      <w:pPr>
        <w:rPr>
          <w:rFonts w:cs="Arial"/>
          <w:szCs w:val="24"/>
        </w:rPr>
      </w:pPr>
    </w:p>
    <w:p w14:paraId="49697267"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Comprehensive suite of strategies and policies in place and regularly reviewed.</w:t>
      </w:r>
    </w:p>
    <w:p w14:paraId="6D56B6C7" w14:textId="77777777" w:rsidR="00360D75" w:rsidRPr="00927796" w:rsidRDefault="00360D75" w:rsidP="00381C1B">
      <w:pPr>
        <w:rPr>
          <w:rFonts w:cs="Arial"/>
          <w:szCs w:val="24"/>
        </w:rPr>
      </w:pPr>
    </w:p>
    <w:p w14:paraId="32AEED93"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Codes of Conduct for members and officers, and member/officer protocol, which set out clear expectations for standards of behaviour.</w:t>
      </w:r>
    </w:p>
    <w:p w14:paraId="7BDCEED9" w14:textId="77777777" w:rsidR="00360D75" w:rsidRPr="00927796" w:rsidRDefault="00360D75" w:rsidP="00381C1B">
      <w:pPr>
        <w:rPr>
          <w:rFonts w:cs="Arial"/>
          <w:szCs w:val="24"/>
        </w:rPr>
      </w:pPr>
    </w:p>
    <w:p w14:paraId="65C401DA"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Both the Monitoring Officer and Treasurer are involved in the Authority’s decision-making process, and ensure compliance with established policies, procedures, laws and regulations; All Authority reports are considered for human resource, financial, business risk, environmental and equality and diversity implications to identify key issues.</w:t>
      </w:r>
    </w:p>
    <w:p w14:paraId="2B87EE53" w14:textId="77777777" w:rsidR="00360D75" w:rsidRPr="00927796" w:rsidRDefault="00360D75" w:rsidP="00381C1B">
      <w:pPr>
        <w:rPr>
          <w:rFonts w:cs="Arial"/>
          <w:szCs w:val="24"/>
        </w:rPr>
      </w:pPr>
    </w:p>
    <w:p w14:paraId="18CEAFBC"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The Treasurer’s role and financial management arrangements align with requirements set out in CIPFAs Statement on the Role of the Chief Financial Officer in Local Government and CIPFAs Financial Management Code.</w:t>
      </w:r>
    </w:p>
    <w:p w14:paraId="4C388102" w14:textId="77777777" w:rsidR="00360D75" w:rsidRPr="00927796" w:rsidRDefault="00360D75" w:rsidP="00381C1B">
      <w:pPr>
        <w:rPr>
          <w:rFonts w:cs="Arial"/>
          <w:szCs w:val="24"/>
        </w:rPr>
      </w:pPr>
    </w:p>
    <w:p w14:paraId="2EBA0F08"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Well publicised arrangements for dealing with complaints and whistleblowing, and for combating fraud and corruption. </w:t>
      </w:r>
    </w:p>
    <w:p w14:paraId="32DF6F90" w14:textId="77777777" w:rsidR="00360D75" w:rsidRPr="00927796" w:rsidRDefault="00360D75" w:rsidP="00381C1B">
      <w:pPr>
        <w:rPr>
          <w:rFonts w:cs="Arial"/>
          <w:szCs w:val="24"/>
        </w:rPr>
      </w:pPr>
    </w:p>
    <w:p w14:paraId="40C7AFFE"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A Risk Management Strategy and framework which ensures that risks to the Service’s objectives are identified and appropriately managed.</w:t>
      </w:r>
    </w:p>
    <w:p w14:paraId="47B78475" w14:textId="77777777" w:rsidR="00360D75" w:rsidRPr="00927796" w:rsidRDefault="00360D75" w:rsidP="00381C1B">
      <w:pPr>
        <w:rPr>
          <w:rFonts w:cs="Arial"/>
          <w:szCs w:val="24"/>
        </w:rPr>
      </w:pPr>
    </w:p>
    <w:p w14:paraId="66614688"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Comprehensive Business Continuity arrangements in place and tested on a regular basis.</w:t>
      </w:r>
    </w:p>
    <w:p w14:paraId="3CDBBAEE" w14:textId="77777777" w:rsidR="00360D75" w:rsidRPr="00927796" w:rsidRDefault="00360D75" w:rsidP="00381C1B">
      <w:pPr>
        <w:rPr>
          <w:rFonts w:cs="Arial"/>
          <w:szCs w:val="24"/>
        </w:rPr>
      </w:pPr>
    </w:p>
    <w:p w14:paraId="549F0909"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A framework to review potential partnership arrangements utilising set criteria prior to entering such arrangements.</w:t>
      </w:r>
    </w:p>
    <w:p w14:paraId="742A9088" w14:textId="77777777" w:rsidR="00360D75" w:rsidRPr="00927796" w:rsidRDefault="00360D75" w:rsidP="00381C1B">
      <w:pPr>
        <w:rPr>
          <w:rFonts w:cs="Arial"/>
          <w:szCs w:val="24"/>
        </w:rPr>
      </w:pPr>
    </w:p>
    <w:p w14:paraId="1FF7B1B0"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Compliance with data transparency requirements, including publication of all key documents, committee agenda and minutes, pay policy and publication scheme on the internet.</w:t>
      </w:r>
    </w:p>
    <w:p w14:paraId="7C685F36" w14:textId="77777777" w:rsidR="00360D75" w:rsidRPr="00927796" w:rsidRDefault="00360D75" w:rsidP="00381C1B">
      <w:pPr>
        <w:rPr>
          <w:rFonts w:cs="Arial"/>
          <w:szCs w:val="24"/>
        </w:rPr>
      </w:pPr>
    </w:p>
    <w:p w14:paraId="4B199640"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Regular assessment of training &amp; development needs of both members and officers, including appropriate appraisal system. Sufficient budget to meet relevant training requirements; and</w:t>
      </w:r>
    </w:p>
    <w:p w14:paraId="2FA5E400" w14:textId="77777777" w:rsidR="00360D75" w:rsidRPr="00927796" w:rsidRDefault="00360D75" w:rsidP="00381C1B">
      <w:pPr>
        <w:rPr>
          <w:rFonts w:cs="Arial"/>
          <w:szCs w:val="24"/>
        </w:rPr>
      </w:pPr>
    </w:p>
    <w:p w14:paraId="0A28AA2C"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Comprehensive service review process in place, comprising external views in the form of HMICFRS Inspection review, External Audit reviews, Internal Audit reviews and internal reviews undertaken by our own staff. Ultimately these culminate in the production, and publication, of an Annual Assurance Statement.</w:t>
      </w:r>
    </w:p>
    <w:p w14:paraId="5515091D" w14:textId="77777777" w:rsidR="00360D75" w:rsidRPr="00927796" w:rsidRDefault="00360D75" w:rsidP="7C049D64">
      <w:pPr>
        <w:rPr>
          <w:rFonts w:cs="Arial"/>
          <w:szCs w:val="24"/>
        </w:rPr>
      </w:pPr>
    </w:p>
    <w:p w14:paraId="230B810B" w14:textId="77777777" w:rsidR="00360D75" w:rsidRPr="00700846" w:rsidRDefault="00360D75" w:rsidP="00381C1B">
      <w:pPr>
        <w:rPr>
          <w:rFonts w:cs="Arial"/>
          <w:b/>
          <w:bCs/>
          <w:szCs w:val="24"/>
        </w:rPr>
      </w:pPr>
      <w:r w:rsidRPr="00927796">
        <w:rPr>
          <w:rFonts w:cs="Arial"/>
          <w:b/>
          <w:bCs/>
          <w:szCs w:val="24"/>
        </w:rPr>
        <w:t>Review of effectiveness</w:t>
      </w:r>
    </w:p>
    <w:p w14:paraId="0B623EDE" w14:textId="77777777" w:rsidR="00360D75" w:rsidRPr="00927796" w:rsidRDefault="00360D75" w:rsidP="00381C1B">
      <w:pPr>
        <w:rPr>
          <w:rFonts w:cs="Arial"/>
          <w:szCs w:val="24"/>
        </w:rPr>
      </w:pPr>
    </w:p>
    <w:p w14:paraId="53128325" w14:textId="0E8EBC92" w:rsidR="00360D75" w:rsidRPr="00927796" w:rsidRDefault="00360D75" w:rsidP="00381C1B">
      <w:pPr>
        <w:autoSpaceDE w:val="0"/>
        <w:autoSpaceDN w:val="0"/>
        <w:adjustRightInd w:val="0"/>
        <w:rPr>
          <w:rFonts w:cs="Arial"/>
          <w:szCs w:val="24"/>
        </w:rPr>
      </w:pPr>
      <w:r w:rsidRPr="00927796">
        <w:rPr>
          <w:rFonts w:cs="Arial"/>
          <w:szCs w:val="24"/>
        </w:rPr>
        <w:t xml:space="preserve">The Authority has responsibility for conducting, at least annually, a review of the effectiveness of its governance framework including the system of internal control. The review of effectiveness is informed by the work of the executive managers within the Authority who have responsibility for the development and maintenance of the governance environment, the Internal Auditors annual report, and by comments made by the external auditors and other review agencies and inspectorates. </w:t>
      </w:r>
    </w:p>
    <w:p w14:paraId="083DFAA3" w14:textId="77777777" w:rsidR="00360D75" w:rsidRPr="00927796" w:rsidRDefault="00360D75" w:rsidP="00381C1B">
      <w:pPr>
        <w:autoSpaceDE w:val="0"/>
        <w:autoSpaceDN w:val="0"/>
        <w:adjustRightInd w:val="0"/>
        <w:rPr>
          <w:rFonts w:cs="Arial"/>
          <w:szCs w:val="24"/>
        </w:rPr>
      </w:pPr>
    </w:p>
    <w:p w14:paraId="4CC4EAAC" w14:textId="0D7456A2" w:rsidR="00360D75" w:rsidRPr="00927796" w:rsidRDefault="00360D75" w:rsidP="00381C1B">
      <w:pPr>
        <w:autoSpaceDE w:val="0"/>
        <w:autoSpaceDN w:val="0"/>
        <w:adjustRightInd w:val="0"/>
        <w:rPr>
          <w:rFonts w:cs="Arial"/>
          <w:szCs w:val="24"/>
        </w:rPr>
      </w:pPr>
      <w:r w:rsidRPr="00927796">
        <w:rPr>
          <w:rFonts w:cs="Arial"/>
          <w:szCs w:val="24"/>
        </w:rPr>
        <w:t xml:space="preserve">A statement of assurance was approved by the Authority in February 2025, it sets out the effectiveness of the governance arrangements for which it is responsible, including the system of internal control. The statement of assurance covers all the principles set out in the </w:t>
      </w:r>
      <w:r w:rsidRPr="00927796">
        <w:rPr>
          <w:rFonts w:cs="Arial"/>
          <w:szCs w:val="24"/>
        </w:rPr>
        <w:lastRenderedPageBreak/>
        <w:t xml:space="preserve">Authority’s Code of Corporate Governance. The statement of assurance reveals no areas of weakness in the Authority’s corporate governance arrangements; the arrangements are in all cases at least adequate and in </w:t>
      </w:r>
      <w:r w:rsidR="004C0E43" w:rsidRPr="00927796">
        <w:rPr>
          <w:rFonts w:cs="Arial"/>
          <w:szCs w:val="24"/>
        </w:rPr>
        <w:t>most</w:t>
      </w:r>
      <w:r w:rsidRPr="00927796">
        <w:rPr>
          <w:rFonts w:cs="Arial"/>
          <w:szCs w:val="24"/>
        </w:rPr>
        <w:t xml:space="preserve"> areas good.</w:t>
      </w:r>
    </w:p>
    <w:p w14:paraId="396BAFD0" w14:textId="77777777" w:rsidR="00360D75" w:rsidRPr="00927796" w:rsidRDefault="00360D75" w:rsidP="00381C1B">
      <w:pPr>
        <w:autoSpaceDE w:val="0"/>
        <w:autoSpaceDN w:val="0"/>
        <w:adjustRightInd w:val="0"/>
        <w:rPr>
          <w:rFonts w:cs="Arial"/>
          <w:szCs w:val="24"/>
        </w:rPr>
      </w:pPr>
    </w:p>
    <w:p w14:paraId="7344848B" w14:textId="77777777" w:rsidR="00360D75" w:rsidRPr="00927796" w:rsidRDefault="00360D75" w:rsidP="00381C1B">
      <w:pPr>
        <w:rPr>
          <w:rFonts w:cs="Arial"/>
          <w:szCs w:val="24"/>
        </w:rPr>
      </w:pPr>
      <w:r w:rsidRPr="00927796">
        <w:rPr>
          <w:rFonts w:cs="Arial"/>
          <w:szCs w:val="24"/>
        </w:rPr>
        <w:t xml:space="preserve">In maintaining and reviewing the effectiveness of the Authority’s governance arrangements the following have been </w:t>
      </w:r>
      <w:proofErr w:type="gramStart"/>
      <w:r w:rsidRPr="00927796">
        <w:rPr>
          <w:rFonts w:cs="Arial"/>
          <w:szCs w:val="24"/>
        </w:rPr>
        <w:t>considered:-</w:t>
      </w:r>
      <w:proofErr w:type="gramEnd"/>
      <w:r w:rsidRPr="00927796">
        <w:rPr>
          <w:rFonts w:cs="Arial"/>
          <w:szCs w:val="24"/>
        </w:rPr>
        <w:t xml:space="preserve"> </w:t>
      </w:r>
    </w:p>
    <w:p w14:paraId="269DBB5D" w14:textId="77777777" w:rsidR="00360D75" w:rsidRPr="00927796" w:rsidRDefault="00360D75" w:rsidP="00381C1B">
      <w:pPr>
        <w:rPr>
          <w:rFonts w:cs="Arial"/>
          <w:szCs w:val="24"/>
        </w:rPr>
      </w:pPr>
    </w:p>
    <w:p w14:paraId="0C29A3CC" w14:textId="77777777" w:rsidR="00360D75" w:rsidRPr="00927796" w:rsidRDefault="00360D75" w:rsidP="00381C1B">
      <w:pPr>
        <w:numPr>
          <w:ilvl w:val="0"/>
          <w:numId w:val="34"/>
        </w:numPr>
        <w:rPr>
          <w:rFonts w:cs="Arial"/>
          <w:szCs w:val="24"/>
        </w:rPr>
      </w:pPr>
      <w:r w:rsidRPr="00927796">
        <w:rPr>
          <w:rFonts w:cs="Arial"/>
          <w:szCs w:val="24"/>
        </w:rPr>
        <w:t>A review of minutes of the Executive Board, Audit Committee and Authority to ensure that periodic monitoring and reviews are being reported appropriately and governance issues are addressed.</w:t>
      </w:r>
    </w:p>
    <w:p w14:paraId="347D87C0" w14:textId="77777777" w:rsidR="00360D75" w:rsidRPr="00927796" w:rsidRDefault="00360D75" w:rsidP="00381C1B">
      <w:pPr>
        <w:ind w:left="360"/>
        <w:rPr>
          <w:rFonts w:cs="Arial"/>
          <w:szCs w:val="24"/>
        </w:rPr>
      </w:pPr>
    </w:p>
    <w:p w14:paraId="4ECDA4E5"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We updated our Strategic Assessment of Risk that underpins our Community Risk Management Plan (CRMP) by ensuring that risk management drives decision-making within Lancashire. We undertook an emergency cover review (ECR) in 2022 to ensure that its emergency response remains effective and efficient, and that the Service is well equipped to respond to future challenges.</w:t>
      </w:r>
    </w:p>
    <w:p w14:paraId="423BBE5B" w14:textId="77777777" w:rsidR="00360D75" w:rsidRPr="00927796" w:rsidRDefault="00360D75" w:rsidP="00381C1B">
      <w:pPr>
        <w:ind w:left="284"/>
        <w:rPr>
          <w:rFonts w:cs="Arial"/>
          <w:szCs w:val="24"/>
        </w:rPr>
      </w:pPr>
    </w:p>
    <w:p w14:paraId="090288BF" w14:textId="3B4850BE"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Her Majesty’s Inspectorate of Constabulary and Fire &amp; Rescue Services (HMICFRS) reported the outcome of their second full inspection in July 2022; the focus was on the service they provide to the public, and the way they use the resources available. The HMICFRS reported that the Service is performing exceptionally well and has been recognised as ‘outstanding’ for promoting values and culture. As well as being rated ‘outstanding’ for culture and values, the service was rated as ‘good’ in the other 10 categories and there were no areas that ‘require improvement.’ The results mirror those of the service’s first full inspection in 2018, with the new report highlighting that the service has improved in almost all areas since then. The next inspection was undertaken in early 2025 and is expected to be reported in </w:t>
      </w:r>
      <w:r w:rsidR="00381C1B" w:rsidRPr="00927796">
        <w:rPr>
          <w:rFonts w:cs="Arial"/>
          <w:szCs w:val="24"/>
        </w:rPr>
        <w:t>mid-2025</w:t>
      </w:r>
      <w:r w:rsidRPr="00927796">
        <w:rPr>
          <w:rFonts w:cs="Arial"/>
          <w:szCs w:val="24"/>
        </w:rPr>
        <w:t>.</w:t>
      </w:r>
    </w:p>
    <w:p w14:paraId="4144B924" w14:textId="77777777" w:rsidR="00360D75" w:rsidRPr="00927796" w:rsidRDefault="00360D75" w:rsidP="00381C1B">
      <w:pPr>
        <w:ind w:left="284"/>
        <w:rPr>
          <w:rFonts w:cs="Arial"/>
          <w:szCs w:val="24"/>
        </w:rPr>
      </w:pPr>
    </w:p>
    <w:p w14:paraId="047F64EF"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A new Annual Service Plan has been published, providing clarity, both internally and externally, on our priorities set out in the CRMP and describes what our ambitions are for each priority, as well as setting out the projects and actions that will be delivered, developed or reviewed during the coming year against each of our priorities. This is supported by Local Delivery Plans.</w:t>
      </w:r>
    </w:p>
    <w:p w14:paraId="264FE9E9" w14:textId="77777777" w:rsidR="00360D75" w:rsidRPr="00927796" w:rsidRDefault="00360D75" w:rsidP="00381C1B">
      <w:pPr>
        <w:pStyle w:val="ListParagraph"/>
        <w:rPr>
          <w:rFonts w:cs="Arial"/>
          <w:szCs w:val="24"/>
        </w:rPr>
      </w:pPr>
    </w:p>
    <w:p w14:paraId="62CD5540"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Statement of Intent: Enhanced Collaboration agreed between LFRS, Lancashire Constabulary and Northwest Ambulance Services. Collaboration group established with regular reports to Members.</w:t>
      </w:r>
    </w:p>
    <w:p w14:paraId="7A4C6EA2" w14:textId="77777777" w:rsidR="00360D75" w:rsidRPr="00927796" w:rsidRDefault="00360D75" w:rsidP="00381C1B">
      <w:pPr>
        <w:rPr>
          <w:rFonts w:cs="Arial"/>
          <w:szCs w:val="24"/>
        </w:rPr>
      </w:pPr>
    </w:p>
    <w:p w14:paraId="613D3CC1"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An Organisational Assurance Team. The newly formed Organisational Assurance team under Planning, Performance and Assurance was formed in 2024 and has a broader reference than just a focus on operational assurance. The team has the responsibility for HMICFRS liaison, operational preparedness and will undertake internal audits/ assurance across the whole organisation based on trends, themes and emerging needs. The team will identify and share good practice as well as areas for improvement, items will be tracked through to completion. The Organisational Assurance team will work closely with the Operational Assurance team (under Training and Operational Review) who have the responsibility for operational learning and response. The Operational Assurance team will continue to create the operational assurance performance summary which is published quarterly. A programme of preparedness visits will be managed by the Organisational Assurance team which has expanded on the operational audits undertaken previously. </w:t>
      </w:r>
    </w:p>
    <w:p w14:paraId="0550945B" w14:textId="77777777" w:rsidR="00360D75" w:rsidRPr="00927796" w:rsidRDefault="00360D75" w:rsidP="00381C1B">
      <w:pPr>
        <w:rPr>
          <w:rFonts w:cs="Arial"/>
          <w:szCs w:val="24"/>
        </w:rPr>
      </w:pPr>
    </w:p>
    <w:p w14:paraId="7F580B2C" w14:textId="77777777" w:rsidR="00360D75" w:rsidRPr="00927796" w:rsidRDefault="00360D75" w:rsidP="00381C1B">
      <w:pPr>
        <w:numPr>
          <w:ilvl w:val="0"/>
          <w:numId w:val="34"/>
        </w:numPr>
        <w:tabs>
          <w:tab w:val="clear" w:pos="360"/>
          <w:tab w:val="num" w:pos="284"/>
        </w:tabs>
        <w:rPr>
          <w:rFonts w:cs="Arial"/>
          <w:szCs w:val="24"/>
        </w:rPr>
      </w:pPr>
      <w:r w:rsidRPr="00927796">
        <w:rPr>
          <w:rFonts w:cs="Arial"/>
          <w:szCs w:val="24"/>
        </w:rPr>
        <w:lastRenderedPageBreak/>
        <w:t xml:space="preserve">Performance appraisal incorporating values is undertaken throughout the Service. </w:t>
      </w:r>
    </w:p>
    <w:p w14:paraId="6FB185F3" w14:textId="77777777" w:rsidR="00360D75" w:rsidRPr="00927796" w:rsidRDefault="00360D75" w:rsidP="00381C1B">
      <w:pPr>
        <w:pStyle w:val="ListParagraph"/>
        <w:rPr>
          <w:rFonts w:cs="Arial"/>
          <w:szCs w:val="24"/>
        </w:rPr>
      </w:pPr>
    </w:p>
    <w:p w14:paraId="086CBBEF" w14:textId="14E4F499"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Internal Audit services were provided by Lancashire County Council, who comply with CIPFA’s Code of Internal Audit Practice. The Head of Internal Audit is required by professional standards to provide an opinion addressing governance, risk management and control and thereby to provide assurance that the risks to the objectives of Lancashire Combined Fire Authority are being adequately and effectively controlled. As part of the 2024/25 internal audit plan the auditors undertook various reviews and gave the overall opinion that they can “</w:t>
      </w:r>
      <w:r w:rsidRPr="00927796">
        <w:rPr>
          <w:rFonts w:cs="Arial"/>
          <w:b/>
          <w:bCs/>
          <w:i/>
          <w:iCs/>
          <w:szCs w:val="24"/>
        </w:rPr>
        <w:t>provide substantial assurance</w:t>
      </w:r>
      <w:r w:rsidRPr="00927796">
        <w:rPr>
          <w:rFonts w:cs="Arial"/>
          <w:szCs w:val="24"/>
        </w:rPr>
        <w:t xml:space="preserve"> regarding the adequacy of design and effectiveness in operation of the organisation's frameworks of governance, risk management and control.”</w:t>
      </w:r>
    </w:p>
    <w:p w14:paraId="4E726EA7" w14:textId="77777777" w:rsidR="00360D75" w:rsidRPr="00927796" w:rsidRDefault="00360D75" w:rsidP="00381C1B">
      <w:pPr>
        <w:pStyle w:val="ListParagraph"/>
        <w:rPr>
          <w:rFonts w:cs="Arial"/>
          <w:szCs w:val="24"/>
        </w:rPr>
      </w:pPr>
    </w:p>
    <w:p w14:paraId="170BEAAA" w14:textId="77777777" w:rsidR="00360D75" w:rsidRPr="00927796" w:rsidRDefault="00360D75" w:rsidP="00381C1B">
      <w:pPr>
        <w:numPr>
          <w:ilvl w:val="0"/>
          <w:numId w:val="34"/>
        </w:numPr>
        <w:rPr>
          <w:rFonts w:cs="Arial"/>
          <w:szCs w:val="24"/>
        </w:rPr>
      </w:pPr>
      <w:r w:rsidRPr="00927796">
        <w:rPr>
          <w:rFonts w:cs="Arial"/>
          <w:szCs w:val="24"/>
        </w:rPr>
        <w:t>The Authority’s external auditors are Grant Thornton, Auditors of fire authorities in the UK have specific legal responsibilities under the Local Audit and Accountability Act 2014. Under Section 20(1)(c) of the Local Audit and Accountability Act 2014, auditors are required to assess whether fire authorities have made proper arrangements for securing economy, efficiency, and effectiveness in their use of resources. The Code of Audit Practice, issued by the National Audit Office (NAO), mandates auditors to provide a Value for Money (</w:t>
      </w:r>
      <w:proofErr w:type="spellStart"/>
      <w:r w:rsidRPr="00927796">
        <w:rPr>
          <w:rFonts w:cs="Arial"/>
          <w:szCs w:val="24"/>
        </w:rPr>
        <w:t>VfM</w:t>
      </w:r>
      <w:proofErr w:type="spellEnd"/>
      <w:r w:rsidRPr="00927796">
        <w:rPr>
          <w:rFonts w:cs="Arial"/>
          <w:szCs w:val="24"/>
        </w:rPr>
        <w:t>) commentary, focusing on financial sustainability, governance, and the authority’s ability to improve its economy, efficiency, and effectiveness. A summary of their key judgements is provided below:</w:t>
      </w:r>
    </w:p>
    <w:p w14:paraId="3F36481C" w14:textId="77777777" w:rsidR="00360D75" w:rsidRPr="00927796" w:rsidRDefault="00360D75" w:rsidP="00360D75">
      <w:pPr>
        <w:pStyle w:val="ListParagraph"/>
        <w:rPr>
          <w:rFonts w:cs="Arial"/>
          <w:szCs w:val="24"/>
        </w:rPr>
      </w:pPr>
    </w:p>
    <w:p w14:paraId="20793789"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 xml:space="preserve">Financial Sustainability – “No significant weaknesses in arrangements identified”. </w:t>
      </w:r>
    </w:p>
    <w:p w14:paraId="655442AE"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Governance – “No significant weaknesses in arrangements identified”.</w:t>
      </w:r>
    </w:p>
    <w:p w14:paraId="6C8F0B17" w14:textId="77777777" w:rsidR="00360D75" w:rsidRPr="00927796" w:rsidRDefault="00360D75" w:rsidP="00381C1B">
      <w:pPr>
        <w:numPr>
          <w:ilvl w:val="1"/>
          <w:numId w:val="34"/>
        </w:numPr>
        <w:tabs>
          <w:tab w:val="num" w:pos="284"/>
        </w:tabs>
        <w:spacing w:after="240"/>
        <w:ind w:left="1077" w:hanging="357"/>
        <w:rPr>
          <w:rFonts w:cs="Arial"/>
          <w:szCs w:val="24"/>
        </w:rPr>
      </w:pPr>
      <w:r w:rsidRPr="00927796">
        <w:rPr>
          <w:rFonts w:cs="Arial"/>
          <w:szCs w:val="24"/>
        </w:rPr>
        <w:t>Improving economy, efficiency and effectiveness - “No significant weaknesses in arrangements identified”.</w:t>
      </w:r>
    </w:p>
    <w:p w14:paraId="46A95130" w14:textId="77777777" w:rsidR="00360D75" w:rsidRPr="00927796" w:rsidRDefault="00360D75" w:rsidP="00381C1B">
      <w:pPr>
        <w:numPr>
          <w:ilvl w:val="0"/>
          <w:numId w:val="34"/>
        </w:numPr>
        <w:tabs>
          <w:tab w:val="clear" w:pos="360"/>
          <w:tab w:val="num" w:pos="284"/>
        </w:tabs>
        <w:ind w:left="284" w:hanging="284"/>
        <w:rPr>
          <w:rFonts w:cs="Arial"/>
          <w:szCs w:val="24"/>
        </w:rPr>
      </w:pPr>
      <w:r w:rsidRPr="00927796">
        <w:rPr>
          <w:rFonts w:cs="Arial"/>
          <w:szCs w:val="24"/>
        </w:rPr>
        <w:t xml:space="preserve">On 18 November 2024 Grant Thornton gave an unqualified opinion on the Authority’s finance statements ended 31 March 2024. </w:t>
      </w:r>
    </w:p>
    <w:p w14:paraId="689C8490" w14:textId="77777777" w:rsidR="00360D75" w:rsidRPr="00927796" w:rsidRDefault="00360D75" w:rsidP="00381C1B">
      <w:pPr>
        <w:rPr>
          <w:rFonts w:cs="Arial"/>
          <w:szCs w:val="24"/>
        </w:rPr>
      </w:pPr>
    </w:p>
    <w:p w14:paraId="42903DB0" w14:textId="3EBCB485" w:rsidR="00360D75" w:rsidRPr="0009320B" w:rsidRDefault="00360D75" w:rsidP="0078602B">
      <w:pPr>
        <w:rPr>
          <w:rFonts w:cs="Arial"/>
          <w:sz w:val="22"/>
          <w:szCs w:val="22"/>
        </w:rPr>
      </w:pPr>
      <w:r w:rsidRPr="00927796">
        <w:rPr>
          <w:rFonts w:cs="Arial"/>
          <w:szCs w:val="24"/>
        </w:rPr>
        <w:t xml:space="preserve">Last year’s Annual Governance Statement identified </w:t>
      </w:r>
      <w:r w:rsidR="00381C1B" w:rsidRPr="00927796">
        <w:rPr>
          <w:rFonts w:cs="Arial"/>
          <w:szCs w:val="24"/>
        </w:rPr>
        <w:t>several</w:t>
      </w:r>
      <w:r w:rsidRPr="00927796">
        <w:rPr>
          <w:rFonts w:cs="Arial"/>
          <w:szCs w:val="24"/>
        </w:rPr>
        <w:t xml:space="preserve"> areas for improvement, and progress against these are set out below:</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4058"/>
        <w:gridCol w:w="1381"/>
        <w:gridCol w:w="1533"/>
      </w:tblGrid>
      <w:tr w:rsidR="00360D75" w:rsidRPr="0009320B" w14:paraId="432087EC" w14:textId="77777777" w:rsidTr="00700846">
        <w:trPr>
          <w:trHeight w:val="556"/>
          <w:tblHeader/>
        </w:trPr>
        <w:tc>
          <w:tcPr>
            <w:tcW w:w="2778" w:type="dxa"/>
            <w:tcBorders>
              <w:top w:val="single" w:sz="4" w:space="0" w:color="auto"/>
              <w:left w:val="single" w:sz="4" w:space="0" w:color="auto"/>
              <w:bottom w:val="single" w:sz="4" w:space="0" w:color="auto"/>
              <w:right w:val="single" w:sz="4" w:space="0" w:color="auto"/>
            </w:tcBorders>
            <w:shd w:val="clear" w:color="auto" w:fill="BD2716"/>
            <w:hideMark/>
          </w:tcPr>
          <w:p w14:paraId="329B6E3E" w14:textId="77777777" w:rsidR="00360D75" w:rsidRPr="00700846" w:rsidRDefault="00360D75">
            <w:pPr>
              <w:rPr>
                <w:rFonts w:cs="Arial"/>
                <w:color w:val="FFFFFF" w:themeColor="background1"/>
                <w:szCs w:val="24"/>
              </w:rPr>
            </w:pPr>
            <w:r w:rsidRPr="00700846">
              <w:rPr>
                <w:rFonts w:cs="Arial"/>
                <w:color w:val="FFFFFF" w:themeColor="background1"/>
                <w:szCs w:val="24"/>
              </w:rPr>
              <w:lastRenderedPageBreak/>
              <w:t>Area for Improvement</w:t>
            </w:r>
          </w:p>
        </w:tc>
        <w:tc>
          <w:tcPr>
            <w:tcW w:w="4058" w:type="dxa"/>
            <w:tcBorders>
              <w:top w:val="single" w:sz="4" w:space="0" w:color="auto"/>
              <w:left w:val="single" w:sz="4" w:space="0" w:color="auto"/>
              <w:bottom w:val="single" w:sz="4" w:space="0" w:color="auto"/>
              <w:right w:val="single" w:sz="4" w:space="0" w:color="auto"/>
            </w:tcBorders>
            <w:shd w:val="clear" w:color="auto" w:fill="BD2716"/>
            <w:hideMark/>
          </w:tcPr>
          <w:p w14:paraId="0FE10A2E" w14:textId="441EE11F" w:rsidR="00360D75" w:rsidRPr="00700846" w:rsidRDefault="00360D75">
            <w:pPr>
              <w:jc w:val="both"/>
              <w:rPr>
                <w:rFonts w:cs="Arial"/>
                <w:color w:val="FFFFFF" w:themeColor="background1"/>
                <w:szCs w:val="24"/>
              </w:rPr>
            </w:pPr>
            <w:r w:rsidRPr="00700846">
              <w:rPr>
                <w:rFonts w:cs="Arial"/>
                <w:color w:val="FFFFFF" w:themeColor="background1"/>
                <w:szCs w:val="24"/>
              </w:rPr>
              <w:t xml:space="preserve">Action to </w:t>
            </w:r>
            <w:r w:rsidR="00E95779" w:rsidRPr="00700846">
              <w:rPr>
                <w:rFonts w:cs="Arial"/>
                <w:color w:val="FFFFFF" w:themeColor="background1"/>
                <w:szCs w:val="24"/>
              </w:rPr>
              <w:t>D</w:t>
            </w:r>
            <w:r w:rsidRPr="00700846">
              <w:rPr>
                <w:rFonts w:cs="Arial"/>
                <w:color w:val="FFFFFF" w:themeColor="background1"/>
                <w:szCs w:val="24"/>
              </w:rPr>
              <w:t>ate</w:t>
            </w:r>
          </w:p>
        </w:tc>
        <w:tc>
          <w:tcPr>
            <w:tcW w:w="1381" w:type="dxa"/>
            <w:tcBorders>
              <w:top w:val="single" w:sz="4" w:space="0" w:color="auto"/>
              <w:left w:val="single" w:sz="4" w:space="0" w:color="auto"/>
              <w:bottom w:val="single" w:sz="4" w:space="0" w:color="auto"/>
              <w:right w:val="single" w:sz="4" w:space="0" w:color="auto"/>
            </w:tcBorders>
            <w:shd w:val="clear" w:color="auto" w:fill="BD2716"/>
            <w:hideMark/>
          </w:tcPr>
          <w:p w14:paraId="47504F64" w14:textId="77777777" w:rsidR="00360D75" w:rsidRPr="00700846" w:rsidRDefault="00360D75">
            <w:pPr>
              <w:jc w:val="both"/>
              <w:rPr>
                <w:rFonts w:cs="Arial"/>
                <w:color w:val="FFFFFF" w:themeColor="background1"/>
                <w:szCs w:val="24"/>
              </w:rPr>
            </w:pPr>
            <w:r w:rsidRPr="00700846">
              <w:rPr>
                <w:rFonts w:cs="Arial"/>
                <w:color w:val="FFFFFF" w:themeColor="background1"/>
                <w:szCs w:val="24"/>
              </w:rPr>
              <w:t>Complete/</w:t>
            </w:r>
          </w:p>
          <w:p w14:paraId="6F029082" w14:textId="77777777" w:rsidR="00360D75" w:rsidRPr="00700846" w:rsidRDefault="00360D75">
            <w:pPr>
              <w:jc w:val="both"/>
              <w:rPr>
                <w:rFonts w:cs="Arial"/>
                <w:color w:val="FFFFFF" w:themeColor="background1"/>
                <w:szCs w:val="24"/>
              </w:rPr>
            </w:pPr>
            <w:r w:rsidRPr="00700846">
              <w:rPr>
                <w:rFonts w:cs="Arial"/>
                <w:color w:val="FFFFFF" w:themeColor="background1"/>
                <w:szCs w:val="24"/>
              </w:rPr>
              <w:t>On-going</w:t>
            </w:r>
          </w:p>
        </w:tc>
        <w:tc>
          <w:tcPr>
            <w:tcW w:w="1533" w:type="dxa"/>
            <w:tcBorders>
              <w:top w:val="single" w:sz="4" w:space="0" w:color="auto"/>
              <w:left w:val="single" w:sz="4" w:space="0" w:color="auto"/>
              <w:bottom w:val="single" w:sz="4" w:space="0" w:color="auto"/>
              <w:right w:val="single" w:sz="4" w:space="0" w:color="auto"/>
            </w:tcBorders>
            <w:shd w:val="clear" w:color="auto" w:fill="BD2716"/>
            <w:hideMark/>
          </w:tcPr>
          <w:p w14:paraId="506EBB9E" w14:textId="77777777" w:rsidR="00360D75" w:rsidRPr="00700846" w:rsidRDefault="00360D75">
            <w:pPr>
              <w:rPr>
                <w:rFonts w:cs="Arial"/>
                <w:color w:val="FFFFFF" w:themeColor="background1"/>
                <w:szCs w:val="24"/>
              </w:rPr>
            </w:pPr>
            <w:r w:rsidRPr="00700846">
              <w:rPr>
                <w:rFonts w:cs="Arial"/>
                <w:color w:val="FFFFFF" w:themeColor="background1"/>
                <w:szCs w:val="24"/>
              </w:rPr>
              <w:t>Owner</w:t>
            </w:r>
          </w:p>
        </w:tc>
      </w:tr>
      <w:tr w:rsidR="00360D75" w:rsidRPr="0009320B" w14:paraId="1AE248A8" w14:textId="77777777" w:rsidTr="00700846">
        <w:trPr>
          <w:trHeight w:val="300"/>
          <w:tblHeader/>
        </w:trPr>
        <w:tc>
          <w:tcPr>
            <w:tcW w:w="2778" w:type="dxa"/>
            <w:tcBorders>
              <w:top w:val="single" w:sz="4" w:space="0" w:color="auto"/>
              <w:left w:val="single" w:sz="4" w:space="0" w:color="auto"/>
              <w:bottom w:val="single" w:sz="4" w:space="0" w:color="auto"/>
              <w:right w:val="single" w:sz="4" w:space="0" w:color="auto"/>
            </w:tcBorders>
          </w:tcPr>
          <w:p w14:paraId="520B354F" w14:textId="77777777" w:rsidR="00360D75" w:rsidRPr="00927796" w:rsidRDefault="00360D75" w:rsidP="00381C1B">
            <w:pPr>
              <w:rPr>
                <w:rFonts w:cs="Arial"/>
                <w:szCs w:val="24"/>
              </w:rPr>
            </w:pPr>
            <w:r w:rsidRPr="00927796">
              <w:rPr>
                <w:rFonts w:cs="Arial"/>
                <w:szCs w:val="24"/>
              </w:rPr>
              <w:t>A project to replace the existing Performance Management System will commence</w:t>
            </w:r>
          </w:p>
        </w:tc>
        <w:tc>
          <w:tcPr>
            <w:tcW w:w="4058" w:type="dxa"/>
            <w:tcBorders>
              <w:top w:val="single" w:sz="4" w:space="0" w:color="auto"/>
              <w:left w:val="single" w:sz="4" w:space="0" w:color="auto"/>
              <w:bottom w:val="single" w:sz="4" w:space="0" w:color="auto"/>
              <w:right w:val="single" w:sz="4" w:space="0" w:color="auto"/>
            </w:tcBorders>
          </w:tcPr>
          <w:p w14:paraId="5CD022A5" w14:textId="148A9548" w:rsidR="00360D75" w:rsidRPr="00927796" w:rsidRDefault="00360D75" w:rsidP="00381C1B">
            <w:pPr>
              <w:rPr>
                <w:rFonts w:cs="Arial"/>
                <w:szCs w:val="24"/>
              </w:rPr>
            </w:pPr>
            <w:r w:rsidRPr="00927796">
              <w:rPr>
                <w:rFonts w:cs="Arial"/>
                <w:szCs w:val="24"/>
              </w:rPr>
              <w:t>The new Service level performance dashboard has been delivered and is in use across the service. A performance dashboard project remains live with further Power</w:t>
            </w:r>
            <w:r w:rsidR="00A262F6">
              <w:rPr>
                <w:rFonts w:cs="Arial"/>
                <w:szCs w:val="24"/>
              </w:rPr>
              <w:t xml:space="preserve"> </w:t>
            </w:r>
            <w:r w:rsidRPr="00927796">
              <w:rPr>
                <w:rFonts w:cs="Arial"/>
                <w:szCs w:val="24"/>
              </w:rPr>
              <w:t xml:space="preserve">Bi dashboards in development to support departments and teams across LFRS. A finance proof of concept dashboard has been end-user tested with final development underway. People and culture, and service delivery dashboards are in development. </w:t>
            </w:r>
          </w:p>
        </w:tc>
        <w:tc>
          <w:tcPr>
            <w:tcW w:w="1381" w:type="dxa"/>
            <w:tcBorders>
              <w:top w:val="single" w:sz="4" w:space="0" w:color="auto"/>
              <w:left w:val="single" w:sz="4" w:space="0" w:color="auto"/>
              <w:bottom w:val="single" w:sz="4" w:space="0" w:color="auto"/>
              <w:right w:val="single" w:sz="4" w:space="0" w:color="auto"/>
            </w:tcBorders>
          </w:tcPr>
          <w:p w14:paraId="37CDEC95" w14:textId="77777777" w:rsidR="00360D75" w:rsidRPr="00927796" w:rsidRDefault="00360D75" w:rsidP="00381C1B">
            <w:pPr>
              <w:rPr>
                <w:rFonts w:cs="Arial"/>
                <w:color w:val="000000"/>
                <w:szCs w:val="24"/>
              </w:rPr>
            </w:pPr>
            <w:r w:rsidRPr="00927796">
              <w:rPr>
                <w:szCs w:val="24"/>
              </w:rPr>
              <w:t>Complete</w:t>
            </w:r>
          </w:p>
        </w:tc>
        <w:tc>
          <w:tcPr>
            <w:tcW w:w="1533" w:type="dxa"/>
            <w:tcBorders>
              <w:top w:val="single" w:sz="4" w:space="0" w:color="auto"/>
              <w:left w:val="single" w:sz="4" w:space="0" w:color="auto"/>
              <w:bottom w:val="single" w:sz="4" w:space="0" w:color="auto"/>
              <w:right w:val="single" w:sz="4" w:space="0" w:color="auto"/>
            </w:tcBorders>
            <w:hideMark/>
          </w:tcPr>
          <w:p w14:paraId="71F9E565" w14:textId="77777777" w:rsidR="00360D75" w:rsidRPr="00927796" w:rsidRDefault="00360D75" w:rsidP="00381C1B">
            <w:pPr>
              <w:rPr>
                <w:rFonts w:cs="Arial"/>
                <w:color w:val="000000"/>
                <w:szCs w:val="24"/>
              </w:rPr>
            </w:pPr>
            <w:r w:rsidRPr="00927796">
              <w:rPr>
                <w:rFonts w:cs="Arial"/>
                <w:color w:val="000000" w:themeColor="text1"/>
                <w:szCs w:val="24"/>
              </w:rPr>
              <w:t>Head of Service Improvement</w:t>
            </w:r>
          </w:p>
        </w:tc>
      </w:tr>
      <w:tr w:rsidR="00360D75" w:rsidRPr="0009320B" w14:paraId="5A945F3C" w14:textId="77777777" w:rsidTr="00700846">
        <w:trPr>
          <w:trHeight w:val="300"/>
          <w:tblHeader/>
        </w:trPr>
        <w:tc>
          <w:tcPr>
            <w:tcW w:w="2778" w:type="dxa"/>
            <w:tcBorders>
              <w:top w:val="single" w:sz="4" w:space="0" w:color="auto"/>
              <w:left w:val="single" w:sz="4" w:space="0" w:color="auto"/>
              <w:bottom w:val="single" w:sz="4" w:space="0" w:color="auto"/>
              <w:right w:val="single" w:sz="4" w:space="0" w:color="auto"/>
            </w:tcBorders>
          </w:tcPr>
          <w:p w14:paraId="7D1450F1" w14:textId="56B05F17" w:rsidR="00360D75" w:rsidRPr="00927796" w:rsidRDefault="00360D75" w:rsidP="00381C1B">
            <w:pPr>
              <w:rPr>
                <w:rFonts w:cs="Arial"/>
                <w:szCs w:val="24"/>
              </w:rPr>
            </w:pPr>
            <w:r w:rsidRPr="00927796">
              <w:rPr>
                <w:rFonts w:cs="Arial"/>
                <w:szCs w:val="24"/>
              </w:rPr>
              <w:t>An upgraded Finance system will be implemented in April 2022, as part of that we will review and implement improvements to the monthly budget monitoring process, making greater use of additional functionality provided.</w:t>
            </w:r>
          </w:p>
        </w:tc>
        <w:tc>
          <w:tcPr>
            <w:tcW w:w="4058" w:type="dxa"/>
            <w:tcBorders>
              <w:top w:val="single" w:sz="4" w:space="0" w:color="auto"/>
              <w:left w:val="single" w:sz="4" w:space="0" w:color="auto"/>
              <w:bottom w:val="single" w:sz="4" w:space="0" w:color="auto"/>
              <w:right w:val="single" w:sz="4" w:space="0" w:color="auto"/>
            </w:tcBorders>
          </w:tcPr>
          <w:p w14:paraId="0F72328D" w14:textId="77777777" w:rsidR="00360D75" w:rsidRPr="00927796" w:rsidRDefault="00360D75" w:rsidP="00381C1B">
            <w:pPr>
              <w:rPr>
                <w:rFonts w:cs="Arial"/>
                <w:szCs w:val="24"/>
              </w:rPr>
            </w:pPr>
            <w:r w:rsidRPr="00927796">
              <w:rPr>
                <w:rFonts w:cs="Arial"/>
                <w:szCs w:val="24"/>
              </w:rPr>
              <w:t xml:space="preserve">New budget monitoring statements were rolled out in 2024 </w:t>
            </w:r>
            <w:proofErr w:type="gramStart"/>
            <w:r w:rsidRPr="00927796">
              <w:rPr>
                <w:rFonts w:cs="Arial"/>
                <w:szCs w:val="24"/>
              </w:rPr>
              <w:t>however,</w:t>
            </w:r>
            <w:proofErr w:type="gramEnd"/>
            <w:r w:rsidRPr="00927796">
              <w:rPr>
                <w:rFonts w:cs="Arial"/>
                <w:szCs w:val="24"/>
              </w:rPr>
              <w:t xml:space="preserve"> we aim to continue to make improvements to the monitoring process during 2025/26.</w:t>
            </w:r>
          </w:p>
        </w:tc>
        <w:tc>
          <w:tcPr>
            <w:tcW w:w="1381" w:type="dxa"/>
            <w:tcBorders>
              <w:top w:val="single" w:sz="4" w:space="0" w:color="auto"/>
              <w:left w:val="single" w:sz="4" w:space="0" w:color="auto"/>
              <w:bottom w:val="single" w:sz="4" w:space="0" w:color="auto"/>
              <w:right w:val="single" w:sz="4" w:space="0" w:color="auto"/>
            </w:tcBorders>
          </w:tcPr>
          <w:p w14:paraId="2B0A0E96" w14:textId="77777777" w:rsidR="00360D75" w:rsidRPr="00927796" w:rsidRDefault="00360D75" w:rsidP="00381C1B">
            <w:pPr>
              <w:rPr>
                <w:rFonts w:cs="Arial"/>
                <w:color w:val="000000"/>
                <w:szCs w:val="24"/>
              </w:rPr>
            </w:pPr>
            <w:r w:rsidRPr="00927796">
              <w:rPr>
                <w:rFonts w:cs="Arial"/>
                <w:color w:val="000000" w:themeColor="text1"/>
                <w:szCs w:val="24"/>
              </w:rPr>
              <w:t>Complete</w:t>
            </w:r>
          </w:p>
        </w:tc>
        <w:tc>
          <w:tcPr>
            <w:tcW w:w="1533" w:type="dxa"/>
            <w:tcBorders>
              <w:top w:val="single" w:sz="4" w:space="0" w:color="auto"/>
              <w:left w:val="single" w:sz="4" w:space="0" w:color="auto"/>
              <w:bottom w:val="single" w:sz="4" w:space="0" w:color="auto"/>
              <w:right w:val="single" w:sz="4" w:space="0" w:color="auto"/>
            </w:tcBorders>
            <w:hideMark/>
          </w:tcPr>
          <w:p w14:paraId="3BDE4F48" w14:textId="77777777" w:rsidR="00360D75" w:rsidRPr="00927796" w:rsidRDefault="00360D75" w:rsidP="00381C1B">
            <w:pPr>
              <w:rPr>
                <w:rFonts w:cs="Arial"/>
                <w:color w:val="000000"/>
                <w:szCs w:val="24"/>
              </w:rPr>
            </w:pPr>
            <w:r w:rsidRPr="00927796">
              <w:rPr>
                <w:rFonts w:cs="Arial"/>
                <w:color w:val="000000" w:themeColor="text1"/>
                <w:szCs w:val="24"/>
              </w:rPr>
              <w:t>Head of Finance</w:t>
            </w:r>
          </w:p>
        </w:tc>
      </w:tr>
    </w:tbl>
    <w:p w14:paraId="0826758E" w14:textId="77777777" w:rsidR="00E95779" w:rsidRDefault="00E95779" w:rsidP="00E95779">
      <w:pPr>
        <w:spacing w:after="160" w:line="259" w:lineRule="auto"/>
        <w:rPr>
          <w:b/>
          <w:bCs/>
          <w:szCs w:val="24"/>
        </w:rPr>
      </w:pPr>
    </w:p>
    <w:p w14:paraId="62EC7878" w14:textId="77777777" w:rsidR="00360D75" w:rsidRPr="00A262F6" w:rsidRDefault="00360D75" w:rsidP="0078602B">
      <w:pPr>
        <w:spacing w:line="259" w:lineRule="auto"/>
        <w:rPr>
          <w:b/>
          <w:bCs/>
          <w:szCs w:val="24"/>
        </w:rPr>
      </w:pPr>
      <w:r w:rsidRPr="00A262F6">
        <w:rPr>
          <w:b/>
          <w:bCs/>
          <w:szCs w:val="24"/>
        </w:rPr>
        <w:t>Significant governance issues</w:t>
      </w:r>
    </w:p>
    <w:p w14:paraId="24D682CA" w14:textId="77777777" w:rsidR="00360D75" w:rsidRPr="00927796" w:rsidRDefault="00360D75" w:rsidP="00381C1B">
      <w:pPr>
        <w:rPr>
          <w:rFonts w:cs="Arial"/>
          <w:szCs w:val="24"/>
        </w:rPr>
      </w:pPr>
    </w:p>
    <w:p w14:paraId="54644823" w14:textId="77777777" w:rsidR="00360D75" w:rsidRPr="00927796" w:rsidRDefault="00360D75" w:rsidP="00381C1B">
      <w:pPr>
        <w:rPr>
          <w:rFonts w:cs="Arial"/>
          <w:szCs w:val="24"/>
        </w:rPr>
      </w:pPr>
      <w:proofErr w:type="gramStart"/>
      <w:r w:rsidRPr="00927796">
        <w:rPr>
          <w:rFonts w:cs="Arial"/>
          <w:szCs w:val="24"/>
        </w:rPr>
        <w:t>On the basis of</w:t>
      </w:r>
      <w:proofErr w:type="gramEnd"/>
      <w:r w:rsidRPr="00927796">
        <w:rPr>
          <w:rFonts w:cs="Arial"/>
          <w:szCs w:val="24"/>
        </w:rPr>
        <w:t xml:space="preserve"> the review of the sources of assurance and opinions from both the external and internal auditors set out in this statement, there are no significant governance arrangements.</w:t>
      </w:r>
    </w:p>
    <w:p w14:paraId="26304EDE" w14:textId="77777777" w:rsidR="00360D75" w:rsidRPr="0009320B" w:rsidRDefault="00360D75" w:rsidP="7C049D64"/>
    <w:p w14:paraId="264E608F" w14:textId="77777777" w:rsidR="00360D75" w:rsidRPr="00A262F6" w:rsidRDefault="00360D75" w:rsidP="7C049D64">
      <w:r w:rsidRPr="00A262F6">
        <w:t xml:space="preserve">Approved: </w:t>
      </w:r>
    </w:p>
    <w:p w14:paraId="27DB137C" w14:textId="77777777" w:rsidR="00360D75" w:rsidRPr="0009320B" w:rsidRDefault="00360D75" w:rsidP="7C049D64"/>
    <w:tbl>
      <w:tblPr>
        <w:tblW w:w="10031" w:type="dxa"/>
        <w:tblLayout w:type="fixed"/>
        <w:tblLook w:val="0000" w:firstRow="0" w:lastRow="0" w:firstColumn="0" w:lastColumn="0" w:noHBand="0" w:noVBand="0"/>
      </w:tblPr>
      <w:tblGrid>
        <w:gridCol w:w="3369"/>
        <w:gridCol w:w="283"/>
        <w:gridCol w:w="2977"/>
        <w:gridCol w:w="284"/>
        <w:gridCol w:w="3118"/>
      </w:tblGrid>
      <w:tr w:rsidR="00360D75" w:rsidRPr="0009320B" w14:paraId="55441D58" w14:textId="77777777" w:rsidTr="7C049D64">
        <w:trPr>
          <w:trHeight w:val="300"/>
        </w:trPr>
        <w:tc>
          <w:tcPr>
            <w:tcW w:w="3369" w:type="dxa"/>
          </w:tcPr>
          <w:p w14:paraId="1A87451B" w14:textId="77777777" w:rsidR="00360D75" w:rsidRPr="0009320B" w:rsidRDefault="00360D75">
            <w:pPr>
              <w:jc w:val="both"/>
              <w:rPr>
                <w:rFonts w:ascii="Brush Script MT" w:hAnsi="Brush Script MT"/>
                <w:sz w:val="48"/>
                <w:szCs w:val="48"/>
              </w:rPr>
            </w:pPr>
            <w:r w:rsidRPr="7C049D64">
              <w:rPr>
                <w:rFonts w:ascii="Brush Script MT" w:hAnsi="Brush Script MT"/>
                <w:sz w:val="48"/>
                <w:szCs w:val="48"/>
              </w:rPr>
              <w:t>Ged Mirfin</w:t>
            </w:r>
          </w:p>
          <w:p w14:paraId="5272D41B" w14:textId="77777777" w:rsidR="00360D75" w:rsidRDefault="00360D75">
            <w:pPr>
              <w:jc w:val="both"/>
              <w:rPr>
                <w:rFonts w:ascii="Brush Script MT" w:hAnsi="Brush Script MT"/>
                <w:sz w:val="48"/>
                <w:szCs w:val="48"/>
              </w:rPr>
            </w:pPr>
          </w:p>
        </w:tc>
        <w:tc>
          <w:tcPr>
            <w:tcW w:w="283" w:type="dxa"/>
          </w:tcPr>
          <w:p w14:paraId="1A3FEB99" w14:textId="77777777" w:rsidR="00360D75" w:rsidRPr="0009320B" w:rsidRDefault="00360D75">
            <w:pPr>
              <w:rPr>
                <w:rFonts w:cs="Arial"/>
                <w:sz w:val="22"/>
                <w:szCs w:val="22"/>
              </w:rPr>
            </w:pPr>
          </w:p>
        </w:tc>
        <w:tc>
          <w:tcPr>
            <w:tcW w:w="2977" w:type="dxa"/>
          </w:tcPr>
          <w:p w14:paraId="213E139E" w14:textId="77777777" w:rsidR="00360D75" w:rsidRPr="0009320B" w:rsidRDefault="00360D75">
            <w:pPr>
              <w:jc w:val="both"/>
              <w:rPr>
                <w:rFonts w:ascii="Brush Script MT" w:hAnsi="Brush Script MT"/>
                <w:sz w:val="48"/>
                <w:szCs w:val="48"/>
              </w:rPr>
            </w:pPr>
            <w:r w:rsidRPr="7C049D64">
              <w:rPr>
                <w:rFonts w:ascii="Brush Script MT" w:hAnsi="Brush Script MT"/>
                <w:sz w:val="48"/>
                <w:szCs w:val="48"/>
              </w:rPr>
              <w:t>Jon Charters</w:t>
            </w:r>
          </w:p>
          <w:p w14:paraId="65834F5D" w14:textId="77777777" w:rsidR="00360D75" w:rsidRPr="0009320B" w:rsidRDefault="00360D75">
            <w:pPr>
              <w:rPr>
                <w:rFonts w:cs="Arial"/>
                <w:sz w:val="22"/>
                <w:szCs w:val="22"/>
              </w:rPr>
            </w:pPr>
          </w:p>
        </w:tc>
        <w:tc>
          <w:tcPr>
            <w:tcW w:w="284" w:type="dxa"/>
          </w:tcPr>
          <w:p w14:paraId="7988A11C" w14:textId="77777777" w:rsidR="00360D75" w:rsidRPr="0009320B" w:rsidRDefault="00360D75">
            <w:pPr>
              <w:rPr>
                <w:rFonts w:cs="Arial"/>
                <w:sz w:val="22"/>
                <w:szCs w:val="22"/>
              </w:rPr>
            </w:pPr>
          </w:p>
        </w:tc>
        <w:tc>
          <w:tcPr>
            <w:tcW w:w="3118" w:type="dxa"/>
          </w:tcPr>
          <w:p w14:paraId="0999B8D2" w14:textId="77777777" w:rsidR="00360D75" w:rsidRPr="0009320B" w:rsidRDefault="00360D75">
            <w:pPr>
              <w:jc w:val="both"/>
              <w:rPr>
                <w:rFonts w:ascii="Brush Script MT" w:hAnsi="Brush Script MT"/>
                <w:sz w:val="48"/>
                <w:szCs w:val="48"/>
              </w:rPr>
            </w:pPr>
            <w:r w:rsidRPr="7C049D64">
              <w:rPr>
                <w:rFonts w:ascii="Brush Script MT" w:hAnsi="Brush Script MT"/>
                <w:sz w:val="48"/>
                <w:szCs w:val="48"/>
              </w:rPr>
              <w:t>Steven Brown</w:t>
            </w:r>
          </w:p>
          <w:p w14:paraId="6953F753" w14:textId="77777777" w:rsidR="00360D75" w:rsidRPr="0009320B" w:rsidRDefault="00360D75">
            <w:pPr>
              <w:rPr>
                <w:rFonts w:cs="Arial"/>
                <w:sz w:val="22"/>
                <w:szCs w:val="22"/>
              </w:rPr>
            </w:pPr>
          </w:p>
        </w:tc>
      </w:tr>
      <w:tr w:rsidR="00360D75" w:rsidRPr="00AF3DCD" w14:paraId="3AD47B16" w14:textId="77777777" w:rsidTr="7C049D64">
        <w:trPr>
          <w:trHeight w:val="300"/>
        </w:trPr>
        <w:tc>
          <w:tcPr>
            <w:tcW w:w="3369" w:type="dxa"/>
          </w:tcPr>
          <w:p w14:paraId="31268BEA" w14:textId="77777777" w:rsidR="00360D75" w:rsidRPr="0009320B" w:rsidRDefault="00360D75" w:rsidP="00927796">
            <w:r w:rsidRPr="7C049D64">
              <w:t>County Councillor G Mirfin, Chairman,</w:t>
            </w:r>
          </w:p>
          <w:p w14:paraId="2ED26CC5" w14:textId="77777777" w:rsidR="00360D75" w:rsidRPr="0009320B" w:rsidRDefault="00360D75" w:rsidP="00927796">
            <w:r w:rsidRPr="7C049D64">
              <w:t>Lancashire Combined Fire Authority</w:t>
            </w:r>
          </w:p>
          <w:p w14:paraId="59A39675" w14:textId="1EEBE0BB" w:rsidR="00360D75" w:rsidRDefault="0033612E" w:rsidP="00927796">
            <w:r>
              <w:t>17</w:t>
            </w:r>
            <w:r w:rsidRPr="0033612E">
              <w:rPr>
                <w:vertAlign w:val="superscript"/>
              </w:rPr>
              <w:t>th</w:t>
            </w:r>
            <w:r>
              <w:t xml:space="preserve"> December 2025</w:t>
            </w:r>
          </w:p>
        </w:tc>
        <w:tc>
          <w:tcPr>
            <w:tcW w:w="283" w:type="dxa"/>
          </w:tcPr>
          <w:p w14:paraId="73CFFEFC" w14:textId="77777777" w:rsidR="00360D75" w:rsidRPr="0009320B" w:rsidRDefault="00360D75" w:rsidP="00927796"/>
        </w:tc>
        <w:tc>
          <w:tcPr>
            <w:tcW w:w="2977" w:type="dxa"/>
          </w:tcPr>
          <w:p w14:paraId="0D760CC0" w14:textId="77777777" w:rsidR="00360D75" w:rsidRPr="0009320B" w:rsidRDefault="00360D75" w:rsidP="00927796">
            <w:r w:rsidRPr="7C049D64">
              <w:t>J Charters,</w:t>
            </w:r>
          </w:p>
          <w:p w14:paraId="04D3D754" w14:textId="77777777" w:rsidR="00360D75" w:rsidRPr="0009320B" w:rsidRDefault="00360D75" w:rsidP="00927796">
            <w:r w:rsidRPr="7C049D64">
              <w:t>Chief Fire Officer, Lancashire Fire and Rescue Service</w:t>
            </w:r>
          </w:p>
          <w:p w14:paraId="4DF8601F" w14:textId="67CE4525" w:rsidR="00360D75" w:rsidRPr="0009320B" w:rsidRDefault="0033612E" w:rsidP="00927796">
            <w:r>
              <w:t>17</w:t>
            </w:r>
            <w:r w:rsidRPr="0033612E">
              <w:rPr>
                <w:vertAlign w:val="superscript"/>
              </w:rPr>
              <w:t>th</w:t>
            </w:r>
            <w:r>
              <w:t xml:space="preserve"> December 2025</w:t>
            </w:r>
          </w:p>
        </w:tc>
        <w:tc>
          <w:tcPr>
            <w:tcW w:w="284" w:type="dxa"/>
          </w:tcPr>
          <w:p w14:paraId="4C8C5E5A" w14:textId="77777777" w:rsidR="00360D75" w:rsidRPr="0009320B" w:rsidRDefault="00360D75" w:rsidP="00927796"/>
        </w:tc>
        <w:tc>
          <w:tcPr>
            <w:tcW w:w="3118" w:type="dxa"/>
          </w:tcPr>
          <w:p w14:paraId="400C7B69" w14:textId="77777777" w:rsidR="00360D75" w:rsidRPr="0009320B" w:rsidRDefault="00360D75" w:rsidP="00927796">
            <w:r w:rsidRPr="7C049D64">
              <w:t>S Brown,</w:t>
            </w:r>
          </w:p>
          <w:p w14:paraId="39E74762" w14:textId="77777777" w:rsidR="00360D75" w:rsidRPr="0009320B" w:rsidRDefault="00360D75" w:rsidP="00927796">
            <w:r w:rsidRPr="7C049D64">
              <w:t xml:space="preserve">Treasurer, </w:t>
            </w:r>
          </w:p>
          <w:p w14:paraId="78AA4514" w14:textId="77777777" w:rsidR="00360D75" w:rsidRPr="0009320B" w:rsidRDefault="00360D75" w:rsidP="00927796">
            <w:r w:rsidRPr="7C049D64">
              <w:t>Lancashire Combined Fire Authority</w:t>
            </w:r>
          </w:p>
          <w:p w14:paraId="3728FF3C" w14:textId="02CE5C1D" w:rsidR="00360D75" w:rsidRPr="00AF3DCD" w:rsidRDefault="0033612E" w:rsidP="00927796">
            <w:r>
              <w:t>17</w:t>
            </w:r>
            <w:r w:rsidRPr="0033612E">
              <w:rPr>
                <w:vertAlign w:val="superscript"/>
              </w:rPr>
              <w:t>th</w:t>
            </w:r>
            <w:r>
              <w:t xml:space="preserve"> December 2025</w:t>
            </w:r>
          </w:p>
        </w:tc>
      </w:tr>
    </w:tbl>
    <w:p w14:paraId="4483E522" w14:textId="77777777" w:rsidR="00634FF1" w:rsidRPr="00D948C1" w:rsidRDefault="00634FF1" w:rsidP="00927796">
      <w:r w:rsidRPr="00D948C1">
        <w:br w:type="page"/>
      </w:r>
    </w:p>
    <w:p w14:paraId="12FA2E82" w14:textId="77777777" w:rsidR="00634FF1" w:rsidRPr="00D948C1" w:rsidRDefault="00634FF1" w:rsidP="00634FF1">
      <w:pPr>
        <w:pStyle w:val="Heading1"/>
        <w:rPr>
          <w:szCs w:val="24"/>
        </w:rPr>
      </w:pPr>
      <w:bookmarkStart w:id="6" w:name="_Toc215593383"/>
      <w:r w:rsidRPr="00D948C1">
        <w:rPr>
          <w:szCs w:val="24"/>
        </w:rPr>
        <w:lastRenderedPageBreak/>
        <w:t>Independent Auditor’s Report to the Members of Lancashire Combined Fire Authority</w:t>
      </w:r>
      <w:bookmarkEnd w:id="6"/>
    </w:p>
    <w:p w14:paraId="22D6ECF2" w14:textId="77777777" w:rsidR="00634FF1" w:rsidRPr="00D948C1" w:rsidRDefault="00634FF1" w:rsidP="00634FF1"/>
    <w:p w14:paraId="5A978E28" w14:textId="77777777" w:rsidR="00A94243" w:rsidRDefault="00A94243" w:rsidP="00A94243">
      <w:pPr>
        <w:rPr>
          <w:rFonts w:cs="Arial"/>
          <w:b/>
          <w:bCs/>
          <w:szCs w:val="24"/>
        </w:rPr>
      </w:pPr>
      <w:r w:rsidRPr="00EF534A">
        <w:rPr>
          <w:rFonts w:cs="Arial"/>
          <w:b/>
          <w:bCs/>
          <w:szCs w:val="24"/>
        </w:rPr>
        <w:t>Report on the audit of the financial statements</w:t>
      </w:r>
    </w:p>
    <w:p w14:paraId="4B1B095E" w14:textId="77777777" w:rsidR="00C31B37" w:rsidRPr="00EF534A" w:rsidRDefault="00C31B37" w:rsidP="00A94243">
      <w:pPr>
        <w:rPr>
          <w:rFonts w:cs="Arial"/>
          <w:b/>
          <w:bCs/>
          <w:szCs w:val="24"/>
        </w:rPr>
      </w:pPr>
    </w:p>
    <w:p w14:paraId="03356ED3" w14:textId="77777777" w:rsidR="00A94243" w:rsidRDefault="00A94243" w:rsidP="00A94243">
      <w:pPr>
        <w:rPr>
          <w:rFonts w:cs="Arial"/>
          <w:b/>
          <w:bCs/>
          <w:szCs w:val="24"/>
        </w:rPr>
      </w:pPr>
      <w:r w:rsidRPr="00C31B37">
        <w:rPr>
          <w:rFonts w:cs="Arial"/>
          <w:b/>
          <w:bCs/>
          <w:szCs w:val="24"/>
        </w:rPr>
        <w:t>Opinion on financial statements</w:t>
      </w:r>
    </w:p>
    <w:p w14:paraId="15F8FABE" w14:textId="77777777" w:rsidR="00C31B37" w:rsidRPr="00C31B37" w:rsidRDefault="00C31B37" w:rsidP="00A94243">
      <w:pPr>
        <w:rPr>
          <w:rFonts w:cs="Arial"/>
          <w:b/>
          <w:bCs/>
          <w:szCs w:val="24"/>
        </w:rPr>
      </w:pPr>
    </w:p>
    <w:p w14:paraId="33E94369" w14:textId="77777777" w:rsidR="00A94243" w:rsidRDefault="00A94243" w:rsidP="00A94243">
      <w:pPr>
        <w:rPr>
          <w:rFonts w:cs="Arial"/>
          <w:szCs w:val="24"/>
        </w:rPr>
      </w:pPr>
      <w:r w:rsidRPr="00EF534A">
        <w:rPr>
          <w:rFonts w:cs="Arial"/>
          <w:szCs w:val="24"/>
        </w:rPr>
        <w:t>We have audited the financial statements of Lancashire Combined Fire Authority  (the ‘Authority’) for the  year ended 31 March 2025, which comprise which comprise the Comprehensive Income and Expenditure Statement, the Movement in Reserves Statement, the Balance Sheet, the Cash Flow Statement   and notes to the financial statements, including a summary of significant accounting policies and include the firefighters' pension fund financial statements comprising the Fund Account, the Net Assets Statement and notes to the financial statements. The notes to the financial statements include notes to the core financial statements and firefighters’ pension fund. The financial reporting framework that has been applied in their preparation is applicable law and the CIPFA/LASAAC Code of Practice on Local Authority Accounting in the United Kingdom 2024/25.</w:t>
      </w:r>
    </w:p>
    <w:p w14:paraId="2FD021F6" w14:textId="77777777" w:rsidR="00C31B37" w:rsidRPr="00EF534A" w:rsidRDefault="00C31B37" w:rsidP="00A94243">
      <w:pPr>
        <w:rPr>
          <w:rFonts w:cs="Arial"/>
          <w:szCs w:val="24"/>
        </w:rPr>
      </w:pPr>
    </w:p>
    <w:p w14:paraId="16CBD3D0" w14:textId="77777777" w:rsidR="00A94243" w:rsidRDefault="00A94243" w:rsidP="00A94243">
      <w:pPr>
        <w:rPr>
          <w:rFonts w:cs="Arial"/>
          <w:szCs w:val="24"/>
        </w:rPr>
      </w:pPr>
      <w:r w:rsidRPr="00EF534A">
        <w:rPr>
          <w:rFonts w:cs="Arial"/>
          <w:szCs w:val="24"/>
        </w:rPr>
        <w:t>In our opinion, the financial statements:</w:t>
      </w:r>
    </w:p>
    <w:p w14:paraId="2E90ECE0" w14:textId="77777777" w:rsidR="00C31B37" w:rsidRPr="00EF534A" w:rsidRDefault="00C31B37" w:rsidP="00A94243">
      <w:pPr>
        <w:rPr>
          <w:rFonts w:cs="Arial"/>
          <w:szCs w:val="24"/>
        </w:rPr>
      </w:pPr>
    </w:p>
    <w:p w14:paraId="248993AD" w14:textId="71433522" w:rsidR="00A94243" w:rsidRDefault="00A94243" w:rsidP="002A04B9">
      <w:pPr>
        <w:pStyle w:val="ListParagraph"/>
        <w:numPr>
          <w:ilvl w:val="0"/>
          <w:numId w:val="42"/>
        </w:numPr>
        <w:rPr>
          <w:rFonts w:cs="Arial"/>
          <w:szCs w:val="24"/>
        </w:rPr>
      </w:pPr>
      <w:r w:rsidRPr="00C31B37">
        <w:rPr>
          <w:rFonts w:cs="Arial"/>
          <w:szCs w:val="24"/>
        </w:rPr>
        <w:t xml:space="preserve">give a true and fair view of the financial position of the Authority as </w:t>
      </w:r>
      <w:proofErr w:type="gramStart"/>
      <w:r w:rsidRPr="00C31B37">
        <w:rPr>
          <w:rFonts w:cs="Arial"/>
          <w:szCs w:val="24"/>
        </w:rPr>
        <w:t>at</w:t>
      </w:r>
      <w:proofErr w:type="gramEnd"/>
      <w:r w:rsidRPr="00C31B37">
        <w:rPr>
          <w:rFonts w:cs="Arial"/>
          <w:szCs w:val="24"/>
        </w:rPr>
        <w:t xml:space="preserve"> 31 March 2025 and of its expenditure and income for the year then ended</w:t>
      </w:r>
      <w:r w:rsidR="00C31B37">
        <w:rPr>
          <w:rFonts w:cs="Arial"/>
          <w:szCs w:val="24"/>
        </w:rPr>
        <w:t>.</w:t>
      </w:r>
    </w:p>
    <w:p w14:paraId="5C8BDE5A" w14:textId="77777777" w:rsidR="00C31B37" w:rsidRPr="00C31B37" w:rsidRDefault="00C31B37" w:rsidP="00C31B37">
      <w:pPr>
        <w:pStyle w:val="ListParagraph"/>
        <w:rPr>
          <w:rFonts w:cs="Arial"/>
          <w:szCs w:val="24"/>
        </w:rPr>
      </w:pPr>
    </w:p>
    <w:p w14:paraId="6C19B1D6" w14:textId="45963291" w:rsidR="00C31B37" w:rsidRDefault="00A94243" w:rsidP="002A04B9">
      <w:pPr>
        <w:pStyle w:val="ListParagraph"/>
        <w:numPr>
          <w:ilvl w:val="0"/>
          <w:numId w:val="42"/>
        </w:numPr>
        <w:rPr>
          <w:rFonts w:cs="Arial"/>
          <w:szCs w:val="24"/>
        </w:rPr>
      </w:pPr>
      <w:r w:rsidRPr="00C31B37">
        <w:rPr>
          <w:rFonts w:cs="Arial"/>
          <w:szCs w:val="24"/>
        </w:rPr>
        <w:t>have been properly prepared in accordance with the CIPFA/LASAAC Code of Practice on Local Authority Accounting in the United Kingdom 2024/25; and</w:t>
      </w:r>
    </w:p>
    <w:p w14:paraId="32E500DA" w14:textId="77777777" w:rsidR="00C31B37" w:rsidRPr="00C31B37" w:rsidRDefault="00C31B37" w:rsidP="00C31B37">
      <w:pPr>
        <w:rPr>
          <w:rFonts w:cs="Arial"/>
          <w:szCs w:val="24"/>
        </w:rPr>
      </w:pPr>
    </w:p>
    <w:p w14:paraId="274974D4" w14:textId="77777777" w:rsidR="00A94243" w:rsidRDefault="00A94243" w:rsidP="002A04B9">
      <w:pPr>
        <w:pStyle w:val="ListParagraph"/>
        <w:numPr>
          <w:ilvl w:val="0"/>
          <w:numId w:val="42"/>
        </w:numPr>
        <w:rPr>
          <w:rFonts w:cs="Arial"/>
          <w:szCs w:val="24"/>
        </w:rPr>
      </w:pPr>
      <w:r w:rsidRPr="00C31B37">
        <w:rPr>
          <w:rFonts w:cs="Arial"/>
          <w:szCs w:val="24"/>
        </w:rPr>
        <w:t>have been prepared in accordance with the requirements of the Local Audit and Accountability Act 2014.</w:t>
      </w:r>
    </w:p>
    <w:p w14:paraId="6C9570E8" w14:textId="77777777" w:rsidR="00C31B37" w:rsidRPr="00C31B37" w:rsidRDefault="00C31B37" w:rsidP="00C31B37">
      <w:pPr>
        <w:pStyle w:val="ListParagraph"/>
        <w:rPr>
          <w:rFonts w:cs="Arial"/>
          <w:szCs w:val="24"/>
        </w:rPr>
      </w:pPr>
    </w:p>
    <w:p w14:paraId="4813AEB3" w14:textId="77777777" w:rsidR="00A94243" w:rsidRDefault="00A94243" w:rsidP="00A94243">
      <w:pPr>
        <w:rPr>
          <w:rFonts w:cs="Arial"/>
          <w:b/>
          <w:bCs/>
          <w:szCs w:val="24"/>
        </w:rPr>
      </w:pPr>
      <w:r w:rsidRPr="00C31B37">
        <w:rPr>
          <w:rFonts w:cs="Arial"/>
          <w:b/>
          <w:bCs/>
          <w:szCs w:val="24"/>
        </w:rPr>
        <w:t>Basis for opinion</w:t>
      </w:r>
    </w:p>
    <w:p w14:paraId="427E9A35" w14:textId="77777777" w:rsidR="00C31B37" w:rsidRPr="00C31B37" w:rsidRDefault="00C31B37" w:rsidP="00A94243">
      <w:pPr>
        <w:rPr>
          <w:rFonts w:cs="Arial"/>
          <w:b/>
          <w:bCs/>
          <w:szCs w:val="24"/>
        </w:rPr>
      </w:pPr>
    </w:p>
    <w:p w14:paraId="3621E005" w14:textId="77777777" w:rsidR="00A94243" w:rsidRDefault="00A94243" w:rsidP="00A94243">
      <w:pPr>
        <w:rPr>
          <w:rFonts w:cs="Arial"/>
          <w:szCs w:val="24"/>
        </w:rPr>
      </w:pPr>
      <w:r w:rsidRPr="00EF534A">
        <w:rPr>
          <w:rFonts w:cs="Arial"/>
          <w:szCs w:val="24"/>
        </w:rPr>
        <w:t xml:space="preserve">We conducted our audit in accordance with International Standards on Auditing (UK) (ISAs (UK)) and applicable law, </w:t>
      </w:r>
      <w:bookmarkStart w:id="7" w:name="_Hlk78787206"/>
      <w:r w:rsidRPr="00EF534A">
        <w:rPr>
          <w:rFonts w:cs="Arial"/>
          <w:szCs w:val="24"/>
        </w:rPr>
        <w:t>as required by the Code of Audit Practice (2024) (“the Code of Audit Practice”) approved by the Comptroller and Auditor General</w:t>
      </w:r>
      <w:bookmarkEnd w:id="7"/>
      <w:r w:rsidRPr="00EF534A">
        <w:rPr>
          <w:rFonts w:cs="Arial"/>
          <w:szCs w:val="24"/>
        </w:rPr>
        <w:t>. Our responsibilities under those standards are further described in the ‘Auditor’s responsibilities for the audit of the financial statements’ section of our report. We are independent of the Authority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1B1290CF" w14:textId="77777777" w:rsidR="00C31B37" w:rsidRPr="00EF534A" w:rsidRDefault="00C31B37" w:rsidP="00A94243">
      <w:pPr>
        <w:rPr>
          <w:rFonts w:cs="Arial"/>
          <w:szCs w:val="24"/>
        </w:rPr>
      </w:pPr>
    </w:p>
    <w:p w14:paraId="4C9BF53C" w14:textId="77777777" w:rsidR="00A94243" w:rsidRDefault="00A94243" w:rsidP="00A94243">
      <w:pPr>
        <w:rPr>
          <w:rFonts w:cs="Arial"/>
          <w:b/>
          <w:bCs/>
          <w:szCs w:val="24"/>
        </w:rPr>
      </w:pPr>
      <w:r w:rsidRPr="00C31B37">
        <w:rPr>
          <w:rFonts w:cs="Arial"/>
          <w:b/>
          <w:bCs/>
          <w:szCs w:val="24"/>
        </w:rPr>
        <w:t>Conclusions relating to going concern</w:t>
      </w:r>
    </w:p>
    <w:p w14:paraId="5C4FF11F" w14:textId="77777777" w:rsidR="00C31B37" w:rsidRPr="00C31B37" w:rsidRDefault="00C31B37" w:rsidP="00A94243">
      <w:pPr>
        <w:rPr>
          <w:rFonts w:cs="Arial"/>
          <w:b/>
          <w:bCs/>
          <w:szCs w:val="24"/>
        </w:rPr>
      </w:pPr>
    </w:p>
    <w:p w14:paraId="4AF79F8B" w14:textId="77777777" w:rsidR="00066B7A" w:rsidRDefault="00A94243" w:rsidP="00A94243">
      <w:pPr>
        <w:rPr>
          <w:rFonts w:cs="Arial"/>
          <w:szCs w:val="24"/>
        </w:rPr>
      </w:pPr>
      <w:r w:rsidRPr="00EF534A">
        <w:rPr>
          <w:rFonts w:cs="Arial"/>
          <w:szCs w:val="24"/>
        </w:rPr>
        <w:t>We are responsible for concluding on the appropriateness of the Treasurer’s</w:t>
      </w:r>
      <w:r w:rsidRPr="00EF534A" w:rsidDel="00AB06E6">
        <w:rPr>
          <w:rFonts w:cs="Arial"/>
          <w:szCs w:val="24"/>
        </w:rPr>
        <w:t xml:space="preserve"> </w:t>
      </w:r>
      <w:r w:rsidRPr="00EF534A">
        <w:rPr>
          <w:rFonts w:cs="Arial"/>
          <w:szCs w:val="24"/>
        </w:rPr>
        <w:t>use of the going concern basis of accounting and, based on the audit evidence obtained, whether a material uncertainty exists related to events or conditions that may cast significant doubt on the Authority’s ability to continue as a going concern. If we conclude that a material uncertainty exists, we are required to draw attention in our report to the related disclosures in the financial statements or, if such disclosures are inadequate, to modify the auditor’s opinion. Our conclusions are based on the audit evidence obtained up to the date of our report. However, future events or conditions may cause the Authority to cease to continue as a going concern.</w:t>
      </w:r>
    </w:p>
    <w:p w14:paraId="45BA323B" w14:textId="4067035B" w:rsidR="00A94243" w:rsidRDefault="00A94243" w:rsidP="00A94243">
      <w:pPr>
        <w:rPr>
          <w:rFonts w:cs="Arial"/>
          <w:szCs w:val="24"/>
        </w:rPr>
      </w:pPr>
      <w:r w:rsidRPr="00EF534A">
        <w:rPr>
          <w:rFonts w:cs="Arial"/>
          <w:szCs w:val="24"/>
        </w:rPr>
        <w:lastRenderedPageBreak/>
        <w:t>In our evaluation of the Treasurer’s conclusions, and in accordance with the expectation set out within the CIPFA/LASAAC Code of Practice on Local Authority Accounting in the United Kingdom 2024/25 that the Authority’s financial statements shall be prepared on a going concern basis, we considered the inherent risks associated with the continuation of services provided by the Authority. In doing so we had regard to the guidance provided in Practice Note 10 Audit of financial statements and regularity of public sector bodies in the United Kingdom (Revised 2024) on the application of ISA (UK) 570 Going Concern to public sector entities. We assessed the reasonableness of the basis of preparation used by the Authority and the Authority’s disclosures over the going concern period</w:t>
      </w:r>
      <w:r w:rsidR="005E765B">
        <w:rPr>
          <w:rFonts w:cs="Arial"/>
          <w:szCs w:val="24"/>
        </w:rPr>
        <w:t>.</w:t>
      </w:r>
    </w:p>
    <w:p w14:paraId="3E5CE412" w14:textId="77777777" w:rsidR="005E765B" w:rsidRPr="00EF534A" w:rsidRDefault="005E765B" w:rsidP="00A94243">
      <w:pPr>
        <w:rPr>
          <w:rFonts w:cs="Arial"/>
          <w:szCs w:val="24"/>
        </w:rPr>
      </w:pPr>
    </w:p>
    <w:p w14:paraId="1325DFEC" w14:textId="77777777" w:rsidR="00A94243" w:rsidRPr="00EF534A" w:rsidRDefault="00A94243" w:rsidP="00A94243">
      <w:pPr>
        <w:rPr>
          <w:rFonts w:cs="Arial"/>
          <w:szCs w:val="24"/>
        </w:rPr>
      </w:pPr>
      <w:r w:rsidRPr="00EF534A">
        <w:rPr>
          <w:rFonts w:cs="Arial"/>
          <w:szCs w:val="24"/>
        </w:rPr>
        <w:t>In auditing the financial statements, we have concluded that the Treasurer’s</w:t>
      </w:r>
      <w:r w:rsidRPr="00EF534A" w:rsidDel="00AB06E6">
        <w:rPr>
          <w:rFonts w:cs="Arial"/>
          <w:szCs w:val="24"/>
        </w:rPr>
        <w:t xml:space="preserve"> </w:t>
      </w:r>
      <w:r w:rsidRPr="00EF534A">
        <w:rPr>
          <w:rFonts w:cs="Arial"/>
          <w:szCs w:val="24"/>
        </w:rPr>
        <w:t xml:space="preserve">use of the going concern basis of accounting in the preparation of the financial statements is appropriate. </w:t>
      </w:r>
    </w:p>
    <w:p w14:paraId="2F0C1616" w14:textId="77777777" w:rsidR="00A94243" w:rsidRDefault="00A94243" w:rsidP="00A94243">
      <w:pPr>
        <w:rPr>
          <w:rFonts w:cs="Arial"/>
          <w:szCs w:val="24"/>
        </w:rPr>
      </w:pPr>
      <w:r w:rsidRPr="00EF534A">
        <w:rPr>
          <w:rFonts w:cs="Arial"/>
          <w:szCs w:val="24"/>
        </w:rPr>
        <w:t>Based on the work we have performed, we have not identified any material uncertainties relating to events or conditions that, individually or collectively, may cast significant doubt on the Authority’s ability to continue as a going concern for a period of at least twelve months from when the financial statements are authorised for issue.</w:t>
      </w:r>
    </w:p>
    <w:p w14:paraId="652B4227" w14:textId="77777777" w:rsidR="005E765B" w:rsidRPr="00EF534A" w:rsidRDefault="005E765B" w:rsidP="00A94243">
      <w:pPr>
        <w:rPr>
          <w:rFonts w:cs="Arial"/>
          <w:szCs w:val="24"/>
        </w:rPr>
      </w:pPr>
    </w:p>
    <w:p w14:paraId="7DB80A0D" w14:textId="77777777" w:rsidR="00A94243" w:rsidRDefault="00A94243" w:rsidP="00A94243">
      <w:pPr>
        <w:rPr>
          <w:rFonts w:cs="Arial"/>
          <w:szCs w:val="24"/>
        </w:rPr>
      </w:pPr>
      <w:r w:rsidRPr="00EF534A">
        <w:rPr>
          <w:rFonts w:cs="Arial"/>
          <w:szCs w:val="24"/>
        </w:rPr>
        <w:t>Our responsibilities and the responsibilities of the Treasurer’s</w:t>
      </w:r>
      <w:r w:rsidRPr="00EF534A" w:rsidDel="00AB06E6">
        <w:rPr>
          <w:rFonts w:cs="Arial"/>
          <w:szCs w:val="24"/>
        </w:rPr>
        <w:t xml:space="preserve"> </w:t>
      </w:r>
      <w:r w:rsidRPr="00EF534A">
        <w:rPr>
          <w:rFonts w:cs="Arial"/>
          <w:szCs w:val="24"/>
        </w:rPr>
        <w:t>with respect to going concern are described in the relevant sections of this report.</w:t>
      </w:r>
    </w:p>
    <w:p w14:paraId="240BBC01" w14:textId="77777777" w:rsidR="0061289A" w:rsidRPr="00EF534A" w:rsidRDefault="0061289A" w:rsidP="00A94243">
      <w:pPr>
        <w:rPr>
          <w:rFonts w:cs="Arial"/>
          <w:szCs w:val="24"/>
        </w:rPr>
      </w:pPr>
    </w:p>
    <w:p w14:paraId="1866A08B" w14:textId="77777777" w:rsidR="00A94243" w:rsidRPr="0061289A" w:rsidRDefault="00A94243" w:rsidP="00A94243">
      <w:pPr>
        <w:rPr>
          <w:rFonts w:cs="Arial"/>
          <w:b/>
          <w:bCs/>
          <w:szCs w:val="24"/>
        </w:rPr>
      </w:pPr>
      <w:r w:rsidRPr="0061289A">
        <w:rPr>
          <w:rFonts w:cs="Arial"/>
          <w:b/>
          <w:bCs/>
          <w:szCs w:val="24"/>
        </w:rPr>
        <w:t>Other information</w:t>
      </w:r>
    </w:p>
    <w:p w14:paraId="14F059AC" w14:textId="77777777" w:rsidR="0061289A" w:rsidRPr="00EF534A" w:rsidRDefault="0061289A" w:rsidP="00A94243">
      <w:pPr>
        <w:rPr>
          <w:rFonts w:cs="Arial"/>
          <w:szCs w:val="24"/>
        </w:rPr>
      </w:pPr>
    </w:p>
    <w:p w14:paraId="3429A5E0" w14:textId="6A84BCCA" w:rsidR="00A94243" w:rsidRDefault="00A94243" w:rsidP="00A94243">
      <w:pPr>
        <w:rPr>
          <w:rFonts w:cs="Arial"/>
          <w:szCs w:val="24"/>
        </w:rPr>
      </w:pPr>
      <w:r w:rsidRPr="00EF534A">
        <w:rPr>
          <w:rFonts w:cs="Arial"/>
          <w:szCs w:val="24"/>
        </w:rPr>
        <w:t>The other information comprises the information included in the Statement of Accounts other than the financial statements and our auditor’s report thereon. The Treasurer’s is responsible for the other information. Our opinion on the financial statements does not cover the other information and, except to the extent otherwise explicitly stated in our report, we do not express any form of assurance conclusion thereon.</w:t>
      </w:r>
    </w:p>
    <w:p w14:paraId="49AD09B8" w14:textId="77777777" w:rsidR="00D004FF" w:rsidRPr="00EF534A" w:rsidRDefault="00D004FF" w:rsidP="00A94243">
      <w:pPr>
        <w:rPr>
          <w:rFonts w:cs="Arial"/>
          <w:szCs w:val="24"/>
        </w:rPr>
      </w:pPr>
    </w:p>
    <w:p w14:paraId="3CCD50C0" w14:textId="0E5AA7A6" w:rsidR="00A94243" w:rsidRDefault="00A94243" w:rsidP="00A94243">
      <w:pPr>
        <w:rPr>
          <w:rFonts w:cs="Arial"/>
          <w:szCs w:val="24"/>
        </w:rPr>
      </w:pPr>
      <w:r w:rsidRPr="00EF534A">
        <w:rPr>
          <w:rFonts w:cs="Arial"/>
          <w:szCs w:val="24"/>
        </w:rPr>
        <w:t>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themselves. If, based on the work we have performed, we conclude that there is a material misstatement of this other information, we are required to report that fact.</w:t>
      </w:r>
    </w:p>
    <w:p w14:paraId="55A5A124" w14:textId="77777777" w:rsidR="00D004FF" w:rsidRPr="00EF534A" w:rsidRDefault="00D004FF" w:rsidP="00A94243">
      <w:pPr>
        <w:rPr>
          <w:rFonts w:cs="Arial"/>
          <w:szCs w:val="24"/>
        </w:rPr>
      </w:pPr>
    </w:p>
    <w:p w14:paraId="2B9FAF71" w14:textId="77777777" w:rsidR="00A94243" w:rsidRDefault="00A94243" w:rsidP="00A94243">
      <w:pPr>
        <w:rPr>
          <w:rFonts w:cs="Arial"/>
          <w:szCs w:val="24"/>
        </w:rPr>
      </w:pPr>
      <w:r w:rsidRPr="00EF534A">
        <w:rPr>
          <w:rFonts w:cs="Arial"/>
          <w:szCs w:val="24"/>
        </w:rPr>
        <w:t>We have nothing to report in this regard.</w:t>
      </w:r>
    </w:p>
    <w:p w14:paraId="4BA7FB25" w14:textId="77777777" w:rsidR="00D004FF" w:rsidRPr="00EF534A" w:rsidRDefault="00D004FF" w:rsidP="00A94243">
      <w:pPr>
        <w:rPr>
          <w:rFonts w:cs="Arial"/>
          <w:szCs w:val="24"/>
        </w:rPr>
      </w:pPr>
    </w:p>
    <w:p w14:paraId="281A45CA" w14:textId="77777777" w:rsidR="00A94243" w:rsidRPr="00D1366A" w:rsidRDefault="00A94243" w:rsidP="00A94243">
      <w:pPr>
        <w:rPr>
          <w:rFonts w:cs="Arial"/>
          <w:b/>
          <w:bCs/>
          <w:szCs w:val="24"/>
        </w:rPr>
      </w:pPr>
      <w:r w:rsidRPr="00D1366A">
        <w:rPr>
          <w:rFonts w:cs="Arial"/>
          <w:b/>
          <w:bCs/>
          <w:szCs w:val="24"/>
        </w:rPr>
        <w:t>Other information we are required to report on by exception under the Code of Audit Practice</w:t>
      </w:r>
    </w:p>
    <w:p w14:paraId="282594D3" w14:textId="77777777" w:rsidR="00D1366A" w:rsidRPr="00EF534A" w:rsidRDefault="00D1366A" w:rsidP="00A94243">
      <w:pPr>
        <w:rPr>
          <w:rFonts w:cs="Arial"/>
          <w:szCs w:val="24"/>
        </w:rPr>
      </w:pPr>
    </w:p>
    <w:p w14:paraId="12F411A7" w14:textId="4D3A88FD" w:rsidR="00A94243" w:rsidRDefault="00A94243" w:rsidP="00A94243">
      <w:pPr>
        <w:rPr>
          <w:rFonts w:cs="Arial"/>
          <w:szCs w:val="24"/>
        </w:rPr>
      </w:pPr>
      <w:r w:rsidRPr="00EF534A">
        <w:rPr>
          <w:rFonts w:cs="Arial"/>
          <w:szCs w:val="24"/>
        </w:rPr>
        <w:t>Under the Code of Audit Practice published by the National Audit Office in November 2024 on behalf of the Comptroller and Auditor General (the Code of Audit Practice) we are required to consider whether the Annual Governance Arrangements does not comply with the requirements of the CIPFA/LASAAC Code of Practice on Local Authority Accounting in the United Kingdom 2024/25, or is misleading or inconsistent with the information of which we are aware from our audit. We are not required to consider whether the Annual Governance Arrangements addresses all risks and controls or that risks are satisfactorily addressed by internal controls.</w:t>
      </w:r>
    </w:p>
    <w:p w14:paraId="57874F4F" w14:textId="77777777" w:rsidR="003A3F30" w:rsidRPr="00EF534A" w:rsidRDefault="003A3F30" w:rsidP="00A94243">
      <w:pPr>
        <w:rPr>
          <w:rFonts w:cs="Arial"/>
          <w:szCs w:val="24"/>
        </w:rPr>
      </w:pPr>
    </w:p>
    <w:p w14:paraId="0B150089" w14:textId="29E81235" w:rsidR="003A3F30" w:rsidRDefault="00A94243">
      <w:pPr>
        <w:rPr>
          <w:rFonts w:cs="Arial"/>
          <w:szCs w:val="24"/>
        </w:rPr>
      </w:pPr>
      <w:r w:rsidRPr="00EF534A">
        <w:rPr>
          <w:rFonts w:cs="Arial"/>
          <w:szCs w:val="24"/>
        </w:rPr>
        <w:t>We have nothing to report in this regard.</w:t>
      </w:r>
    </w:p>
    <w:p w14:paraId="470F3CEE" w14:textId="77777777" w:rsidR="003A3F30" w:rsidRDefault="003A3F30">
      <w:pPr>
        <w:rPr>
          <w:rFonts w:cs="Arial"/>
          <w:szCs w:val="24"/>
        </w:rPr>
      </w:pPr>
      <w:r>
        <w:rPr>
          <w:rFonts w:cs="Arial"/>
          <w:szCs w:val="24"/>
        </w:rPr>
        <w:br w:type="page"/>
      </w:r>
    </w:p>
    <w:p w14:paraId="62AE2FBA" w14:textId="0F182BBF" w:rsidR="00763318" w:rsidRDefault="00763318" w:rsidP="00763318">
      <w:pPr>
        <w:rPr>
          <w:rFonts w:cs="Arial"/>
          <w:b/>
          <w:bCs/>
          <w:szCs w:val="24"/>
        </w:rPr>
      </w:pPr>
      <w:r w:rsidRPr="003A3F30">
        <w:rPr>
          <w:rFonts w:cs="Arial"/>
          <w:b/>
          <w:bCs/>
          <w:szCs w:val="24"/>
        </w:rPr>
        <w:lastRenderedPageBreak/>
        <w:t>Opinion on other matters required by the Code of Audit Practice</w:t>
      </w:r>
    </w:p>
    <w:p w14:paraId="60E4CAAA" w14:textId="77777777" w:rsidR="003A3F30" w:rsidRPr="003A3F30" w:rsidRDefault="003A3F30" w:rsidP="00763318">
      <w:pPr>
        <w:rPr>
          <w:rFonts w:cs="Arial"/>
          <w:b/>
          <w:bCs/>
          <w:szCs w:val="24"/>
        </w:rPr>
      </w:pPr>
    </w:p>
    <w:p w14:paraId="4F69CC09" w14:textId="77777777" w:rsidR="00763318" w:rsidRDefault="00763318" w:rsidP="00763318">
      <w:pPr>
        <w:rPr>
          <w:rFonts w:cs="Arial"/>
          <w:szCs w:val="24"/>
        </w:rPr>
      </w:pPr>
      <w:r w:rsidRPr="00EF534A">
        <w:rPr>
          <w:rFonts w:cs="Arial"/>
          <w:szCs w:val="24"/>
        </w:rPr>
        <w:t xml:space="preserve">In our opinion, based on the work undertaken </w:t>
      </w:r>
      <w:proofErr w:type="gramStart"/>
      <w:r w:rsidRPr="00EF534A">
        <w:rPr>
          <w:rFonts w:cs="Arial"/>
          <w:szCs w:val="24"/>
        </w:rPr>
        <w:t>in the course of</w:t>
      </w:r>
      <w:proofErr w:type="gramEnd"/>
      <w:r w:rsidRPr="00EF534A">
        <w:rPr>
          <w:rFonts w:cs="Arial"/>
          <w:szCs w:val="24"/>
        </w:rPr>
        <w:t xml:space="preserve"> the audit of the financial statements, the other information published together with the financial statements in the Statement of Accounts for the financial year for which the financial statements are prepared is consistent with the financial statements.</w:t>
      </w:r>
    </w:p>
    <w:p w14:paraId="64B3D06B" w14:textId="77777777" w:rsidR="00F347BC" w:rsidRPr="00EF534A" w:rsidRDefault="00F347BC" w:rsidP="00763318">
      <w:pPr>
        <w:rPr>
          <w:rFonts w:cs="Arial"/>
          <w:szCs w:val="24"/>
        </w:rPr>
      </w:pPr>
    </w:p>
    <w:p w14:paraId="28C54A77" w14:textId="77777777" w:rsidR="00763318" w:rsidRPr="00F347BC" w:rsidRDefault="00763318" w:rsidP="00763318">
      <w:pPr>
        <w:rPr>
          <w:rFonts w:cs="Arial"/>
          <w:b/>
          <w:bCs/>
          <w:szCs w:val="24"/>
        </w:rPr>
      </w:pPr>
      <w:r w:rsidRPr="00F347BC">
        <w:rPr>
          <w:rFonts w:cs="Arial"/>
          <w:b/>
          <w:bCs/>
          <w:szCs w:val="24"/>
        </w:rPr>
        <w:t>Matters on which we are required to report by exception</w:t>
      </w:r>
    </w:p>
    <w:p w14:paraId="45098713" w14:textId="77777777" w:rsidR="00F347BC" w:rsidRPr="00EF534A" w:rsidRDefault="00F347BC" w:rsidP="00763318">
      <w:pPr>
        <w:rPr>
          <w:rFonts w:cs="Arial"/>
          <w:szCs w:val="24"/>
        </w:rPr>
      </w:pPr>
    </w:p>
    <w:p w14:paraId="33C67EDD" w14:textId="77777777" w:rsidR="00763318" w:rsidRDefault="00763318" w:rsidP="00763318">
      <w:pPr>
        <w:rPr>
          <w:rFonts w:cs="Arial"/>
          <w:szCs w:val="24"/>
        </w:rPr>
      </w:pPr>
      <w:r w:rsidRPr="00EF534A">
        <w:rPr>
          <w:rFonts w:cs="Arial"/>
          <w:szCs w:val="24"/>
        </w:rPr>
        <w:t>Under the Code of Audit Practice, we are required to report to you if:</w:t>
      </w:r>
    </w:p>
    <w:p w14:paraId="3BB0E536" w14:textId="77777777" w:rsidR="00F347BC" w:rsidRPr="00EF534A" w:rsidRDefault="00F347BC" w:rsidP="00763318">
      <w:pPr>
        <w:rPr>
          <w:rFonts w:cs="Arial"/>
          <w:szCs w:val="24"/>
        </w:rPr>
      </w:pPr>
    </w:p>
    <w:p w14:paraId="60FDB0A3" w14:textId="77777777" w:rsidR="00763318" w:rsidRDefault="00763318" w:rsidP="002A04B9">
      <w:pPr>
        <w:pStyle w:val="ListParagraph"/>
        <w:numPr>
          <w:ilvl w:val="0"/>
          <w:numId w:val="43"/>
        </w:numPr>
        <w:rPr>
          <w:rFonts w:cs="Arial"/>
          <w:szCs w:val="24"/>
        </w:rPr>
      </w:pPr>
      <w:r w:rsidRPr="00F347BC">
        <w:rPr>
          <w:rFonts w:cs="Arial"/>
          <w:szCs w:val="24"/>
        </w:rPr>
        <w:t xml:space="preserve">we issue a report in the public interest under section 24 of the Local Audit and Accountability Act 2014 </w:t>
      </w:r>
      <w:proofErr w:type="gramStart"/>
      <w:r w:rsidRPr="00F347BC">
        <w:rPr>
          <w:rFonts w:cs="Arial"/>
          <w:szCs w:val="24"/>
        </w:rPr>
        <w:t>in the course of</w:t>
      </w:r>
      <w:proofErr w:type="gramEnd"/>
      <w:r w:rsidRPr="00F347BC">
        <w:rPr>
          <w:rFonts w:cs="Arial"/>
          <w:szCs w:val="24"/>
        </w:rPr>
        <w:t>, or at the conclusion of the audit; or</w:t>
      </w:r>
    </w:p>
    <w:p w14:paraId="180D26F8" w14:textId="77777777" w:rsidR="00F347BC" w:rsidRPr="00F347BC" w:rsidRDefault="00F347BC" w:rsidP="00F347BC">
      <w:pPr>
        <w:pStyle w:val="ListParagraph"/>
        <w:rPr>
          <w:rFonts w:cs="Arial"/>
          <w:szCs w:val="24"/>
        </w:rPr>
      </w:pPr>
    </w:p>
    <w:p w14:paraId="7F6E3A92" w14:textId="77777777" w:rsidR="00763318" w:rsidRDefault="00763318" w:rsidP="002A04B9">
      <w:pPr>
        <w:pStyle w:val="ListParagraph"/>
        <w:numPr>
          <w:ilvl w:val="0"/>
          <w:numId w:val="43"/>
        </w:numPr>
        <w:rPr>
          <w:rFonts w:cs="Arial"/>
          <w:szCs w:val="24"/>
        </w:rPr>
      </w:pPr>
      <w:r w:rsidRPr="00F347BC">
        <w:rPr>
          <w:rFonts w:cs="Arial"/>
          <w:szCs w:val="24"/>
        </w:rPr>
        <w:t xml:space="preserve">we make a written recommendation to the Authority under section 24 of the Local Audit and Accountability Act 2014 </w:t>
      </w:r>
      <w:proofErr w:type="gramStart"/>
      <w:r w:rsidRPr="00F347BC">
        <w:rPr>
          <w:rFonts w:cs="Arial"/>
          <w:szCs w:val="24"/>
        </w:rPr>
        <w:t>in the course of</w:t>
      </w:r>
      <w:proofErr w:type="gramEnd"/>
      <w:r w:rsidRPr="00F347BC">
        <w:rPr>
          <w:rFonts w:cs="Arial"/>
          <w:szCs w:val="24"/>
        </w:rPr>
        <w:t>, or at the conclusion of the audit; or</w:t>
      </w:r>
    </w:p>
    <w:p w14:paraId="3D8BA7F2" w14:textId="77777777" w:rsidR="005A49D2" w:rsidRPr="005A49D2" w:rsidRDefault="005A49D2" w:rsidP="005A49D2">
      <w:pPr>
        <w:rPr>
          <w:rFonts w:cs="Arial"/>
          <w:szCs w:val="24"/>
        </w:rPr>
      </w:pPr>
    </w:p>
    <w:p w14:paraId="42C9FFAE" w14:textId="42E769B8" w:rsidR="00763318" w:rsidRDefault="00763318" w:rsidP="002A04B9">
      <w:pPr>
        <w:pStyle w:val="ListParagraph"/>
        <w:numPr>
          <w:ilvl w:val="0"/>
          <w:numId w:val="43"/>
        </w:numPr>
        <w:rPr>
          <w:rFonts w:cs="Arial"/>
          <w:szCs w:val="24"/>
        </w:rPr>
      </w:pPr>
      <w:r w:rsidRPr="005A49D2">
        <w:rPr>
          <w:rFonts w:cs="Arial"/>
          <w:szCs w:val="24"/>
        </w:rPr>
        <w:t xml:space="preserve">we make an application to the court for a declaration that an item of account is contrary to law under Section 28 of the Local Audit and Accountability Act 2014 </w:t>
      </w:r>
      <w:proofErr w:type="gramStart"/>
      <w:r w:rsidRPr="005A49D2">
        <w:rPr>
          <w:rFonts w:cs="Arial"/>
          <w:szCs w:val="24"/>
        </w:rPr>
        <w:t>in the course of</w:t>
      </w:r>
      <w:proofErr w:type="gramEnd"/>
      <w:r w:rsidRPr="005A49D2">
        <w:rPr>
          <w:rFonts w:cs="Arial"/>
          <w:szCs w:val="24"/>
        </w:rPr>
        <w:t>, or at the conclusion of the audit; or</w:t>
      </w:r>
    </w:p>
    <w:p w14:paraId="35A0B737" w14:textId="77777777" w:rsidR="005A49D2" w:rsidRPr="005A49D2" w:rsidRDefault="005A49D2" w:rsidP="005A49D2">
      <w:pPr>
        <w:pStyle w:val="ListParagraph"/>
        <w:rPr>
          <w:rFonts w:cs="Arial"/>
          <w:szCs w:val="24"/>
        </w:rPr>
      </w:pPr>
    </w:p>
    <w:p w14:paraId="5A628DCD" w14:textId="22EC3531" w:rsidR="00763318" w:rsidRDefault="00763318" w:rsidP="002A04B9">
      <w:pPr>
        <w:pStyle w:val="ListParagraph"/>
        <w:numPr>
          <w:ilvl w:val="0"/>
          <w:numId w:val="43"/>
        </w:numPr>
        <w:rPr>
          <w:rFonts w:cs="Arial"/>
          <w:szCs w:val="24"/>
        </w:rPr>
      </w:pPr>
      <w:r w:rsidRPr="005A49D2">
        <w:rPr>
          <w:rFonts w:cs="Arial"/>
          <w:szCs w:val="24"/>
        </w:rPr>
        <w:t xml:space="preserve">we issue an advisory notice under Section 29 of the Local Audit and Accountability Act 2014 </w:t>
      </w:r>
      <w:proofErr w:type="gramStart"/>
      <w:r w:rsidRPr="005A49D2">
        <w:rPr>
          <w:rFonts w:cs="Arial"/>
          <w:szCs w:val="24"/>
        </w:rPr>
        <w:t>in the course of</w:t>
      </w:r>
      <w:proofErr w:type="gramEnd"/>
      <w:r w:rsidRPr="005A49D2">
        <w:rPr>
          <w:rFonts w:cs="Arial"/>
          <w:szCs w:val="24"/>
        </w:rPr>
        <w:t>, or at the conclusion of the audit; or</w:t>
      </w:r>
    </w:p>
    <w:p w14:paraId="03E80E69" w14:textId="77777777" w:rsidR="00A34F92" w:rsidRPr="00A34F92" w:rsidRDefault="00A34F92" w:rsidP="00A34F92">
      <w:pPr>
        <w:pStyle w:val="ListParagraph"/>
        <w:rPr>
          <w:rFonts w:cs="Arial"/>
          <w:szCs w:val="24"/>
        </w:rPr>
      </w:pPr>
    </w:p>
    <w:p w14:paraId="11E6D847" w14:textId="77777777" w:rsidR="00763318" w:rsidRDefault="00763318" w:rsidP="002A04B9">
      <w:pPr>
        <w:pStyle w:val="ListParagraph"/>
        <w:numPr>
          <w:ilvl w:val="0"/>
          <w:numId w:val="43"/>
        </w:numPr>
        <w:rPr>
          <w:rFonts w:cs="Arial"/>
          <w:szCs w:val="24"/>
        </w:rPr>
      </w:pPr>
      <w:r w:rsidRPr="00A34F92">
        <w:rPr>
          <w:rFonts w:cs="Arial"/>
          <w:szCs w:val="24"/>
        </w:rPr>
        <w:t xml:space="preserve">we make an application for judicial review under Section 31 of the Local Audit and Accountability Act 2014, </w:t>
      </w:r>
      <w:proofErr w:type="gramStart"/>
      <w:r w:rsidRPr="00A34F92">
        <w:rPr>
          <w:rFonts w:cs="Arial"/>
          <w:szCs w:val="24"/>
        </w:rPr>
        <w:t>in the course of</w:t>
      </w:r>
      <w:proofErr w:type="gramEnd"/>
      <w:r w:rsidRPr="00A34F92">
        <w:rPr>
          <w:rFonts w:cs="Arial"/>
          <w:szCs w:val="24"/>
        </w:rPr>
        <w:t>, or at the conclusion of the audit.</w:t>
      </w:r>
    </w:p>
    <w:p w14:paraId="70381622" w14:textId="77777777" w:rsidR="00A34F92" w:rsidRPr="00A34F92" w:rsidRDefault="00A34F92" w:rsidP="00A34F92">
      <w:pPr>
        <w:rPr>
          <w:rFonts w:cs="Arial"/>
          <w:szCs w:val="24"/>
        </w:rPr>
      </w:pPr>
    </w:p>
    <w:p w14:paraId="6003D75C" w14:textId="77777777" w:rsidR="00763318" w:rsidRDefault="00763318" w:rsidP="00763318">
      <w:pPr>
        <w:rPr>
          <w:rFonts w:cs="Arial"/>
          <w:szCs w:val="24"/>
        </w:rPr>
      </w:pPr>
      <w:r w:rsidRPr="00EF534A">
        <w:rPr>
          <w:rFonts w:cs="Arial"/>
          <w:szCs w:val="24"/>
        </w:rPr>
        <w:t>We have nothing to report in respect of the above matters.</w:t>
      </w:r>
    </w:p>
    <w:p w14:paraId="0FB50364" w14:textId="77777777" w:rsidR="00A34F92" w:rsidRPr="00EF534A" w:rsidRDefault="00A34F92" w:rsidP="00763318">
      <w:pPr>
        <w:rPr>
          <w:rFonts w:cs="Arial"/>
          <w:szCs w:val="24"/>
        </w:rPr>
      </w:pPr>
    </w:p>
    <w:p w14:paraId="0E69CDC6" w14:textId="44964980" w:rsidR="00763318" w:rsidRPr="00A34F92" w:rsidRDefault="00763318" w:rsidP="00763318">
      <w:pPr>
        <w:rPr>
          <w:rFonts w:cs="Arial"/>
          <w:b/>
          <w:bCs/>
          <w:szCs w:val="24"/>
        </w:rPr>
      </w:pPr>
      <w:r w:rsidRPr="00A34F92">
        <w:rPr>
          <w:rFonts w:cs="Arial"/>
          <w:b/>
          <w:bCs/>
          <w:szCs w:val="24"/>
        </w:rPr>
        <w:t>Responsibilities of the Authority and the Treasurer</w:t>
      </w:r>
    </w:p>
    <w:p w14:paraId="7C806C63" w14:textId="77777777" w:rsidR="00A34F92" w:rsidRPr="00EF534A" w:rsidRDefault="00A34F92" w:rsidP="00763318">
      <w:pPr>
        <w:rPr>
          <w:rFonts w:cs="Arial"/>
          <w:szCs w:val="24"/>
        </w:rPr>
      </w:pPr>
    </w:p>
    <w:p w14:paraId="0C07E73F" w14:textId="77777777" w:rsidR="00763318" w:rsidRDefault="00763318" w:rsidP="00763318">
      <w:pPr>
        <w:rPr>
          <w:rFonts w:cs="Arial"/>
          <w:szCs w:val="24"/>
        </w:rPr>
      </w:pPr>
      <w:r w:rsidRPr="00EF534A">
        <w:rPr>
          <w:rFonts w:cs="Arial"/>
          <w:szCs w:val="24"/>
        </w:rPr>
        <w:t xml:space="preserve">As explained more fully in the Statement of Responsibilities, the Authority is required to </w:t>
      </w:r>
      <w:proofErr w:type="gramStart"/>
      <w:r w:rsidRPr="00EF534A">
        <w:rPr>
          <w:rFonts w:cs="Arial"/>
          <w:szCs w:val="24"/>
        </w:rPr>
        <w:t>make arrangements</w:t>
      </w:r>
      <w:proofErr w:type="gramEnd"/>
      <w:r w:rsidRPr="00EF534A">
        <w:rPr>
          <w:rFonts w:cs="Arial"/>
          <w:szCs w:val="24"/>
        </w:rPr>
        <w:t xml:space="preserve"> for the proper administration of its financial affairs and to secure that one of its officers has the responsibility for the administration of those affairs. In this authority, that officer is the Treasurer. The Treasurer</w:t>
      </w:r>
      <w:r w:rsidRPr="00EF534A" w:rsidDel="006509D5">
        <w:rPr>
          <w:rFonts w:cs="Arial"/>
          <w:szCs w:val="24"/>
        </w:rPr>
        <w:t xml:space="preserve"> </w:t>
      </w:r>
      <w:r w:rsidRPr="00EF534A">
        <w:rPr>
          <w:rFonts w:cs="Arial"/>
          <w:szCs w:val="24"/>
        </w:rPr>
        <w:t>is responsible for the preparation of the Statement of Accounts, which includes the financial statements, in accordance with proper practices as set out in the CIPFA/LASAAC Code of Practice on Local Authority Accounting in the United Kingdom 2024/25, for being satisfied that they give a true and fair view, and for such internal control as the Treasurer</w:t>
      </w:r>
      <w:r w:rsidRPr="00EF534A" w:rsidDel="006509D5">
        <w:rPr>
          <w:rFonts w:cs="Arial"/>
          <w:szCs w:val="24"/>
        </w:rPr>
        <w:t xml:space="preserve"> </w:t>
      </w:r>
      <w:r w:rsidRPr="00EF534A">
        <w:rPr>
          <w:rFonts w:cs="Arial"/>
          <w:szCs w:val="24"/>
        </w:rPr>
        <w:t xml:space="preserve">determines is necessary to enable the preparation of financial statements that are free from material misstatement, whether due to fraud or error. </w:t>
      </w:r>
    </w:p>
    <w:p w14:paraId="5DF66D73" w14:textId="77777777" w:rsidR="00B76B13" w:rsidRPr="00EF534A" w:rsidRDefault="00B76B13" w:rsidP="00763318">
      <w:pPr>
        <w:rPr>
          <w:rFonts w:cs="Arial"/>
          <w:szCs w:val="24"/>
        </w:rPr>
      </w:pPr>
    </w:p>
    <w:p w14:paraId="263F05D9" w14:textId="77777777" w:rsidR="00763318" w:rsidRDefault="00763318" w:rsidP="00763318">
      <w:pPr>
        <w:rPr>
          <w:rFonts w:cs="Arial"/>
          <w:szCs w:val="24"/>
        </w:rPr>
      </w:pPr>
      <w:r w:rsidRPr="00EF534A">
        <w:rPr>
          <w:rFonts w:cs="Arial"/>
          <w:szCs w:val="24"/>
        </w:rPr>
        <w:t>In preparing the financial statements, the Treasurer</w:t>
      </w:r>
      <w:r w:rsidRPr="00EF534A" w:rsidDel="006509D5">
        <w:rPr>
          <w:rFonts w:cs="Arial"/>
          <w:szCs w:val="24"/>
        </w:rPr>
        <w:t xml:space="preserve"> </w:t>
      </w:r>
      <w:r w:rsidRPr="00EF534A">
        <w:rPr>
          <w:rFonts w:cs="Arial"/>
          <w:szCs w:val="24"/>
        </w:rPr>
        <w:t xml:space="preserve"> is responsible for assessing the Authority’s ability to continue as a going concern, disclosing, as applicable, matters related to going concern and using the going concern basis of accounting unless they have been informed by the relevant national body of the intention to dissolve the Authority without the transfer of its services to another public sector entity.</w:t>
      </w:r>
    </w:p>
    <w:p w14:paraId="3B1DFEBD" w14:textId="77777777" w:rsidR="00A25258" w:rsidRPr="00EF534A" w:rsidRDefault="00A25258" w:rsidP="00763318">
      <w:pPr>
        <w:rPr>
          <w:rFonts w:cs="Arial"/>
          <w:szCs w:val="24"/>
        </w:rPr>
      </w:pPr>
    </w:p>
    <w:p w14:paraId="5AD024E1" w14:textId="77777777" w:rsidR="00763318" w:rsidRPr="00A25258" w:rsidRDefault="00763318" w:rsidP="00763318">
      <w:pPr>
        <w:rPr>
          <w:rFonts w:cs="Arial"/>
          <w:b/>
          <w:bCs/>
          <w:szCs w:val="24"/>
        </w:rPr>
      </w:pPr>
      <w:r w:rsidRPr="00A25258">
        <w:rPr>
          <w:rFonts w:cs="Arial"/>
          <w:b/>
          <w:bCs/>
          <w:szCs w:val="24"/>
        </w:rPr>
        <w:t>Auditor’s responsibilities for the audit of the financial statements</w:t>
      </w:r>
    </w:p>
    <w:p w14:paraId="25EED2D7" w14:textId="77777777" w:rsidR="00A25258" w:rsidRPr="00EF534A" w:rsidRDefault="00A25258" w:rsidP="00763318">
      <w:pPr>
        <w:rPr>
          <w:rFonts w:cs="Arial"/>
          <w:szCs w:val="24"/>
        </w:rPr>
      </w:pPr>
    </w:p>
    <w:p w14:paraId="7E23BDC7" w14:textId="561B3CB3" w:rsidR="00763318" w:rsidRDefault="00763318" w:rsidP="00763318">
      <w:pPr>
        <w:rPr>
          <w:rFonts w:cs="Arial"/>
          <w:szCs w:val="24"/>
        </w:rPr>
      </w:pPr>
      <w:r w:rsidRPr="00EF534A">
        <w:rPr>
          <w:rFonts w:cs="Arial"/>
          <w:szCs w:val="24"/>
        </w:rPr>
        <w:t xml:space="preserve">Our objectives are to obtain reasonable assurance about whether the financial statements </w:t>
      </w:r>
      <w:proofErr w:type="gramStart"/>
      <w:r w:rsidRPr="00EF534A">
        <w:rPr>
          <w:rFonts w:cs="Arial"/>
          <w:szCs w:val="24"/>
        </w:rPr>
        <w:t>as a whole are</w:t>
      </w:r>
      <w:proofErr w:type="gramEnd"/>
      <w:r w:rsidRPr="00EF534A">
        <w:rPr>
          <w:rFonts w:cs="Arial"/>
          <w:szCs w:val="24"/>
        </w:rPr>
        <w:t xml:space="preserve"> free from material misstatement, whether due to fraud or error, and to issue an </w:t>
      </w:r>
      <w:r w:rsidRPr="00EF534A">
        <w:rPr>
          <w:rFonts w:cs="Arial"/>
          <w:szCs w:val="24"/>
        </w:rPr>
        <w:lastRenderedPageBreak/>
        <w:t>auditor’s report that includes our opinion. Reasonable assurance is a high level of assurance but is not a guarantee that an audit conducted in accordance with ISAs (UK) will always detect a material misstatement when it exists.</w:t>
      </w:r>
    </w:p>
    <w:p w14:paraId="570CEB79" w14:textId="77777777" w:rsidR="00A25258" w:rsidRPr="00EF534A" w:rsidRDefault="00A25258" w:rsidP="00763318">
      <w:pPr>
        <w:rPr>
          <w:rFonts w:cs="Arial"/>
          <w:szCs w:val="24"/>
        </w:rPr>
      </w:pPr>
    </w:p>
    <w:p w14:paraId="3C3466AA" w14:textId="6CFB1EAC" w:rsidR="00763318" w:rsidRDefault="00763318" w:rsidP="00763318">
      <w:pPr>
        <w:rPr>
          <w:rFonts w:cs="Arial"/>
          <w:szCs w:val="24"/>
        </w:rPr>
      </w:pPr>
      <w:r w:rsidRPr="00EF534A">
        <w:rPr>
          <w:rFonts w:cs="Arial"/>
          <w:szCs w:val="24"/>
        </w:rPr>
        <w:t xml:space="preserve">Misstatements can arise from fraud or error and are considered material if, individually or in the aggregate, they could reasonably be expected to influence the economic decisions of users taken </w:t>
      </w:r>
      <w:proofErr w:type="gramStart"/>
      <w:r w:rsidRPr="00EF534A">
        <w:rPr>
          <w:rFonts w:cs="Arial"/>
          <w:szCs w:val="24"/>
        </w:rPr>
        <w:t>on the basis of</w:t>
      </w:r>
      <w:proofErr w:type="gramEnd"/>
      <w:r w:rsidRPr="00EF534A">
        <w:rPr>
          <w:rFonts w:cs="Arial"/>
          <w:szCs w:val="24"/>
        </w:rPr>
        <w:t xml:space="preserve"> these financial statements.</w:t>
      </w:r>
    </w:p>
    <w:p w14:paraId="1253694A" w14:textId="77777777" w:rsidR="00917DCD" w:rsidRPr="00EF534A" w:rsidRDefault="00917DCD" w:rsidP="00763318">
      <w:pPr>
        <w:rPr>
          <w:rFonts w:cs="Arial"/>
          <w:szCs w:val="24"/>
        </w:rPr>
      </w:pPr>
    </w:p>
    <w:p w14:paraId="41536CD6" w14:textId="77777777" w:rsidR="00763318" w:rsidRDefault="00763318" w:rsidP="00763318">
      <w:pPr>
        <w:rPr>
          <w:rFonts w:cs="Arial"/>
          <w:szCs w:val="24"/>
        </w:rPr>
      </w:pPr>
      <w:r w:rsidRPr="00EF534A">
        <w:rPr>
          <w:rFonts w:cs="Arial"/>
          <w:szCs w:val="24"/>
        </w:rPr>
        <w:t xml:space="preserve">Irregularities, including fraud, are instances of non-compliance with laws and regulations. The extent to which our procedures </w:t>
      </w:r>
      <w:proofErr w:type="gramStart"/>
      <w:r w:rsidRPr="00EF534A">
        <w:rPr>
          <w:rFonts w:cs="Arial"/>
          <w:szCs w:val="24"/>
        </w:rPr>
        <w:t>are capable of detecting</w:t>
      </w:r>
      <w:proofErr w:type="gramEnd"/>
      <w:r w:rsidRPr="00EF534A">
        <w:rPr>
          <w:rFonts w:cs="Arial"/>
          <w:szCs w:val="24"/>
        </w:rPr>
        <w:t xml:space="preserve"> irregularities, including fraud, is detailed below:</w:t>
      </w:r>
    </w:p>
    <w:p w14:paraId="4CBA0BB1" w14:textId="77777777" w:rsidR="00917DCD" w:rsidRPr="00EF534A" w:rsidRDefault="00917DCD" w:rsidP="00763318">
      <w:pPr>
        <w:rPr>
          <w:rFonts w:cs="Arial"/>
          <w:szCs w:val="24"/>
        </w:rPr>
      </w:pPr>
    </w:p>
    <w:p w14:paraId="388328DB" w14:textId="71F14F18" w:rsidR="00763318" w:rsidRDefault="00763318" w:rsidP="002A04B9">
      <w:pPr>
        <w:pStyle w:val="ListParagraph"/>
        <w:numPr>
          <w:ilvl w:val="0"/>
          <w:numId w:val="44"/>
        </w:numPr>
        <w:rPr>
          <w:rFonts w:cs="Arial"/>
          <w:szCs w:val="24"/>
        </w:rPr>
      </w:pPr>
      <w:r w:rsidRPr="00917DCD">
        <w:rPr>
          <w:rFonts w:cs="Arial"/>
          <w:szCs w:val="24"/>
        </w:rPr>
        <w:t xml:space="preserve">We obtained an understanding of the legal and regulatory frameworks that are applicable to the Authority and determined that the most significant which are directly relevant to specific assertions in the financial statements are </w:t>
      </w:r>
      <w:bookmarkStart w:id="8" w:name="_Hlk78787430"/>
      <w:r w:rsidRPr="00917DCD">
        <w:rPr>
          <w:rFonts w:cs="Arial"/>
          <w:szCs w:val="24"/>
        </w:rPr>
        <w:t>those related to the reporting frameworks (the CIPFA/LASAAC Code of Practice on Local Authority Accounting in the United Kingdom 2024/25, the Local Audit and Accountability Act 2014, the Accounts and Audit Regulations 2015, the Accounts and Audit (Amendment) Regulations 2024 and the Local Government Act 2003.</w:t>
      </w:r>
      <w:bookmarkStart w:id="9" w:name="_Hlk79660882"/>
      <w:bookmarkEnd w:id="8"/>
    </w:p>
    <w:p w14:paraId="7571CFD3" w14:textId="77777777" w:rsidR="006D4CED" w:rsidRPr="00917DCD" w:rsidRDefault="006D4CED" w:rsidP="006D4CED">
      <w:pPr>
        <w:pStyle w:val="ListParagraph"/>
        <w:rPr>
          <w:rFonts w:cs="Arial"/>
          <w:szCs w:val="24"/>
        </w:rPr>
      </w:pPr>
    </w:p>
    <w:bookmarkEnd w:id="9"/>
    <w:p w14:paraId="1AC32E9B" w14:textId="34D59215" w:rsidR="00763318" w:rsidRDefault="00763318" w:rsidP="002A04B9">
      <w:pPr>
        <w:pStyle w:val="ListParagraph"/>
        <w:numPr>
          <w:ilvl w:val="0"/>
          <w:numId w:val="44"/>
        </w:numPr>
        <w:rPr>
          <w:rFonts w:cs="Arial"/>
          <w:szCs w:val="24"/>
        </w:rPr>
      </w:pPr>
      <w:r w:rsidRPr="006D4CED">
        <w:rPr>
          <w:rFonts w:cs="Arial"/>
          <w:szCs w:val="24"/>
        </w:rPr>
        <w:t>In addition, we concluded that there are certain significant laws and regulations that may have an effect on the determination of the amounts and disclosures in the financial statements and those laws and regulations relating to the Fire and Rescue Services Act 2004,  the Public Service Pensions Act 2013, the Firefighters’ Pension Scheme (England) Regulations 2014 and the Firefighters’ Pension Scheme (England) Order 2006).</w:t>
      </w:r>
    </w:p>
    <w:p w14:paraId="605CFE90" w14:textId="77777777" w:rsidR="005D421B" w:rsidRPr="005D421B" w:rsidRDefault="005D421B" w:rsidP="005D421B">
      <w:pPr>
        <w:rPr>
          <w:rFonts w:cs="Arial"/>
          <w:szCs w:val="24"/>
        </w:rPr>
      </w:pPr>
    </w:p>
    <w:p w14:paraId="4CDFAA01" w14:textId="12E646C2" w:rsidR="00763318" w:rsidRDefault="00763318" w:rsidP="002A04B9">
      <w:pPr>
        <w:pStyle w:val="ListParagraph"/>
        <w:numPr>
          <w:ilvl w:val="0"/>
          <w:numId w:val="44"/>
        </w:numPr>
        <w:rPr>
          <w:rFonts w:cs="Arial"/>
          <w:szCs w:val="24"/>
        </w:rPr>
      </w:pPr>
      <w:r w:rsidRPr="005D421B">
        <w:rPr>
          <w:rFonts w:cs="Arial"/>
          <w:szCs w:val="24"/>
        </w:rPr>
        <w:t>We enquired of management and the Audit committee, concerning the Authority’s policies and procedures relating to:</w:t>
      </w:r>
    </w:p>
    <w:p w14:paraId="31E1D2B8" w14:textId="77777777" w:rsidR="005D421B" w:rsidRPr="005D421B" w:rsidRDefault="005D421B" w:rsidP="005D421B">
      <w:pPr>
        <w:pStyle w:val="ListParagraph"/>
        <w:rPr>
          <w:rFonts w:cs="Arial"/>
          <w:szCs w:val="24"/>
        </w:rPr>
      </w:pPr>
    </w:p>
    <w:p w14:paraId="3B89BCF5" w14:textId="77777777" w:rsidR="00763318" w:rsidRDefault="00763318" w:rsidP="002A04B9">
      <w:pPr>
        <w:pStyle w:val="ListParagraph"/>
        <w:numPr>
          <w:ilvl w:val="1"/>
          <w:numId w:val="44"/>
        </w:numPr>
        <w:rPr>
          <w:rFonts w:cs="Arial"/>
          <w:szCs w:val="24"/>
        </w:rPr>
      </w:pPr>
      <w:r w:rsidRPr="005D421B">
        <w:rPr>
          <w:rFonts w:cs="Arial"/>
          <w:szCs w:val="24"/>
        </w:rPr>
        <w:t>the identification, evaluation and compliance with laws and regulations.</w:t>
      </w:r>
    </w:p>
    <w:p w14:paraId="41F0853A" w14:textId="77777777" w:rsidR="005D421B" w:rsidRPr="005D421B" w:rsidRDefault="005D421B" w:rsidP="005D421B">
      <w:pPr>
        <w:rPr>
          <w:rFonts w:cs="Arial"/>
          <w:szCs w:val="24"/>
        </w:rPr>
      </w:pPr>
    </w:p>
    <w:p w14:paraId="2E22DF9E" w14:textId="77777777" w:rsidR="00763318" w:rsidRDefault="00763318" w:rsidP="002A04B9">
      <w:pPr>
        <w:pStyle w:val="ListParagraph"/>
        <w:numPr>
          <w:ilvl w:val="1"/>
          <w:numId w:val="44"/>
        </w:numPr>
        <w:rPr>
          <w:rFonts w:cs="Arial"/>
          <w:szCs w:val="24"/>
        </w:rPr>
      </w:pPr>
      <w:r w:rsidRPr="005D421B">
        <w:rPr>
          <w:rFonts w:cs="Arial"/>
          <w:szCs w:val="24"/>
        </w:rPr>
        <w:t>the detection and response to the risks of fraud; and</w:t>
      </w:r>
    </w:p>
    <w:p w14:paraId="795C75D8" w14:textId="77777777" w:rsidR="005D421B" w:rsidRPr="005D421B" w:rsidRDefault="005D421B" w:rsidP="005D421B">
      <w:pPr>
        <w:rPr>
          <w:rFonts w:cs="Arial"/>
          <w:szCs w:val="24"/>
        </w:rPr>
      </w:pPr>
    </w:p>
    <w:p w14:paraId="0AE9775C" w14:textId="434D7E5B" w:rsidR="00763318" w:rsidRDefault="00763318" w:rsidP="002A04B9">
      <w:pPr>
        <w:pStyle w:val="ListParagraph"/>
        <w:numPr>
          <w:ilvl w:val="1"/>
          <w:numId w:val="44"/>
        </w:numPr>
        <w:rPr>
          <w:rFonts w:cs="Arial"/>
          <w:szCs w:val="24"/>
        </w:rPr>
      </w:pPr>
      <w:r w:rsidRPr="005D421B">
        <w:rPr>
          <w:rFonts w:cs="Arial"/>
          <w:szCs w:val="24"/>
        </w:rPr>
        <w:t>the establishment of internal controls to mitigate risks related to fraud or non-compliance with laws and regulations</w:t>
      </w:r>
      <w:r w:rsidR="005D421B">
        <w:rPr>
          <w:rFonts w:cs="Arial"/>
          <w:szCs w:val="24"/>
        </w:rPr>
        <w:t>.</w:t>
      </w:r>
    </w:p>
    <w:p w14:paraId="4683255C" w14:textId="77777777" w:rsidR="004E5DF5" w:rsidRPr="004E5DF5" w:rsidRDefault="004E5DF5" w:rsidP="004E5DF5">
      <w:pPr>
        <w:rPr>
          <w:rFonts w:cs="Arial"/>
          <w:szCs w:val="24"/>
        </w:rPr>
      </w:pPr>
    </w:p>
    <w:p w14:paraId="12DF412B" w14:textId="77777777" w:rsidR="004E5DF5" w:rsidRDefault="00763318" w:rsidP="002A04B9">
      <w:pPr>
        <w:pStyle w:val="ListParagraph"/>
        <w:numPr>
          <w:ilvl w:val="0"/>
          <w:numId w:val="45"/>
        </w:numPr>
        <w:rPr>
          <w:rFonts w:cs="Arial"/>
          <w:szCs w:val="24"/>
        </w:rPr>
      </w:pPr>
      <w:r w:rsidRPr="004E5DF5">
        <w:rPr>
          <w:rFonts w:cs="Arial"/>
          <w:szCs w:val="24"/>
        </w:rPr>
        <w:t>We enquired of management</w:t>
      </w:r>
      <w:r w:rsidRPr="004E5DF5">
        <w:rPr>
          <w:rFonts w:eastAsiaTheme="minorEastAsia" w:cs="Arial"/>
          <w:szCs w:val="24"/>
        </w:rPr>
        <w:t>,</w:t>
      </w:r>
      <w:r w:rsidRPr="004E5DF5">
        <w:rPr>
          <w:rFonts w:cs="Arial"/>
          <w:szCs w:val="24"/>
        </w:rPr>
        <w:t xml:space="preserve"> internal audit and the audit committee, whether they were aware of any instances of non-compliance with laws and regulations or whether they had any knowledge of actual, suspected or alleged fraud.</w:t>
      </w:r>
    </w:p>
    <w:p w14:paraId="3994B86C" w14:textId="1216E1C0" w:rsidR="00763318" w:rsidRPr="004E5DF5" w:rsidRDefault="00763318" w:rsidP="004E5DF5">
      <w:pPr>
        <w:ind w:left="360"/>
        <w:rPr>
          <w:rFonts w:cs="Arial"/>
          <w:szCs w:val="24"/>
        </w:rPr>
      </w:pPr>
      <w:r w:rsidRPr="004E5DF5">
        <w:rPr>
          <w:rFonts w:cs="Arial"/>
          <w:szCs w:val="24"/>
        </w:rPr>
        <w:t> </w:t>
      </w:r>
    </w:p>
    <w:p w14:paraId="1973E353" w14:textId="2145E29C" w:rsidR="00763318" w:rsidRDefault="00763318" w:rsidP="002A04B9">
      <w:pPr>
        <w:pStyle w:val="ListParagraph"/>
        <w:numPr>
          <w:ilvl w:val="0"/>
          <w:numId w:val="45"/>
        </w:numPr>
        <w:rPr>
          <w:rFonts w:cs="Arial"/>
          <w:szCs w:val="24"/>
        </w:rPr>
      </w:pPr>
      <w:r w:rsidRPr="004E5DF5">
        <w:rPr>
          <w:rFonts w:cs="Arial"/>
          <w:szCs w:val="24"/>
        </w:rPr>
        <w:t>We assessed the susceptibility of the Authority’s financial statements to material misstatement, including how fraud might occur, by evaluating management’s incentives and opportunities for manipulation of the financial statements. This included the evaluation of the risk of potential management bias in determining accounting estimates for the valuation of land and buildings and the pension liability/asset, and management override of controls. We determined that the principal risks were in relation to processing of inappropriate journals.</w:t>
      </w:r>
    </w:p>
    <w:p w14:paraId="321B6F0E" w14:textId="77777777" w:rsidR="00073FB1" w:rsidRPr="00073FB1" w:rsidRDefault="00073FB1" w:rsidP="00073FB1">
      <w:pPr>
        <w:pStyle w:val="ListParagraph"/>
        <w:rPr>
          <w:rFonts w:cs="Arial"/>
          <w:szCs w:val="24"/>
        </w:rPr>
      </w:pPr>
    </w:p>
    <w:p w14:paraId="2C256834" w14:textId="77777777" w:rsidR="00073FB1" w:rsidRPr="00073FB1" w:rsidRDefault="00073FB1" w:rsidP="00073FB1">
      <w:pPr>
        <w:rPr>
          <w:rFonts w:cs="Arial"/>
          <w:szCs w:val="24"/>
        </w:rPr>
      </w:pPr>
    </w:p>
    <w:p w14:paraId="0DE4A3B3" w14:textId="77777777" w:rsidR="00763318" w:rsidRPr="00073FB1" w:rsidRDefault="00763318" w:rsidP="002A04B9">
      <w:pPr>
        <w:pStyle w:val="ListParagraph"/>
        <w:numPr>
          <w:ilvl w:val="0"/>
          <w:numId w:val="45"/>
        </w:numPr>
        <w:rPr>
          <w:rFonts w:cs="Arial"/>
          <w:szCs w:val="24"/>
        </w:rPr>
      </w:pPr>
      <w:r w:rsidRPr="00073FB1">
        <w:rPr>
          <w:rFonts w:cs="Arial"/>
          <w:szCs w:val="24"/>
        </w:rPr>
        <w:t>Our audit procedures involved: </w:t>
      </w:r>
    </w:p>
    <w:p w14:paraId="1768B484" w14:textId="77777777" w:rsidR="00763318" w:rsidRPr="00073FB1" w:rsidRDefault="00763318" w:rsidP="002A04B9">
      <w:pPr>
        <w:pStyle w:val="ListParagraph"/>
        <w:numPr>
          <w:ilvl w:val="0"/>
          <w:numId w:val="46"/>
        </w:numPr>
        <w:rPr>
          <w:rFonts w:cs="Arial"/>
          <w:szCs w:val="24"/>
        </w:rPr>
      </w:pPr>
      <w:r w:rsidRPr="00073FB1">
        <w:rPr>
          <w:rFonts w:cs="Arial"/>
          <w:szCs w:val="24"/>
        </w:rPr>
        <w:lastRenderedPageBreak/>
        <w:t>evaluation of the design effectiveness of controls that management has in place to prevent and detect fraud.</w:t>
      </w:r>
    </w:p>
    <w:p w14:paraId="5F2F7140" w14:textId="77777777" w:rsidR="00073FB1" w:rsidRPr="00073FB1" w:rsidRDefault="00073FB1" w:rsidP="00073FB1">
      <w:pPr>
        <w:rPr>
          <w:rFonts w:cs="Arial"/>
          <w:szCs w:val="24"/>
        </w:rPr>
      </w:pPr>
    </w:p>
    <w:p w14:paraId="26E1DF0E" w14:textId="77777777" w:rsidR="00763318" w:rsidRDefault="00763318" w:rsidP="002A04B9">
      <w:pPr>
        <w:pStyle w:val="ListParagraph"/>
        <w:numPr>
          <w:ilvl w:val="0"/>
          <w:numId w:val="46"/>
        </w:numPr>
        <w:rPr>
          <w:rFonts w:cs="Arial"/>
          <w:szCs w:val="24"/>
        </w:rPr>
      </w:pPr>
      <w:r w:rsidRPr="002459CE">
        <w:rPr>
          <w:rFonts w:cs="Arial"/>
          <w:szCs w:val="24"/>
        </w:rPr>
        <w:t xml:space="preserve">journal entry testing, with a focus on large and unusual journals. </w:t>
      </w:r>
    </w:p>
    <w:p w14:paraId="777A24A7" w14:textId="77777777" w:rsidR="002459CE" w:rsidRPr="002459CE" w:rsidRDefault="002459CE" w:rsidP="002459CE">
      <w:pPr>
        <w:pStyle w:val="ListParagraph"/>
        <w:rPr>
          <w:rFonts w:cs="Arial"/>
          <w:szCs w:val="24"/>
        </w:rPr>
      </w:pPr>
    </w:p>
    <w:p w14:paraId="4236F148" w14:textId="77777777" w:rsidR="00763318" w:rsidRDefault="00763318" w:rsidP="002A04B9">
      <w:pPr>
        <w:pStyle w:val="ListParagraph"/>
        <w:numPr>
          <w:ilvl w:val="0"/>
          <w:numId w:val="46"/>
        </w:numPr>
        <w:rPr>
          <w:rFonts w:cs="Arial"/>
          <w:szCs w:val="24"/>
        </w:rPr>
      </w:pPr>
      <w:r w:rsidRPr="00D719EB">
        <w:rPr>
          <w:rFonts w:cs="Arial"/>
          <w:szCs w:val="24"/>
        </w:rPr>
        <w:t>challenging assumptions and judgements made by management in its significant accounting estimates in respect of land and buildings and the defined pension fund net liability valuations, and</w:t>
      </w:r>
    </w:p>
    <w:p w14:paraId="52DC289D" w14:textId="77777777" w:rsidR="00D719EB" w:rsidRPr="00D719EB" w:rsidRDefault="00D719EB" w:rsidP="00D719EB">
      <w:pPr>
        <w:pStyle w:val="ListParagraph"/>
        <w:rPr>
          <w:rFonts w:cs="Arial"/>
          <w:szCs w:val="24"/>
        </w:rPr>
      </w:pPr>
    </w:p>
    <w:p w14:paraId="50D31EC9" w14:textId="77777777" w:rsidR="00763318" w:rsidRDefault="00763318" w:rsidP="002A04B9">
      <w:pPr>
        <w:pStyle w:val="ListParagraph"/>
        <w:numPr>
          <w:ilvl w:val="0"/>
          <w:numId w:val="46"/>
        </w:numPr>
        <w:rPr>
          <w:rFonts w:cs="Arial"/>
          <w:szCs w:val="24"/>
        </w:rPr>
      </w:pPr>
      <w:r w:rsidRPr="00D719EB">
        <w:rPr>
          <w:rFonts w:cs="Arial"/>
          <w:szCs w:val="24"/>
        </w:rPr>
        <w:t>assessing the extent of compliance with the relevant laws and regulations as part of our procedures on the related financial statement item.</w:t>
      </w:r>
    </w:p>
    <w:p w14:paraId="14209154" w14:textId="77777777" w:rsidR="00D719EB" w:rsidRPr="00D719EB" w:rsidRDefault="00D719EB" w:rsidP="00D719EB">
      <w:pPr>
        <w:pStyle w:val="ListParagraph"/>
        <w:rPr>
          <w:rFonts w:cs="Arial"/>
          <w:szCs w:val="24"/>
        </w:rPr>
      </w:pPr>
    </w:p>
    <w:p w14:paraId="4E50F7BC" w14:textId="77777777" w:rsidR="00763318" w:rsidRDefault="00763318" w:rsidP="002A04B9">
      <w:pPr>
        <w:pStyle w:val="ListParagraph"/>
        <w:numPr>
          <w:ilvl w:val="0"/>
          <w:numId w:val="47"/>
        </w:numPr>
        <w:rPr>
          <w:rFonts w:cs="Arial"/>
          <w:szCs w:val="24"/>
        </w:rPr>
      </w:pPr>
      <w:r w:rsidRPr="00D719EB">
        <w:rPr>
          <w:rFonts w:cs="Arial"/>
          <w:szCs w:val="24"/>
        </w:rPr>
        <w:t>These audit procedures were designed to provide reasonable assurance that the financial statements were free from fraud or error. The risk of not detecting a material misstatement due to fraud is higher than the risk of not detecting one resulting from error and detecting irregularities that result from fraud is inherently more difficult than detecting those that result from error, as fraud may involve collusion, deliberate concealment, forgery or intentional misrepresentations. Also, the further removed non-compliance with laws and regulations is from events and transactions reflected in the financial statements, the less likely we would become aware of it.</w:t>
      </w:r>
    </w:p>
    <w:p w14:paraId="0C6FB491" w14:textId="77777777" w:rsidR="00143589" w:rsidRPr="00143589" w:rsidRDefault="00143589" w:rsidP="00143589">
      <w:pPr>
        <w:rPr>
          <w:rFonts w:cs="Arial"/>
          <w:szCs w:val="24"/>
        </w:rPr>
      </w:pPr>
    </w:p>
    <w:p w14:paraId="133CC4A9" w14:textId="77777777" w:rsidR="00763318" w:rsidRDefault="00763318" w:rsidP="002A04B9">
      <w:pPr>
        <w:pStyle w:val="ListParagraph"/>
        <w:numPr>
          <w:ilvl w:val="0"/>
          <w:numId w:val="47"/>
        </w:numPr>
        <w:rPr>
          <w:rFonts w:cs="Arial"/>
          <w:szCs w:val="24"/>
        </w:rPr>
      </w:pPr>
      <w:r w:rsidRPr="00143589">
        <w:rPr>
          <w:rFonts w:cs="Arial"/>
          <w:szCs w:val="24"/>
        </w:rPr>
        <w:t>We communicated relevant laws and regulations and potential fraud risks to all engagement team members, including the potential for fraud in revenue and expenditure recognition, and the significant accounting estimates related to land and buildings and defined pension fund net liability valuations. We remained alert to any indications of non-compliance with laws and regulations, including fraud, throughout the audit.</w:t>
      </w:r>
    </w:p>
    <w:p w14:paraId="0BFE01EB" w14:textId="77777777" w:rsidR="00C83864" w:rsidRPr="00C83864" w:rsidRDefault="00C83864" w:rsidP="00C83864">
      <w:pPr>
        <w:rPr>
          <w:rFonts w:cs="Arial"/>
          <w:szCs w:val="24"/>
        </w:rPr>
      </w:pPr>
    </w:p>
    <w:p w14:paraId="1D514750" w14:textId="77777777" w:rsidR="00763318" w:rsidRDefault="00763318" w:rsidP="002A04B9">
      <w:pPr>
        <w:pStyle w:val="ListParagraph"/>
        <w:numPr>
          <w:ilvl w:val="0"/>
          <w:numId w:val="47"/>
        </w:numPr>
        <w:rPr>
          <w:rFonts w:cs="Arial"/>
          <w:szCs w:val="24"/>
        </w:rPr>
      </w:pPr>
      <w:r w:rsidRPr="00C83864">
        <w:rPr>
          <w:rFonts w:cs="Arial"/>
          <w:szCs w:val="24"/>
        </w:rPr>
        <w:t>Our assessment of the appropriateness of the collective competence and capabilities of the engagement team included consideration of the engagement team's.</w:t>
      </w:r>
    </w:p>
    <w:p w14:paraId="7421491B" w14:textId="77777777" w:rsidR="00C83864" w:rsidRPr="00C83864" w:rsidRDefault="00C83864" w:rsidP="00C83864">
      <w:pPr>
        <w:rPr>
          <w:rFonts w:cs="Arial"/>
          <w:szCs w:val="24"/>
        </w:rPr>
      </w:pPr>
    </w:p>
    <w:p w14:paraId="52297937" w14:textId="77777777" w:rsidR="00763318" w:rsidRDefault="00763318" w:rsidP="002A04B9">
      <w:pPr>
        <w:pStyle w:val="ListParagraph"/>
        <w:numPr>
          <w:ilvl w:val="1"/>
          <w:numId w:val="47"/>
        </w:numPr>
        <w:rPr>
          <w:rFonts w:cs="Arial"/>
          <w:szCs w:val="24"/>
        </w:rPr>
      </w:pPr>
      <w:r w:rsidRPr="00C83864">
        <w:rPr>
          <w:rFonts w:cs="Arial"/>
          <w:szCs w:val="24"/>
        </w:rPr>
        <w:t>understanding of, and practical experience with audit engagements of a similar nature and complexity through appropriate training and participation</w:t>
      </w:r>
    </w:p>
    <w:p w14:paraId="3CFCC175" w14:textId="77777777" w:rsidR="00C83864" w:rsidRPr="00C83864" w:rsidRDefault="00C83864" w:rsidP="00C83864">
      <w:pPr>
        <w:ind w:left="1080"/>
        <w:rPr>
          <w:rFonts w:cs="Arial"/>
          <w:szCs w:val="24"/>
        </w:rPr>
      </w:pPr>
    </w:p>
    <w:p w14:paraId="1C1C12D1" w14:textId="77777777" w:rsidR="00763318" w:rsidRDefault="00763318" w:rsidP="002A04B9">
      <w:pPr>
        <w:pStyle w:val="ListParagraph"/>
        <w:numPr>
          <w:ilvl w:val="0"/>
          <w:numId w:val="48"/>
        </w:numPr>
        <w:rPr>
          <w:rFonts w:cs="Arial"/>
          <w:szCs w:val="24"/>
        </w:rPr>
      </w:pPr>
      <w:r w:rsidRPr="00C83864">
        <w:rPr>
          <w:rFonts w:cs="Arial"/>
          <w:szCs w:val="24"/>
        </w:rPr>
        <w:t>knowledge of the local government sector</w:t>
      </w:r>
    </w:p>
    <w:p w14:paraId="51BF8390" w14:textId="77777777" w:rsidR="00AA5B3B" w:rsidRPr="00AA5B3B" w:rsidRDefault="00AA5B3B" w:rsidP="00AA5B3B">
      <w:pPr>
        <w:rPr>
          <w:rFonts w:cs="Arial"/>
          <w:szCs w:val="24"/>
        </w:rPr>
      </w:pPr>
    </w:p>
    <w:p w14:paraId="7C0A9B9D" w14:textId="77777777" w:rsidR="00763318" w:rsidRDefault="00763318" w:rsidP="002A04B9">
      <w:pPr>
        <w:pStyle w:val="ListParagraph"/>
        <w:numPr>
          <w:ilvl w:val="0"/>
          <w:numId w:val="48"/>
        </w:numPr>
        <w:rPr>
          <w:rFonts w:cs="Arial"/>
          <w:szCs w:val="24"/>
        </w:rPr>
      </w:pPr>
      <w:r w:rsidRPr="00AA5B3B">
        <w:rPr>
          <w:rFonts w:cs="Arial"/>
          <w:szCs w:val="24"/>
        </w:rPr>
        <w:t>understanding of the legal and regulatory requirements specific to the Authority including:</w:t>
      </w:r>
    </w:p>
    <w:p w14:paraId="79C42047" w14:textId="77777777" w:rsidR="00AA5B3B" w:rsidRPr="00AA5B3B" w:rsidRDefault="00AA5B3B" w:rsidP="00AA5B3B">
      <w:pPr>
        <w:rPr>
          <w:rFonts w:cs="Arial"/>
          <w:szCs w:val="24"/>
        </w:rPr>
      </w:pPr>
    </w:p>
    <w:p w14:paraId="3E00BF03" w14:textId="77777777" w:rsidR="00763318" w:rsidRDefault="00763318" w:rsidP="002A04B9">
      <w:pPr>
        <w:pStyle w:val="ListParagraph"/>
        <w:numPr>
          <w:ilvl w:val="1"/>
          <w:numId w:val="48"/>
        </w:numPr>
        <w:rPr>
          <w:rFonts w:cs="Arial"/>
          <w:szCs w:val="24"/>
        </w:rPr>
      </w:pPr>
      <w:r w:rsidRPr="00AA5B3B">
        <w:rPr>
          <w:rFonts w:cs="Arial"/>
          <w:szCs w:val="24"/>
        </w:rPr>
        <w:t>the provisions of the applicable legislation</w:t>
      </w:r>
    </w:p>
    <w:p w14:paraId="0FE4D296" w14:textId="77777777" w:rsidR="00AA5B3B" w:rsidRPr="00AA5B3B" w:rsidRDefault="00AA5B3B" w:rsidP="00AA5B3B">
      <w:pPr>
        <w:rPr>
          <w:rFonts w:cs="Arial"/>
          <w:szCs w:val="24"/>
        </w:rPr>
      </w:pPr>
    </w:p>
    <w:p w14:paraId="3DAC9C00" w14:textId="77777777" w:rsidR="00763318" w:rsidRDefault="00763318" w:rsidP="002A04B9">
      <w:pPr>
        <w:pStyle w:val="ListParagraph"/>
        <w:numPr>
          <w:ilvl w:val="1"/>
          <w:numId w:val="48"/>
        </w:numPr>
        <w:rPr>
          <w:rFonts w:cs="Arial"/>
          <w:szCs w:val="24"/>
        </w:rPr>
      </w:pPr>
      <w:r w:rsidRPr="00AA5B3B">
        <w:rPr>
          <w:rFonts w:cs="Arial"/>
          <w:szCs w:val="24"/>
        </w:rPr>
        <w:t>guidance issued by CIPFA/LASAAC and SOLACE</w:t>
      </w:r>
    </w:p>
    <w:p w14:paraId="4B463E2E" w14:textId="77777777" w:rsidR="00AA5B3B" w:rsidRPr="00AA5B3B" w:rsidRDefault="00AA5B3B" w:rsidP="00AA5B3B">
      <w:pPr>
        <w:rPr>
          <w:rFonts w:cs="Arial"/>
          <w:szCs w:val="24"/>
        </w:rPr>
      </w:pPr>
    </w:p>
    <w:p w14:paraId="21E97189" w14:textId="77777777" w:rsidR="00763318" w:rsidRDefault="00763318" w:rsidP="002A04B9">
      <w:pPr>
        <w:pStyle w:val="ListParagraph"/>
        <w:numPr>
          <w:ilvl w:val="1"/>
          <w:numId w:val="48"/>
        </w:numPr>
        <w:rPr>
          <w:rFonts w:cs="Arial"/>
          <w:szCs w:val="24"/>
        </w:rPr>
      </w:pPr>
      <w:r w:rsidRPr="00AA5B3B">
        <w:rPr>
          <w:rFonts w:cs="Arial"/>
          <w:szCs w:val="24"/>
        </w:rPr>
        <w:t>the applicable statutory provisions.</w:t>
      </w:r>
    </w:p>
    <w:p w14:paraId="65680E6B" w14:textId="77777777" w:rsidR="00AA5B3B" w:rsidRPr="00AA5B3B" w:rsidRDefault="00AA5B3B" w:rsidP="00AA5B3B">
      <w:pPr>
        <w:rPr>
          <w:rFonts w:cs="Arial"/>
          <w:szCs w:val="24"/>
        </w:rPr>
      </w:pPr>
    </w:p>
    <w:p w14:paraId="13B55DD4" w14:textId="77777777" w:rsidR="00763318" w:rsidRDefault="00763318" w:rsidP="002A04B9">
      <w:pPr>
        <w:pStyle w:val="ListParagraph"/>
        <w:numPr>
          <w:ilvl w:val="0"/>
          <w:numId w:val="49"/>
        </w:numPr>
        <w:rPr>
          <w:rFonts w:cs="Arial"/>
          <w:szCs w:val="24"/>
        </w:rPr>
      </w:pPr>
      <w:r w:rsidRPr="00AA5B3B">
        <w:rPr>
          <w:rFonts w:cs="Arial"/>
          <w:szCs w:val="24"/>
        </w:rPr>
        <w:t>In assessing the potential risks of material misstatement, we obtained an understanding of:</w:t>
      </w:r>
    </w:p>
    <w:p w14:paraId="62650363" w14:textId="77777777" w:rsidR="00AA5B3B" w:rsidRPr="00AA5B3B" w:rsidRDefault="00AA5B3B" w:rsidP="00AA5B3B">
      <w:pPr>
        <w:rPr>
          <w:rFonts w:cs="Arial"/>
          <w:szCs w:val="24"/>
        </w:rPr>
      </w:pPr>
    </w:p>
    <w:p w14:paraId="2FDD4550" w14:textId="77777777" w:rsidR="00763318" w:rsidRDefault="00763318" w:rsidP="002A04B9">
      <w:pPr>
        <w:pStyle w:val="ListParagraph"/>
        <w:numPr>
          <w:ilvl w:val="1"/>
          <w:numId w:val="49"/>
        </w:numPr>
        <w:rPr>
          <w:rFonts w:cs="Arial"/>
          <w:szCs w:val="24"/>
        </w:rPr>
      </w:pPr>
      <w:r w:rsidRPr="00AA5B3B">
        <w:rPr>
          <w:rFonts w:cs="Arial"/>
          <w:szCs w:val="24"/>
        </w:rPr>
        <w:t xml:space="preserve">the Authority’s operations, including the nature of its income and expenditure and its services and of its objectives and strategies to understand the classes of </w:t>
      </w:r>
      <w:r w:rsidRPr="00AA5B3B">
        <w:rPr>
          <w:rFonts w:cs="Arial"/>
          <w:szCs w:val="24"/>
        </w:rPr>
        <w:lastRenderedPageBreak/>
        <w:t>transactions, account balances, expected financial statement disclosures and business risks that may result in risks of material misstatement.</w:t>
      </w:r>
    </w:p>
    <w:p w14:paraId="6ADF326B" w14:textId="77777777" w:rsidR="00AA5B3B" w:rsidRPr="00AA5B3B" w:rsidRDefault="00AA5B3B" w:rsidP="00AA5B3B">
      <w:pPr>
        <w:rPr>
          <w:rFonts w:cs="Arial"/>
          <w:szCs w:val="24"/>
        </w:rPr>
      </w:pPr>
    </w:p>
    <w:p w14:paraId="56B8E9D9" w14:textId="77777777" w:rsidR="00763318" w:rsidRDefault="00763318" w:rsidP="002A04B9">
      <w:pPr>
        <w:pStyle w:val="ListParagraph"/>
        <w:numPr>
          <w:ilvl w:val="1"/>
          <w:numId w:val="49"/>
        </w:numPr>
        <w:rPr>
          <w:rFonts w:cs="Arial"/>
          <w:szCs w:val="24"/>
        </w:rPr>
      </w:pPr>
      <w:r w:rsidRPr="00AA5B3B">
        <w:rPr>
          <w:rFonts w:cs="Arial"/>
          <w:szCs w:val="24"/>
        </w:rPr>
        <w:t>the Authority's control environment, including the policies and procedures implemented by the Authority to ensure compliance with the requirements of the financial reporting framework.</w:t>
      </w:r>
    </w:p>
    <w:p w14:paraId="0EB98E63" w14:textId="77777777" w:rsidR="00AA5B3B" w:rsidRPr="00AA5B3B" w:rsidRDefault="00AA5B3B" w:rsidP="00AA5B3B">
      <w:pPr>
        <w:rPr>
          <w:rFonts w:cs="Arial"/>
          <w:szCs w:val="24"/>
        </w:rPr>
      </w:pPr>
    </w:p>
    <w:p w14:paraId="0EF0173B" w14:textId="77777777" w:rsidR="00763318" w:rsidRPr="00EF534A" w:rsidRDefault="00763318" w:rsidP="00763318">
      <w:pPr>
        <w:rPr>
          <w:rFonts w:cs="Arial"/>
          <w:szCs w:val="24"/>
        </w:rPr>
      </w:pPr>
      <w:r w:rsidRPr="00EF534A">
        <w:rPr>
          <w:rFonts w:cs="Arial"/>
          <w:szCs w:val="24"/>
        </w:rPr>
        <w:t xml:space="preserve">A further description of our responsibilities for the audit of the financial statements is located on the Financial Reporting Council’s website at: </w:t>
      </w:r>
      <w:hyperlink r:id="rId24" w:history="1">
        <w:r w:rsidRPr="00EF534A">
          <w:rPr>
            <w:rStyle w:val="Hyperlink"/>
            <w:rFonts w:cs="Arial"/>
            <w:szCs w:val="24"/>
          </w:rPr>
          <w:t>www.frc.org.uk/auditorsresponsibilities</w:t>
        </w:r>
      </w:hyperlink>
      <w:r w:rsidRPr="00EF534A">
        <w:rPr>
          <w:rFonts w:cs="Arial"/>
          <w:szCs w:val="24"/>
        </w:rPr>
        <w:t>. This description forms part of our auditor’s report.</w:t>
      </w:r>
    </w:p>
    <w:p w14:paraId="2BB7ED67" w14:textId="77777777" w:rsidR="00763318" w:rsidRPr="00EF534A" w:rsidRDefault="00763318" w:rsidP="00763318">
      <w:pPr>
        <w:rPr>
          <w:rFonts w:cs="Arial"/>
          <w:szCs w:val="24"/>
        </w:rPr>
      </w:pPr>
    </w:p>
    <w:p w14:paraId="4A1B6062" w14:textId="77777777" w:rsidR="00763318" w:rsidRDefault="00763318" w:rsidP="00763318">
      <w:pPr>
        <w:rPr>
          <w:rFonts w:cs="Arial"/>
          <w:b/>
          <w:bCs/>
          <w:szCs w:val="24"/>
        </w:rPr>
      </w:pPr>
      <w:r w:rsidRPr="00AA5B3B">
        <w:rPr>
          <w:rFonts w:cs="Arial"/>
          <w:b/>
          <w:bCs/>
          <w:szCs w:val="24"/>
        </w:rPr>
        <w:t>Report on other legal and regulatory requirements – the Authority’s arrangements for securing economy, efficiency and effectiveness in its use of resources</w:t>
      </w:r>
    </w:p>
    <w:p w14:paraId="07B730C7" w14:textId="77777777" w:rsidR="00720ACC" w:rsidRPr="00AA5B3B" w:rsidRDefault="00720ACC" w:rsidP="00763318">
      <w:pPr>
        <w:rPr>
          <w:rFonts w:cs="Arial"/>
          <w:b/>
          <w:bCs/>
          <w:szCs w:val="24"/>
        </w:rPr>
      </w:pPr>
    </w:p>
    <w:p w14:paraId="174D72E2" w14:textId="77777777" w:rsidR="00763318" w:rsidRDefault="00763318" w:rsidP="00763318">
      <w:pPr>
        <w:rPr>
          <w:rFonts w:cs="Arial"/>
          <w:b/>
          <w:bCs/>
          <w:szCs w:val="24"/>
        </w:rPr>
      </w:pPr>
      <w:r w:rsidRPr="00720ACC">
        <w:rPr>
          <w:rFonts w:cs="Arial"/>
          <w:b/>
          <w:bCs/>
          <w:szCs w:val="24"/>
        </w:rPr>
        <w:t>Matter on which we are required to report by exception – the Authority’s arrangements for securing economy, efficiency and effectiveness in its use of resources</w:t>
      </w:r>
    </w:p>
    <w:p w14:paraId="64A84EDE" w14:textId="77777777" w:rsidR="00720ACC" w:rsidRPr="00720ACC" w:rsidRDefault="00720ACC" w:rsidP="00763318">
      <w:pPr>
        <w:rPr>
          <w:rFonts w:cs="Arial"/>
          <w:b/>
          <w:bCs/>
          <w:szCs w:val="24"/>
        </w:rPr>
      </w:pPr>
    </w:p>
    <w:p w14:paraId="113D156E" w14:textId="2ECB7991" w:rsidR="00763318" w:rsidRDefault="00763318" w:rsidP="00763318">
      <w:pPr>
        <w:rPr>
          <w:rFonts w:cs="Arial"/>
          <w:szCs w:val="24"/>
        </w:rPr>
      </w:pPr>
      <w:r w:rsidRPr="00EF534A">
        <w:rPr>
          <w:rFonts w:cs="Arial"/>
          <w:szCs w:val="24"/>
        </w:rPr>
        <w:t>Under the Code of Audit Practice, we are required to report to you if, in our opinion, we have not been able to satisfy ourselves that the Authority has made proper arrangements for securing economy, efficiency and effectiveness in its use of resources for the year ended 31 March 2025.</w:t>
      </w:r>
    </w:p>
    <w:p w14:paraId="50F115FA" w14:textId="77777777" w:rsidR="00764DB8" w:rsidRPr="00EF534A" w:rsidRDefault="00764DB8" w:rsidP="00763318">
      <w:pPr>
        <w:rPr>
          <w:rFonts w:cs="Arial"/>
          <w:szCs w:val="24"/>
        </w:rPr>
      </w:pPr>
    </w:p>
    <w:p w14:paraId="6F6BE1D1" w14:textId="77777777" w:rsidR="00763318" w:rsidRDefault="00763318" w:rsidP="00763318">
      <w:pPr>
        <w:rPr>
          <w:rFonts w:cs="Arial"/>
          <w:szCs w:val="24"/>
        </w:rPr>
      </w:pPr>
      <w:r w:rsidRPr="00EF534A">
        <w:rPr>
          <w:rFonts w:cs="Arial"/>
          <w:szCs w:val="24"/>
        </w:rPr>
        <w:t>We have nothing to report in respect of the above matter.</w:t>
      </w:r>
    </w:p>
    <w:p w14:paraId="28E3F465" w14:textId="77777777" w:rsidR="00764DB8" w:rsidRPr="00EF534A" w:rsidRDefault="00764DB8" w:rsidP="00763318">
      <w:pPr>
        <w:rPr>
          <w:rFonts w:cs="Arial"/>
          <w:szCs w:val="24"/>
        </w:rPr>
      </w:pPr>
    </w:p>
    <w:p w14:paraId="18C30C5C" w14:textId="77777777" w:rsidR="00763318" w:rsidRPr="00764DB8" w:rsidRDefault="00763318" w:rsidP="00763318">
      <w:pPr>
        <w:rPr>
          <w:rFonts w:cs="Arial"/>
          <w:b/>
          <w:bCs/>
          <w:szCs w:val="24"/>
        </w:rPr>
      </w:pPr>
      <w:r w:rsidRPr="00764DB8">
        <w:rPr>
          <w:rFonts w:cs="Arial"/>
          <w:b/>
          <w:bCs/>
          <w:szCs w:val="24"/>
        </w:rPr>
        <w:t>Responsibilities of the Authority</w:t>
      </w:r>
    </w:p>
    <w:p w14:paraId="0D5F5841" w14:textId="77777777" w:rsidR="00764DB8" w:rsidRPr="00EF534A" w:rsidRDefault="00764DB8" w:rsidP="00763318">
      <w:pPr>
        <w:rPr>
          <w:rFonts w:cs="Arial"/>
          <w:szCs w:val="24"/>
        </w:rPr>
      </w:pPr>
    </w:p>
    <w:p w14:paraId="0DBDDB99" w14:textId="77777777" w:rsidR="00763318" w:rsidRDefault="00763318" w:rsidP="00763318">
      <w:pPr>
        <w:rPr>
          <w:rFonts w:cs="Arial"/>
          <w:szCs w:val="24"/>
        </w:rPr>
      </w:pPr>
      <w:r w:rsidRPr="00EF534A">
        <w:rPr>
          <w:rFonts w:cs="Arial"/>
          <w:szCs w:val="24"/>
        </w:rPr>
        <w:t>The Authority is responsible for putting in place proper arrangements for securing economy, efficiency and effectiveness in its use of resources.</w:t>
      </w:r>
    </w:p>
    <w:p w14:paraId="54751625" w14:textId="77777777" w:rsidR="00764DB8" w:rsidRPr="00EF534A" w:rsidRDefault="00764DB8" w:rsidP="00763318">
      <w:pPr>
        <w:rPr>
          <w:rFonts w:cs="Arial"/>
          <w:szCs w:val="24"/>
        </w:rPr>
      </w:pPr>
    </w:p>
    <w:p w14:paraId="479E3C92" w14:textId="77777777" w:rsidR="00763318" w:rsidRDefault="00763318" w:rsidP="00763318">
      <w:pPr>
        <w:rPr>
          <w:rFonts w:cs="Arial"/>
          <w:b/>
          <w:bCs/>
          <w:szCs w:val="24"/>
        </w:rPr>
      </w:pPr>
      <w:r w:rsidRPr="00764DB8">
        <w:rPr>
          <w:rFonts w:cs="Arial"/>
          <w:b/>
          <w:bCs/>
          <w:szCs w:val="24"/>
        </w:rPr>
        <w:t>Auditor’s responsibilities for the review of the Authority’s arrangements for securing economy, efficiency and effectiveness in the Authority’s use of resources</w:t>
      </w:r>
    </w:p>
    <w:p w14:paraId="58B0FEA7" w14:textId="77777777" w:rsidR="00764DB8" w:rsidRPr="00764DB8" w:rsidRDefault="00764DB8" w:rsidP="00763318">
      <w:pPr>
        <w:rPr>
          <w:rFonts w:cs="Arial"/>
          <w:b/>
          <w:bCs/>
          <w:szCs w:val="24"/>
        </w:rPr>
      </w:pPr>
    </w:p>
    <w:p w14:paraId="1C868B87" w14:textId="77777777" w:rsidR="00763318" w:rsidRDefault="00763318" w:rsidP="00763318">
      <w:pPr>
        <w:rPr>
          <w:rFonts w:cs="Arial"/>
          <w:szCs w:val="24"/>
        </w:rPr>
      </w:pPr>
      <w:r w:rsidRPr="00EF534A">
        <w:rPr>
          <w:rFonts w:cs="Arial"/>
          <w:szCs w:val="24"/>
        </w:rPr>
        <w:t>We are required under Section 20(1)(c) of the Local Audit and Accountability Act 2014 to be satisfied that the Authority has made proper arrangements for securing economy, efficiency and effectiveness in its use of resources. We are not required to consider, nor have we considered, whether all aspects of the Authority's arrangements for securing economy, efficiency and effectiveness in its use of resources are operating effectively.</w:t>
      </w:r>
    </w:p>
    <w:p w14:paraId="6C7E3229" w14:textId="77777777" w:rsidR="00526583" w:rsidRPr="00EF534A" w:rsidRDefault="00526583" w:rsidP="00763318">
      <w:pPr>
        <w:rPr>
          <w:rFonts w:cs="Arial"/>
          <w:szCs w:val="24"/>
        </w:rPr>
      </w:pPr>
    </w:p>
    <w:p w14:paraId="70A36F64" w14:textId="77777777" w:rsidR="00763318" w:rsidRDefault="00763318" w:rsidP="00763318">
      <w:pPr>
        <w:rPr>
          <w:rFonts w:cs="Arial"/>
          <w:szCs w:val="24"/>
        </w:rPr>
      </w:pPr>
      <w:r w:rsidRPr="00EF534A">
        <w:rPr>
          <w:rFonts w:cs="Arial"/>
          <w:szCs w:val="24"/>
        </w:rPr>
        <w:t xml:space="preserve">We have undertaken our review in accordance with the Code of Audit Practice, having regard to the guidance issued by the Comptroller and Auditor General in November 2024. This guidance sets out the arrangements that fall within the scope of ‘proper </w:t>
      </w:r>
      <w:proofErr w:type="gramStart"/>
      <w:r w:rsidRPr="00EF534A">
        <w:rPr>
          <w:rFonts w:cs="Arial"/>
          <w:szCs w:val="24"/>
        </w:rPr>
        <w:t>arrangements’</w:t>
      </w:r>
      <w:proofErr w:type="gramEnd"/>
      <w:r w:rsidRPr="00EF534A">
        <w:rPr>
          <w:rFonts w:cs="Arial"/>
          <w:szCs w:val="24"/>
        </w:rPr>
        <w:t>. When reporting on these arrangements, the Code of Audit Practice requires auditors to structure their commentary on arrangements under three specified reporting criteria:</w:t>
      </w:r>
    </w:p>
    <w:p w14:paraId="70F25EDB" w14:textId="77777777" w:rsidR="00526583" w:rsidRPr="00EF534A" w:rsidRDefault="00526583" w:rsidP="00763318">
      <w:pPr>
        <w:rPr>
          <w:rFonts w:cs="Arial"/>
          <w:szCs w:val="24"/>
        </w:rPr>
      </w:pPr>
    </w:p>
    <w:p w14:paraId="48F535C1" w14:textId="55AD6E60" w:rsidR="00763318" w:rsidRDefault="00763318" w:rsidP="002A04B9">
      <w:pPr>
        <w:pStyle w:val="ListParagraph"/>
        <w:numPr>
          <w:ilvl w:val="0"/>
          <w:numId w:val="49"/>
        </w:numPr>
        <w:rPr>
          <w:rFonts w:cs="Arial"/>
          <w:szCs w:val="24"/>
        </w:rPr>
      </w:pPr>
      <w:r w:rsidRPr="00526583">
        <w:rPr>
          <w:rFonts w:cs="Arial"/>
          <w:szCs w:val="24"/>
        </w:rPr>
        <w:t xml:space="preserve">Financial sustainability: how the Authority plans and manages its resources to ensure it can continue to deliver its </w:t>
      </w:r>
      <w:proofErr w:type="gramStart"/>
      <w:r w:rsidRPr="00526583">
        <w:rPr>
          <w:rFonts w:cs="Arial"/>
          <w:szCs w:val="24"/>
        </w:rPr>
        <w:t>services;</w:t>
      </w:r>
      <w:proofErr w:type="gramEnd"/>
    </w:p>
    <w:p w14:paraId="5FD7EDD7" w14:textId="77777777" w:rsidR="002A7DCC" w:rsidRPr="002A7DCC" w:rsidRDefault="002A7DCC" w:rsidP="002A7DCC">
      <w:pPr>
        <w:rPr>
          <w:rFonts w:cs="Arial"/>
          <w:szCs w:val="24"/>
        </w:rPr>
      </w:pPr>
    </w:p>
    <w:p w14:paraId="29DC1A92" w14:textId="26049944" w:rsidR="006F6C37" w:rsidRPr="006F6C37" w:rsidRDefault="00763318" w:rsidP="002A04B9">
      <w:pPr>
        <w:pStyle w:val="ListParagraph"/>
        <w:numPr>
          <w:ilvl w:val="0"/>
          <w:numId w:val="49"/>
        </w:numPr>
        <w:rPr>
          <w:rFonts w:cs="Arial"/>
          <w:szCs w:val="24"/>
        </w:rPr>
      </w:pPr>
      <w:r w:rsidRPr="002A7DCC">
        <w:rPr>
          <w:rFonts w:cs="Arial"/>
          <w:szCs w:val="24"/>
        </w:rPr>
        <w:t>Governance: how the Authority ensures that it makes informed decisions and properly manages its risks; and</w:t>
      </w:r>
    </w:p>
    <w:p w14:paraId="0A03FC24" w14:textId="77777777" w:rsidR="00763318" w:rsidRDefault="00763318" w:rsidP="002A04B9">
      <w:pPr>
        <w:pStyle w:val="ListParagraph"/>
        <w:numPr>
          <w:ilvl w:val="0"/>
          <w:numId w:val="49"/>
        </w:numPr>
        <w:rPr>
          <w:rFonts w:cs="Arial"/>
          <w:szCs w:val="24"/>
        </w:rPr>
      </w:pPr>
      <w:r w:rsidRPr="006F6C37">
        <w:rPr>
          <w:rFonts w:cs="Arial"/>
          <w:szCs w:val="24"/>
        </w:rPr>
        <w:lastRenderedPageBreak/>
        <w:t>Improving economy, efficiency and effectiveness: how the Authority uses information about its costs and performance to improve the way it manages and delivers its services.</w:t>
      </w:r>
    </w:p>
    <w:p w14:paraId="6254A227" w14:textId="77777777" w:rsidR="006F6C37" w:rsidRPr="006F6C37" w:rsidRDefault="006F6C37" w:rsidP="006F6C37">
      <w:pPr>
        <w:rPr>
          <w:rFonts w:cs="Arial"/>
          <w:szCs w:val="24"/>
        </w:rPr>
      </w:pPr>
    </w:p>
    <w:p w14:paraId="55ECAD66" w14:textId="77777777" w:rsidR="00763318" w:rsidRPr="00EF534A" w:rsidRDefault="00763318" w:rsidP="00763318">
      <w:pPr>
        <w:rPr>
          <w:rFonts w:cs="Arial"/>
          <w:szCs w:val="24"/>
        </w:rPr>
      </w:pPr>
      <w:r w:rsidRPr="00EF534A">
        <w:rPr>
          <w:rFonts w:cs="Arial"/>
          <w:szCs w:val="24"/>
        </w:rPr>
        <w:t>We have documented our understanding of the arrangements the Authority has in place for each of these three specified reporting criteria, gathering sufficient evidence to support our risk assessment and commentary in our Auditor’s Annual Report. In undertaking our work, we have considered whether there is evidence to suggest that there are significant weaknesses in arrangements.</w:t>
      </w:r>
    </w:p>
    <w:p w14:paraId="73C4F4FD" w14:textId="77777777" w:rsidR="00763318" w:rsidRPr="00EF534A" w:rsidRDefault="00763318" w:rsidP="00763318">
      <w:pPr>
        <w:rPr>
          <w:rFonts w:cs="Arial"/>
          <w:szCs w:val="24"/>
        </w:rPr>
      </w:pPr>
    </w:p>
    <w:p w14:paraId="65F781BF" w14:textId="77777777" w:rsidR="00763318" w:rsidRDefault="00763318" w:rsidP="00763318">
      <w:pPr>
        <w:rPr>
          <w:rFonts w:cs="Arial"/>
          <w:b/>
          <w:bCs/>
          <w:szCs w:val="24"/>
        </w:rPr>
      </w:pPr>
      <w:bookmarkStart w:id="10" w:name="_Hlk139021857"/>
      <w:bookmarkStart w:id="11" w:name="_Hlk182220518"/>
      <w:r w:rsidRPr="0000403B">
        <w:rPr>
          <w:rFonts w:cs="Arial"/>
          <w:b/>
          <w:bCs/>
          <w:szCs w:val="24"/>
        </w:rPr>
        <w:t>Report on other legal and regulatory requirements – Audit certificate</w:t>
      </w:r>
    </w:p>
    <w:p w14:paraId="3E9B5014" w14:textId="77777777" w:rsidR="0000403B" w:rsidRPr="0000403B" w:rsidRDefault="0000403B" w:rsidP="00763318">
      <w:pPr>
        <w:rPr>
          <w:rFonts w:cs="Arial"/>
          <w:b/>
          <w:bCs/>
          <w:szCs w:val="24"/>
        </w:rPr>
      </w:pPr>
    </w:p>
    <w:p w14:paraId="633975B2" w14:textId="77777777" w:rsidR="00763318" w:rsidRDefault="00763318" w:rsidP="00763318">
      <w:pPr>
        <w:rPr>
          <w:rFonts w:cs="Arial"/>
          <w:szCs w:val="24"/>
        </w:rPr>
      </w:pPr>
      <w:bookmarkStart w:id="12" w:name="_Hlk182232768"/>
      <w:r w:rsidRPr="00EF534A">
        <w:rPr>
          <w:rFonts w:cs="Arial"/>
          <w:szCs w:val="24"/>
        </w:rPr>
        <w:t>We cannot formally conclude the audit and issue an audit certificate for Lancashire Combined Fire Authority for the year ended 31 March 2025 in accordance with the requirements of the Local Audit and Accountability Act 2014 and the Code of Audit Practice until we have received confirmation from the National Audit Office the audit of the Whole of Government Accounts is complete for the year ended 31 March 2025. We are satisfied that this work does not have a material effect on the financial statements for the year ended 31 March 2025</w:t>
      </w:r>
    </w:p>
    <w:p w14:paraId="2F86EC34" w14:textId="77777777" w:rsidR="002A04B9" w:rsidRPr="00EF534A" w:rsidRDefault="002A04B9" w:rsidP="00763318">
      <w:pPr>
        <w:rPr>
          <w:rFonts w:cs="Arial"/>
          <w:szCs w:val="24"/>
        </w:rPr>
      </w:pPr>
    </w:p>
    <w:bookmarkEnd w:id="10"/>
    <w:bookmarkEnd w:id="11"/>
    <w:bookmarkEnd w:id="12"/>
    <w:p w14:paraId="2E650A6D" w14:textId="77777777" w:rsidR="00763318" w:rsidRPr="002A04B9" w:rsidRDefault="00763318" w:rsidP="00763318">
      <w:pPr>
        <w:rPr>
          <w:rFonts w:cs="Arial"/>
          <w:b/>
          <w:bCs/>
          <w:szCs w:val="24"/>
        </w:rPr>
      </w:pPr>
      <w:r w:rsidRPr="002A04B9">
        <w:rPr>
          <w:rFonts w:cs="Arial"/>
          <w:b/>
          <w:bCs/>
          <w:szCs w:val="24"/>
        </w:rPr>
        <w:t>Use of our report</w:t>
      </w:r>
    </w:p>
    <w:p w14:paraId="7A22EE87" w14:textId="77777777" w:rsidR="002A04B9" w:rsidRPr="00EF534A" w:rsidRDefault="002A04B9" w:rsidP="00763318">
      <w:pPr>
        <w:rPr>
          <w:rFonts w:cs="Arial"/>
          <w:szCs w:val="24"/>
        </w:rPr>
      </w:pPr>
    </w:p>
    <w:p w14:paraId="754DCC7D" w14:textId="77777777" w:rsidR="00763318" w:rsidRPr="00EF534A" w:rsidRDefault="00763318" w:rsidP="00763318">
      <w:pPr>
        <w:rPr>
          <w:rFonts w:cs="Arial"/>
          <w:szCs w:val="24"/>
        </w:rPr>
      </w:pPr>
      <w:r w:rsidRPr="00EF534A">
        <w:rPr>
          <w:rFonts w:cs="Arial"/>
          <w:szCs w:val="24"/>
        </w:rPr>
        <w:t>This report is made solely to the members of the Authority, as a body, in accordance with Part 5 of the Local Audit and Accountability Act 2014 and as set out in paragraph 85 of the Statement of Responsibilities of Auditors and Audited Bodies published by Public Sector Audit Appointments Limited. Our audit work has been undertaken so that we might state to the Authority’s members those matters we are required to state to them in an auditor's report and for no other purpose. To the fullest extent permitted by law, we do not accept or assume responsibility to anyone other than the Authority and the Authority's members as a body, for our audit work, for this report, or for the opinions we have formed.</w:t>
      </w:r>
    </w:p>
    <w:p w14:paraId="44AACFE5" w14:textId="77777777" w:rsidR="00763318" w:rsidRPr="00EF534A" w:rsidRDefault="00763318" w:rsidP="00763318">
      <w:pPr>
        <w:rPr>
          <w:rFonts w:cs="Arial"/>
          <w:szCs w:val="24"/>
        </w:rPr>
      </w:pPr>
    </w:p>
    <w:p w14:paraId="67F66107" w14:textId="77777777" w:rsidR="00763318" w:rsidRPr="00C31B37" w:rsidRDefault="00763318" w:rsidP="00C31B37">
      <w:pPr>
        <w:jc w:val="both"/>
        <w:rPr>
          <w:rFonts w:ascii="Brush Script MT" w:hAnsi="Brush Script MT"/>
          <w:sz w:val="48"/>
          <w:szCs w:val="48"/>
        </w:rPr>
      </w:pPr>
      <w:r w:rsidRPr="00C31B37">
        <w:rPr>
          <w:rFonts w:ascii="Brush Script MT" w:hAnsi="Brush Script MT"/>
          <w:sz w:val="48"/>
          <w:szCs w:val="48"/>
        </w:rPr>
        <w:t>Elizabeth Luddington</w:t>
      </w:r>
    </w:p>
    <w:p w14:paraId="71F52567" w14:textId="77777777" w:rsidR="00763318" w:rsidRPr="00EF534A" w:rsidRDefault="00763318" w:rsidP="00763318">
      <w:pPr>
        <w:rPr>
          <w:rFonts w:cs="Arial"/>
          <w:szCs w:val="24"/>
        </w:rPr>
      </w:pPr>
      <w:r w:rsidRPr="00EF534A">
        <w:rPr>
          <w:rFonts w:cs="Arial"/>
          <w:szCs w:val="24"/>
        </w:rPr>
        <w:tab/>
      </w:r>
      <w:r w:rsidRPr="00EF534A">
        <w:rPr>
          <w:rFonts w:cs="Arial"/>
          <w:szCs w:val="24"/>
        </w:rPr>
        <w:tab/>
      </w:r>
      <w:r w:rsidRPr="00EF534A">
        <w:rPr>
          <w:rFonts w:cs="Arial"/>
          <w:szCs w:val="24"/>
        </w:rPr>
        <w:tab/>
      </w:r>
      <w:r w:rsidRPr="00EF534A">
        <w:rPr>
          <w:rFonts w:cs="Arial"/>
          <w:szCs w:val="24"/>
        </w:rPr>
        <w:tab/>
      </w:r>
      <w:r w:rsidRPr="00EF534A">
        <w:rPr>
          <w:rFonts w:cs="Arial"/>
          <w:szCs w:val="24"/>
        </w:rPr>
        <w:tab/>
      </w:r>
      <w:r w:rsidRPr="00EF534A">
        <w:rPr>
          <w:rFonts w:cs="Arial"/>
          <w:szCs w:val="24"/>
        </w:rPr>
        <w:tab/>
      </w:r>
      <w:r w:rsidRPr="00EF534A">
        <w:rPr>
          <w:rFonts w:cs="Arial"/>
          <w:szCs w:val="24"/>
        </w:rPr>
        <w:tab/>
      </w:r>
      <w:r w:rsidRPr="00EF534A">
        <w:rPr>
          <w:rFonts w:cs="Arial"/>
          <w:szCs w:val="24"/>
        </w:rPr>
        <w:tab/>
      </w:r>
      <w:r w:rsidRPr="00EF534A">
        <w:rPr>
          <w:rFonts w:cs="Arial"/>
          <w:szCs w:val="24"/>
        </w:rPr>
        <w:tab/>
      </w:r>
    </w:p>
    <w:p w14:paraId="64A8D4C8" w14:textId="77777777" w:rsidR="00763318" w:rsidRPr="00EF534A" w:rsidRDefault="00763318" w:rsidP="00763318">
      <w:pPr>
        <w:rPr>
          <w:rFonts w:cs="Arial"/>
          <w:szCs w:val="24"/>
        </w:rPr>
      </w:pPr>
      <w:r w:rsidRPr="00EF534A">
        <w:rPr>
          <w:rFonts w:cs="Arial"/>
          <w:szCs w:val="24"/>
        </w:rPr>
        <w:t>Elizabeth Luddington, Key Audit Partner</w:t>
      </w:r>
    </w:p>
    <w:p w14:paraId="3BF7D9F1" w14:textId="77777777" w:rsidR="00763318" w:rsidRPr="00EF534A" w:rsidRDefault="00763318" w:rsidP="00763318">
      <w:pPr>
        <w:rPr>
          <w:rFonts w:cs="Arial"/>
          <w:szCs w:val="24"/>
        </w:rPr>
      </w:pPr>
      <w:r w:rsidRPr="00EF534A">
        <w:rPr>
          <w:rFonts w:cs="Arial"/>
          <w:szCs w:val="24"/>
        </w:rPr>
        <w:t>for and on behalf of Grant Thornton UK LLP, Local Auditor</w:t>
      </w:r>
      <w:r w:rsidRPr="00EF534A">
        <w:rPr>
          <w:rFonts w:cs="Arial"/>
          <w:szCs w:val="24"/>
        </w:rPr>
        <w:br/>
        <w:t>Manchester</w:t>
      </w:r>
      <w:r w:rsidRPr="00EF534A">
        <w:rPr>
          <w:rFonts w:cs="Arial"/>
          <w:szCs w:val="24"/>
        </w:rPr>
        <w:br/>
      </w:r>
    </w:p>
    <w:p w14:paraId="2E70D1DC" w14:textId="77777777" w:rsidR="00763318" w:rsidRPr="00EF534A" w:rsidRDefault="00763318" w:rsidP="00763318">
      <w:pPr>
        <w:rPr>
          <w:rFonts w:cs="Arial"/>
          <w:szCs w:val="24"/>
        </w:rPr>
      </w:pPr>
      <w:r w:rsidRPr="00EF534A">
        <w:rPr>
          <w:rFonts w:cs="Arial"/>
          <w:szCs w:val="24"/>
        </w:rPr>
        <w:t>17 December 2025</w:t>
      </w:r>
    </w:p>
    <w:p w14:paraId="7AB6394E" w14:textId="14FB55C5" w:rsidR="00550085" w:rsidRPr="00D948C1" w:rsidRDefault="00550085">
      <w:pPr>
        <w:rPr>
          <w:rFonts w:cs="Arial"/>
          <w:szCs w:val="24"/>
        </w:rPr>
      </w:pPr>
      <w:r w:rsidRPr="00D948C1">
        <w:rPr>
          <w:rFonts w:cs="Arial"/>
          <w:szCs w:val="24"/>
        </w:rPr>
        <w:br w:type="page"/>
      </w:r>
    </w:p>
    <w:p w14:paraId="3BC975BB" w14:textId="77777777" w:rsidR="00A5777A" w:rsidRPr="001F1BC2" w:rsidRDefault="00A5777A" w:rsidP="00A5777A">
      <w:pPr>
        <w:pStyle w:val="Heading1"/>
        <w:rPr>
          <w:rFonts w:cs="Arial"/>
          <w:iCs/>
          <w:szCs w:val="24"/>
          <w:lang w:eastAsia="en-GB"/>
        </w:rPr>
      </w:pPr>
      <w:bookmarkStart w:id="13" w:name="_Toc215593384"/>
      <w:r w:rsidRPr="001F1BC2">
        <w:rPr>
          <w:rFonts w:cs="Arial"/>
          <w:szCs w:val="24"/>
        </w:rPr>
        <w:lastRenderedPageBreak/>
        <w:t>Statement of Responsibilities for the Statement of Accounts</w:t>
      </w:r>
      <w:bookmarkEnd w:id="13"/>
    </w:p>
    <w:p w14:paraId="3AB6650B" w14:textId="77777777" w:rsidR="00A5777A" w:rsidRPr="001F1BC2" w:rsidRDefault="00A5777A" w:rsidP="00A5777A">
      <w:pPr>
        <w:rPr>
          <w:rFonts w:cs="Arial"/>
          <w:szCs w:val="24"/>
        </w:rPr>
      </w:pPr>
    </w:p>
    <w:p w14:paraId="024F363C" w14:textId="77777777" w:rsidR="00A5777A" w:rsidRPr="001F1BC2" w:rsidRDefault="00A5777A" w:rsidP="00A5777A">
      <w:pPr>
        <w:rPr>
          <w:rFonts w:cs="Arial"/>
          <w:b/>
          <w:bCs/>
          <w:szCs w:val="24"/>
        </w:rPr>
      </w:pPr>
      <w:r w:rsidRPr="001F1BC2">
        <w:rPr>
          <w:rFonts w:cs="Arial"/>
          <w:b/>
          <w:bCs/>
          <w:szCs w:val="24"/>
        </w:rPr>
        <w:t>The Authority’s Responsibilities</w:t>
      </w:r>
    </w:p>
    <w:p w14:paraId="33E04A1B" w14:textId="77777777" w:rsidR="00A5777A" w:rsidRPr="001F1BC2" w:rsidRDefault="00A5777A" w:rsidP="00A5777A">
      <w:pPr>
        <w:rPr>
          <w:rFonts w:cs="Arial"/>
          <w:szCs w:val="24"/>
        </w:rPr>
      </w:pPr>
    </w:p>
    <w:p w14:paraId="3E87AB07" w14:textId="77777777" w:rsidR="00A5777A" w:rsidRPr="001F1BC2" w:rsidRDefault="00A5777A" w:rsidP="00A5777A">
      <w:pPr>
        <w:rPr>
          <w:rFonts w:cs="Arial"/>
          <w:szCs w:val="24"/>
        </w:rPr>
      </w:pPr>
      <w:r w:rsidRPr="001F1BC2">
        <w:rPr>
          <w:rFonts w:cs="Arial"/>
          <w:szCs w:val="24"/>
        </w:rPr>
        <w:t>The Authority is required:</w:t>
      </w:r>
    </w:p>
    <w:p w14:paraId="75B90561" w14:textId="77777777" w:rsidR="00A5777A" w:rsidRPr="001F1BC2" w:rsidRDefault="00A5777A" w:rsidP="00A5777A">
      <w:pPr>
        <w:rPr>
          <w:rFonts w:cs="Arial"/>
          <w:szCs w:val="24"/>
        </w:rPr>
      </w:pPr>
    </w:p>
    <w:p w14:paraId="56105246" w14:textId="77777777" w:rsidR="00A5777A" w:rsidRPr="001F1BC2" w:rsidRDefault="00A5777A" w:rsidP="00A5777A">
      <w:pPr>
        <w:numPr>
          <w:ilvl w:val="0"/>
          <w:numId w:val="30"/>
        </w:numPr>
        <w:rPr>
          <w:rFonts w:cs="Arial"/>
          <w:szCs w:val="24"/>
        </w:rPr>
      </w:pPr>
      <w:r w:rsidRPr="001F1BC2">
        <w:rPr>
          <w:rFonts w:cs="Arial"/>
          <w:szCs w:val="24"/>
        </w:rPr>
        <w:t xml:space="preserve">To </w:t>
      </w:r>
      <w:proofErr w:type="gramStart"/>
      <w:r w:rsidRPr="001F1BC2">
        <w:rPr>
          <w:rFonts w:cs="Arial"/>
          <w:szCs w:val="24"/>
        </w:rPr>
        <w:t>make arrangements</w:t>
      </w:r>
      <w:proofErr w:type="gramEnd"/>
      <w:r w:rsidRPr="001F1BC2">
        <w:rPr>
          <w:rFonts w:cs="Arial"/>
          <w:szCs w:val="24"/>
        </w:rPr>
        <w:t xml:space="preserve"> for the proper administration of the financial affairs and to secure that one of its officers has the responsibility for the administration of those affairs. In this Authority that officer is the Treasurer to the Fire Authority.</w:t>
      </w:r>
    </w:p>
    <w:p w14:paraId="4B3120F8" w14:textId="77777777" w:rsidR="00A5777A" w:rsidRPr="001F1BC2" w:rsidRDefault="00A5777A" w:rsidP="00A5777A">
      <w:pPr>
        <w:rPr>
          <w:rFonts w:cs="Arial"/>
          <w:szCs w:val="24"/>
        </w:rPr>
      </w:pPr>
    </w:p>
    <w:p w14:paraId="36CAA642" w14:textId="77777777" w:rsidR="00A5777A" w:rsidRPr="001F1BC2" w:rsidRDefault="00A5777A" w:rsidP="00A5777A">
      <w:pPr>
        <w:numPr>
          <w:ilvl w:val="0"/>
          <w:numId w:val="30"/>
        </w:numPr>
        <w:rPr>
          <w:rFonts w:cs="Arial"/>
          <w:szCs w:val="24"/>
        </w:rPr>
      </w:pPr>
      <w:r w:rsidRPr="001F1BC2">
        <w:rPr>
          <w:rFonts w:cs="Arial"/>
          <w:szCs w:val="24"/>
        </w:rPr>
        <w:t>To manage its affairs to secure economic, efficient, and effective use of resources and safeguard its assets.</w:t>
      </w:r>
    </w:p>
    <w:p w14:paraId="1758F57D" w14:textId="77777777" w:rsidR="00A5777A" w:rsidRPr="001F1BC2" w:rsidRDefault="00A5777A" w:rsidP="00A5777A">
      <w:pPr>
        <w:rPr>
          <w:rFonts w:cs="Arial"/>
          <w:szCs w:val="24"/>
        </w:rPr>
      </w:pPr>
    </w:p>
    <w:p w14:paraId="4ACE8923" w14:textId="77777777" w:rsidR="00A5777A" w:rsidRPr="001F1BC2" w:rsidRDefault="00A5777A" w:rsidP="00A5777A">
      <w:pPr>
        <w:numPr>
          <w:ilvl w:val="0"/>
          <w:numId w:val="30"/>
        </w:numPr>
        <w:rPr>
          <w:rFonts w:cs="Arial"/>
          <w:szCs w:val="24"/>
        </w:rPr>
      </w:pPr>
      <w:r w:rsidRPr="001F1BC2">
        <w:rPr>
          <w:rFonts w:cs="Arial"/>
          <w:szCs w:val="24"/>
        </w:rPr>
        <w:t>To approve the Statement of Accounts.</w:t>
      </w:r>
    </w:p>
    <w:p w14:paraId="706FDD8D" w14:textId="77777777" w:rsidR="00A5777A" w:rsidRPr="001F1BC2" w:rsidRDefault="00A5777A" w:rsidP="00A5777A">
      <w:pPr>
        <w:ind w:hanging="562"/>
        <w:rPr>
          <w:rFonts w:cs="Arial"/>
          <w:szCs w:val="24"/>
        </w:rPr>
      </w:pPr>
    </w:p>
    <w:p w14:paraId="0E936243" w14:textId="77777777" w:rsidR="00A5777A" w:rsidRPr="001F1BC2" w:rsidRDefault="00A5777A" w:rsidP="00A5777A">
      <w:pPr>
        <w:rPr>
          <w:rFonts w:cs="Arial"/>
          <w:b/>
          <w:bCs/>
          <w:szCs w:val="24"/>
        </w:rPr>
      </w:pPr>
      <w:r w:rsidRPr="001F1BC2">
        <w:rPr>
          <w:rFonts w:cs="Arial"/>
          <w:b/>
          <w:bCs/>
          <w:szCs w:val="24"/>
        </w:rPr>
        <w:t>The Treasurer’s Responsibilities</w:t>
      </w:r>
    </w:p>
    <w:p w14:paraId="472D5784" w14:textId="77777777" w:rsidR="00A5777A" w:rsidRPr="001F1BC2" w:rsidRDefault="00A5777A" w:rsidP="00A5777A">
      <w:pPr>
        <w:ind w:hanging="562"/>
        <w:rPr>
          <w:rFonts w:cs="Arial"/>
          <w:b/>
          <w:szCs w:val="24"/>
        </w:rPr>
      </w:pPr>
    </w:p>
    <w:p w14:paraId="31833F1E" w14:textId="7FA3CBD4" w:rsidR="00A5777A" w:rsidRPr="001F1BC2" w:rsidRDefault="00A5777A" w:rsidP="00A5777A">
      <w:pPr>
        <w:tabs>
          <w:tab w:val="left" w:pos="1418"/>
        </w:tabs>
        <w:rPr>
          <w:rFonts w:cs="Arial"/>
          <w:szCs w:val="24"/>
        </w:rPr>
      </w:pPr>
      <w:r w:rsidRPr="001F1BC2">
        <w:rPr>
          <w:rFonts w:cs="Arial"/>
          <w:szCs w:val="24"/>
        </w:rPr>
        <w:t>The Treasurer is responsible for the preparation of the Authority’s Statement of Accounts which, in terms of the CIPFA/LASAAC Code of Practice on Local Authority Accounting (‘the Code’), is required to present a true and fair view of the financial position of the Authority at the accounting date and its income and expenditure for the year ended 31 March 202</w:t>
      </w:r>
      <w:r w:rsidR="00405650" w:rsidRPr="001F1BC2">
        <w:rPr>
          <w:rFonts w:cs="Arial"/>
          <w:szCs w:val="24"/>
        </w:rPr>
        <w:t>4</w:t>
      </w:r>
      <w:r w:rsidRPr="001F1BC2">
        <w:rPr>
          <w:rFonts w:cs="Arial"/>
          <w:szCs w:val="24"/>
        </w:rPr>
        <w:t>.</w:t>
      </w:r>
    </w:p>
    <w:p w14:paraId="13192569" w14:textId="77777777" w:rsidR="00A5777A" w:rsidRPr="001F1BC2" w:rsidRDefault="00A5777A" w:rsidP="00A5777A">
      <w:pPr>
        <w:rPr>
          <w:rFonts w:cs="Arial"/>
          <w:szCs w:val="24"/>
        </w:rPr>
      </w:pPr>
    </w:p>
    <w:p w14:paraId="46BCF9DF" w14:textId="77777777" w:rsidR="00A5777A" w:rsidRPr="001F1BC2" w:rsidRDefault="00A5777A" w:rsidP="00A5777A">
      <w:pPr>
        <w:rPr>
          <w:rFonts w:cs="Arial"/>
          <w:szCs w:val="24"/>
        </w:rPr>
      </w:pPr>
      <w:r w:rsidRPr="001F1BC2">
        <w:rPr>
          <w:rFonts w:cs="Arial"/>
          <w:szCs w:val="24"/>
        </w:rPr>
        <w:t>In preparing this Statement of Accounts, the Treasurer has:</w:t>
      </w:r>
    </w:p>
    <w:p w14:paraId="5ACAB9D9" w14:textId="77777777" w:rsidR="00A5777A" w:rsidRPr="001F1BC2" w:rsidRDefault="00A5777A" w:rsidP="00A5777A">
      <w:pPr>
        <w:rPr>
          <w:rFonts w:cs="Arial"/>
          <w:szCs w:val="24"/>
        </w:rPr>
      </w:pPr>
    </w:p>
    <w:p w14:paraId="2E48B1DE" w14:textId="77777777" w:rsidR="00A5777A" w:rsidRPr="001F1BC2" w:rsidRDefault="00A5777A" w:rsidP="00A5777A">
      <w:pPr>
        <w:numPr>
          <w:ilvl w:val="0"/>
          <w:numId w:val="30"/>
        </w:numPr>
        <w:rPr>
          <w:rFonts w:cs="Arial"/>
          <w:szCs w:val="24"/>
        </w:rPr>
      </w:pPr>
      <w:r w:rsidRPr="001F1BC2">
        <w:rPr>
          <w:rFonts w:cs="Arial"/>
          <w:szCs w:val="24"/>
        </w:rPr>
        <w:t xml:space="preserve">Selected suitable accounting policies and then applied them </w:t>
      </w:r>
      <w:proofErr w:type="gramStart"/>
      <w:r w:rsidRPr="001F1BC2">
        <w:rPr>
          <w:rFonts w:cs="Arial"/>
          <w:szCs w:val="24"/>
        </w:rPr>
        <w:t>consistently;</w:t>
      </w:r>
      <w:proofErr w:type="gramEnd"/>
    </w:p>
    <w:p w14:paraId="35DC6B0A" w14:textId="77777777" w:rsidR="00A5777A" w:rsidRPr="001F1BC2" w:rsidRDefault="00A5777A" w:rsidP="00A5777A">
      <w:pPr>
        <w:numPr>
          <w:ilvl w:val="0"/>
          <w:numId w:val="30"/>
        </w:numPr>
        <w:rPr>
          <w:rFonts w:cs="Arial"/>
          <w:szCs w:val="24"/>
        </w:rPr>
      </w:pPr>
      <w:r w:rsidRPr="001F1BC2">
        <w:rPr>
          <w:rFonts w:cs="Arial"/>
          <w:szCs w:val="24"/>
        </w:rPr>
        <w:t xml:space="preserve">Made judgements and estimates that were reasonable and </w:t>
      </w:r>
      <w:proofErr w:type="gramStart"/>
      <w:r w:rsidRPr="001F1BC2">
        <w:rPr>
          <w:rFonts w:cs="Arial"/>
          <w:szCs w:val="24"/>
        </w:rPr>
        <w:t>prudent;</w:t>
      </w:r>
      <w:proofErr w:type="gramEnd"/>
    </w:p>
    <w:p w14:paraId="64032CDB" w14:textId="77777777" w:rsidR="00A5777A" w:rsidRPr="001F1BC2" w:rsidRDefault="00A5777A" w:rsidP="00A5777A">
      <w:pPr>
        <w:numPr>
          <w:ilvl w:val="0"/>
          <w:numId w:val="30"/>
        </w:numPr>
        <w:rPr>
          <w:rFonts w:cs="Arial"/>
          <w:szCs w:val="24"/>
        </w:rPr>
      </w:pPr>
      <w:r w:rsidRPr="001F1BC2">
        <w:rPr>
          <w:rFonts w:cs="Arial"/>
          <w:szCs w:val="24"/>
        </w:rPr>
        <w:t>Complied with the Code.</w:t>
      </w:r>
    </w:p>
    <w:p w14:paraId="68DCBFAC" w14:textId="77777777" w:rsidR="00A5777A" w:rsidRPr="001F1BC2" w:rsidRDefault="00A5777A" w:rsidP="00A5777A">
      <w:pPr>
        <w:rPr>
          <w:rFonts w:cs="Arial"/>
          <w:szCs w:val="24"/>
        </w:rPr>
      </w:pPr>
    </w:p>
    <w:p w14:paraId="77B21BD2" w14:textId="77777777" w:rsidR="00A5777A" w:rsidRPr="001F1BC2" w:rsidRDefault="00A5777A" w:rsidP="00A5777A">
      <w:pPr>
        <w:rPr>
          <w:rFonts w:cs="Arial"/>
          <w:szCs w:val="24"/>
        </w:rPr>
      </w:pPr>
      <w:r w:rsidRPr="001F1BC2">
        <w:rPr>
          <w:rFonts w:cs="Arial"/>
          <w:szCs w:val="24"/>
        </w:rPr>
        <w:t>The Treasurer has also:</w:t>
      </w:r>
    </w:p>
    <w:p w14:paraId="06E24E8A" w14:textId="77777777" w:rsidR="00A5777A" w:rsidRPr="001F1BC2" w:rsidRDefault="00A5777A" w:rsidP="00A5777A">
      <w:pPr>
        <w:rPr>
          <w:rFonts w:cs="Arial"/>
          <w:szCs w:val="24"/>
        </w:rPr>
      </w:pPr>
    </w:p>
    <w:p w14:paraId="32EBB25D" w14:textId="77777777" w:rsidR="00A5777A" w:rsidRPr="001F1BC2" w:rsidRDefault="00A5777A" w:rsidP="00A5777A">
      <w:pPr>
        <w:numPr>
          <w:ilvl w:val="0"/>
          <w:numId w:val="30"/>
        </w:numPr>
        <w:rPr>
          <w:rFonts w:cs="Arial"/>
          <w:szCs w:val="24"/>
        </w:rPr>
      </w:pPr>
      <w:r w:rsidRPr="001F1BC2">
        <w:rPr>
          <w:rFonts w:cs="Arial"/>
          <w:szCs w:val="24"/>
        </w:rPr>
        <w:t xml:space="preserve">Kept proper accounting records which were </w:t>
      </w:r>
      <w:proofErr w:type="gramStart"/>
      <w:r w:rsidRPr="001F1BC2">
        <w:rPr>
          <w:rFonts w:cs="Arial"/>
          <w:szCs w:val="24"/>
        </w:rPr>
        <w:t>up-to-date;</w:t>
      </w:r>
      <w:proofErr w:type="gramEnd"/>
    </w:p>
    <w:p w14:paraId="17267666" w14:textId="77777777" w:rsidR="00A5777A" w:rsidRPr="001F1BC2" w:rsidRDefault="00A5777A" w:rsidP="00A5777A">
      <w:pPr>
        <w:numPr>
          <w:ilvl w:val="0"/>
          <w:numId w:val="30"/>
        </w:numPr>
        <w:rPr>
          <w:rFonts w:cs="Arial"/>
          <w:szCs w:val="24"/>
        </w:rPr>
      </w:pPr>
      <w:r w:rsidRPr="001F1BC2">
        <w:rPr>
          <w:rFonts w:cs="Arial"/>
          <w:szCs w:val="24"/>
        </w:rPr>
        <w:t>Taken reasonable steps for the prevention and detection of fraud and other irregularities.</w:t>
      </w:r>
    </w:p>
    <w:p w14:paraId="3998EE03" w14:textId="77777777" w:rsidR="00A5777A" w:rsidRPr="00D948C1" w:rsidRDefault="00A5777A" w:rsidP="00A5777A">
      <w:pPr>
        <w:jc w:val="both"/>
        <w:rPr>
          <w:sz w:val="22"/>
        </w:rPr>
      </w:pPr>
    </w:p>
    <w:tbl>
      <w:tblPr>
        <w:tblW w:w="0" w:type="auto"/>
        <w:tblLayout w:type="fixed"/>
        <w:tblLook w:val="0000" w:firstRow="0" w:lastRow="0" w:firstColumn="0" w:lastColumn="0" w:noHBand="0" w:noVBand="0"/>
      </w:tblPr>
      <w:tblGrid>
        <w:gridCol w:w="4621"/>
        <w:gridCol w:w="4621"/>
      </w:tblGrid>
      <w:tr w:rsidR="00A5777A" w:rsidRPr="00D948C1" w14:paraId="08A61897" w14:textId="77777777" w:rsidTr="095637AE">
        <w:trPr>
          <w:trHeight w:val="702"/>
        </w:trPr>
        <w:tc>
          <w:tcPr>
            <w:tcW w:w="4621" w:type="dxa"/>
          </w:tcPr>
          <w:p w14:paraId="3AEFC374" w14:textId="77777777" w:rsidR="00A5777A" w:rsidRPr="00D948C1" w:rsidRDefault="00A5777A" w:rsidP="00F7299E">
            <w:pPr>
              <w:jc w:val="both"/>
              <w:rPr>
                <w:rFonts w:ascii="Brush Script MT" w:hAnsi="Brush Script MT"/>
                <w:sz w:val="48"/>
                <w:szCs w:val="48"/>
              </w:rPr>
            </w:pPr>
            <w:r w:rsidRPr="00D948C1">
              <w:rPr>
                <w:rFonts w:ascii="Brush Script MT" w:hAnsi="Brush Script MT"/>
                <w:sz w:val="48"/>
                <w:szCs w:val="48"/>
              </w:rPr>
              <w:t>Steven Brown</w:t>
            </w:r>
          </w:p>
          <w:p w14:paraId="1B2A153B" w14:textId="77777777" w:rsidR="00A5777A" w:rsidRPr="00D948C1" w:rsidRDefault="00A5777A" w:rsidP="00F7299E">
            <w:pPr>
              <w:jc w:val="both"/>
              <w:rPr>
                <w:sz w:val="22"/>
              </w:rPr>
            </w:pPr>
          </w:p>
        </w:tc>
        <w:tc>
          <w:tcPr>
            <w:tcW w:w="4621" w:type="dxa"/>
          </w:tcPr>
          <w:p w14:paraId="0DF72584" w14:textId="68471D7D" w:rsidR="00BC3251" w:rsidRPr="00294859" w:rsidRDefault="51F33FE3" w:rsidP="095637AE">
            <w:pPr>
              <w:jc w:val="both"/>
              <w:rPr>
                <w:rFonts w:ascii="Brush Script MT" w:hAnsi="Brush Script MT"/>
                <w:sz w:val="48"/>
                <w:szCs w:val="48"/>
              </w:rPr>
            </w:pPr>
            <w:r w:rsidRPr="00294859">
              <w:rPr>
                <w:rFonts w:ascii="Brush Script MT" w:hAnsi="Brush Script MT"/>
                <w:sz w:val="48"/>
                <w:szCs w:val="48"/>
              </w:rPr>
              <w:t>Mark Clifford</w:t>
            </w:r>
          </w:p>
          <w:p w14:paraId="36662BAB" w14:textId="77777777" w:rsidR="00A5777A" w:rsidRPr="00294859" w:rsidRDefault="00A5777A" w:rsidP="095637AE">
            <w:pPr>
              <w:jc w:val="both"/>
              <w:rPr>
                <w:sz w:val="22"/>
                <w:szCs w:val="22"/>
              </w:rPr>
            </w:pPr>
          </w:p>
        </w:tc>
      </w:tr>
      <w:tr w:rsidR="00A5777A" w:rsidRPr="00D948C1" w14:paraId="3AF5C2F8" w14:textId="77777777" w:rsidTr="095637AE">
        <w:trPr>
          <w:trHeight w:val="702"/>
        </w:trPr>
        <w:tc>
          <w:tcPr>
            <w:tcW w:w="4621" w:type="dxa"/>
          </w:tcPr>
          <w:p w14:paraId="670A07AF" w14:textId="77777777" w:rsidR="00A5777A" w:rsidRPr="00662729" w:rsidRDefault="00A5777A" w:rsidP="00F7299E">
            <w:pPr>
              <w:rPr>
                <w:szCs w:val="24"/>
              </w:rPr>
            </w:pPr>
            <w:r w:rsidRPr="00662729">
              <w:rPr>
                <w:szCs w:val="24"/>
              </w:rPr>
              <w:t>Steven Brown CGMA</w:t>
            </w:r>
          </w:p>
          <w:p w14:paraId="06D5B293" w14:textId="77777777" w:rsidR="00A5777A" w:rsidRPr="00662729" w:rsidRDefault="00A5777A" w:rsidP="00F7299E">
            <w:pPr>
              <w:pStyle w:val="00-Normal-BB"/>
              <w:jc w:val="left"/>
              <w:rPr>
                <w:rFonts w:eastAsia="Times New Roman"/>
                <w:sz w:val="24"/>
                <w:szCs w:val="24"/>
              </w:rPr>
            </w:pPr>
            <w:r w:rsidRPr="00662729">
              <w:rPr>
                <w:rFonts w:eastAsia="Times New Roman"/>
                <w:sz w:val="24"/>
                <w:szCs w:val="24"/>
              </w:rPr>
              <w:t>Treasurer to the Combined Fire Authority</w:t>
            </w:r>
          </w:p>
          <w:p w14:paraId="4F305764" w14:textId="56895FD6" w:rsidR="00A5777A" w:rsidRPr="00F36C55" w:rsidRDefault="0033612E" w:rsidP="095637AE">
            <w:pPr>
              <w:pStyle w:val="00-Normal-BB"/>
              <w:jc w:val="left"/>
              <w:rPr>
                <w:sz w:val="24"/>
                <w:szCs w:val="24"/>
              </w:rPr>
            </w:pPr>
            <w:r w:rsidRPr="00F36C55">
              <w:rPr>
                <w:sz w:val="24"/>
                <w:szCs w:val="24"/>
              </w:rPr>
              <w:t>17</w:t>
            </w:r>
            <w:r w:rsidRPr="00F36C55">
              <w:rPr>
                <w:sz w:val="24"/>
                <w:szCs w:val="24"/>
                <w:vertAlign w:val="superscript"/>
              </w:rPr>
              <w:t>th</w:t>
            </w:r>
            <w:r w:rsidRPr="00F36C55">
              <w:rPr>
                <w:sz w:val="24"/>
                <w:szCs w:val="24"/>
              </w:rPr>
              <w:t xml:space="preserve"> December 2025</w:t>
            </w:r>
          </w:p>
        </w:tc>
        <w:tc>
          <w:tcPr>
            <w:tcW w:w="4621" w:type="dxa"/>
          </w:tcPr>
          <w:p w14:paraId="0C9574B1" w14:textId="2896CE9F" w:rsidR="00A5777A" w:rsidRPr="00662729" w:rsidRDefault="2DB0F06C" w:rsidP="095637AE">
            <w:r w:rsidRPr="00662729">
              <w:t>Mark Clifford</w:t>
            </w:r>
          </w:p>
          <w:p w14:paraId="5CAA6A37" w14:textId="77777777" w:rsidR="00A5777A" w:rsidRPr="00662729" w:rsidRDefault="00A5777A" w:rsidP="095637AE">
            <w:r w:rsidRPr="00662729">
              <w:t>Chair of Audit Committee</w:t>
            </w:r>
          </w:p>
          <w:p w14:paraId="10B99780" w14:textId="462B0DFD" w:rsidR="00A5777A" w:rsidRPr="00662729" w:rsidRDefault="0033612E" w:rsidP="095637AE">
            <w:r>
              <w:t>17</w:t>
            </w:r>
            <w:r w:rsidRPr="0033612E">
              <w:rPr>
                <w:vertAlign w:val="superscript"/>
              </w:rPr>
              <w:t>th</w:t>
            </w:r>
            <w:r>
              <w:t xml:space="preserve"> December 2025</w:t>
            </w:r>
          </w:p>
        </w:tc>
      </w:tr>
    </w:tbl>
    <w:p w14:paraId="09E55D4F" w14:textId="06AFE325" w:rsidR="0077530B" w:rsidRPr="00D948C1" w:rsidRDefault="00234514" w:rsidP="00127BBA">
      <w:pPr>
        <w:autoSpaceDE w:val="0"/>
        <w:autoSpaceDN w:val="0"/>
        <w:adjustRightInd w:val="0"/>
        <w:rPr>
          <w:rFonts w:cs="Arial"/>
          <w:szCs w:val="24"/>
        </w:rPr>
      </w:pPr>
      <w:r w:rsidRPr="00D948C1">
        <w:rPr>
          <w:iCs/>
          <w:sz w:val="22"/>
          <w:szCs w:val="22"/>
          <w:lang w:eastAsia="en-GB"/>
        </w:rPr>
        <w:br w:type="page"/>
      </w:r>
    </w:p>
    <w:p w14:paraId="09BB1810" w14:textId="4CD4B8F8" w:rsidR="006B4BE1" w:rsidRPr="001F1BC2" w:rsidRDefault="00490917" w:rsidP="00381C1B">
      <w:pPr>
        <w:pStyle w:val="Heading1"/>
        <w:rPr>
          <w:rFonts w:cs="Arial"/>
          <w:iCs/>
          <w:szCs w:val="24"/>
          <w:lang w:eastAsia="en-GB"/>
        </w:rPr>
      </w:pPr>
      <w:bookmarkStart w:id="14" w:name="Responsibilities"/>
      <w:bookmarkStart w:id="15" w:name="_Toc215593385"/>
      <w:bookmarkEnd w:id="14"/>
      <w:r w:rsidRPr="001F1BC2">
        <w:rPr>
          <w:rFonts w:cs="Arial"/>
          <w:szCs w:val="24"/>
        </w:rPr>
        <w:lastRenderedPageBreak/>
        <w:t>Explanation of Financial Statements</w:t>
      </w:r>
      <w:bookmarkEnd w:id="15"/>
    </w:p>
    <w:p w14:paraId="5A1013BE" w14:textId="77777777" w:rsidR="006B4BE1" w:rsidRPr="001F1BC2" w:rsidRDefault="006B4BE1" w:rsidP="00381C1B">
      <w:pPr>
        <w:rPr>
          <w:rFonts w:cs="Arial"/>
          <w:szCs w:val="24"/>
        </w:rPr>
      </w:pPr>
    </w:p>
    <w:p w14:paraId="2ED691DF" w14:textId="7CD0FE6C" w:rsidR="006B4BE1" w:rsidRPr="007963B2" w:rsidRDefault="00490917" w:rsidP="00381C1B">
      <w:pPr>
        <w:rPr>
          <w:rFonts w:cs="Arial"/>
          <w:szCs w:val="24"/>
        </w:rPr>
      </w:pPr>
      <w:r w:rsidRPr="007963B2">
        <w:rPr>
          <w:rFonts w:cs="Arial"/>
          <w:szCs w:val="24"/>
        </w:rPr>
        <w:t>Comprehensive Income and Expenditure Statement</w:t>
      </w:r>
    </w:p>
    <w:p w14:paraId="78A6E496" w14:textId="77777777" w:rsidR="006B4BE1" w:rsidRPr="007963B2" w:rsidRDefault="006B4BE1" w:rsidP="00381C1B">
      <w:pPr>
        <w:rPr>
          <w:rFonts w:cs="Arial"/>
          <w:szCs w:val="24"/>
        </w:rPr>
      </w:pPr>
    </w:p>
    <w:p w14:paraId="2974E6F3" w14:textId="77777777" w:rsidR="00490917" w:rsidRPr="007963B2" w:rsidRDefault="00490917" w:rsidP="00381C1B">
      <w:pPr>
        <w:rPr>
          <w:rFonts w:cs="Arial"/>
          <w:szCs w:val="24"/>
        </w:rPr>
      </w:pPr>
      <w:r w:rsidRPr="007963B2">
        <w:rPr>
          <w:rFonts w:cs="Arial"/>
          <w:szCs w:val="24"/>
        </w:rPr>
        <w:t>This statement shows the accounting cost in the year of providing services in accordance with generally accepted accounting practices, rather than the amount funded from taxation. Authorities raise taxation to cover expenditure in accordance with regulations; this may be different from the accounting cost. The taxation position is shown in both the Expenditure and Funding Analysis and the Movement in Reserves Statement.</w:t>
      </w:r>
      <w:r w:rsidRPr="001F1BC2">
        <w:rPr>
          <w:rFonts w:cs="Arial"/>
          <w:szCs w:val="24"/>
        </w:rPr>
        <w:t xml:space="preserve"> </w:t>
      </w:r>
    </w:p>
    <w:p w14:paraId="3FBFA4EB" w14:textId="77777777" w:rsidR="00490917" w:rsidRPr="007963B2" w:rsidRDefault="00490917" w:rsidP="00381C1B">
      <w:pPr>
        <w:rPr>
          <w:rFonts w:cs="Arial"/>
          <w:szCs w:val="24"/>
        </w:rPr>
      </w:pPr>
    </w:p>
    <w:p w14:paraId="07B79A45" w14:textId="572ED2B9" w:rsidR="00490917" w:rsidRPr="007963B2" w:rsidRDefault="00490917" w:rsidP="00381C1B">
      <w:pPr>
        <w:rPr>
          <w:rFonts w:cs="Arial"/>
          <w:szCs w:val="24"/>
        </w:rPr>
      </w:pPr>
      <w:r w:rsidRPr="007963B2">
        <w:rPr>
          <w:rFonts w:cs="Arial"/>
          <w:szCs w:val="24"/>
        </w:rPr>
        <w:t>Movement in Reserves Statement</w:t>
      </w:r>
    </w:p>
    <w:p w14:paraId="5D67B02E" w14:textId="77777777" w:rsidR="00490917" w:rsidRPr="007963B2" w:rsidRDefault="00490917" w:rsidP="00381C1B">
      <w:pPr>
        <w:rPr>
          <w:rFonts w:cs="Arial"/>
          <w:szCs w:val="24"/>
        </w:rPr>
      </w:pPr>
    </w:p>
    <w:p w14:paraId="0F959B18" w14:textId="298FA725" w:rsidR="00490917" w:rsidRPr="007963B2" w:rsidRDefault="00490917" w:rsidP="00381C1B">
      <w:pPr>
        <w:ind w:right="-341"/>
        <w:rPr>
          <w:rFonts w:cs="Arial"/>
          <w:szCs w:val="24"/>
        </w:rPr>
      </w:pPr>
      <w:r w:rsidRPr="007963B2">
        <w:rPr>
          <w:rFonts w:cs="Arial"/>
          <w:szCs w:val="24"/>
        </w:rPr>
        <w:t>This statement shows the movement in the year on the different reserves held by the Authority, analysed into ‘Usable Reserves’ (those that can be applied to fund expenditure or reduce local taxation) and other reserves. The Surplus or (Deficit) on the provision of services line shows the true economic cost of providing the Authority’s services, more details of which are shown in the Comprehensive Income and Expenditure Statement. These are different from the statutory amounts required to be charged to the General Fund Balance and the Comprehensive Income and Expenditure Statement for council tax setting purposes. The Net Increase/Decrease before Transfers to Earmarked Reserves line shows the statutory General Fund Balance before any discretionary transfers to or from Earmarked Reserves undertaken by the Authority.</w:t>
      </w:r>
      <w:r w:rsidRPr="001F1BC2">
        <w:rPr>
          <w:rFonts w:cs="Arial"/>
          <w:szCs w:val="24"/>
        </w:rPr>
        <w:t xml:space="preserve"> </w:t>
      </w:r>
    </w:p>
    <w:p w14:paraId="12EF47FE" w14:textId="77777777" w:rsidR="00490917" w:rsidRPr="007963B2" w:rsidRDefault="00490917" w:rsidP="00381C1B">
      <w:pPr>
        <w:rPr>
          <w:rFonts w:cs="Arial"/>
          <w:szCs w:val="24"/>
        </w:rPr>
      </w:pPr>
    </w:p>
    <w:p w14:paraId="0534DDA6" w14:textId="53BB7093" w:rsidR="00490917" w:rsidRPr="007963B2" w:rsidRDefault="00490917" w:rsidP="00381C1B">
      <w:pPr>
        <w:rPr>
          <w:rFonts w:cs="Arial"/>
          <w:szCs w:val="24"/>
        </w:rPr>
      </w:pPr>
      <w:r w:rsidRPr="007963B2">
        <w:rPr>
          <w:rFonts w:cs="Arial"/>
          <w:szCs w:val="24"/>
        </w:rPr>
        <w:t>Balance Sheet</w:t>
      </w:r>
    </w:p>
    <w:p w14:paraId="0BA14997" w14:textId="77777777" w:rsidR="00490917" w:rsidRPr="007963B2" w:rsidRDefault="00490917" w:rsidP="00381C1B">
      <w:pPr>
        <w:rPr>
          <w:rFonts w:cs="Arial"/>
          <w:szCs w:val="24"/>
        </w:rPr>
      </w:pPr>
    </w:p>
    <w:p w14:paraId="5EBAFCE6" w14:textId="758E43AC" w:rsidR="00490917" w:rsidRPr="001F1BC2" w:rsidRDefault="00490917" w:rsidP="007963B2">
      <w:pPr>
        <w:pStyle w:val="BalloonText"/>
        <w:rPr>
          <w:rFonts w:cs="Arial"/>
          <w:szCs w:val="24"/>
          <w:highlight w:val="green"/>
        </w:rPr>
      </w:pPr>
      <w:r w:rsidRPr="007963B2">
        <w:rPr>
          <w:rFonts w:ascii="Arial" w:hAnsi="Arial" w:cs="Arial"/>
          <w:sz w:val="24"/>
          <w:szCs w:val="24"/>
        </w:rPr>
        <w:t xml:space="preserve">The Balance Sheet shows the value as at the Balance Sheet date of the assets and liabilities recognised by the Authority. The net assets of the Authority (assets less liabilities) are matched by the reserves held by the Authority. Reserves are reported in two categories, usable reserves are those that the Authority may use to provide services, subject to the need to maintain a prudent level of reserves and any statutory limitations on their use (for example capital receipts may only be used to fund capital expenditure). The second category is unusable </w:t>
      </w:r>
      <w:r w:rsidR="00B66D51" w:rsidRPr="007963B2">
        <w:rPr>
          <w:rFonts w:ascii="Arial" w:hAnsi="Arial" w:cs="Arial"/>
          <w:sz w:val="24"/>
          <w:szCs w:val="24"/>
        </w:rPr>
        <w:t>reserves and</w:t>
      </w:r>
      <w:r w:rsidRPr="007963B2">
        <w:rPr>
          <w:rFonts w:ascii="Arial" w:hAnsi="Arial" w:cs="Arial"/>
          <w:sz w:val="24"/>
          <w:szCs w:val="24"/>
        </w:rPr>
        <w:t xml:space="preserve"> includes reserves that hold unrealised gains and losses (</w:t>
      </w:r>
      <w:r w:rsidR="00AA3FF8" w:rsidRPr="007963B2">
        <w:rPr>
          <w:rFonts w:ascii="Arial" w:hAnsi="Arial" w:cs="Arial"/>
          <w:sz w:val="24"/>
          <w:szCs w:val="24"/>
        </w:rPr>
        <w:t>for example</w:t>
      </w:r>
      <w:r w:rsidRPr="007963B2">
        <w:rPr>
          <w:rFonts w:ascii="Arial" w:hAnsi="Arial" w:cs="Arial"/>
          <w:sz w:val="24"/>
          <w:szCs w:val="24"/>
        </w:rPr>
        <w:t xml:space="preserve"> the revaluation reserve), where amounts would only become available to provide services if the assets are sold; and reserves that hold timing differences shown in the Movement in Reserves Statement line ‘Adjustments between accounting basis and funding basis under </w:t>
      </w:r>
      <w:proofErr w:type="gramStart"/>
      <w:r w:rsidRPr="007963B2">
        <w:rPr>
          <w:rFonts w:ascii="Arial" w:hAnsi="Arial" w:cs="Arial"/>
          <w:sz w:val="24"/>
          <w:szCs w:val="24"/>
        </w:rPr>
        <w:t>regulations’</w:t>
      </w:r>
      <w:proofErr w:type="gramEnd"/>
      <w:r w:rsidRPr="007963B2">
        <w:rPr>
          <w:rFonts w:ascii="Arial" w:hAnsi="Arial" w:cs="Arial"/>
          <w:sz w:val="24"/>
          <w:szCs w:val="24"/>
        </w:rPr>
        <w:t>.</w:t>
      </w:r>
    </w:p>
    <w:p w14:paraId="30D3355E" w14:textId="046424AE" w:rsidR="00490917" w:rsidRPr="00D948C1" w:rsidRDefault="00490917" w:rsidP="095637AE">
      <w:pPr>
        <w:rPr>
          <w:highlight w:val="green"/>
        </w:rPr>
        <w:sectPr w:rsidR="00490917" w:rsidRPr="00D948C1" w:rsidSect="0050229D">
          <w:headerReference w:type="even" r:id="rId25"/>
          <w:headerReference w:type="default" r:id="rId26"/>
          <w:footerReference w:type="default" r:id="rId27"/>
          <w:headerReference w:type="first" r:id="rId28"/>
          <w:pgSz w:w="11907" w:h="16840" w:code="9"/>
          <w:pgMar w:top="851" w:right="851" w:bottom="737" w:left="1134" w:header="720" w:footer="720" w:gutter="0"/>
          <w:pgNumType w:start="1"/>
          <w:cols w:space="720"/>
        </w:sectPr>
      </w:pPr>
    </w:p>
    <w:p w14:paraId="46B3D8AE" w14:textId="2F93E239" w:rsidR="003601D2" w:rsidRPr="00D948C1" w:rsidRDefault="002618EE" w:rsidP="007461FD">
      <w:pPr>
        <w:pStyle w:val="Heading1"/>
        <w:rPr>
          <w:szCs w:val="24"/>
        </w:rPr>
      </w:pPr>
      <w:bookmarkStart w:id="16" w:name="CIES"/>
      <w:bookmarkStart w:id="17" w:name="_Toc215593386"/>
      <w:bookmarkEnd w:id="16"/>
      <w:r w:rsidRPr="00D948C1">
        <w:rPr>
          <w:szCs w:val="24"/>
        </w:rPr>
        <w:lastRenderedPageBreak/>
        <w:t>Comprehensive Income and Expenditure Statement</w:t>
      </w:r>
      <w:bookmarkEnd w:id="17"/>
    </w:p>
    <w:p w14:paraId="2F66E868" w14:textId="34F0AFB0" w:rsidR="003601D2" w:rsidRPr="00D948C1" w:rsidRDefault="003601D2" w:rsidP="007461FD">
      <w:pPr>
        <w:rPr>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1038"/>
        <w:gridCol w:w="1497"/>
        <w:gridCol w:w="1235"/>
        <w:gridCol w:w="1497"/>
        <w:gridCol w:w="1497"/>
        <w:gridCol w:w="1484"/>
        <w:gridCol w:w="1497"/>
      </w:tblGrid>
      <w:tr w:rsidR="003F1F39" w:rsidRPr="00D948C1" w14:paraId="6FE25F9C" w14:textId="77777777" w:rsidTr="6498351E">
        <w:trPr>
          <w:tblHeader/>
        </w:trPr>
        <w:tc>
          <w:tcPr>
            <w:tcW w:w="2151" w:type="pct"/>
            <w:gridSpan w:val="2"/>
            <w:shd w:val="clear" w:color="auto" w:fill="BD2716"/>
          </w:tcPr>
          <w:p w14:paraId="11BEC3C7" w14:textId="77777777" w:rsidR="003F1F39" w:rsidRPr="00D948C1" w:rsidRDefault="003F1F39" w:rsidP="003F1F39">
            <w:pPr>
              <w:jc w:val="center"/>
              <w:rPr>
                <w:rFonts w:cs="Arial"/>
                <w:color w:val="FFFFFF" w:themeColor="background1"/>
                <w:szCs w:val="24"/>
              </w:rPr>
            </w:pPr>
          </w:p>
        </w:tc>
        <w:tc>
          <w:tcPr>
            <w:tcW w:w="491" w:type="pct"/>
            <w:shd w:val="clear" w:color="auto" w:fill="BD2716"/>
            <w:vAlign w:val="center"/>
          </w:tcPr>
          <w:p w14:paraId="42DD9532" w14:textId="7B38814B" w:rsidR="003F1F39" w:rsidRPr="00D948C1" w:rsidRDefault="003F1F39" w:rsidP="003F1F39">
            <w:pPr>
              <w:jc w:val="center"/>
              <w:rPr>
                <w:rFonts w:cs="Arial"/>
                <w:color w:val="FFFFFF" w:themeColor="background1"/>
                <w:szCs w:val="24"/>
              </w:rPr>
            </w:pPr>
            <w:r w:rsidRPr="00D948C1">
              <w:rPr>
                <w:rFonts w:cs="Arial"/>
                <w:color w:val="FFFFFF" w:themeColor="background1"/>
                <w:szCs w:val="24"/>
              </w:rPr>
              <w:t>202</w:t>
            </w:r>
            <w:r>
              <w:rPr>
                <w:rFonts w:cs="Arial"/>
                <w:color w:val="FFFFFF" w:themeColor="background1"/>
                <w:szCs w:val="24"/>
              </w:rPr>
              <w:t>4</w:t>
            </w:r>
            <w:r w:rsidRPr="00D948C1">
              <w:rPr>
                <w:rFonts w:cs="Arial"/>
                <w:color w:val="FFFFFF" w:themeColor="background1"/>
                <w:szCs w:val="24"/>
              </w:rPr>
              <w:t>/2</w:t>
            </w:r>
            <w:r>
              <w:rPr>
                <w:rFonts w:cs="Arial"/>
                <w:color w:val="FFFFFF" w:themeColor="background1"/>
                <w:szCs w:val="24"/>
              </w:rPr>
              <w:t>5</w:t>
            </w:r>
          </w:p>
        </w:tc>
        <w:tc>
          <w:tcPr>
            <w:tcW w:w="409" w:type="pct"/>
            <w:shd w:val="clear" w:color="auto" w:fill="BD2716"/>
            <w:vAlign w:val="center"/>
          </w:tcPr>
          <w:p w14:paraId="49B17448" w14:textId="2B0DE14C" w:rsidR="003F1F39" w:rsidRPr="00D948C1" w:rsidRDefault="003F1F39" w:rsidP="003F1F39">
            <w:pPr>
              <w:jc w:val="center"/>
              <w:rPr>
                <w:rFonts w:cs="Arial"/>
                <w:color w:val="FFFFFF" w:themeColor="background1"/>
                <w:szCs w:val="24"/>
              </w:rPr>
            </w:pPr>
            <w:r w:rsidRPr="00D948C1">
              <w:rPr>
                <w:rFonts w:cs="Arial"/>
                <w:color w:val="FFFFFF" w:themeColor="background1"/>
                <w:szCs w:val="24"/>
              </w:rPr>
              <w:t>202</w:t>
            </w:r>
            <w:r>
              <w:rPr>
                <w:rFonts w:cs="Arial"/>
                <w:color w:val="FFFFFF" w:themeColor="background1"/>
                <w:szCs w:val="24"/>
              </w:rPr>
              <w:t>4</w:t>
            </w:r>
            <w:r w:rsidRPr="00D948C1">
              <w:rPr>
                <w:rFonts w:cs="Arial"/>
                <w:color w:val="FFFFFF" w:themeColor="background1"/>
                <w:szCs w:val="24"/>
              </w:rPr>
              <w:t>/2</w:t>
            </w:r>
            <w:r>
              <w:rPr>
                <w:rFonts w:cs="Arial"/>
                <w:color w:val="FFFFFF" w:themeColor="background1"/>
                <w:szCs w:val="24"/>
              </w:rPr>
              <w:t>5</w:t>
            </w:r>
          </w:p>
        </w:tc>
        <w:tc>
          <w:tcPr>
            <w:tcW w:w="491" w:type="pct"/>
            <w:shd w:val="clear" w:color="auto" w:fill="BD2716"/>
            <w:vAlign w:val="center"/>
          </w:tcPr>
          <w:p w14:paraId="37C6D52F" w14:textId="480D8272" w:rsidR="003F1F39" w:rsidRPr="00D948C1" w:rsidRDefault="003F1F39" w:rsidP="003F1F39">
            <w:pPr>
              <w:jc w:val="center"/>
              <w:rPr>
                <w:rFonts w:cs="Arial"/>
                <w:color w:val="FFFFFF" w:themeColor="background1"/>
                <w:szCs w:val="24"/>
              </w:rPr>
            </w:pPr>
            <w:r w:rsidRPr="00D948C1">
              <w:rPr>
                <w:rFonts w:cs="Arial"/>
                <w:color w:val="FFFFFF" w:themeColor="background1"/>
                <w:szCs w:val="24"/>
              </w:rPr>
              <w:t>202</w:t>
            </w:r>
            <w:r>
              <w:rPr>
                <w:rFonts w:cs="Arial"/>
                <w:color w:val="FFFFFF" w:themeColor="background1"/>
                <w:szCs w:val="24"/>
              </w:rPr>
              <w:t>4</w:t>
            </w:r>
            <w:r w:rsidRPr="00D948C1">
              <w:rPr>
                <w:rFonts w:cs="Arial"/>
                <w:color w:val="FFFFFF" w:themeColor="background1"/>
                <w:szCs w:val="24"/>
              </w:rPr>
              <w:t>/2</w:t>
            </w:r>
            <w:r>
              <w:rPr>
                <w:rFonts w:cs="Arial"/>
                <w:color w:val="FFFFFF" w:themeColor="background1"/>
                <w:szCs w:val="24"/>
              </w:rPr>
              <w:t>5</w:t>
            </w:r>
          </w:p>
        </w:tc>
        <w:tc>
          <w:tcPr>
            <w:tcW w:w="475" w:type="pct"/>
            <w:shd w:val="clear" w:color="auto" w:fill="BD2716"/>
            <w:vAlign w:val="center"/>
          </w:tcPr>
          <w:p w14:paraId="6538A3D8" w14:textId="79A1C56E" w:rsidR="003F1F39" w:rsidRPr="00D948C1" w:rsidRDefault="003F1F39" w:rsidP="003F1F39">
            <w:pPr>
              <w:jc w:val="center"/>
              <w:rPr>
                <w:rFonts w:cs="Arial"/>
                <w:color w:val="FFFFFF" w:themeColor="background1"/>
                <w:szCs w:val="24"/>
              </w:rPr>
            </w:pPr>
            <w:r w:rsidRPr="00D948C1">
              <w:rPr>
                <w:rFonts w:cs="Arial"/>
                <w:color w:val="FFFFFF" w:themeColor="background1"/>
                <w:szCs w:val="24"/>
              </w:rPr>
              <w:t>2023/24</w:t>
            </w:r>
          </w:p>
        </w:tc>
        <w:tc>
          <w:tcPr>
            <w:tcW w:w="491" w:type="pct"/>
            <w:shd w:val="clear" w:color="auto" w:fill="BD2716"/>
            <w:vAlign w:val="center"/>
          </w:tcPr>
          <w:p w14:paraId="48F27F44" w14:textId="3FB129E7" w:rsidR="003F1F39" w:rsidRPr="00D948C1" w:rsidRDefault="003F1F39" w:rsidP="003F1F39">
            <w:pPr>
              <w:jc w:val="center"/>
              <w:rPr>
                <w:rFonts w:cs="Arial"/>
                <w:color w:val="FFFFFF" w:themeColor="background1"/>
                <w:szCs w:val="24"/>
              </w:rPr>
            </w:pPr>
            <w:r w:rsidRPr="00D948C1">
              <w:rPr>
                <w:rFonts w:cs="Arial"/>
                <w:color w:val="FFFFFF" w:themeColor="background1"/>
                <w:szCs w:val="24"/>
              </w:rPr>
              <w:t>2023/24</w:t>
            </w:r>
          </w:p>
        </w:tc>
        <w:tc>
          <w:tcPr>
            <w:tcW w:w="491" w:type="pct"/>
            <w:shd w:val="clear" w:color="auto" w:fill="BD2716"/>
            <w:vAlign w:val="center"/>
          </w:tcPr>
          <w:p w14:paraId="1A093FD4" w14:textId="6B6D7047" w:rsidR="003F1F39" w:rsidRPr="00D948C1" w:rsidRDefault="003F1F39" w:rsidP="003F1F39">
            <w:pPr>
              <w:jc w:val="center"/>
              <w:rPr>
                <w:rFonts w:cs="Arial"/>
                <w:color w:val="FFFFFF" w:themeColor="background1"/>
                <w:szCs w:val="24"/>
              </w:rPr>
            </w:pPr>
            <w:r w:rsidRPr="00D948C1">
              <w:rPr>
                <w:rFonts w:cs="Arial"/>
                <w:color w:val="FFFFFF" w:themeColor="background1"/>
                <w:szCs w:val="24"/>
              </w:rPr>
              <w:t>2023/24</w:t>
            </w:r>
          </w:p>
        </w:tc>
      </w:tr>
      <w:tr w:rsidR="009B03ED" w:rsidRPr="00D948C1" w14:paraId="19EE22C3" w14:textId="77777777" w:rsidTr="6498351E">
        <w:trPr>
          <w:tblHeader/>
        </w:trPr>
        <w:tc>
          <w:tcPr>
            <w:tcW w:w="1807" w:type="pct"/>
            <w:shd w:val="clear" w:color="auto" w:fill="BD2716"/>
            <w:vAlign w:val="bottom"/>
          </w:tcPr>
          <w:p w14:paraId="6D2765AD" w14:textId="7B43C593" w:rsidR="009B03ED" w:rsidRPr="00D948C1" w:rsidRDefault="009B03ED" w:rsidP="009B03ED">
            <w:pPr>
              <w:rPr>
                <w:rFonts w:cs="Arial"/>
                <w:color w:val="FFFFFF" w:themeColor="background1"/>
                <w:szCs w:val="24"/>
              </w:rPr>
            </w:pPr>
          </w:p>
        </w:tc>
        <w:tc>
          <w:tcPr>
            <w:tcW w:w="345" w:type="pct"/>
            <w:shd w:val="clear" w:color="auto" w:fill="BD2716"/>
            <w:vAlign w:val="center"/>
          </w:tcPr>
          <w:p w14:paraId="0B3E2190" w14:textId="417DF9EF" w:rsidR="009B03ED" w:rsidRPr="00D948C1" w:rsidRDefault="009B03ED" w:rsidP="009B03ED">
            <w:pPr>
              <w:rPr>
                <w:rFonts w:cs="Arial"/>
                <w:color w:val="FFFFFF" w:themeColor="background1"/>
                <w:szCs w:val="24"/>
              </w:rPr>
            </w:pPr>
            <w:r w:rsidRPr="00D948C1">
              <w:rPr>
                <w:rFonts w:cs="Arial"/>
                <w:color w:val="FFFFFF" w:themeColor="background1"/>
                <w:szCs w:val="24"/>
              </w:rPr>
              <w:t>Notes</w:t>
            </w:r>
          </w:p>
        </w:tc>
        <w:tc>
          <w:tcPr>
            <w:tcW w:w="491" w:type="pct"/>
            <w:shd w:val="clear" w:color="auto" w:fill="BD2716"/>
            <w:vAlign w:val="center"/>
          </w:tcPr>
          <w:p w14:paraId="7F0D25BA"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Gross</w:t>
            </w:r>
          </w:p>
          <w:p w14:paraId="366D3F17"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Expenditure</w:t>
            </w:r>
          </w:p>
          <w:p w14:paraId="5F23210B" w14:textId="181A2C33"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09" w:type="pct"/>
            <w:shd w:val="clear" w:color="auto" w:fill="BD2716"/>
            <w:vAlign w:val="center"/>
          </w:tcPr>
          <w:p w14:paraId="0C88F982"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Gross</w:t>
            </w:r>
          </w:p>
          <w:p w14:paraId="7DD8AF76"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Income</w:t>
            </w:r>
          </w:p>
          <w:p w14:paraId="5A1FAE2D" w14:textId="7CD04DC1"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91" w:type="pct"/>
            <w:shd w:val="clear" w:color="auto" w:fill="BD2716"/>
            <w:vAlign w:val="center"/>
          </w:tcPr>
          <w:p w14:paraId="377CBF58" w14:textId="7E860CC3" w:rsidR="009B03ED" w:rsidRPr="00D948C1" w:rsidRDefault="00B50DE8" w:rsidP="009B03ED">
            <w:pPr>
              <w:jc w:val="right"/>
              <w:rPr>
                <w:rFonts w:cs="Arial"/>
                <w:color w:val="FFFFFF" w:themeColor="background1"/>
                <w:szCs w:val="24"/>
              </w:rPr>
            </w:pPr>
            <w:r>
              <w:rPr>
                <w:rFonts w:cs="Arial"/>
                <w:color w:val="FFFFFF" w:themeColor="background1"/>
                <w:szCs w:val="24"/>
              </w:rPr>
              <w:t>Net</w:t>
            </w:r>
          </w:p>
          <w:p w14:paraId="47C57533"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Expenditure</w:t>
            </w:r>
          </w:p>
          <w:p w14:paraId="54485FE4" w14:textId="7D2E0462"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75" w:type="pct"/>
            <w:shd w:val="clear" w:color="auto" w:fill="BD2716"/>
            <w:vAlign w:val="center"/>
          </w:tcPr>
          <w:p w14:paraId="770A85E4"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Gross</w:t>
            </w:r>
          </w:p>
          <w:p w14:paraId="69BF640D" w14:textId="62E402A9" w:rsidR="009B03ED" w:rsidRPr="00D948C1" w:rsidRDefault="001A0693" w:rsidP="009B03ED">
            <w:pPr>
              <w:jc w:val="right"/>
              <w:rPr>
                <w:rFonts w:cs="Arial"/>
                <w:color w:val="FFFFFF" w:themeColor="background1"/>
                <w:szCs w:val="24"/>
              </w:rPr>
            </w:pPr>
            <w:r>
              <w:rPr>
                <w:rFonts w:cs="Arial"/>
                <w:color w:val="FFFFFF" w:themeColor="background1"/>
                <w:szCs w:val="24"/>
              </w:rPr>
              <w:t>Expenditure</w:t>
            </w:r>
          </w:p>
          <w:p w14:paraId="7204DA13" w14:textId="6E6E3A09"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91" w:type="pct"/>
            <w:shd w:val="clear" w:color="auto" w:fill="BD2716"/>
            <w:vAlign w:val="center"/>
          </w:tcPr>
          <w:p w14:paraId="694B10E9" w14:textId="77AC908A" w:rsidR="009B03ED" w:rsidRPr="00D948C1" w:rsidRDefault="00B50DE8" w:rsidP="009B03ED">
            <w:pPr>
              <w:jc w:val="right"/>
              <w:rPr>
                <w:rFonts w:cs="Arial"/>
                <w:color w:val="FFFFFF" w:themeColor="background1"/>
                <w:szCs w:val="24"/>
              </w:rPr>
            </w:pPr>
            <w:r>
              <w:rPr>
                <w:rFonts w:cs="Arial"/>
                <w:color w:val="FFFFFF" w:themeColor="background1"/>
                <w:szCs w:val="24"/>
              </w:rPr>
              <w:t>Gross</w:t>
            </w:r>
          </w:p>
          <w:p w14:paraId="7FD4A317" w14:textId="03CB1726" w:rsidR="009B03ED" w:rsidRPr="00D948C1" w:rsidRDefault="001A0693" w:rsidP="009B03ED">
            <w:pPr>
              <w:jc w:val="right"/>
              <w:rPr>
                <w:rFonts w:cs="Arial"/>
                <w:color w:val="FFFFFF" w:themeColor="background1"/>
                <w:szCs w:val="24"/>
              </w:rPr>
            </w:pPr>
            <w:r>
              <w:rPr>
                <w:rFonts w:cs="Arial"/>
                <w:color w:val="FFFFFF" w:themeColor="background1"/>
                <w:szCs w:val="24"/>
              </w:rPr>
              <w:t>Incom</w:t>
            </w:r>
            <w:r w:rsidR="009B03ED" w:rsidRPr="00D948C1">
              <w:rPr>
                <w:rFonts w:cs="Arial"/>
                <w:color w:val="FFFFFF" w:themeColor="background1"/>
                <w:szCs w:val="24"/>
              </w:rPr>
              <w:t>e</w:t>
            </w:r>
          </w:p>
          <w:p w14:paraId="0942EE26" w14:textId="1B81B181"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91" w:type="pct"/>
            <w:shd w:val="clear" w:color="auto" w:fill="BD2716"/>
            <w:vAlign w:val="center"/>
          </w:tcPr>
          <w:p w14:paraId="1EACF96F"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Net</w:t>
            </w:r>
          </w:p>
          <w:p w14:paraId="6CE9E2C6"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Expenditure</w:t>
            </w:r>
          </w:p>
          <w:p w14:paraId="6BC25971" w14:textId="63ADC2C2"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r>
      <w:tr w:rsidR="00233A66" w:rsidRPr="00D948C1" w14:paraId="1D33EFD1" w14:textId="77777777" w:rsidTr="6498351E">
        <w:tc>
          <w:tcPr>
            <w:tcW w:w="5000" w:type="pct"/>
            <w:gridSpan w:val="8"/>
            <w:shd w:val="clear" w:color="auto" w:fill="D9D9D9" w:themeFill="background1" w:themeFillShade="D9"/>
            <w:vAlign w:val="bottom"/>
          </w:tcPr>
          <w:p w14:paraId="13401A0C" w14:textId="26694FFB" w:rsidR="00233A66" w:rsidRPr="00D948C1" w:rsidRDefault="00233A66" w:rsidP="00233A66">
            <w:pPr>
              <w:tabs>
                <w:tab w:val="decimal" w:pos="742"/>
              </w:tabs>
              <w:rPr>
                <w:rFonts w:cs="Arial"/>
                <w:b/>
                <w:bCs/>
                <w:szCs w:val="24"/>
              </w:rPr>
            </w:pPr>
            <w:r w:rsidRPr="00D948C1">
              <w:rPr>
                <w:rFonts w:cs="Arial"/>
                <w:b/>
                <w:bCs/>
                <w:szCs w:val="24"/>
              </w:rPr>
              <w:t>Continuing operations:</w:t>
            </w:r>
          </w:p>
        </w:tc>
      </w:tr>
      <w:tr w:rsidR="003F1F39" w:rsidRPr="00D948C1" w14:paraId="2B8F9742" w14:textId="77777777" w:rsidTr="6498351E">
        <w:tc>
          <w:tcPr>
            <w:tcW w:w="1807" w:type="pct"/>
          </w:tcPr>
          <w:p w14:paraId="3E08B6ED" w14:textId="77777777" w:rsidR="003F1F39" w:rsidRPr="007963B2" w:rsidRDefault="003F1F39" w:rsidP="095637AE">
            <w:pPr>
              <w:rPr>
                <w:rFonts w:cs="Arial"/>
              </w:rPr>
            </w:pPr>
            <w:r w:rsidRPr="007963B2">
              <w:rPr>
                <w:rFonts w:cs="Arial"/>
              </w:rPr>
              <w:t>Service Delivery</w:t>
            </w:r>
          </w:p>
        </w:tc>
        <w:tc>
          <w:tcPr>
            <w:tcW w:w="345" w:type="pct"/>
            <w:vAlign w:val="center"/>
          </w:tcPr>
          <w:p w14:paraId="651EE92A" w14:textId="18EA2D74" w:rsidR="003F1F39" w:rsidRPr="003C4BF5" w:rsidRDefault="003F1F39" w:rsidP="095637AE">
            <w:pPr>
              <w:jc w:val="center"/>
              <w:rPr>
                <w:rStyle w:val="Hyperlink"/>
              </w:rPr>
            </w:pPr>
            <w:hyperlink w:anchor="Notes">
              <w:r w:rsidRPr="003C4BF5">
                <w:rPr>
                  <w:rStyle w:val="Hyperlink"/>
                </w:rPr>
                <w:t>1</w:t>
              </w:r>
            </w:hyperlink>
          </w:p>
        </w:tc>
        <w:tc>
          <w:tcPr>
            <w:tcW w:w="491" w:type="pct"/>
            <w:vAlign w:val="center"/>
          </w:tcPr>
          <w:p w14:paraId="6F5E8081" w14:textId="4EC740CB" w:rsidR="003F1F39" w:rsidRPr="00E90347" w:rsidRDefault="000A475A" w:rsidP="095637AE">
            <w:pPr>
              <w:tabs>
                <w:tab w:val="decimal" w:pos="884"/>
              </w:tabs>
              <w:jc w:val="right"/>
              <w:rPr>
                <w:rFonts w:cs="Arial"/>
              </w:rPr>
            </w:pPr>
            <w:r w:rsidRPr="00E90347">
              <w:rPr>
                <w:rFonts w:cs="Arial"/>
              </w:rPr>
              <w:t>25,</w:t>
            </w:r>
            <w:r w:rsidR="00C06F1E" w:rsidRPr="00E90347">
              <w:rPr>
                <w:rFonts w:cs="Arial"/>
              </w:rPr>
              <w:t>881</w:t>
            </w:r>
          </w:p>
        </w:tc>
        <w:tc>
          <w:tcPr>
            <w:tcW w:w="409" w:type="pct"/>
            <w:vAlign w:val="center"/>
          </w:tcPr>
          <w:p w14:paraId="1774CFF9" w14:textId="33B1B471" w:rsidR="003F1F39" w:rsidRPr="00E90347" w:rsidRDefault="008B3E5B" w:rsidP="095637AE">
            <w:pPr>
              <w:tabs>
                <w:tab w:val="decimal" w:pos="742"/>
              </w:tabs>
              <w:jc w:val="right"/>
              <w:rPr>
                <w:rFonts w:cs="Arial"/>
              </w:rPr>
            </w:pPr>
            <w:r w:rsidRPr="00E90347">
              <w:rPr>
                <w:rFonts w:cs="Arial"/>
              </w:rPr>
              <w:t>(2,409)</w:t>
            </w:r>
          </w:p>
        </w:tc>
        <w:tc>
          <w:tcPr>
            <w:tcW w:w="491" w:type="pct"/>
            <w:vAlign w:val="center"/>
          </w:tcPr>
          <w:p w14:paraId="775B47B7" w14:textId="607F9BB6" w:rsidR="003F1F39" w:rsidRPr="00E90347" w:rsidRDefault="008B3E5B" w:rsidP="095637AE">
            <w:pPr>
              <w:tabs>
                <w:tab w:val="decimal" w:pos="742"/>
              </w:tabs>
              <w:jc w:val="right"/>
              <w:rPr>
                <w:rFonts w:cs="Arial"/>
              </w:rPr>
            </w:pPr>
            <w:r w:rsidRPr="00E90347">
              <w:rPr>
                <w:rFonts w:cs="Arial"/>
              </w:rPr>
              <w:t>23,473</w:t>
            </w:r>
          </w:p>
        </w:tc>
        <w:tc>
          <w:tcPr>
            <w:tcW w:w="475" w:type="pct"/>
            <w:vAlign w:val="center"/>
          </w:tcPr>
          <w:p w14:paraId="03DB2388" w14:textId="08FF82BE" w:rsidR="003F1F39" w:rsidRPr="00E90347" w:rsidRDefault="003F1F39" w:rsidP="095637AE">
            <w:pPr>
              <w:tabs>
                <w:tab w:val="decimal" w:pos="884"/>
              </w:tabs>
              <w:jc w:val="right"/>
              <w:rPr>
                <w:rFonts w:cs="Arial"/>
              </w:rPr>
            </w:pPr>
            <w:r w:rsidRPr="00E90347">
              <w:rPr>
                <w:rFonts w:cs="Arial"/>
              </w:rPr>
              <w:t>23,174</w:t>
            </w:r>
          </w:p>
        </w:tc>
        <w:tc>
          <w:tcPr>
            <w:tcW w:w="491" w:type="pct"/>
            <w:vAlign w:val="center"/>
          </w:tcPr>
          <w:p w14:paraId="08EEC930" w14:textId="475C4C5C" w:rsidR="003F1F39" w:rsidRPr="00E90347" w:rsidRDefault="003F1F39" w:rsidP="095637AE">
            <w:pPr>
              <w:tabs>
                <w:tab w:val="decimal" w:pos="742"/>
              </w:tabs>
              <w:jc w:val="right"/>
              <w:rPr>
                <w:rFonts w:cs="Arial"/>
              </w:rPr>
            </w:pPr>
            <w:r w:rsidRPr="00E90347">
              <w:rPr>
                <w:rFonts w:cs="Arial"/>
              </w:rPr>
              <w:t>(2,181)</w:t>
            </w:r>
          </w:p>
        </w:tc>
        <w:tc>
          <w:tcPr>
            <w:tcW w:w="491" w:type="pct"/>
            <w:vAlign w:val="center"/>
          </w:tcPr>
          <w:p w14:paraId="4BA8F36E" w14:textId="4A529EF0" w:rsidR="003F1F39" w:rsidRPr="00E90347" w:rsidRDefault="003F1F39" w:rsidP="095637AE">
            <w:pPr>
              <w:tabs>
                <w:tab w:val="decimal" w:pos="742"/>
              </w:tabs>
              <w:jc w:val="right"/>
              <w:rPr>
                <w:rFonts w:cs="Arial"/>
              </w:rPr>
            </w:pPr>
            <w:r w:rsidRPr="00E90347">
              <w:rPr>
                <w:rFonts w:cs="Arial"/>
              </w:rPr>
              <w:t>20,993</w:t>
            </w:r>
          </w:p>
        </w:tc>
      </w:tr>
      <w:tr w:rsidR="003F1F39" w:rsidRPr="00D948C1" w14:paraId="565D8198" w14:textId="77777777" w:rsidTr="6498351E">
        <w:trPr>
          <w:trHeight w:val="246"/>
        </w:trPr>
        <w:tc>
          <w:tcPr>
            <w:tcW w:w="1807" w:type="pct"/>
          </w:tcPr>
          <w:p w14:paraId="2DF266EC" w14:textId="77777777" w:rsidR="003F1F39" w:rsidRPr="00E90347" w:rsidRDefault="003F1F39" w:rsidP="095637AE">
            <w:pPr>
              <w:rPr>
                <w:rFonts w:cs="Arial"/>
              </w:rPr>
            </w:pPr>
            <w:r w:rsidRPr="00E90347">
              <w:rPr>
                <w:rFonts w:cs="Arial"/>
              </w:rPr>
              <w:t>Strategy and Planning</w:t>
            </w:r>
          </w:p>
        </w:tc>
        <w:tc>
          <w:tcPr>
            <w:tcW w:w="345" w:type="pct"/>
            <w:vAlign w:val="center"/>
          </w:tcPr>
          <w:p w14:paraId="5B815C91" w14:textId="6ADE76A2" w:rsidR="003F1F39" w:rsidRPr="00E90347" w:rsidRDefault="003F1F39" w:rsidP="095637AE">
            <w:pPr>
              <w:jc w:val="center"/>
              <w:rPr>
                <w:rStyle w:val="Hyperlink"/>
              </w:rPr>
            </w:pPr>
            <w:hyperlink w:anchor="Notes">
              <w:r w:rsidRPr="00E90347">
                <w:rPr>
                  <w:rStyle w:val="Hyperlink"/>
                </w:rPr>
                <w:t>1</w:t>
              </w:r>
            </w:hyperlink>
          </w:p>
        </w:tc>
        <w:tc>
          <w:tcPr>
            <w:tcW w:w="491" w:type="pct"/>
            <w:vAlign w:val="center"/>
          </w:tcPr>
          <w:p w14:paraId="47634499" w14:textId="7911605C" w:rsidR="003F1F39" w:rsidRPr="00E90347" w:rsidRDefault="008B3E5B" w:rsidP="095637AE">
            <w:pPr>
              <w:tabs>
                <w:tab w:val="decimal" w:pos="884"/>
              </w:tabs>
              <w:jc w:val="right"/>
              <w:rPr>
                <w:rFonts w:cs="Arial"/>
              </w:rPr>
            </w:pPr>
            <w:r w:rsidRPr="00E90347">
              <w:rPr>
                <w:rFonts w:cs="Arial"/>
              </w:rPr>
              <w:t>12,801</w:t>
            </w:r>
          </w:p>
        </w:tc>
        <w:tc>
          <w:tcPr>
            <w:tcW w:w="409" w:type="pct"/>
            <w:vAlign w:val="center"/>
          </w:tcPr>
          <w:p w14:paraId="464B8BC1" w14:textId="42A92824" w:rsidR="003F1F39" w:rsidRPr="00E90347" w:rsidRDefault="008B3E5B" w:rsidP="095637AE">
            <w:pPr>
              <w:tabs>
                <w:tab w:val="decimal" w:pos="742"/>
              </w:tabs>
              <w:jc w:val="right"/>
              <w:rPr>
                <w:rFonts w:cs="Arial"/>
              </w:rPr>
            </w:pPr>
            <w:r w:rsidRPr="00E90347">
              <w:rPr>
                <w:rFonts w:cs="Arial"/>
              </w:rPr>
              <w:t>(642)</w:t>
            </w:r>
          </w:p>
        </w:tc>
        <w:tc>
          <w:tcPr>
            <w:tcW w:w="491" w:type="pct"/>
            <w:vAlign w:val="center"/>
          </w:tcPr>
          <w:p w14:paraId="5B3D53B6" w14:textId="07D2B178" w:rsidR="003F1F39" w:rsidRPr="00E90347" w:rsidRDefault="008B3E5B" w:rsidP="095637AE">
            <w:pPr>
              <w:tabs>
                <w:tab w:val="decimal" w:pos="742"/>
              </w:tabs>
              <w:jc w:val="right"/>
              <w:rPr>
                <w:rFonts w:cs="Arial"/>
              </w:rPr>
            </w:pPr>
            <w:r w:rsidRPr="00E90347">
              <w:rPr>
                <w:rFonts w:cs="Arial"/>
              </w:rPr>
              <w:t>12,159</w:t>
            </w:r>
          </w:p>
        </w:tc>
        <w:tc>
          <w:tcPr>
            <w:tcW w:w="475" w:type="pct"/>
            <w:vAlign w:val="center"/>
          </w:tcPr>
          <w:p w14:paraId="5AC15CD5" w14:textId="78538231" w:rsidR="003F1F39" w:rsidRPr="00E90347" w:rsidRDefault="003F1F39" w:rsidP="095637AE">
            <w:pPr>
              <w:tabs>
                <w:tab w:val="decimal" w:pos="884"/>
              </w:tabs>
              <w:jc w:val="right"/>
              <w:rPr>
                <w:rFonts w:cs="Arial"/>
              </w:rPr>
            </w:pPr>
            <w:r w:rsidRPr="00E90347">
              <w:rPr>
                <w:rFonts w:cs="Arial"/>
              </w:rPr>
              <w:t>12,802</w:t>
            </w:r>
          </w:p>
        </w:tc>
        <w:tc>
          <w:tcPr>
            <w:tcW w:w="491" w:type="pct"/>
            <w:vAlign w:val="center"/>
          </w:tcPr>
          <w:p w14:paraId="471350EA" w14:textId="14488AE8" w:rsidR="003F1F39" w:rsidRPr="00E90347" w:rsidRDefault="003F1F39" w:rsidP="095637AE">
            <w:pPr>
              <w:tabs>
                <w:tab w:val="decimal" w:pos="742"/>
              </w:tabs>
              <w:jc w:val="right"/>
              <w:rPr>
                <w:rFonts w:cs="Arial"/>
              </w:rPr>
            </w:pPr>
            <w:r w:rsidRPr="00E90347">
              <w:rPr>
                <w:rFonts w:cs="Arial"/>
              </w:rPr>
              <w:t>(736)</w:t>
            </w:r>
          </w:p>
        </w:tc>
        <w:tc>
          <w:tcPr>
            <w:tcW w:w="491" w:type="pct"/>
            <w:vAlign w:val="center"/>
          </w:tcPr>
          <w:p w14:paraId="4B13EC4F" w14:textId="7AA2F9B8" w:rsidR="003F1F39" w:rsidRPr="00E90347" w:rsidRDefault="003F1F39" w:rsidP="095637AE">
            <w:pPr>
              <w:tabs>
                <w:tab w:val="decimal" w:pos="742"/>
              </w:tabs>
              <w:jc w:val="right"/>
              <w:rPr>
                <w:rFonts w:cs="Arial"/>
              </w:rPr>
            </w:pPr>
            <w:r w:rsidRPr="00E90347">
              <w:rPr>
                <w:rFonts w:cs="Arial"/>
              </w:rPr>
              <w:t>12,066</w:t>
            </w:r>
          </w:p>
        </w:tc>
      </w:tr>
      <w:tr w:rsidR="003F1F39" w:rsidRPr="00D948C1" w14:paraId="79E29584" w14:textId="77777777" w:rsidTr="6498351E">
        <w:tc>
          <w:tcPr>
            <w:tcW w:w="1807" w:type="pct"/>
          </w:tcPr>
          <w:p w14:paraId="5690E280" w14:textId="77777777" w:rsidR="003F1F39" w:rsidRPr="00E90347" w:rsidRDefault="003F1F39" w:rsidP="095637AE">
            <w:pPr>
              <w:rPr>
                <w:rFonts w:cs="Arial"/>
              </w:rPr>
            </w:pPr>
            <w:r w:rsidRPr="00E90347">
              <w:rPr>
                <w:rFonts w:cs="Arial"/>
              </w:rPr>
              <w:t>People and Development</w:t>
            </w:r>
          </w:p>
        </w:tc>
        <w:tc>
          <w:tcPr>
            <w:tcW w:w="345" w:type="pct"/>
            <w:vAlign w:val="center"/>
          </w:tcPr>
          <w:p w14:paraId="1608DAEC" w14:textId="737A073B" w:rsidR="003F1F39" w:rsidRPr="00E90347" w:rsidRDefault="003F1F39" w:rsidP="095637AE">
            <w:pPr>
              <w:jc w:val="center"/>
              <w:rPr>
                <w:rStyle w:val="Hyperlink"/>
              </w:rPr>
            </w:pPr>
            <w:hyperlink w:anchor="Notes">
              <w:r w:rsidRPr="00E90347">
                <w:rPr>
                  <w:rStyle w:val="Hyperlink"/>
                </w:rPr>
                <w:t>1</w:t>
              </w:r>
            </w:hyperlink>
          </w:p>
        </w:tc>
        <w:tc>
          <w:tcPr>
            <w:tcW w:w="491" w:type="pct"/>
            <w:vAlign w:val="center"/>
          </w:tcPr>
          <w:p w14:paraId="0F4E3347" w14:textId="769F9A46" w:rsidR="003F1F39" w:rsidRPr="00E90347" w:rsidRDefault="008B3E5B" w:rsidP="095637AE">
            <w:pPr>
              <w:tabs>
                <w:tab w:val="decimal" w:pos="884"/>
              </w:tabs>
              <w:jc w:val="right"/>
              <w:rPr>
                <w:rFonts w:cs="Arial"/>
              </w:rPr>
            </w:pPr>
            <w:r w:rsidRPr="00E90347">
              <w:rPr>
                <w:rFonts w:cs="Arial"/>
              </w:rPr>
              <w:t>2,231</w:t>
            </w:r>
          </w:p>
        </w:tc>
        <w:tc>
          <w:tcPr>
            <w:tcW w:w="409" w:type="pct"/>
            <w:vAlign w:val="center"/>
          </w:tcPr>
          <w:p w14:paraId="4611D80D" w14:textId="067C512A" w:rsidR="003F1F39" w:rsidRPr="00E90347" w:rsidRDefault="008B3E5B" w:rsidP="095637AE">
            <w:pPr>
              <w:tabs>
                <w:tab w:val="decimal" w:pos="742"/>
              </w:tabs>
              <w:jc w:val="right"/>
              <w:rPr>
                <w:rFonts w:cs="Arial"/>
              </w:rPr>
            </w:pPr>
            <w:r w:rsidRPr="00E90347">
              <w:rPr>
                <w:rFonts w:cs="Arial"/>
              </w:rPr>
              <w:t>-</w:t>
            </w:r>
          </w:p>
        </w:tc>
        <w:tc>
          <w:tcPr>
            <w:tcW w:w="491" w:type="pct"/>
            <w:vAlign w:val="center"/>
          </w:tcPr>
          <w:p w14:paraId="359A3979" w14:textId="7EA11F3F" w:rsidR="003F1F39" w:rsidRPr="00E90347" w:rsidRDefault="008B3E5B" w:rsidP="095637AE">
            <w:pPr>
              <w:tabs>
                <w:tab w:val="decimal" w:pos="742"/>
              </w:tabs>
              <w:jc w:val="right"/>
              <w:rPr>
                <w:rFonts w:cs="Arial"/>
              </w:rPr>
            </w:pPr>
            <w:r w:rsidRPr="00E90347">
              <w:rPr>
                <w:rFonts w:cs="Arial"/>
              </w:rPr>
              <w:t>2,231</w:t>
            </w:r>
          </w:p>
        </w:tc>
        <w:tc>
          <w:tcPr>
            <w:tcW w:w="475" w:type="pct"/>
            <w:vAlign w:val="center"/>
          </w:tcPr>
          <w:p w14:paraId="789BAD1F" w14:textId="60BEEDA9" w:rsidR="003F1F39" w:rsidRPr="00E90347" w:rsidRDefault="003F1F39" w:rsidP="095637AE">
            <w:pPr>
              <w:tabs>
                <w:tab w:val="decimal" w:pos="884"/>
              </w:tabs>
              <w:jc w:val="right"/>
              <w:rPr>
                <w:rFonts w:cs="Arial"/>
              </w:rPr>
            </w:pPr>
            <w:r w:rsidRPr="00E90347">
              <w:rPr>
                <w:rFonts w:cs="Arial"/>
              </w:rPr>
              <w:t>2,081</w:t>
            </w:r>
          </w:p>
        </w:tc>
        <w:tc>
          <w:tcPr>
            <w:tcW w:w="491" w:type="pct"/>
            <w:vAlign w:val="center"/>
          </w:tcPr>
          <w:p w14:paraId="074D7A1F" w14:textId="626347DF" w:rsidR="003F1F39" w:rsidRPr="00E90347" w:rsidRDefault="003F1F39" w:rsidP="095637AE">
            <w:pPr>
              <w:tabs>
                <w:tab w:val="decimal" w:pos="742"/>
              </w:tabs>
              <w:jc w:val="right"/>
              <w:rPr>
                <w:rFonts w:cs="Arial"/>
              </w:rPr>
            </w:pPr>
            <w:r w:rsidRPr="00E90347">
              <w:rPr>
                <w:rFonts w:cs="Arial"/>
              </w:rPr>
              <w:t>-</w:t>
            </w:r>
          </w:p>
        </w:tc>
        <w:tc>
          <w:tcPr>
            <w:tcW w:w="491" w:type="pct"/>
            <w:vAlign w:val="center"/>
          </w:tcPr>
          <w:p w14:paraId="4252B47A" w14:textId="5DB9CCA2" w:rsidR="003F1F39" w:rsidRPr="00E90347" w:rsidRDefault="003F1F39" w:rsidP="095637AE">
            <w:pPr>
              <w:tabs>
                <w:tab w:val="decimal" w:pos="742"/>
              </w:tabs>
              <w:jc w:val="right"/>
              <w:rPr>
                <w:rFonts w:cs="Arial"/>
              </w:rPr>
            </w:pPr>
            <w:r w:rsidRPr="00E90347">
              <w:rPr>
                <w:rFonts w:cs="Arial"/>
              </w:rPr>
              <w:t>2,081</w:t>
            </w:r>
          </w:p>
        </w:tc>
      </w:tr>
      <w:tr w:rsidR="003F1F39" w:rsidRPr="00D948C1" w14:paraId="47C41EE4" w14:textId="77777777" w:rsidTr="6498351E">
        <w:tc>
          <w:tcPr>
            <w:tcW w:w="1807" w:type="pct"/>
          </w:tcPr>
          <w:p w14:paraId="79B5F3B9" w14:textId="77777777" w:rsidR="003F1F39" w:rsidRPr="00E90347" w:rsidRDefault="003F1F39" w:rsidP="095637AE">
            <w:pPr>
              <w:rPr>
                <w:rFonts w:cs="Arial"/>
              </w:rPr>
            </w:pPr>
            <w:r w:rsidRPr="00E90347">
              <w:rPr>
                <w:rFonts w:cs="Arial"/>
              </w:rPr>
              <w:t>Corporate Services</w:t>
            </w:r>
          </w:p>
        </w:tc>
        <w:tc>
          <w:tcPr>
            <w:tcW w:w="345" w:type="pct"/>
            <w:vAlign w:val="center"/>
          </w:tcPr>
          <w:p w14:paraId="1A523C27" w14:textId="2B744F4E" w:rsidR="003F1F39" w:rsidRPr="00E90347" w:rsidRDefault="003F1F39" w:rsidP="095637AE">
            <w:pPr>
              <w:jc w:val="center"/>
              <w:rPr>
                <w:rStyle w:val="Hyperlink"/>
              </w:rPr>
            </w:pPr>
            <w:hyperlink w:anchor="Notes">
              <w:r w:rsidRPr="00E90347">
                <w:rPr>
                  <w:rStyle w:val="Hyperlink"/>
                </w:rPr>
                <w:t>1</w:t>
              </w:r>
            </w:hyperlink>
          </w:p>
        </w:tc>
        <w:tc>
          <w:tcPr>
            <w:tcW w:w="491" w:type="pct"/>
            <w:vAlign w:val="center"/>
          </w:tcPr>
          <w:p w14:paraId="5453FBD6" w14:textId="48E55DE4" w:rsidR="003F1F39" w:rsidRPr="00E90347" w:rsidRDefault="008B3E5B" w:rsidP="095637AE">
            <w:pPr>
              <w:tabs>
                <w:tab w:val="decimal" w:pos="884"/>
              </w:tabs>
              <w:jc w:val="right"/>
              <w:rPr>
                <w:rFonts w:cs="Arial"/>
              </w:rPr>
            </w:pPr>
            <w:r w:rsidRPr="00E90347">
              <w:rPr>
                <w:rFonts w:cs="Arial"/>
              </w:rPr>
              <w:t>5,616</w:t>
            </w:r>
          </w:p>
        </w:tc>
        <w:tc>
          <w:tcPr>
            <w:tcW w:w="409" w:type="pct"/>
            <w:vAlign w:val="center"/>
          </w:tcPr>
          <w:p w14:paraId="34F135DB" w14:textId="08D71693" w:rsidR="003F1F39" w:rsidRPr="00E90347" w:rsidRDefault="008B3E5B" w:rsidP="095637AE">
            <w:pPr>
              <w:tabs>
                <w:tab w:val="decimal" w:pos="742"/>
              </w:tabs>
              <w:jc w:val="right"/>
              <w:rPr>
                <w:rFonts w:cs="Arial"/>
              </w:rPr>
            </w:pPr>
            <w:r w:rsidRPr="00E90347">
              <w:rPr>
                <w:rFonts w:cs="Arial"/>
              </w:rPr>
              <w:t>(6)</w:t>
            </w:r>
          </w:p>
        </w:tc>
        <w:tc>
          <w:tcPr>
            <w:tcW w:w="491" w:type="pct"/>
            <w:vAlign w:val="center"/>
          </w:tcPr>
          <w:p w14:paraId="24ABE8BA" w14:textId="4D369320" w:rsidR="003F1F39" w:rsidRPr="00E90347" w:rsidRDefault="008B3E5B" w:rsidP="095637AE">
            <w:pPr>
              <w:tabs>
                <w:tab w:val="decimal" w:pos="742"/>
              </w:tabs>
              <w:jc w:val="right"/>
              <w:rPr>
                <w:rFonts w:cs="Arial"/>
              </w:rPr>
            </w:pPr>
            <w:r w:rsidRPr="00E90347">
              <w:rPr>
                <w:rFonts w:cs="Arial"/>
              </w:rPr>
              <w:t>5,610</w:t>
            </w:r>
          </w:p>
        </w:tc>
        <w:tc>
          <w:tcPr>
            <w:tcW w:w="475" w:type="pct"/>
            <w:vAlign w:val="center"/>
          </w:tcPr>
          <w:p w14:paraId="720BFD10" w14:textId="729EAFED" w:rsidR="003F1F39" w:rsidRPr="00E90347" w:rsidRDefault="003F1F39" w:rsidP="095637AE">
            <w:pPr>
              <w:tabs>
                <w:tab w:val="decimal" w:pos="884"/>
              </w:tabs>
              <w:jc w:val="right"/>
              <w:rPr>
                <w:rFonts w:cs="Arial"/>
              </w:rPr>
            </w:pPr>
            <w:r w:rsidRPr="00E90347">
              <w:rPr>
                <w:rFonts w:cs="Arial"/>
              </w:rPr>
              <w:t>6,253</w:t>
            </w:r>
          </w:p>
        </w:tc>
        <w:tc>
          <w:tcPr>
            <w:tcW w:w="491" w:type="pct"/>
            <w:vAlign w:val="center"/>
          </w:tcPr>
          <w:p w14:paraId="50F83251" w14:textId="624C427C" w:rsidR="003F1F39" w:rsidRPr="00E90347" w:rsidRDefault="003F1F39" w:rsidP="095637AE">
            <w:pPr>
              <w:tabs>
                <w:tab w:val="decimal" w:pos="742"/>
              </w:tabs>
              <w:jc w:val="right"/>
              <w:rPr>
                <w:rFonts w:cs="Arial"/>
              </w:rPr>
            </w:pPr>
            <w:r w:rsidRPr="00E90347">
              <w:rPr>
                <w:rFonts w:cs="Arial"/>
              </w:rPr>
              <w:t>(66)</w:t>
            </w:r>
          </w:p>
        </w:tc>
        <w:tc>
          <w:tcPr>
            <w:tcW w:w="491" w:type="pct"/>
            <w:vAlign w:val="center"/>
          </w:tcPr>
          <w:p w14:paraId="5CAF2FA8" w14:textId="5ADAA35D" w:rsidR="003F1F39" w:rsidRPr="00E90347" w:rsidRDefault="003F1F39" w:rsidP="095637AE">
            <w:pPr>
              <w:tabs>
                <w:tab w:val="decimal" w:pos="742"/>
              </w:tabs>
              <w:jc w:val="right"/>
              <w:rPr>
                <w:rFonts w:cs="Arial"/>
              </w:rPr>
            </w:pPr>
            <w:r w:rsidRPr="00E90347">
              <w:rPr>
                <w:rFonts w:cs="Arial"/>
              </w:rPr>
              <w:t>6,187</w:t>
            </w:r>
          </w:p>
        </w:tc>
      </w:tr>
      <w:tr w:rsidR="003F1F39" w:rsidRPr="00D948C1" w14:paraId="72DC2F9D" w14:textId="77777777" w:rsidTr="6498351E">
        <w:tc>
          <w:tcPr>
            <w:tcW w:w="1807" w:type="pct"/>
          </w:tcPr>
          <w:p w14:paraId="7AB536A3" w14:textId="77777777" w:rsidR="003F1F39" w:rsidRPr="00E90347" w:rsidRDefault="003F1F39" w:rsidP="095637AE">
            <w:pPr>
              <w:rPr>
                <w:rFonts w:cs="Arial"/>
              </w:rPr>
            </w:pPr>
            <w:r w:rsidRPr="00E90347">
              <w:rPr>
                <w:rFonts w:cs="Arial"/>
              </w:rPr>
              <w:t>Fire-fighters Pensions</w:t>
            </w:r>
          </w:p>
        </w:tc>
        <w:tc>
          <w:tcPr>
            <w:tcW w:w="345" w:type="pct"/>
            <w:vAlign w:val="center"/>
          </w:tcPr>
          <w:p w14:paraId="599181E2" w14:textId="28133A54" w:rsidR="003F1F39" w:rsidRPr="00E90347" w:rsidRDefault="003F1F39" w:rsidP="095637AE">
            <w:pPr>
              <w:jc w:val="center"/>
              <w:rPr>
                <w:rStyle w:val="Hyperlink"/>
              </w:rPr>
            </w:pPr>
            <w:hyperlink w:anchor="Notes">
              <w:r w:rsidRPr="00E90347">
                <w:rPr>
                  <w:rStyle w:val="Hyperlink"/>
                </w:rPr>
                <w:t>1</w:t>
              </w:r>
            </w:hyperlink>
          </w:p>
        </w:tc>
        <w:tc>
          <w:tcPr>
            <w:tcW w:w="491" w:type="pct"/>
            <w:vAlign w:val="center"/>
          </w:tcPr>
          <w:p w14:paraId="14FDF28B" w14:textId="63B8C64F" w:rsidR="003F1F39" w:rsidRPr="00E90347" w:rsidRDefault="008B3E5B" w:rsidP="095637AE">
            <w:pPr>
              <w:tabs>
                <w:tab w:val="decimal" w:pos="884"/>
              </w:tabs>
              <w:jc w:val="right"/>
              <w:rPr>
                <w:rFonts w:cs="Arial"/>
              </w:rPr>
            </w:pPr>
            <w:r w:rsidRPr="00E90347">
              <w:rPr>
                <w:rFonts w:cs="Arial"/>
              </w:rPr>
              <w:t>1,412</w:t>
            </w:r>
          </w:p>
        </w:tc>
        <w:tc>
          <w:tcPr>
            <w:tcW w:w="409" w:type="pct"/>
            <w:vAlign w:val="center"/>
          </w:tcPr>
          <w:p w14:paraId="6D4E848D" w14:textId="1B639794" w:rsidR="003F1F39" w:rsidRPr="00E90347" w:rsidRDefault="008B3E5B" w:rsidP="095637AE">
            <w:pPr>
              <w:tabs>
                <w:tab w:val="decimal" w:pos="742"/>
              </w:tabs>
              <w:jc w:val="right"/>
              <w:rPr>
                <w:rFonts w:cs="Arial"/>
              </w:rPr>
            </w:pPr>
            <w:r w:rsidRPr="00E90347">
              <w:rPr>
                <w:rFonts w:cs="Arial"/>
              </w:rPr>
              <w:t>-</w:t>
            </w:r>
          </w:p>
        </w:tc>
        <w:tc>
          <w:tcPr>
            <w:tcW w:w="491" w:type="pct"/>
            <w:vAlign w:val="center"/>
          </w:tcPr>
          <w:p w14:paraId="78400F0E" w14:textId="75F8FED9" w:rsidR="003F1F39" w:rsidRPr="00E90347" w:rsidRDefault="008B3E5B" w:rsidP="095637AE">
            <w:pPr>
              <w:tabs>
                <w:tab w:val="decimal" w:pos="742"/>
              </w:tabs>
              <w:jc w:val="right"/>
              <w:rPr>
                <w:rFonts w:cs="Arial"/>
              </w:rPr>
            </w:pPr>
            <w:r w:rsidRPr="00E90347">
              <w:rPr>
                <w:rFonts w:cs="Arial"/>
              </w:rPr>
              <w:t>1,412</w:t>
            </w:r>
          </w:p>
        </w:tc>
        <w:tc>
          <w:tcPr>
            <w:tcW w:w="475" w:type="pct"/>
            <w:vAlign w:val="center"/>
          </w:tcPr>
          <w:p w14:paraId="4C8E7369" w14:textId="4F097A01" w:rsidR="003F1F39" w:rsidRPr="00E90347" w:rsidRDefault="003F1F39" w:rsidP="095637AE">
            <w:pPr>
              <w:tabs>
                <w:tab w:val="decimal" w:pos="884"/>
              </w:tabs>
              <w:jc w:val="right"/>
              <w:rPr>
                <w:rFonts w:cs="Arial"/>
              </w:rPr>
            </w:pPr>
            <w:r w:rsidRPr="00E90347">
              <w:rPr>
                <w:rFonts w:cs="Arial"/>
              </w:rPr>
              <w:t>1,271</w:t>
            </w:r>
          </w:p>
        </w:tc>
        <w:tc>
          <w:tcPr>
            <w:tcW w:w="491" w:type="pct"/>
            <w:vAlign w:val="center"/>
          </w:tcPr>
          <w:p w14:paraId="0FEE6F92" w14:textId="73F0DCCA" w:rsidR="003F1F39" w:rsidRPr="00E90347" w:rsidRDefault="003F1F39" w:rsidP="095637AE">
            <w:pPr>
              <w:tabs>
                <w:tab w:val="decimal" w:pos="742"/>
              </w:tabs>
              <w:jc w:val="right"/>
              <w:rPr>
                <w:rFonts w:cs="Arial"/>
              </w:rPr>
            </w:pPr>
            <w:r w:rsidRPr="00E90347">
              <w:rPr>
                <w:rFonts w:cs="Arial"/>
              </w:rPr>
              <w:t>-</w:t>
            </w:r>
          </w:p>
        </w:tc>
        <w:tc>
          <w:tcPr>
            <w:tcW w:w="491" w:type="pct"/>
            <w:vAlign w:val="center"/>
          </w:tcPr>
          <w:p w14:paraId="493AE125" w14:textId="608EA81C" w:rsidR="003F1F39" w:rsidRPr="00E90347" w:rsidRDefault="003F1F39" w:rsidP="095637AE">
            <w:pPr>
              <w:tabs>
                <w:tab w:val="decimal" w:pos="742"/>
              </w:tabs>
              <w:jc w:val="right"/>
              <w:rPr>
                <w:rFonts w:cs="Arial"/>
              </w:rPr>
            </w:pPr>
            <w:r w:rsidRPr="00E90347">
              <w:rPr>
                <w:rFonts w:cs="Arial"/>
              </w:rPr>
              <w:t>1,271</w:t>
            </w:r>
          </w:p>
        </w:tc>
      </w:tr>
      <w:tr w:rsidR="003F1F39" w:rsidRPr="00D948C1" w14:paraId="2482ECE7" w14:textId="77777777" w:rsidTr="6498351E">
        <w:tc>
          <w:tcPr>
            <w:tcW w:w="1807" w:type="pct"/>
          </w:tcPr>
          <w:p w14:paraId="32A83FF2" w14:textId="77777777" w:rsidR="003F1F39" w:rsidRPr="00E90347" w:rsidRDefault="003F1F39" w:rsidP="095637AE">
            <w:pPr>
              <w:rPr>
                <w:rFonts w:cs="Arial"/>
              </w:rPr>
            </w:pPr>
            <w:r w:rsidRPr="00E90347">
              <w:rPr>
                <w:rFonts w:cs="Arial"/>
              </w:rPr>
              <w:t>Overheads</w:t>
            </w:r>
          </w:p>
        </w:tc>
        <w:tc>
          <w:tcPr>
            <w:tcW w:w="345" w:type="pct"/>
            <w:vAlign w:val="center"/>
          </w:tcPr>
          <w:p w14:paraId="6B91D368" w14:textId="04B17DF0" w:rsidR="003F1F39" w:rsidRPr="00E90347" w:rsidRDefault="003F1F39" w:rsidP="095637AE">
            <w:pPr>
              <w:jc w:val="center"/>
              <w:rPr>
                <w:rStyle w:val="Hyperlink"/>
              </w:rPr>
            </w:pPr>
            <w:hyperlink w:anchor="Notes">
              <w:r w:rsidRPr="00E90347">
                <w:rPr>
                  <w:rStyle w:val="Hyperlink"/>
                </w:rPr>
                <w:t>1</w:t>
              </w:r>
            </w:hyperlink>
          </w:p>
        </w:tc>
        <w:tc>
          <w:tcPr>
            <w:tcW w:w="491" w:type="pct"/>
            <w:vAlign w:val="center"/>
          </w:tcPr>
          <w:p w14:paraId="7BA9EB18" w14:textId="44FCF75B" w:rsidR="003F1F39" w:rsidRPr="00E90347" w:rsidRDefault="008B3E5B" w:rsidP="095637AE">
            <w:pPr>
              <w:tabs>
                <w:tab w:val="decimal" w:pos="884"/>
              </w:tabs>
              <w:jc w:val="right"/>
              <w:rPr>
                <w:rFonts w:cs="Arial"/>
              </w:rPr>
            </w:pPr>
            <w:r w:rsidRPr="00E90347">
              <w:rPr>
                <w:rFonts w:cs="Arial"/>
              </w:rPr>
              <w:t>10,875</w:t>
            </w:r>
          </w:p>
        </w:tc>
        <w:tc>
          <w:tcPr>
            <w:tcW w:w="409" w:type="pct"/>
            <w:vAlign w:val="center"/>
          </w:tcPr>
          <w:p w14:paraId="40AD0329" w14:textId="41D82590" w:rsidR="003F1F39" w:rsidRPr="00E90347" w:rsidRDefault="008B3E5B" w:rsidP="095637AE">
            <w:pPr>
              <w:tabs>
                <w:tab w:val="decimal" w:pos="742"/>
              </w:tabs>
              <w:jc w:val="right"/>
              <w:rPr>
                <w:rFonts w:cs="Arial"/>
              </w:rPr>
            </w:pPr>
            <w:r w:rsidRPr="00E90347">
              <w:rPr>
                <w:rFonts w:cs="Arial"/>
              </w:rPr>
              <w:t>(4,903)</w:t>
            </w:r>
          </w:p>
        </w:tc>
        <w:tc>
          <w:tcPr>
            <w:tcW w:w="491" w:type="pct"/>
            <w:vAlign w:val="center"/>
          </w:tcPr>
          <w:p w14:paraId="485F1715" w14:textId="0FDFE687" w:rsidR="003F1F39" w:rsidRPr="00E90347" w:rsidRDefault="008B3E5B" w:rsidP="095637AE">
            <w:pPr>
              <w:tabs>
                <w:tab w:val="decimal" w:pos="742"/>
              </w:tabs>
              <w:jc w:val="right"/>
              <w:rPr>
                <w:rFonts w:cs="Arial"/>
              </w:rPr>
            </w:pPr>
            <w:r w:rsidRPr="00E90347">
              <w:rPr>
                <w:rFonts w:cs="Arial"/>
              </w:rPr>
              <w:t>5,971</w:t>
            </w:r>
          </w:p>
        </w:tc>
        <w:tc>
          <w:tcPr>
            <w:tcW w:w="475" w:type="pct"/>
            <w:vAlign w:val="center"/>
          </w:tcPr>
          <w:p w14:paraId="03055CA5" w14:textId="71F989CB" w:rsidR="003F1F39" w:rsidRPr="00E90347" w:rsidRDefault="003F1F39" w:rsidP="095637AE">
            <w:pPr>
              <w:tabs>
                <w:tab w:val="decimal" w:pos="884"/>
              </w:tabs>
              <w:jc w:val="right"/>
              <w:rPr>
                <w:rFonts w:cs="Arial"/>
              </w:rPr>
            </w:pPr>
            <w:r w:rsidRPr="00E90347">
              <w:rPr>
                <w:rFonts w:cs="Arial"/>
              </w:rPr>
              <w:t>8,814</w:t>
            </w:r>
          </w:p>
        </w:tc>
        <w:tc>
          <w:tcPr>
            <w:tcW w:w="491" w:type="pct"/>
            <w:vAlign w:val="center"/>
          </w:tcPr>
          <w:p w14:paraId="7FBFDB83" w14:textId="590A761C" w:rsidR="003F1F39" w:rsidRPr="00E90347" w:rsidRDefault="003F1F39" w:rsidP="095637AE">
            <w:pPr>
              <w:tabs>
                <w:tab w:val="decimal" w:pos="742"/>
              </w:tabs>
              <w:jc w:val="right"/>
              <w:rPr>
                <w:rFonts w:cs="Arial"/>
              </w:rPr>
            </w:pPr>
            <w:r w:rsidRPr="00E90347">
              <w:rPr>
                <w:rFonts w:cs="Arial"/>
              </w:rPr>
              <w:t>(5,366)</w:t>
            </w:r>
          </w:p>
        </w:tc>
        <w:tc>
          <w:tcPr>
            <w:tcW w:w="491" w:type="pct"/>
            <w:vAlign w:val="center"/>
          </w:tcPr>
          <w:p w14:paraId="7E552BEC" w14:textId="2783026C" w:rsidR="003F1F39" w:rsidRPr="00E90347" w:rsidRDefault="003F1F39" w:rsidP="095637AE">
            <w:pPr>
              <w:tabs>
                <w:tab w:val="decimal" w:pos="742"/>
              </w:tabs>
              <w:jc w:val="right"/>
              <w:rPr>
                <w:rFonts w:cs="Arial"/>
              </w:rPr>
            </w:pPr>
            <w:r w:rsidRPr="00E90347">
              <w:rPr>
                <w:rFonts w:cs="Arial"/>
              </w:rPr>
              <w:t>3,448</w:t>
            </w:r>
          </w:p>
        </w:tc>
      </w:tr>
      <w:tr w:rsidR="003F1F39" w:rsidRPr="00D948C1" w14:paraId="319890E8" w14:textId="77777777" w:rsidTr="6498351E">
        <w:tc>
          <w:tcPr>
            <w:tcW w:w="1807" w:type="pct"/>
          </w:tcPr>
          <w:p w14:paraId="6DA0B094" w14:textId="77777777" w:rsidR="003F1F39" w:rsidRPr="00E90347" w:rsidRDefault="003F1F39" w:rsidP="095637AE">
            <w:pPr>
              <w:rPr>
                <w:rFonts w:cs="Arial"/>
                <w:b/>
              </w:rPr>
            </w:pPr>
            <w:r w:rsidRPr="00E90347">
              <w:rPr>
                <w:rFonts w:cs="Arial"/>
                <w:b/>
              </w:rPr>
              <w:t>Net Cost of Services</w:t>
            </w:r>
          </w:p>
        </w:tc>
        <w:tc>
          <w:tcPr>
            <w:tcW w:w="345" w:type="pct"/>
            <w:vAlign w:val="center"/>
          </w:tcPr>
          <w:p w14:paraId="3B747E43" w14:textId="2839165D" w:rsidR="003F1F39" w:rsidRPr="00E90347" w:rsidRDefault="003F1F39" w:rsidP="095637AE">
            <w:pPr>
              <w:jc w:val="center"/>
              <w:rPr>
                <w:rStyle w:val="Hyperlink"/>
              </w:rPr>
            </w:pPr>
            <w:hyperlink w:anchor="Notes">
              <w:r w:rsidRPr="00E90347">
                <w:rPr>
                  <w:rStyle w:val="Hyperlink"/>
                </w:rPr>
                <w:t>1</w:t>
              </w:r>
            </w:hyperlink>
          </w:p>
        </w:tc>
        <w:tc>
          <w:tcPr>
            <w:tcW w:w="491" w:type="pct"/>
            <w:vAlign w:val="center"/>
          </w:tcPr>
          <w:p w14:paraId="48A30AC9" w14:textId="22F0637F" w:rsidR="003F1F39" w:rsidRPr="00E90347" w:rsidRDefault="005F5776" w:rsidP="095637AE">
            <w:pPr>
              <w:tabs>
                <w:tab w:val="decimal" w:pos="884"/>
              </w:tabs>
              <w:jc w:val="right"/>
              <w:rPr>
                <w:rFonts w:cs="Arial"/>
                <w:b/>
              </w:rPr>
            </w:pPr>
            <w:r w:rsidRPr="00E90347">
              <w:rPr>
                <w:rFonts w:cs="Arial"/>
                <w:b/>
              </w:rPr>
              <w:t>58,816</w:t>
            </w:r>
          </w:p>
        </w:tc>
        <w:tc>
          <w:tcPr>
            <w:tcW w:w="409" w:type="pct"/>
            <w:vAlign w:val="center"/>
          </w:tcPr>
          <w:p w14:paraId="31E1A5F3" w14:textId="04FC525C" w:rsidR="003F1F39" w:rsidRPr="00E90347" w:rsidRDefault="005F5776" w:rsidP="095637AE">
            <w:pPr>
              <w:tabs>
                <w:tab w:val="decimal" w:pos="742"/>
              </w:tabs>
              <w:jc w:val="right"/>
              <w:rPr>
                <w:rFonts w:cs="Arial"/>
                <w:b/>
              </w:rPr>
            </w:pPr>
            <w:r w:rsidRPr="00E90347">
              <w:rPr>
                <w:rFonts w:cs="Arial"/>
                <w:b/>
              </w:rPr>
              <w:t>(7,960)</w:t>
            </w:r>
          </w:p>
        </w:tc>
        <w:tc>
          <w:tcPr>
            <w:tcW w:w="491" w:type="pct"/>
            <w:vAlign w:val="center"/>
          </w:tcPr>
          <w:p w14:paraId="38A82874" w14:textId="5D7FE5BA" w:rsidR="003F1F39" w:rsidRPr="00E90347" w:rsidRDefault="005F5776" w:rsidP="095637AE">
            <w:pPr>
              <w:tabs>
                <w:tab w:val="decimal" w:pos="742"/>
              </w:tabs>
              <w:jc w:val="right"/>
              <w:rPr>
                <w:rFonts w:cs="Arial"/>
                <w:b/>
              </w:rPr>
            </w:pPr>
            <w:r w:rsidRPr="00E90347">
              <w:rPr>
                <w:rFonts w:cs="Arial"/>
                <w:b/>
              </w:rPr>
              <w:t>50,856</w:t>
            </w:r>
          </w:p>
        </w:tc>
        <w:tc>
          <w:tcPr>
            <w:tcW w:w="475" w:type="pct"/>
            <w:vAlign w:val="center"/>
          </w:tcPr>
          <w:p w14:paraId="2624C76E" w14:textId="7F263A22" w:rsidR="003F1F39" w:rsidRPr="00E90347" w:rsidRDefault="003F1F39" w:rsidP="095637AE">
            <w:pPr>
              <w:tabs>
                <w:tab w:val="decimal" w:pos="884"/>
              </w:tabs>
              <w:jc w:val="right"/>
              <w:rPr>
                <w:rFonts w:cs="Arial"/>
                <w:b/>
              </w:rPr>
            </w:pPr>
            <w:r w:rsidRPr="00E90347">
              <w:rPr>
                <w:rFonts w:cs="Arial"/>
                <w:b/>
              </w:rPr>
              <w:t>54,395</w:t>
            </w:r>
          </w:p>
        </w:tc>
        <w:tc>
          <w:tcPr>
            <w:tcW w:w="491" w:type="pct"/>
            <w:vAlign w:val="center"/>
          </w:tcPr>
          <w:p w14:paraId="6C037FE7" w14:textId="755F2CA4" w:rsidR="003F1F39" w:rsidRPr="00E90347" w:rsidRDefault="003F1F39" w:rsidP="095637AE">
            <w:pPr>
              <w:tabs>
                <w:tab w:val="decimal" w:pos="742"/>
              </w:tabs>
              <w:jc w:val="right"/>
              <w:rPr>
                <w:rFonts w:cs="Arial"/>
                <w:b/>
              </w:rPr>
            </w:pPr>
            <w:r w:rsidRPr="00E90347">
              <w:rPr>
                <w:rFonts w:cs="Arial"/>
                <w:b/>
              </w:rPr>
              <w:t>(8,349)</w:t>
            </w:r>
          </w:p>
        </w:tc>
        <w:tc>
          <w:tcPr>
            <w:tcW w:w="491" w:type="pct"/>
            <w:vAlign w:val="center"/>
          </w:tcPr>
          <w:p w14:paraId="5D4EC2EB" w14:textId="49FE473B" w:rsidR="003F1F39" w:rsidRPr="00E90347" w:rsidRDefault="003F1F39" w:rsidP="095637AE">
            <w:pPr>
              <w:tabs>
                <w:tab w:val="decimal" w:pos="742"/>
              </w:tabs>
              <w:jc w:val="right"/>
              <w:rPr>
                <w:rFonts w:cs="Arial"/>
                <w:b/>
              </w:rPr>
            </w:pPr>
            <w:r w:rsidRPr="00E90347">
              <w:rPr>
                <w:rFonts w:cs="Arial"/>
                <w:b/>
              </w:rPr>
              <w:t>46,046</w:t>
            </w:r>
          </w:p>
        </w:tc>
      </w:tr>
      <w:tr w:rsidR="003F1F39" w:rsidRPr="00D948C1" w14:paraId="48350EAA" w14:textId="77777777" w:rsidTr="0078602B">
        <w:trPr>
          <w:trHeight w:val="272"/>
        </w:trPr>
        <w:tc>
          <w:tcPr>
            <w:tcW w:w="1807" w:type="pct"/>
            <w:tcBorders>
              <w:top w:val="single" w:sz="4" w:space="0" w:color="auto"/>
              <w:left w:val="single" w:sz="4" w:space="0" w:color="auto"/>
              <w:bottom w:val="single" w:sz="4" w:space="0" w:color="auto"/>
              <w:right w:val="single" w:sz="4" w:space="0" w:color="auto"/>
            </w:tcBorders>
          </w:tcPr>
          <w:p w14:paraId="55817802" w14:textId="70229A8D" w:rsidR="003F1F39" w:rsidRPr="00E90347" w:rsidRDefault="003F1F39" w:rsidP="095637AE">
            <w:pPr>
              <w:rPr>
                <w:rFonts w:cs="Arial"/>
              </w:rPr>
            </w:pPr>
            <w:r w:rsidRPr="00E90347">
              <w:rPr>
                <w:rFonts w:cs="Arial"/>
              </w:rPr>
              <w:t>(Gain)/Loss on disposal of non-current assets</w:t>
            </w:r>
          </w:p>
        </w:tc>
        <w:tc>
          <w:tcPr>
            <w:tcW w:w="345" w:type="pct"/>
            <w:tcBorders>
              <w:top w:val="single" w:sz="4" w:space="0" w:color="auto"/>
              <w:left w:val="single" w:sz="4" w:space="0" w:color="auto"/>
              <w:bottom w:val="single" w:sz="4" w:space="0" w:color="auto"/>
              <w:right w:val="single" w:sz="4" w:space="0" w:color="auto"/>
            </w:tcBorders>
            <w:vAlign w:val="center"/>
          </w:tcPr>
          <w:p w14:paraId="0B0F88FF" w14:textId="77777777" w:rsidR="003F1F39" w:rsidRPr="00D948C1" w:rsidRDefault="003F1F39" w:rsidP="095637AE">
            <w:pPr>
              <w:jc w:val="center"/>
              <w:rPr>
                <w:rStyle w:val="Hyperlink"/>
                <w:highlight w:val="red"/>
              </w:rPr>
            </w:pPr>
          </w:p>
        </w:tc>
        <w:tc>
          <w:tcPr>
            <w:tcW w:w="491" w:type="pct"/>
            <w:tcBorders>
              <w:top w:val="single" w:sz="4" w:space="0" w:color="auto"/>
              <w:left w:val="single" w:sz="4" w:space="0" w:color="auto"/>
              <w:bottom w:val="single" w:sz="4" w:space="0" w:color="auto"/>
              <w:right w:val="single" w:sz="4" w:space="0" w:color="auto"/>
            </w:tcBorders>
            <w:vAlign w:val="center"/>
          </w:tcPr>
          <w:p w14:paraId="62E5CB4D" w14:textId="73226B69" w:rsidR="003F1F39" w:rsidRPr="00E90347" w:rsidRDefault="003F1F39" w:rsidP="095637AE">
            <w:pPr>
              <w:tabs>
                <w:tab w:val="decimal" w:pos="742"/>
                <w:tab w:val="decimal" w:pos="884"/>
              </w:tabs>
              <w:ind w:right="177"/>
              <w:jc w:val="right"/>
              <w:rPr>
                <w:rFonts w:cs="Arial"/>
              </w:rPr>
            </w:pPr>
          </w:p>
        </w:tc>
        <w:tc>
          <w:tcPr>
            <w:tcW w:w="409" w:type="pct"/>
            <w:tcBorders>
              <w:top w:val="single" w:sz="4" w:space="0" w:color="auto"/>
              <w:left w:val="single" w:sz="4" w:space="0" w:color="auto"/>
              <w:bottom w:val="single" w:sz="4" w:space="0" w:color="auto"/>
              <w:right w:val="single" w:sz="4" w:space="0" w:color="auto"/>
            </w:tcBorders>
            <w:vAlign w:val="center"/>
          </w:tcPr>
          <w:p w14:paraId="24B53C5D" w14:textId="07767825" w:rsidR="003F1F39" w:rsidRPr="00E90347" w:rsidRDefault="003F1F39" w:rsidP="095637AE">
            <w:pPr>
              <w:tabs>
                <w:tab w:val="decimal" w:pos="742"/>
                <w:tab w:val="decimal" w:pos="884"/>
              </w:tabs>
              <w:ind w:right="177"/>
              <w:jc w:val="right"/>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14:paraId="57D98B22" w14:textId="67E9A694" w:rsidR="003F1F39" w:rsidRPr="00E90347" w:rsidRDefault="005F5776" w:rsidP="095637AE">
            <w:pPr>
              <w:tabs>
                <w:tab w:val="decimal" w:pos="742"/>
              </w:tabs>
              <w:jc w:val="right"/>
              <w:rPr>
                <w:rFonts w:cs="Arial"/>
              </w:rPr>
            </w:pPr>
            <w:r w:rsidRPr="00E90347">
              <w:rPr>
                <w:rFonts w:cs="Arial"/>
              </w:rPr>
              <w:t>(116)</w:t>
            </w:r>
          </w:p>
        </w:tc>
        <w:tc>
          <w:tcPr>
            <w:tcW w:w="475" w:type="pct"/>
            <w:tcBorders>
              <w:top w:val="single" w:sz="4" w:space="0" w:color="auto"/>
              <w:left w:val="single" w:sz="4" w:space="0" w:color="auto"/>
              <w:bottom w:val="single" w:sz="4" w:space="0" w:color="auto"/>
              <w:right w:val="single" w:sz="4" w:space="0" w:color="auto"/>
            </w:tcBorders>
            <w:vAlign w:val="center"/>
          </w:tcPr>
          <w:p w14:paraId="4FBB7EE7" w14:textId="643DFE30" w:rsidR="003F1F39" w:rsidRPr="00E90347" w:rsidRDefault="003F1F39" w:rsidP="095637AE">
            <w:pPr>
              <w:tabs>
                <w:tab w:val="decimal" w:pos="885"/>
              </w:tabs>
              <w:jc w:val="right"/>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14:paraId="67003ECE" w14:textId="77777777" w:rsidR="003F1F39" w:rsidRPr="00E90347" w:rsidRDefault="003F1F39" w:rsidP="095637AE">
            <w:pPr>
              <w:tabs>
                <w:tab w:val="decimal" w:pos="601"/>
              </w:tabs>
              <w:jc w:val="right"/>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14:paraId="0F764B57" w14:textId="783AE4FC" w:rsidR="003F1F39" w:rsidRPr="00E90347" w:rsidRDefault="003F1F39" w:rsidP="095637AE">
            <w:pPr>
              <w:tabs>
                <w:tab w:val="decimal" w:pos="742"/>
              </w:tabs>
              <w:jc w:val="right"/>
              <w:rPr>
                <w:rFonts w:cs="Arial"/>
              </w:rPr>
            </w:pPr>
            <w:r w:rsidRPr="00E90347">
              <w:rPr>
                <w:rFonts w:cs="Arial"/>
              </w:rPr>
              <w:t>32</w:t>
            </w:r>
          </w:p>
        </w:tc>
      </w:tr>
    </w:tbl>
    <w:p w14:paraId="69675F7E" w14:textId="77777777" w:rsidR="00D46F5F" w:rsidRPr="00D948C1" w:rsidRDefault="00D46F5F" w:rsidP="095637AE">
      <w:pPr>
        <w:rPr>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4"/>
        <w:gridCol w:w="960"/>
        <w:gridCol w:w="1561"/>
        <w:gridCol w:w="1277"/>
        <w:gridCol w:w="1414"/>
        <w:gridCol w:w="1418"/>
        <w:gridCol w:w="1555"/>
        <w:gridCol w:w="1503"/>
      </w:tblGrid>
      <w:tr w:rsidR="00793A3A" w:rsidRPr="00D948C1" w14:paraId="3D29740C" w14:textId="77777777" w:rsidTr="095637AE">
        <w:tc>
          <w:tcPr>
            <w:tcW w:w="5000" w:type="pct"/>
            <w:gridSpan w:val="8"/>
            <w:shd w:val="clear" w:color="auto" w:fill="D9D9D9" w:themeFill="background1" w:themeFillShade="D9"/>
          </w:tcPr>
          <w:p w14:paraId="5459216A" w14:textId="6C95A2E6" w:rsidR="00793A3A" w:rsidRPr="00E90347" w:rsidRDefault="7352143F" w:rsidP="095637AE">
            <w:pPr>
              <w:rPr>
                <w:rFonts w:cs="Arial"/>
                <w:b/>
              </w:rPr>
            </w:pPr>
            <w:r w:rsidRPr="00E90347">
              <w:rPr>
                <w:rFonts w:cs="Arial"/>
                <w:b/>
              </w:rPr>
              <w:t>Financing &amp; investment income &amp; expenditure</w:t>
            </w:r>
          </w:p>
        </w:tc>
      </w:tr>
      <w:tr w:rsidR="00543885" w:rsidRPr="00D948C1" w14:paraId="256584C9" w14:textId="77777777" w:rsidTr="00543885">
        <w:trPr>
          <w:trHeight w:val="300"/>
        </w:trPr>
        <w:tc>
          <w:tcPr>
            <w:tcW w:w="1822" w:type="pct"/>
          </w:tcPr>
          <w:p w14:paraId="49FE23E5" w14:textId="77777777" w:rsidR="003F1F39" w:rsidRPr="00E90347" w:rsidRDefault="003F1F39" w:rsidP="095637AE">
            <w:pPr>
              <w:rPr>
                <w:rFonts w:cs="Arial"/>
              </w:rPr>
            </w:pPr>
            <w:r w:rsidRPr="00E90347">
              <w:rPr>
                <w:rFonts w:cs="Arial"/>
              </w:rPr>
              <w:t>Interest payable and similar charges</w:t>
            </w:r>
          </w:p>
        </w:tc>
        <w:tc>
          <w:tcPr>
            <w:tcW w:w="315" w:type="pct"/>
            <w:vAlign w:val="center"/>
          </w:tcPr>
          <w:p w14:paraId="5ADB56AA" w14:textId="0D2BBB21" w:rsidR="003F1F39" w:rsidRPr="00E90347" w:rsidRDefault="003F1F39" w:rsidP="095637AE">
            <w:pPr>
              <w:jc w:val="center"/>
              <w:rPr>
                <w:rStyle w:val="Hyperlink"/>
              </w:rPr>
            </w:pPr>
            <w:hyperlink w:anchor="N8">
              <w:r w:rsidRPr="00E90347">
                <w:rPr>
                  <w:rStyle w:val="Hyperlink"/>
                </w:rPr>
                <w:t>8</w:t>
              </w:r>
            </w:hyperlink>
          </w:p>
        </w:tc>
        <w:tc>
          <w:tcPr>
            <w:tcW w:w="512" w:type="pct"/>
            <w:vAlign w:val="center"/>
          </w:tcPr>
          <w:p w14:paraId="23239D64" w14:textId="4511E718" w:rsidR="003F1F39" w:rsidRPr="00D948C1" w:rsidRDefault="003F1F39" w:rsidP="095637AE">
            <w:pPr>
              <w:tabs>
                <w:tab w:val="decimal" w:pos="884"/>
              </w:tabs>
              <w:jc w:val="right"/>
              <w:rPr>
                <w:rFonts w:cs="Arial"/>
                <w:highlight w:val="red"/>
              </w:rPr>
            </w:pPr>
          </w:p>
        </w:tc>
        <w:tc>
          <w:tcPr>
            <w:tcW w:w="419" w:type="pct"/>
            <w:vAlign w:val="center"/>
          </w:tcPr>
          <w:p w14:paraId="35B3E6D4" w14:textId="1B122BB6" w:rsidR="003F1F39" w:rsidRPr="00D948C1" w:rsidRDefault="003F1F39" w:rsidP="095637AE">
            <w:pPr>
              <w:tabs>
                <w:tab w:val="decimal" w:pos="884"/>
              </w:tabs>
              <w:jc w:val="right"/>
              <w:rPr>
                <w:rFonts w:cs="Arial"/>
                <w:highlight w:val="red"/>
              </w:rPr>
            </w:pPr>
          </w:p>
        </w:tc>
        <w:tc>
          <w:tcPr>
            <w:tcW w:w="464" w:type="pct"/>
            <w:vAlign w:val="center"/>
          </w:tcPr>
          <w:p w14:paraId="51AB164D" w14:textId="1932F649" w:rsidR="003F1F39" w:rsidRPr="00E90347" w:rsidRDefault="00693C59" w:rsidP="095637AE">
            <w:pPr>
              <w:tabs>
                <w:tab w:val="decimal" w:pos="884"/>
              </w:tabs>
              <w:jc w:val="right"/>
              <w:rPr>
                <w:rFonts w:cs="Arial"/>
              </w:rPr>
            </w:pPr>
            <w:r w:rsidRPr="00E90347">
              <w:rPr>
                <w:rFonts w:cs="Arial"/>
              </w:rPr>
              <w:t>1,272</w:t>
            </w:r>
          </w:p>
        </w:tc>
        <w:tc>
          <w:tcPr>
            <w:tcW w:w="465" w:type="pct"/>
            <w:vAlign w:val="center"/>
          </w:tcPr>
          <w:p w14:paraId="2B836629" w14:textId="623099ED" w:rsidR="003F1F39" w:rsidRPr="00D948C1" w:rsidRDefault="003F1F39" w:rsidP="095637AE">
            <w:pPr>
              <w:tabs>
                <w:tab w:val="decimal" w:pos="889"/>
              </w:tabs>
              <w:jc w:val="right"/>
              <w:rPr>
                <w:rFonts w:cs="Arial"/>
                <w:highlight w:val="red"/>
              </w:rPr>
            </w:pPr>
          </w:p>
        </w:tc>
        <w:tc>
          <w:tcPr>
            <w:tcW w:w="510" w:type="pct"/>
            <w:vAlign w:val="center"/>
          </w:tcPr>
          <w:p w14:paraId="6AF2F2BB" w14:textId="0A56A592" w:rsidR="003F1F39" w:rsidRPr="00D948C1" w:rsidRDefault="003F1F39" w:rsidP="095637AE">
            <w:pPr>
              <w:tabs>
                <w:tab w:val="decimal" w:pos="885"/>
              </w:tabs>
              <w:jc w:val="right"/>
              <w:rPr>
                <w:rFonts w:cs="Arial"/>
                <w:highlight w:val="red"/>
              </w:rPr>
            </w:pPr>
          </w:p>
        </w:tc>
        <w:tc>
          <w:tcPr>
            <w:tcW w:w="493" w:type="pct"/>
            <w:vAlign w:val="center"/>
          </w:tcPr>
          <w:p w14:paraId="71E2D07F" w14:textId="79884B51" w:rsidR="003F1F39" w:rsidRPr="00E90347" w:rsidRDefault="003F1F39" w:rsidP="095637AE">
            <w:pPr>
              <w:tabs>
                <w:tab w:val="decimal" w:pos="742"/>
              </w:tabs>
              <w:jc w:val="right"/>
              <w:rPr>
                <w:rFonts w:cs="Arial"/>
              </w:rPr>
            </w:pPr>
            <w:r w:rsidRPr="00E90347">
              <w:rPr>
                <w:rFonts w:cs="Arial"/>
              </w:rPr>
              <w:t xml:space="preserve">1,366 </w:t>
            </w:r>
          </w:p>
        </w:tc>
      </w:tr>
      <w:tr w:rsidR="00543885" w:rsidRPr="00D948C1" w14:paraId="6D5C6652" w14:textId="77777777" w:rsidTr="00543885">
        <w:tc>
          <w:tcPr>
            <w:tcW w:w="1822" w:type="pct"/>
          </w:tcPr>
          <w:p w14:paraId="22362E76" w14:textId="77777777" w:rsidR="003F1F39" w:rsidRPr="00E90347" w:rsidRDefault="003F1F39" w:rsidP="095637AE">
            <w:pPr>
              <w:rPr>
                <w:rFonts w:cs="Arial"/>
              </w:rPr>
            </w:pPr>
            <w:r w:rsidRPr="00E90347">
              <w:rPr>
                <w:rFonts w:cs="Arial"/>
              </w:rPr>
              <w:t>Pensions interest cost and expected return on pensions assets</w:t>
            </w:r>
          </w:p>
        </w:tc>
        <w:tc>
          <w:tcPr>
            <w:tcW w:w="315" w:type="pct"/>
            <w:vAlign w:val="center"/>
          </w:tcPr>
          <w:p w14:paraId="17868737" w14:textId="04AD733D" w:rsidR="003F1F39" w:rsidRPr="00E90347" w:rsidRDefault="008B5A0C" w:rsidP="095637AE">
            <w:pPr>
              <w:jc w:val="center"/>
              <w:rPr>
                <w:rStyle w:val="Hyperlink"/>
              </w:rPr>
            </w:pPr>
            <w:hyperlink w:anchor="_16_Net_Liability">
              <w:r>
                <w:rPr>
                  <w:rStyle w:val="Hyperlink"/>
                </w:rPr>
                <w:t>16</w:t>
              </w:r>
            </w:hyperlink>
          </w:p>
        </w:tc>
        <w:tc>
          <w:tcPr>
            <w:tcW w:w="512" w:type="pct"/>
            <w:vAlign w:val="center"/>
          </w:tcPr>
          <w:p w14:paraId="17720D39" w14:textId="2B989485" w:rsidR="003F1F39" w:rsidRPr="00D948C1" w:rsidRDefault="003F1F39" w:rsidP="095637AE">
            <w:pPr>
              <w:tabs>
                <w:tab w:val="decimal" w:pos="884"/>
              </w:tabs>
              <w:jc w:val="right"/>
              <w:rPr>
                <w:rFonts w:cs="Arial"/>
                <w:highlight w:val="red"/>
              </w:rPr>
            </w:pPr>
          </w:p>
        </w:tc>
        <w:tc>
          <w:tcPr>
            <w:tcW w:w="419" w:type="pct"/>
            <w:vAlign w:val="center"/>
          </w:tcPr>
          <w:p w14:paraId="13A13C29" w14:textId="2859C89E" w:rsidR="003F1F39" w:rsidRPr="00D948C1" w:rsidRDefault="003F1F39" w:rsidP="095637AE">
            <w:pPr>
              <w:tabs>
                <w:tab w:val="decimal" w:pos="884"/>
              </w:tabs>
              <w:jc w:val="right"/>
              <w:rPr>
                <w:rFonts w:cs="Arial"/>
                <w:highlight w:val="red"/>
              </w:rPr>
            </w:pPr>
          </w:p>
        </w:tc>
        <w:tc>
          <w:tcPr>
            <w:tcW w:w="464" w:type="pct"/>
            <w:vAlign w:val="center"/>
          </w:tcPr>
          <w:p w14:paraId="2B8DBBD3" w14:textId="2598D3EC" w:rsidR="003F1F39" w:rsidRPr="00E90347" w:rsidRDefault="00693C59" w:rsidP="095637AE">
            <w:pPr>
              <w:tabs>
                <w:tab w:val="decimal" w:pos="884"/>
              </w:tabs>
              <w:jc w:val="right"/>
              <w:rPr>
                <w:rFonts w:cs="Arial"/>
              </w:rPr>
            </w:pPr>
            <w:r w:rsidRPr="00E90347">
              <w:rPr>
                <w:rFonts w:cs="Arial"/>
              </w:rPr>
              <w:t>29,127</w:t>
            </w:r>
          </w:p>
        </w:tc>
        <w:tc>
          <w:tcPr>
            <w:tcW w:w="465" w:type="pct"/>
            <w:vAlign w:val="center"/>
          </w:tcPr>
          <w:p w14:paraId="776B59B4" w14:textId="7D8DFD20" w:rsidR="003F1F39" w:rsidRPr="00D948C1" w:rsidRDefault="003F1F39" w:rsidP="095637AE">
            <w:pPr>
              <w:tabs>
                <w:tab w:val="decimal" w:pos="889"/>
              </w:tabs>
              <w:jc w:val="right"/>
              <w:rPr>
                <w:rFonts w:cs="Arial"/>
                <w:highlight w:val="red"/>
              </w:rPr>
            </w:pPr>
          </w:p>
        </w:tc>
        <w:tc>
          <w:tcPr>
            <w:tcW w:w="510" w:type="pct"/>
            <w:vAlign w:val="center"/>
          </w:tcPr>
          <w:p w14:paraId="6C5D363D" w14:textId="4B58556A" w:rsidR="003F1F39" w:rsidRPr="00D948C1" w:rsidRDefault="003F1F39" w:rsidP="095637AE">
            <w:pPr>
              <w:tabs>
                <w:tab w:val="decimal" w:pos="885"/>
              </w:tabs>
              <w:jc w:val="right"/>
              <w:rPr>
                <w:rFonts w:cs="Arial"/>
                <w:highlight w:val="red"/>
              </w:rPr>
            </w:pPr>
          </w:p>
        </w:tc>
        <w:tc>
          <w:tcPr>
            <w:tcW w:w="493" w:type="pct"/>
            <w:vAlign w:val="center"/>
          </w:tcPr>
          <w:p w14:paraId="6A26CB91" w14:textId="2C4B29B9" w:rsidR="003F1F39" w:rsidRPr="00E90347" w:rsidRDefault="003F1F39" w:rsidP="095637AE">
            <w:pPr>
              <w:tabs>
                <w:tab w:val="decimal" w:pos="742"/>
              </w:tabs>
              <w:jc w:val="right"/>
              <w:rPr>
                <w:rFonts w:cs="Arial"/>
              </w:rPr>
            </w:pPr>
            <w:r w:rsidRPr="00E90347">
              <w:rPr>
                <w:rFonts w:cs="Arial"/>
              </w:rPr>
              <w:t xml:space="preserve">28,750 </w:t>
            </w:r>
          </w:p>
        </w:tc>
      </w:tr>
      <w:tr w:rsidR="00543885" w:rsidRPr="00D948C1" w14:paraId="7706A461" w14:textId="77777777" w:rsidTr="00543885">
        <w:trPr>
          <w:trHeight w:val="300"/>
        </w:trPr>
        <w:tc>
          <w:tcPr>
            <w:tcW w:w="1822" w:type="pct"/>
          </w:tcPr>
          <w:p w14:paraId="5F806625" w14:textId="77777777" w:rsidR="003F1F39" w:rsidRPr="00E90347" w:rsidRDefault="003F1F39" w:rsidP="095637AE">
            <w:pPr>
              <w:rPr>
                <w:rFonts w:cs="Arial"/>
              </w:rPr>
            </w:pPr>
            <w:r w:rsidRPr="00E90347">
              <w:rPr>
                <w:rFonts w:cs="Arial"/>
              </w:rPr>
              <w:t>Interest receivable and similar Income</w:t>
            </w:r>
          </w:p>
        </w:tc>
        <w:tc>
          <w:tcPr>
            <w:tcW w:w="315" w:type="pct"/>
            <w:vAlign w:val="center"/>
          </w:tcPr>
          <w:p w14:paraId="0FA2D380" w14:textId="36C60FBF" w:rsidR="003F1F39" w:rsidRPr="00E90347" w:rsidRDefault="003F1F39" w:rsidP="095637AE">
            <w:pPr>
              <w:jc w:val="center"/>
              <w:rPr>
                <w:rStyle w:val="Hyperlink"/>
              </w:rPr>
            </w:pPr>
            <w:hyperlink w:anchor="N8">
              <w:r w:rsidRPr="00E90347">
                <w:rPr>
                  <w:rStyle w:val="Hyperlink"/>
                </w:rPr>
                <w:t>8</w:t>
              </w:r>
            </w:hyperlink>
          </w:p>
        </w:tc>
        <w:tc>
          <w:tcPr>
            <w:tcW w:w="512" w:type="pct"/>
            <w:vAlign w:val="center"/>
          </w:tcPr>
          <w:p w14:paraId="69FEE268" w14:textId="1EFDF4BE" w:rsidR="003F1F39" w:rsidRPr="00D948C1" w:rsidRDefault="003F1F39" w:rsidP="095637AE">
            <w:pPr>
              <w:tabs>
                <w:tab w:val="decimal" w:pos="884"/>
              </w:tabs>
              <w:jc w:val="right"/>
              <w:rPr>
                <w:rFonts w:cs="Arial"/>
                <w:highlight w:val="red"/>
              </w:rPr>
            </w:pPr>
          </w:p>
        </w:tc>
        <w:tc>
          <w:tcPr>
            <w:tcW w:w="419" w:type="pct"/>
            <w:vAlign w:val="center"/>
          </w:tcPr>
          <w:p w14:paraId="5BDB7FF1" w14:textId="0D72038D" w:rsidR="003F1F39" w:rsidRPr="00D948C1" w:rsidRDefault="003F1F39" w:rsidP="095637AE">
            <w:pPr>
              <w:tabs>
                <w:tab w:val="decimal" w:pos="884"/>
              </w:tabs>
              <w:jc w:val="right"/>
              <w:rPr>
                <w:rFonts w:cs="Arial"/>
                <w:highlight w:val="red"/>
              </w:rPr>
            </w:pPr>
          </w:p>
        </w:tc>
        <w:tc>
          <w:tcPr>
            <w:tcW w:w="464" w:type="pct"/>
            <w:vAlign w:val="center"/>
          </w:tcPr>
          <w:p w14:paraId="0EC82CFA" w14:textId="180162D7" w:rsidR="003F1F39" w:rsidRPr="00E90347" w:rsidRDefault="00693C59" w:rsidP="095637AE">
            <w:pPr>
              <w:tabs>
                <w:tab w:val="decimal" w:pos="884"/>
              </w:tabs>
              <w:jc w:val="right"/>
              <w:rPr>
                <w:rFonts w:cs="Arial"/>
              </w:rPr>
            </w:pPr>
            <w:r w:rsidRPr="00E90347">
              <w:rPr>
                <w:rFonts w:cs="Arial"/>
              </w:rPr>
              <w:t>(2,291)</w:t>
            </w:r>
          </w:p>
        </w:tc>
        <w:tc>
          <w:tcPr>
            <w:tcW w:w="465" w:type="pct"/>
            <w:vAlign w:val="center"/>
          </w:tcPr>
          <w:p w14:paraId="30721FEE" w14:textId="4B34A145" w:rsidR="003F1F39" w:rsidRPr="00D948C1" w:rsidRDefault="003F1F39" w:rsidP="095637AE">
            <w:pPr>
              <w:tabs>
                <w:tab w:val="decimal" w:pos="889"/>
              </w:tabs>
              <w:jc w:val="right"/>
              <w:rPr>
                <w:rFonts w:cs="Arial"/>
                <w:highlight w:val="red"/>
              </w:rPr>
            </w:pPr>
          </w:p>
        </w:tc>
        <w:tc>
          <w:tcPr>
            <w:tcW w:w="510" w:type="pct"/>
            <w:vAlign w:val="center"/>
          </w:tcPr>
          <w:p w14:paraId="253FAE47" w14:textId="04B05870" w:rsidR="003F1F39" w:rsidRPr="00D948C1" w:rsidRDefault="003F1F39" w:rsidP="095637AE">
            <w:pPr>
              <w:tabs>
                <w:tab w:val="decimal" w:pos="885"/>
              </w:tabs>
              <w:jc w:val="right"/>
              <w:rPr>
                <w:rFonts w:cs="Arial"/>
                <w:highlight w:val="red"/>
              </w:rPr>
            </w:pPr>
          </w:p>
        </w:tc>
        <w:tc>
          <w:tcPr>
            <w:tcW w:w="493" w:type="pct"/>
            <w:vAlign w:val="center"/>
          </w:tcPr>
          <w:p w14:paraId="7EA0B9D9" w14:textId="57F7CC46" w:rsidR="003F1F39" w:rsidRPr="00E90347" w:rsidRDefault="003F1F39" w:rsidP="095637AE">
            <w:pPr>
              <w:tabs>
                <w:tab w:val="decimal" w:pos="742"/>
              </w:tabs>
              <w:jc w:val="right"/>
              <w:rPr>
                <w:rFonts w:cs="Arial"/>
              </w:rPr>
            </w:pPr>
            <w:r w:rsidRPr="00E90347">
              <w:rPr>
                <w:rFonts w:cs="Arial"/>
              </w:rPr>
              <w:t>(1,574)</w:t>
            </w:r>
          </w:p>
        </w:tc>
      </w:tr>
    </w:tbl>
    <w:p w14:paraId="0415F6FD" w14:textId="77777777" w:rsidR="003127E7" w:rsidRPr="00D948C1" w:rsidRDefault="003127E7" w:rsidP="095637AE">
      <w:pPr>
        <w:rPr>
          <w:highlight w:val="red"/>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8"/>
        <w:gridCol w:w="958"/>
        <w:gridCol w:w="1559"/>
        <w:gridCol w:w="1276"/>
        <w:gridCol w:w="1416"/>
        <w:gridCol w:w="1419"/>
        <w:gridCol w:w="1531"/>
        <w:gridCol w:w="1504"/>
      </w:tblGrid>
      <w:tr w:rsidR="0093301C" w:rsidRPr="00D948C1" w14:paraId="7DDF7702" w14:textId="77777777" w:rsidTr="095637AE">
        <w:trPr>
          <w:trHeight w:val="272"/>
        </w:trPr>
        <w:tc>
          <w:tcPr>
            <w:tcW w:w="5000" w:type="pct"/>
            <w:gridSpan w:val="8"/>
            <w:shd w:val="clear" w:color="auto" w:fill="D9D9D9" w:themeFill="background1" w:themeFillShade="D9"/>
          </w:tcPr>
          <w:p w14:paraId="78AC1CF2" w14:textId="58D4920B" w:rsidR="0093301C" w:rsidRPr="00E90347" w:rsidRDefault="061FF6CF" w:rsidP="095637AE">
            <w:pPr>
              <w:rPr>
                <w:rFonts w:cs="Arial"/>
                <w:b/>
              </w:rPr>
            </w:pPr>
            <w:r w:rsidRPr="00E90347">
              <w:rPr>
                <w:rFonts w:cs="Arial"/>
                <w:b/>
              </w:rPr>
              <w:t>Taxation and non-specific grant income</w:t>
            </w:r>
          </w:p>
        </w:tc>
      </w:tr>
      <w:tr w:rsidR="00543885" w:rsidRPr="00D948C1" w14:paraId="1301DFD6" w14:textId="77777777" w:rsidTr="00E90347">
        <w:tc>
          <w:tcPr>
            <w:tcW w:w="1826" w:type="pct"/>
          </w:tcPr>
          <w:p w14:paraId="1ADC4C55" w14:textId="77777777" w:rsidR="003F1F39" w:rsidRPr="00E90347" w:rsidRDefault="003F1F39" w:rsidP="095637AE">
            <w:pPr>
              <w:rPr>
                <w:rFonts w:cs="Arial"/>
              </w:rPr>
            </w:pPr>
            <w:r w:rsidRPr="00E90347">
              <w:rPr>
                <w:rFonts w:cs="Arial"/>
              </w:rPr>
              <w:t>Council tax</w:t>
            </w:r>
          </w:p>
        </w:tc>
        <w:tc>
          <w:tcPr>
            <w:tcW w:w="315" w:type="pct"/>
          </w:tcPr>
          <w:p w14:paraId="63BD858B" w14:textId="77777777" w:rsidR="003F1F39" w:rsidRPr="00D948C1" w:rsidRDefault="003F1F39" w:rsidP="095637AE">
            <w:pPr>
              <w:jc w:val="center"/>
              <w:rPr>
                <w:rStyle w:val="Hyperlink"/>
                <w:highlight w:val="red"/>
              </w:rPr>
            </w:pPr>
          </w:p>
        </w:tc>
        <w:tc>
          <w:tcPr>
            <w:tcW w:w="512" w:type="pct"/>
          </w:tcPr>
          <w:p w14:paraId="106907B7" w14:textId="05B74ACE" w:rsidR="003F1F39" w:rsidRPr="00D948C1" w:rsidRDefault="003F1F39" w:rsidP="095637AE">
            <w:pPr>
              <w:tabs>
                <w:tab w:val="decimal" w:pos="884"/>
              </w:tabs>
              <w:rPr>
                <w:rFonts w:cs="Arial"/>
                <w:highlight w:val="red"/>
              </w:rPr>
            </w:pPr>
          </w:p>
        </w:tc>
        <w:tc>
          <w:tcPr>
            <w:tcW w:w="419" w:type="pct"/>
          </w:tcPr>
          <w:p w14:paraId="2859AFC1" w14:textId="77777777" w:rsidR="003F1F39" w:rsidRPr="00D948C1" w:rsidRDefault="003F1F39" w:rsidP="095637AE">
            <w:pPr>
              <w:tabs>
                <w:tab w:val="decimal" w:pos="884"/>
              </w:tabs>
              <w:rPr>
                <w:rFonts w:cs="Arial"/>
                <w:highlight w:val="red"/>
              </w:rPr>
            </w:pPr>
          </w:p>
        </w:tc>
        <w:tc>
          <w:tcPr>
            <w:tcW w:w="465" w:type="pct"/>
          </w:tcPr>
          <w:p w14:paraId="13B84267" w14:textId="6C151DE5" w:rsidR="003F1F39" w:rsidRPr="00E90347" w:rsidRDefault="0070261E" w:rsidP="095637AE">
            <w:pPr>
              <w:tabs>
                <w:tab w:val="decimal" w:pos="889"/>
              </w:tabs>
              <w:jc w:val="right"/>
              <w:rPr>
                <w:rFonts w:cs="Arial"/>
              </w:rPr>
            </w:pPr>
            <w:r w:rsidRPr="00E90347">
              <w:rPr>
                <w:rFonts w:cs="Arial"/>
              </w:rPr>
              <w:t>(39,911)</w:t>
            </w:r>
          </w:p>
        </w:tc>
        <w:tc>
          <w:tcPr>
            <w:tcW w:w="466" w:type="pct"/>
          </w:tcPr>
          <w:p w14:paraId="1ED8213E" w14:textId="0C664947" w:rsidR="003F1F39" w:rsidRPr="00D948C1" w:rsidRDefault="003F1F39" w:rsidP="095637AE">
            <w:pPr>
              <w:tabs>
                <w:tab w:val="decimal" w:pos="885"/>
              </w:tabs>
              <w:rPr>
                <w:rFonts w:cs="Arial"/>
                <w:highlight w:val="red"/>
              </w:rPr>
            </w:pPr>
          </w:p>
        </w:tc>
        <w:tc>
          <w:tcPr>
            <w:tcW w:w="503" w:type="pct"/>
          </w:tcPr>
          <w:p w14:paraId="6480075C" w14:textId="77777777" w:rsidR="003F1F39" w:rsidRPr="00D948C1" w:rsidRDefault="003F1F39" w:rsidP="095637AE">
            <w:pPr>
              <w:tabs>
                <w:tab w:val="decimal" w:pos="601"/>
              </w:tabs>
              <w:jc w:val="both"/>
              <w:rPr>
                <w:rFonts w:cs="Arial"/>
                <w:highlight w:val="red"/>
              </w:rPr>
            </w:pPr>
          </w:p>
        </w:tc>
        <w:tc>
          <w:tcPr>
            <w:tcW w:w="494" w:type="pct"/>
          </w:tcPr>
          <w:p w14:paraId="1EA74B56" w14:textId="6334F82F" w:rsidR="003F1F39" w:rsidRPr="00E90347" w:rsidRDefault="003F1F39" w:rsidP="095637AE">
            <w:pPr>
              <w:jc w:val="right"/>
              <w:rPr>
                <w:rFonts w:cs="Arial"/>
              </w:rPr>
            </w:pPr>
            <w:r w:rsidRPr="00E90347">
              <w:rPr>
                <w:rFonts w:cs="Arial"/>
              </w:rPr>
              <w:t>(37,826)</w:t>
            </w:r>
          </w:p>
        </w:tc>
      </w:tr>
      <w:tr w:rsidR="00543885" w:rsidRPr="00D948C1" w14:paraId="66B9C3B3" w14:textId="77777777" w:rsidTr="00E90347">
        <w:tc>
          <w:tcPr>
            <w:tcW w:w="1826" w:type="pct"/>
          </w:tcPr>
          <w:p w14:paraId="50780995" w14:textId="77777777" w:rsidR="003F1F39" w:rsidRPr="00E90347" w:rsidRDefault="003F1F39" w:rsidP="095637AE">
            <w:pPr>
              <w:rPr>
                <w:rFonts w:cs="Arial"/>
              </w:rPr>
            </w:pPr>
            <w:r w:rsidRPr="00E90347">
              <w:rPr>
                <w:rFonts w:cs="Arial"/>
              </w:rPr>
              <w:t>Revenue Support Grant</w:t>
            </w:r>
          </w:p>
        </w:tc>
        <w:tc>
          <w:tcPr>
            <w:tcW w:w="315" w:type="pct"/>
          </w:tcPr>
          <w:p w14:paraId="6F671289" w14:textId="77777777" w:rsidR="003F1F39" w:rsidRPr="00D948C1" w:rsidRDefault="003F1F39" w:rsidP="095637AE">
            <w:pPr>
              <w:jc w:val="center"/>
              <w:rPr>
                <w:rStyle w:val="Hyperlink"/>
                <w:highlight w:val="red"/>
              </w:rPr>
            </w:pPr>
          </w:p>
        </w:tc>
        <w:tc>
          <w:tcPr>
            <w:tcW w:w="512" w:type="pct"/>
          </w:tcPr>
          <w:p w14:paraId="28147392" w14:textId="78B914FC" w:rsidR="003F1F39" w:rsidRPr="00D948C1" w:rsidRDefault="003F1F39" w:rsidP="095637AE">
            <w:pPr>
              <w:tabs>
                <w:tab w:val="decimal" w:pos="884"/>
              </w:tabs>
              <w:rPr>
                <w:rFonts w:cs="Arial"/>
                <w:highlight w:val="red"/>
              </w:rPr>
            </w:pPr>
          </w:p>
        </w:tc>
        <w:tc>
          <w:tcPr>
            <w:tcW w:w="419" w:type="pct"/>
          </w:tcPr>
          <w:p w14:paraId="33A264BB" w14:textId="77777777" w:rsidR="003F1F39" w:rsidRPr="00D948C1" w:rsidRDefault="003F1F39" w:rsidP="095637AE">
            <w:pPr>
              <w:tabs>
                <w:tab w:val="decimal" w:pos="884"/>
              </w:tabs>
              <w:rPr>
                <w:rFonts w:cs="Arial"/>
                <w:highlight w:val="red"/>
              </w:rPr>
            </w:pPr>
          </w:p>
        </w:tc>
        <w:tc>
          <w:tcPr>
            <w:tcW w:w="465" w:type="pct"/>
          </w:tcPr>
          <w:p w14:paraId="77FF38B7" w14:textId="39B0BCCB" w:rsidR="003F1F39" w:rsidRPr="00E90347" w:rsidRDefault="0070261E" w:rsidP="095637AE">
            <w:pPr>
              <w:tabs>
                <w:tab w:val="decimal" w:pos="889"/>
              </w:tabs>
              <w:jc w:val="right"/>
              <w:rPr>
                <w:rFonts w:cs="Arial"/>
              </w:rPr>
            </w:pPr>
            <w:r w:rsidRPr="00E90347">
              <w:rPr>
                <w:rFonts w:cs="Arial"/>
              </w:rPr>
              <w:t>(13,470)</w:t>
            </w:r>
          </w:p>
        </w:tc>
        <w:tc>
          <w:tcPr>
            <w:tcW w:w="466" w:type="pct"/>
          </w:tcPr>
          <w:p w14:paraId="152FBC12" w14:textId="2111D058" w:rsidR="003F1F39" w:rsidRPr="00D948C1" w:rsidRDefault="003F1F39" w:rsidP="095637AE">
            <w:pPr>
              <w:tabs>
                <w:tab w:val="decimal" w:pos="885"/>
              </w:tabs>
              <w:rPr>
                <w:rFonts w:cs="Arial"/>
                <w:highlight w:val="red"/>
              </w:rPr>
            </w:pPr>
          </w:p>
        </w:tc>
        <w:tc>
          <w:tcPr>
            <w:tcW w:w="503" w:type="pct"/>
          </w:tcPr>
          <w:p w14:paraId="634EAE1E" w14:textId="77777777" w:rsidR="003F1F39" w:rsidRPr="00D948C1" w:rsidRDefault="003F1F39" w:rsidP="095637AE">
            <w:pPr>
              <w:tabs>
                <w:tab w:val="decimal" w:pos="601"/>
              </w:tabs>
              <w:jc w:val="both"/>
              <w:rPr>
                <w:rFonts w:cs="Arial"/>
                <w:highlight w:val="red"/>
              </w:rPr>
            </w:pPr>
          </w:p>
        </w:tc>
        <w:tc>
          <w:tcPr>
            <w:tcW w:w="494" w:type="pct"/>
          </w:tcPr>
          <w:p w14:paraId="5C7A9BD9" w14:textId="6D522A48" w:rsidR="003F1F39" w:rsidRPr="00E90347" w:rsidRDefault="003F1F39" w:rsidP="095637AE">
            <w:pPr>
              <w:jc w:val="right"/>
              <w:rPr>
                <w:rFonts w:cs="Arial"/>
              </w:rPr>
            </w:pPr>
            <w:r w:rsidRPr="00E90347">
              <w:rPr>
                <w:rFonts w:cs="Arial"/>
              </w:rPr>
              <w:t>(9,727)</w:t>
            </w:r>
          </w:p>
        </w:tc>
      </w:tr>
      <w:tr w:rsidR="00543885" w:rsidRPr="00D948C1" w14:paraId="461825CA" w14:textId="77777777" w:rsidTr="00E90347">
        <w:tc>
          <w:tcPr>
            <w:tcW w:w="1826" w:type="pct"/>
          </w:tcPr>
          <w:p w14:paraId="270780C7" w14:textId="77777777" w:rsidR="003F1F39" w:rsidRPr="00E90347" w:rsidRDefault="003F1F39" w:rsidP="095637AE">
            <w:pPr>
              <w:rPr>
                <w:rFonts w:cs="Arial"/>
              </w:rPr>
            </w:pPr>
            <w:r w:rsidRPr="00E90347">
              <w:rPr>
                <w:rFonts w:cs="Arial"/>
              </w:rPr>
              <w:t>Non-domestic rates redistribution</w:t>
            </w:r>
          </w:p>
        </w:tc>
        <w:tc>
          <w:tcPr>
            <w:tcW w:w="315" w:type="pct"/>
          </w:tcPr>
          <w:p w14:paraId="6E50D2D3" w14:textId="77777777" w:rsidR="003F1F39" w:rsidRPr="00D948C1" w:rsidRDefault="003F1F39" w:rsidP="095637AE">
            <w:pPr>
              <w:jc w:val="center"/>
              <w:rPr>
                <w:rStyle w:val="Hyperlink"/>
                <w:highlight w:val="red"/>
              </w:rPr>
            </w:pPr>
          </w:p>
        </w:tc>
        <w:tc>
          <w:tcPr>
            <w:tcW w:w="512" w:type="pct"/>
          </w:tcPr>
          <w:p w14:paraId="65E41BA5" w14:textId="603F0FDF" w:rsidR="003F1F39" w:rsidRPr="00D948C1" w:rsidRDefault="003F1F39" w:rsidP="095637AE">
            <w:pPr>
              <w:tabs>
                <w:tab w:val="decimal" w:pos="884"/>
              </w:tabs>
              <w:rPr>
                <w:rFonts w:cs="Arial"/>
                <w:highlight w:val="red"/>
              </w:rPr>
            </w:pPr>
          </w:p>
        </w:tc>
        <w:tc>
          <w:tcPr>
            <w:tcW w:w="419" w:type="pct"/>
          </w:tcPr>
          <w:p w14:paraId="7B058279" w14:textId="77777777" w:rsidR="003F1F39" w:rsidRPr="00D948C1" w:rsidRDefault="003F1F39" w:rsidP="095637AE">
            <w:pPr>
              <w:tabs>
                <w:tab w:val="decimal" w:pos="884"/>
              </w:tabs>
              <w:rPr>
                <w:rFonts w:cs="Arial"/>
                <w:highlight w:val="red"/>
              </w:rPr>
            </w:pPr>
          </w:p>
        </w:tc>
        <w:tc>
          <w:tcPr>
            <w:tcW w:w="465" w:type="pct"/>
          </w:tcPr>
          <w:p w14:paraId="1D6B4DA0" w14:textId="320A1FC8" w:rsidR="003F1F39" w:rsidRPr="00E90347" w:rsidRDefault="0070261E" w:rsidP="095637AE">
            <w:pPr>
              <w:tabs>
                <w:tab w:val="decimal" w:pos="889"/>
              </w:tabs>
              <w:jc w:val="right"/>
              <w:rPr>
                <w:rFonts w:cs="Arial"/>
              </w:rPr>
            </w:pPr>
            <w:r w:rsidRPr="00E90347">
              <w:rPr>
                <w:rFonts w:cs="Arial"/>
              </w:rPr>
              <w:t>(16,740)</w:t>
            </w:r>
          </w:p>
        </w:tc>
        <w:tc>
          <w:tcPr>
            <w:tcW w:w="466" w:type="pct"/>
          </w:tcPr>
          <w:p w14:paraId="388DBBBB" w14:textId="1AB217D8" w:rsidR="003F1F39" w:rsidRPr="00D948C1" w:rsidRDefault="003F1F39" w:rsidP="095637AE">
            <w:pPr>
              <w:tabs>
                <w:tab w:val="decimal" w:pos="885"/>
              </w:tabs>
              <w:rPr>
                <w:rFonts w:cs="Arial"/>
                <w:highlight w:val="red"/>
              </w:rPr>
            </w:pPr>
          </w:p>
        </w:tc>
        <w:tc>
          <w:tcPr>
            <w:tcW w:w="503" w:type="pct"/>
          </w:tcPr>
          <w:p w14:paraId="3067CF26" w14:textId="77777777" w:rsidR="003F1F39" w:rsidRPr="00D948C1" w:rsidRDefault="003F1F39" w:rsidP="095637AE">
            <w:pPr>
              <w:tabs>
                <w:tab w:val="decimal" w:pos="601"/>
              </w:tabs>
              <w:jc w:val="both"/>
              <w:rPr>
                <w:rFonts w:cs="Arial"/>
                <w:highlight w:val="red"/>
              </w:rPr>
            </w:pPr>
          </w:p>
        </w:tc>
        <w:tc>
          <w:tcPr>
            <w:tcW w:w="494" w:type="pct"/>
          </w:tcPr>
          <w:p w14:paraId="1982B2F5" w14:textId="4B6EBA11" w:rsidR="003F1F39" w:rsidRPr="00E90347" w:rsidRDefault="003F1F39" w:rsidP="095637AE">
            <w:pPr>
              <w:jc w:val="right"/>
              <w:rPr>
                <w:rFonts w:cs="Arial"/>
              </w:rPr>
            </w:pPr>
            <w:r w:rsidRPr="00E90347">
              <w:rPr>
                <w:rFonts w:cs="Arial"/>
              </w:rPr>
              <w:t>(16,080)</w:t>
            </w:r>
          </w:p>
        </w:tc>
      </w:tr>
      <w:tr w:rsidR="00543885" w:rsidRPr="00D948C1" w14:paraId="6989E789" w14:textId="77777777" w:rsidTr="00E90347">
        <w:tc>
          <w:tcPr>
            <w:tcW w:w="1826" w:type="pct"/>
          </w:tcPr>
          <w:p w14:paraId="74A75A6A" w14:textId="77777777" w:rsidR="003F1F39" w:rsidRPr="00E90347" w:rsidRDefault="003F1F39" w:rsidP="095637AE">
            <w:pPr>
              <w:rPr>
                <w:rFonts w:cs="Arial"/>
              </w:rPr>
            </w:pPr>
            <w:r w:rsidRPr="00E90347">
              <w:rPr>
                <w:rFonts w:cs="Arial"/>
              </w:rPr>
              <w:t>Business rates S31 grant</w:t>
            </w:r>
          </w:p>
        </w:tc>
        <w:tc>
          <w:tcPr>
            <w:tcW w:w="315" w:type="pct"/>
          </w:tcPr>
          <w:p w14:paraId="0B9BC1D4" w14:textId="77777777" w:rsidR="003F1F39" w:rsidRPr="00D948C1" w:rsidRDefault="003F1F39" w:rsidP="095637AE">
            <w:pPr>
              <w:jc w:val="center"/>
              <w:rPr>
                <w:rStyle w:val="Hyperlink"/>
                <w:highlight w:val="red"/>
              </w:rPr>
            </w:pPr>
          </w:p>
        </w:tc>
        <w:tc>
          <w:tcPr>
            <w:tcW w:w="512" w:type="pct"/>
          </w:tcPr>
          <w:p w14:paraId="53448B6B" w14:textId="2DB4C950" w:rsidR="003F1F39" w:rsidRPr="00D948C1" w:rsidRDefault="003F1F39" w:rsidP="095637AE">
            <w:pPr>
              <w:tabs>
                <w:tab w:val="decimal" w:pos="884"/>
              </w:tabs>
              <w:rPr>
                <w:rFonts w:cs="Arial"/>
                <w:highlight w:val="red"/>
              </w:rPr>
            </w:pPr>
          </w:p>
        </w:tc>
        <w:tc>
          <w:tcPr>
            <w:tcW w:w="419" w:type="pct"/>
          </w:tcPr>
          <w:p w14:paraId="07A56BE7" w14:textId="77777777" w:rsidR="003F1F39" w:rsidRPr="00D948C1" w:rsidRDefault="003F1F39" w:rsidP="095637AE">
            <w:pPr>
              <w:tabs>
                <w:tab w:val="decimal" w:pos="884"/>
              </w:tabs>
              <w:rPr>
                <w:rFonts w:cs="Arial"/>
                <w:highlight w:val="red"/>
              </w:rPr>
            </w:pPr>
          </w:p>
        </w:tc>
        <w:tc>
          <w:tcPr>
            <w:tcW w:w="465" w:type="pct"/>
          </w:tcPr>
          <w:p w14:paraId="70294333" w14:textId="6E190CA9" w:rsidR="003F1F39" w:rsidRPr="00E90347" w:rsidRDefault="0070261E" w:rsidP="095637AE">
            <w:pPr>
              <w:tabs>
                <w:tab w:val="decimal" w:pos="889"/>
              </w:tabs>
              <w:jc w:val="right"/>
              <w:rPr>
                <w:rFonts w:cs="Arial"/>
              </w:rPr>
            </w:pPr>
            <w:r w:rsidRPr="00E90347">
              <w:rPr>
                <w:rFonts w:cs="Arial"/>
              </w:rPr>
              <w:t>(5,673)</w:t>
            </w:r>
          </w:p>
        </w:tc>
        <w:tc>
          <w:tcPr>
            <w:tcW w:w="466" w:type="pct"/>
          </w:tcPr>
          <w:p w14:paraId="7A03E3E6" w14:textId="69498173" w:rsidR="003F1F39" w:rsidRPr="00D948C1" w:rsidRDefault="003F1F39" w:rsidP="095637AE">
            <w:pPr>
              <w:tabs>
                <w:tab w:val="decimal" w:pos="885"/>
              </w:tabs>
              <w:rPr>
                <w:rFonts w:cs="Arial"/>
                <w:highlight w:val="red"/>
              </w:rPr>
            </w:pPr>
          </w:p>
        </w:tc>
        <w:tc>
          <w:tcPr>
            <w:tcW w:w="503" w:type="pct"/>
          </w:tcPr>
          <w:p w14:paraId="024AEFCF" w14:textId="77777777" w:rsidR="003F1F39" w:rsidRPr="00D948C1" w:rsidRDefault="003F1F39" w:rsidP="095637AE">
            <w:pPr>
              <w:tabs>
                <w:tab w:val="decimal" w:pos="601"/>
              </w:tabs>
              <w:jc w:val="both"/>
              <w:rPr>
                <w:rFonts w:cs="Arial"/>
                <w:highlight w:val="red"/>
              </w:rPr>
            </w:pPr>
          </w:p>
        </w:tc>
        <w:tc>
          <w:tcPr>
            <w:tcW w:w="494" w:type="pct"/>
          </w:tcPr>
          <w:p w14:paraId="0FDE986B" w14:textId="79A0D0E3" w:rsidR="003F1F39" w:rsidRPr="00E90347" w:rsidRDefault="003F1F39" w:rsidP="095637AE">
            <w:pPr>
              <w:jc w:val="right"/>
              <w:rPr>
                <w:rFonts w:cs="Arial"/>
              </w:rPr>
            </w:pPr>
            <w:r w:rsidRPr="00E90347">
              <w:rPr>
                <w:rFonts w:cs="Arial"/>
              </w:rPr>
              <w:t>(4,872)</w:t>
            </w:r>
          </w:p>
        </w:tc>
      </w:tr>
      <w:tr w:rsidR="00543885" w:rsidRPr="00D948C1" w14:paraId="3F3A28BC" w14:textId="77777777" w:rsidTr="00E90347">
        <w:tc>
          <w:tcPr>
            <w:tcW w:w="1826" w:type="pct"/>
          </w:tcPr>
          <w:p w14:paraId="529159F7" w14:textId="347CCCC6" w:rsidR="003F1F39" w:rsidRPr="00E90347" w:rsidRDefault="003F1F39" w:rsidP="095637AE">
            <w:pPr>
              <w:rPr>
                <w:rFonts w:cs="Arial"/>
              </w:rPr>
            </w:pPr>
            <w:r w:rsidRPr="00E90347">
              <w:rPr>
                <w:rFonts w:cs="Arial"/>
              </w:rPr>
              <w:t>Capital grant income</w:t>
            </w:r>
          </w:p>
        </w:tc>
        <w:tc>
          <w:tcPr>
            <w:tcW w:w="315" w:type="pct"/>
          </w:tcPr>
          <w:p w14:paraId="76D14C41" w14:textId="77777777" w:rsidR="003F1F39" w:rsidRPr="00D948C1" w:rsidRDefault="003F1F39" w:rsidP="095637AE">
            <w:pPr>
              <w:jc w:val="center"/>
              <w:rPr>
                <w:rStyle w:val="Hyperlink"/>
                <w:highlight w:val="red"/>
              </w:rPr>
            </w:pPr>
          </w:p>
        </w:tc>
        <w:tc>
          <w:tcPr>
            <w:tcW w:w="512" w:type="pct"/>
          </w:tcPr>
          <w:p w14:paraId="2D353126" w14:textId="3369A44F" w:rsidR="003F1F39" w:rsidRPr="00D948C1" w:rsidRDefault="003F1F39" w:rsidP="095637AE">
            <w:pPr>
              <w:tabs>
                <w:tab w:val="decimal" w:pos="884"/>
              </w:tabs>
              <w:rPr>
                <w:rFonts w:cs="Arial"/>
                <w:highlight w:val="red"/>
              </w:rPr>
            </w:pPr>
          </w:p>
        </w:tc>
        <w:tc>
          <w:tcPr>
            <w:tcW w:w="419" w:type="pct"/>
          </w:tcPr>
          <w:p w14:paraId="6CAB3F2A" w14:textId="77777777" w:rsidR="003F1F39" w:rsidRPr="00D948C1" w:rsidRDefault="003F1F39" w:rsidP="095637AE">
            <w:pPr>
              <w:tabs>
                <w:tab w:val="decimal" w:pos="884"/>
              </w:tabs>
              <w:rPr>
                <w:rFonts w:cs="Arial"/>
                <w:highlight w:val="red"/>
              </w:rPr>
            </w:pPr>
          </w:p>
        </w:tc>
        <w:tc>
          <w:tcPr>
            <w:tcW w:w="465" w:type="pct"/>
          </w:tcPr>
          <w:p w14:paraId="00A32F97" w14:textId="496A68E4" w:rsidR="003F1F39" w:rsidRPr="00E90347" w:rsidRDefault="0070261E" w:rsidP="095637AE">
            <w:pPr>
              <w:tabs>
                <w:tab w:val="decimal" w:pos="889"/>
              </w:tabs>
              <w:jc w:val="right"/>
              <w:rPr>
                <w:rFonts w:cs="Arial"/>
              </w:rPr>
            </w:pPr>
            <w:r w:rsidRPr="00E90347">
              <w:rPr>
                <w:rFonts w:cs="Arial"/>
              </w:rPr>
              <w:t>-</w:t>
            </w:r>
          </w:p>
        </w:tc>
        <w:tc>
          <w:tcPr>
            <w:tcW w:w="466" w:type="pct"/>
          </w:tcPr>
          <w:p w14:paraId="3D7119A0" w14:textId="77777777" w:rsidR="003F1F39" w:rsidRPr="00D948C1" w:rsidRDefault="003F1F39" w:rsidP="095637AE">
            <w:pPr>
              <w:tabs>
                <w:tab w:val="decimal" w:pos="885"/>
              </w:tabs>
              <w:rPr>
                <w:rFonts w:cs="Arial"/>
                <w:highlight w:val="red"/>
              </w:rPr>
            </w:pPr>
          </w:p>
        </w:tc>
        <w:tc>
          <w:tcPr>
            <w:tcW w:w="503" w:type="pct"/>
          </w:tcPr>
          <w:p w14:paraId="36F0E63B" w14:textId="77777777" w:rsidR="003F1F39" w:rsidRPr="00D948C1" w:rsidRDefault="003F1F39" w:rsidP="095637AE">
            <w:pPr>
              <w:tabs>
                <w:tab w:val="decimal" w:pos="601"/>
              </w:tabs>
              <w:jc w:val="both"/>
              <w:rPr>
                <w:rFonts w:cs="Arial"/>
                <w:highlight w:val="red"/>
              </w:rPr>
            </w:pPr>
          </w:p>
        </w:tc>
        <w:tc>
          <w:tcPr>
            <w:tcW w:w="494" w:type="pct"/>
          </w:tcPr>
          <w:p w14:paraId="52BD3229" w14:textId="5DC04036" w:rsidR="003F1F39" w:rsidRPr="00E90347" w:rsidRDefault="003F1F39" w:rsidP="095637AE">
            <w:pPr>
              <w:jc w:val="right"/>
              <w:rPr>
                <w:rFonts w:cs="Arial"/>
              </w:rPr>
            </w:pPr>
            <w:r w:rsidRPr="00E90347">
              <w:rPr>
                <w:rFonts w:cs="Arial"/>
              </w:rPr>
              <w:t>(277)</w:t>
            </w:r>
          </w:p>
        </w:tc>
      </w:tr>
      <w:tr w:rsidR="00543885" w:rsidRPr="00D948C1" w14:paraId="5E51D07D" w14:textId="77777777" w:rsidTr="00E90347">
        <w:tc>
          <w:tcPr>
            <w:tcW w:w="1826" w:type="pct"/>
          </w:tcPr>
          <w:p w14:paraId="230444E4" w14:textId="1398F5EB" w:rsidR="003F1F39" w:rsidRPr="00E90347" w:rsidRDefault="00504697" w:rsidP="095637AE">
            <w:pPr>
              <w:rPr>
                <w:rFonts w:cs="Arial"/>
                <w:b/>
              </w:rPr>
            </w:pPr>
            <w:r>
              <w:rPr>
                <w:rFonts w:cs="Arial"/>
                <w:b/>
              </w:rPr>
              <w:t>(Surplus)/</w:t>
            </w:r>
            <w:r w:rsidR="003F1F39" w:rsidRPr="00E90347">
              <w:rPr>
                <w:rFonts w:cs="Arial"/>
                <w:b/>
              </w:rPr>
              <w:t>Deficit on the provision of services</w:t>
            </w:r>
          </w:p>
        </w:tc>
        <w:tc>
          <w:tcPr>
            <w:tcW w:w="315" w:type="pct"/>
          </w:tcPr>
          <w:p w14:paraId="5307DA0A" w14:textId="77777777" w:rsidR="003F1F39" w:rsidRPr="00D948C1" w:rsidRDefault="003F1F39" w:rsidP="095637AE">
            <w:pPr>
              <w:jc w:val="center"/>
              <w:rPr>
                <w:rStyle w:val="Hyperlink"/>
                <w:highlight w:val="red"/>
              </w:rPr>
            </w:pPr>
          </w:p>
        </w:tc>
        <w:tc>
          <w:tcPr>
            <w:tcW w:w="512" w:type="pct"/>
          </w:tcPr>
          <w:p w14:paraId="75D395D3" w14:textId="5667467C" w:rsidR="003F1F39" w:rsidRPr="00D948C1" w:rsidRDefault="003F1F39" w:rsidP="095637AE">
            <w:pPr>
              <w:tabs>
                <w:tab w:val="decimal" w:pos="884"/>
              </w:tabs>
              <w:rPr>
                <w:rFonts w:cs="Arial"/>
                <w:highlight w:val="red"/>
              </w:rPr>
            </w:pPr>
          </w:p>
        </w:tc>
        <w:tc>
          <w:tcPr>
            <w:tcW w:w="419" w:type="pct"/>
          </w:tcPr>
          <w:p w14:paraId="5127A5EE" w14:textId="77777777" w:rsidR="003F1F39" w:rsidRPr="00D948C1" w:rsidRDefault="003F1F39" w:rsidP="095637AE">
            <w:pPr>
              <w:tabs>
                <w:tab w:val="decimal" w:pos="884"/>
              </w:tabs>
              <w:rPr>
                <w:rFonts w:cs="Arial"/>
                <w:highlight w:val="red"/>
              </w:rPr>
            </w:pPr>
          </w:p>
        </w:tc>
        <w:tc>
          <w:tcPr>
            <w:tcW w:w="465" w:type="pct"/>
          </w:tcPr>
          <w:p w14:paraId="7915730D" w14:textId="75C0894C" w:rsidR="003F1F39" w:rsidRPr="00853E26" w:rsidRDefault="00F07499" w:rsidP="095637AE">
            <w:pPr>
              <w:tabs>
                <w:tab w:val="decimal" w:pos="889"/>
              </w:tabs>
              <w:jc w:val="right"/>
              <w:rPr>
                <w:rFonts w:cs="Arial"/>
                <w:b/>
                <w:bCs/>
              </w:rPr>
            </w:pPr>
            <w:r w:rsidRPr="00853E26">
              <w:rPr>
                <w:rFonts w:cs="Arial"/>
                <w:b/>
                <w:bCs/>
              </w:rPr>
              <w:t>3,054</w:t>
            </w:r>
          </w:p>
        </w:tc>
        <w:tc>
          <w:tcPr>
            <w:tcW w:w="466" w:type="pct"/>
          </w:tcPr>
          <w:p w14:paraId="46EBA086" w14:textId="6E652173" w:rsidR="003F1F39" w:rsidRPr="00D948C1" w:rsidRDefault="003F1F39" w:rsidP="095637AE">
            <w:pPr>
              <w:tabs>
                <w:tab w:val="decimal" w:pos="885"/>
              </w:tabs>
              <w:rPr>
                <w:rFonts w:cs="Arial"/>
                <w:b/>
                <w:bCs/>
                <w:highlight w:val="red"/>
              </w:rPr>
            </w:pPr>
          </w:p>
        </w:tc>
        <w:tc>
          <w:tcPr>
            <w:tcW w:w="503" w:type="pct"/>
          </w:tcPr>
          <w:p w14:paraId="587A169C" w14:textId="77777777" w:rsidR="003F1F39" w:rsidRPr="00D948C1" w:rsidRDefault="003F1F39" w:rsidP="095637AE">
            <w:pPr>
              <w:tabs>
                <w:tab w:val="decimal" w:pos="601"/>
              </w:tabs>
              <w:jc w:val="both"/>
              <w:rPr>
                <w:rFonts w:cs="Arial"/>
                <w:b/>
                <w:bCs/>
                <w:highlight w:val="red"/>
              </w:rPr>
            </w:pPr>
          </w:p>
        </w:tc>
        <w:tc>
          <w:tcPr>
            <w:tcW w:w="494" w:type="pct"/>
          </w:tcPr>
          <w:p w14:paraId="5EC24805" w14:textId="5D16149C" w:rsidR="003F1F39" w:rsidRPr="00853E26" w:rsidRDefault="003F1F39" w:rsidP="095637AE">
            <w:pPr>
              <w:jc w:val="right"/>
              <w:rPr>
                <w:rFonts w:cs="Arial"/>
                <w:b/>
                <w:bCs/>
              </w:rPr>
            </w:pPr>
            <w:r w:rsidRPr="00853E26">
              <w:rPr>
                <w:rFonts w:cs="Arial"/>
                <w:b/>
                <w:bCs/>
              </w:rPr>
              <w:t xml:space="preserve">5,838 </w:t>
            </w:r>
          </w:p>
        </w:tc>
      </w:tr>
    </w:tbl>
    <w:p w14:paraId="6F51079E" w14:textId="77777777" w:rsidR="001A6245" w:rsidRDefault="001A6245" w:rsidP="095637AE">
      <w:pPr>
        <w:rPr>
          <w:highlight w:val="red"/>
        </w:rPr>
      </w:pPr>
      <w:r w:rsidRPr="095637AE">
        <w:rPr>
          <w:highlight w:val="red"/>
        </w:rPr>
        <w:br w:type="page"/>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1"/>
        <w:gridCol w:w="1061"/>
        <w:gridCol w:w="1497"/>
        <w:gridCol w:w="1215"/>
        <w:gridCol w:w="1498"/>
        <w:gridCol w:w="1434"/>
        <w:gridCol w:w="1498"/>
        <w:gridCol w:w="1497"/>
      </w:tblGrid>
      <w:tr w:rsidR="003F1F39" w:rsidRPr="00D948C1" w14:paraId="501950CF" w14:textId="77777777" w:rsidTr="6498351E">
        <w:tc>
          <w:tcPr>
            <w:tcW w:w="2163" w:type="pct"/>
            <w:gridSpan w:val="2"/>
            <w:shd w:val="clear" w:color="auto" w:fill="BD2716"/>
          </w:tcPr>
          <w:p w14:paraId="755D1766" w14:textId="77777777" w:rsidR="003F1F39" w:rsidRPr="00D948C1" w:rsidRDefault="003F1F39" w:rsidP="095637AE">
            <w:pPr>
              <w:tabs>
                <w:tab w:val="decimal" w:pos="884"/>
              </w:tabs>
              <w:rPr>
                <w:color w:val="FFFFFF" w:themeColor="background1"/>
                <w:highlight w:val="red"/>
              </w:rPr>
            </w:pPr>
          </w:p>
        </w:tc>
        <w:tc>
          <w:tcPr>
            <w:tcW w:w="492" w:type="pct"/>
            <w:shd w:val="clear" w:color="auto" w:fill="BD2716"/>
            <w:vAlign w:val="center"/>
          </w:tcPr>
          <w:p w14:paraId="0F579101" w14:textId="50C484DD" w:rsidR="003F1F39" w:rsidRPr="00DC2FCF" w:rsidRDefault="003F1F39" w:rsidP="095637AE">
            <w:pPr>
              <w:jc w:val="center"/>
              <w:rPr>
                <w:rFonts w:cs="Arial"/>
                <w:color w:val="FFFFFF" w:themeColor="background1"/>
              </w:rPr>
            </w:pPr>
            <w:r w:rsidRPr="00DC2FCF">
              <w:rPr>
                <w:rFonts w:cs="Arial"/>
                <w:color w:val="FFFFFF" w:themeColor="background1"/>
              </w:rPr>
              <w:t>2024/25</w:t>
            </w:r>
          </w:p>
        </w:tc>
        <w:tc>
          <w:tcPr>
            <w:tcW w:w="399" w:type="pct"/>
            <w:shd w:val="clear" w:color="auto" w:fill="BD2716"/>
            <w:vAlign w:val="center"/>
          </w:tcPr>
          <w:p w14:paraId="2D628B09" w14:textId="40EF9198" w:rsidR="003F1F39" w:rsidRPr="00DC2FCF" w:rsidRDefault="003F1F39" w:rsidP="095637AE">
            <w:pPr>
              <w:jc w:val="center"/>
              <w:rPr>
                <w:rFonts w:cs="Arial"/>
                <w:color w:val="FFFFFF" w:themeColor="background1"/>
              </w:rPr>
            </w:pPr>
            <w:r w:rsidRPr="00DC2FCF">
              <w:rPr>
                <w:rFonts w:cs="Arial"/>
                <w:color w:val="FFFFFF" w:themeColor="background1"/>
              </w:rPr>
              <w:t>2024/25</w:t>
            </w:r>
          </w:p>
        </w:tc>
        <w:tc>
          <w:tcPr>
            <w:tcW w:w="492" w:type="pct"/>
            <w:shd w:val="clear" w:color="auto" w:fill="BD2716"/>
            <w:vAlign w:val="center"/>
          </w:tcPr>
          <w:p w14:paraId="387CB089" w14:textId="1D7B0C83" w:rsidR="003F1F39" w:rsidRPr="00DC2FCF" w:rsidRDefault="003F1F39" w:rsidP="095637AE">
            <w:pPr>
              <w:tabs>
                <w:tab w:val="decimal" w:pos="742"/>
              </w:tabs>
              <w:ind w:right="177"/>
              <w:jc w:val="center"/>
              <w:rPr>
                <w:rFonts w:cs="Arial"/>
                <w:color w:val="FFFFFF" w:themeColor="background1"/>
              </w:rPr>
            </w:pPr>
            <w:r w:rsidRPr="00DC2FCF">
              <w:rPr>
                <w:rFonts w:cs="Arial"/>
                <w:color w:val="FFFFFF" w:themeColor="background1"/>
              </w:rPr>
              <w:t>2024/25</w:t>
            </w:r>
          </w:p>
        </w:tc>
        <w:tc>
          <w:tcPr>
            <w:tcW w:w="471" w:type="pct"/>
            <w:shd w:val="clear" w:color="auto" w:fill="BD2716"/>
            <w:vAlign w:val="center"/>
          </w:tcPr>
          <w:p w14:paraId="228D5090" w14:textId="1A4DC280" w:rsidR="003F1F39" w:rsidRPr="00DC2FCF" w:rsidRDefault="003F1F39" w:rsidP="095637AE">
            <w:pPr>
              <w:jc w:val="center"/>
              <w:rPr>
                <w:rFonts w:cs="Arial"/>
                <w:color w:val="FFFFFF" w:themeColor="background1"/>
              </w:rPr>
            </w:pPr>
            <w:r w:rsidRPr="00DC2FCF">
              <w:rPr>
                <w:rFonts w:cs="Arial"/>
                <w:color w:val="FFFFFF" w:themeColor="background1"/>
              </w:rPr>
              <w:t>2023/24</w:t>
            </w:r>
          </w:p>
        </w:tc>
        <w:tc>
          <w:tcPr>
            <w:tcW w:w="492" w:type="pct"/>
            <w:shd w:val="clear" w:color="auto" w:fill="BD2716"/>
            <w:vAlign w:val="center"/>
          </w:tcPr>
          <w:p w14:paraId="22586128" w14:textId="02204D35" w:rsidR="003F1F39" w:rsidRPr="00DC2FCF" w:rsidRDefault="003F1F39" w:rsidP="095637AE">
            <w:pPr>
              <w:tabs>
                <w:tab w:val="decimal" w:pos="601"/>
              </w:tabs>
              <w:jc w:val="center"/>
              <w:rPr>
                <w:rFonts w:cs="Arial"/>
                <w:color w:val="FFFFFF" w:themeColor="background1"/>
              </w:rPr>
            </w:pPr>
            <w:r w:rsidRPr="00DC2FCF">
              <w:rPr>
                <w:rFonts w:cs="Arial"/>
                <w:color w:val="FFFFFF" w:themeColor="background1"/>
              </w:rPr>
              <w:t>2023/24</w:t>
            </w:r>
          </w:p>
        </w:tc>
        <w:tc>
          <w:tcPr>
            <w:tcW w:w="492" w:type="pct"/>
            <w:shd w:val="clear" w:color="auto" w:fill="BD2716"/>
            <w:vAlign w:val="center"/>
          </w:tcPr>
          <w:p w14:paraId="339401E4" w14:textId="7869C9C9" w:rsidR="003F1F39" w:rsidRPr="00DC2FCF" w:rsidRDefault="003F1F39" w:rsidP="095637AE">
            <w:pPr>
              <w:jc w:val="center"/>
              <w:rPr>
                <w:rFonts w:cs="Arial"/>
                <w:color w:val="FFFFFF" w:themeColor="background1"/>
              </w:rPr>
            </w:pPr>
            <w:r w:rsidRPr="00DC2FCF">
              <w:rPr>
                <w:rFonts w:cs="Arial"/>
                <w:color w:val="FFFFFF" w:themeColor="background1"/>
              </w:rPr>
              <w:t>2023/24</w:t>
            </w:r>
          </w:p>
        </w:tc>
      </w:tr>
      <w:tr w:rsidR="003F1F39" w:rsidRPr="00D948C1" w14:paraId="0D4A8030" w14:textId="77777777" w:rsidTr="6498351E">
        <w:tc>
          <w:tcPr>
            <w:tcW w:w="1814" w:type="pct"/>
            <w:shd w:val="clear" w:color="auto" w:fill="BD2716"/>
            <w:vAlign w:val="bottom"/>
          </w:tcPr>
          <w:p w14:paraId="1E8A2C43" w14:textId="77777777" w:rsidR="003F1F39" w:rsidRPr="00D948C1" w:rsidRDefault="003F1F39" w:rsidP="095637AE">
            <w:pPr>
              <w:rPr>
                <w:rFonts w:cs="Arial"/>
                <w:color w:val="FFFFFF" w:themeColor="background1"/>
                <w:highlight w:val="red"/>
              </w:rPr>
            </w:pPr>
          </w:p>
        </w:tc>
        <w:tc>
          <w:tcPr>
            <w:tcW w:w="349" w:type="pct"/>
            <w:shd w:val="clear" w:color="auto" w:fill="BD2716"/>
            <w:vAlign w:val="center"/>
          </w:tcPr>
          <w:p w14:paraId="35D0CE6C" w14:textId="1CE0F515" w:rsidR="003F1F39" w:rsidRPr="00D948C1" w:rsidRDefault="003F1F39" w:rsidP="095637AE">
            <w:pPr>
              <w:rPr>
                <w:rFonts w:cs="Arial"/>
                <w:color w:val="FFFFFF" w:themeColor="background1"/>
                <w:highlight w:val="red"/>
              </w:rPr>
            </w:pPr>
            <w:r w:rsidRPr="00DC2FCF">
              <w:rPr>
                <w:rFonts w:cs="Arial"/>
                <w:color w:val="FFFFFF" w:themeColor="background1"/>
              </w:rPr>
              <w:t>Notes</w:t>
            </w:r>
          </w:p>
        </w:tc>
        <w:tc>
          <w:tcPr>
            <w:tcW w:w="492" w:type="pct"/>
            <w:shd w:val="clear" w:color="auto" w:fill="BD2716"/>
            <w:vAlign w:val="center"/>
          </w:tcPr>
          <w:p w14:paraId="7D26DA7A" w14:textId="77777777" w:rsidR="003F1F39" w:rsidRPr="00DC2FCF" w:rsidRDefault="003F1F39" w:rsidP="095637AE">
            <w:pPr>
              <w:jc w:val="right"/>
              <w:rPr>
                <w:rFonts w:cs="Arial"/>
                <w:color w:val="FFFFFF" w:themeColor="background1"/>
              </w:rPr>
            </w:pPr>
            <w:r w:rsidRPr="00DC2FCF">
              <w:rPr>
                <w:rFonts w:cs="Arial"/>
                <w:color w:val="FFFFFF" w:themeColor="background1"/>
              </w:rPr>
              <w:t>Gross</w:t>
            </w:r>
          </w:p>
          <w:p w14:paraId="56986ED5"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268BD509" w14:textId="30E0CC9A" w:rsidR="003F1F39" w:rsidRPr="00DC2FCF" w:rsidRDefault="003F1F39" w:rsidP="095637AE">
            <w:pPr>
              <w:tabs>
                <w:tab w:val="decimal" w:pos="884"/>
              </w:tabs>
              <w:jc w:val="right"/>
              <w:rPr>
                <w:rFonts w:cs="Arial"/>
                <w:color w:val="FFFFFF" w:themeColor="background1"/>
              </w:rPr>
            </w:pPr>
            <w:r w:rsidRPr="00DC2FCF">
              <w:rPr>
                <w:rFonts w:cs="Arial"/>
                <w:color w:val="FFFFFF" w:themeColor="background1"/>
              </w:rPr>
              <w:t>£000</w:t>
            </w:r>
          </w:p>
        </w:tc>
        <w:tc>
          <w:tcPr>
            <w:tcW w:w="399" w:type="pct"/>
            <w:shd w:val="clear" w:color="auto" w:fill="BD2716"/>
            <w:vAlign w:val="center"/>
          </w:tcPr>
          <w:p w14:paraId="3B160703" w14:textId="77777777" w:rsidR="003F1F39" w:rsidRPr="00DC2FCF" w:rsidRDefault="003F1F39" w:rsidP="095637AE">
            <w:pPr>
              <w:jc w:val="right"/>
              <w:rPr>
                <w:rFonts w:cs="Arial"/>
                <w:color w:val="FFFFFF" w:themeColor="background1"/>
              </w:rPr>
            </w:pPr>
            <w:r w:rsidRPr="00DC2FCF">
              <w:rPr>
                <w:rFonts w:cs="Arial"/>
                <w:color w:val="FFFFFF" w:themeColor="background1"/>
              </w:rPr>
              <w:t>Gross</w:t>
            </w:r>
          </w:p>
          <w:p w14:paraId="5717DA7A" w14:textId="77777777" w:rsidR="003F1F39" w:rsidRPr="00DC2FCF" w:rsidRDefault="003F1F39" w:rsidP="095637AE">
            <w:pPr>
              <w:jc w:val="right"/>
              <w:rPr>
                <w:rFonts w:cs="Arial"/>
                <w:color w:val="FFFFFF" w:themeColor="background1"/>
              </w:rPr>
            </w:pPr>
            <w:r w:rsidRPr="00DC2FCF">
              <w:rPr>
                <w:rFonts w:cs="Arial"/>
                <w:color w:val="FFFFFF" w:themeColor="background1"/>
              </w:rPr>
              <w:t>Income</w:t>
            </w:r>
          </w:p>
          <w:p w14:paraId="5D787EE7" w14:textId="492552BC" w:rsidR="003F1F39" w:rsidRPr="00DC2FCF" w:rsidRDefault="003F1F39" w:rsidP="095637AE">
            <w:pPr>
              <w:tabs>
                <w:tab w:val="decimal" w:pos="884"/>
              </w:tabs>
              <w:jc w:val="right"/>
              <w:rPr>
                <w:rFonts w:cs="Arial"/>
                <w:color w:val="FFFFFF" w:themeColor="background1"/>
              </w:rPr>
            </w:pPr>
            <w:r w:rsidRPr="00DC2FCF">
              <w:rPr>
                <w:rFonts w:cs="Arial"/>
                <w:color w:val="FFFFFF" w:themeColor="background1"/>
              </w:rPr>
              <w:t>£000</w:t>
            </w:r>
          </w:p>
        </w:tc>
        <w:tc>
          <w:tcPr>
            <w:tcW w:w="492" w:type="pct"/>
            <w:shd w:val="clear" w:color="auto" w:fill="BD2716"/>
            <w:vAlign w:val="center"/>
          </w:tcPr>
          <w:p w14:paraId="7D09A239" w14:textId="74121531" w:rsidR="003F1F39" w:rsidRPr="00DC2FCF" w:rsidRDefault="006A622E" w:rsidP="095637AE">
            <w:pPr>
              <w:jc w:val="right"/>
              <w:rPr>
                <w:rFonts w:cs="Arial"/>
                <w:color w:val="FFFFFF" w:themeColor="background1"/>
              </w:rPr>
            </w:pPr>
            <w:r>
              <w:rPr>
                <w:rFonts w:cs="Arial"/>
                <w:color w:val="FFFFFF" w:themeColor="background1"/>
              </w:rPr>
              <w:t>Net</w:t>
            </w:r>
          </w:p>
          <w:p w14:paraId="75A17278"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72A94C71" w14:textId="4DB158E8" w:rsidR="003F1F39" w:rsidRPr="00DC2FCF" w:rsidRDefault="003F1F39" w:rsidP="095637AE">
            <w:pPr>
              <w:jc w:val="right"/>
              <w:rPr>
                <w:rFonts w:cs="Arial"/>
                <w:color w:val="FFFFFF" w:themeColor="background1"/>
              </w:rPr>
            </w:pPr>
            <w:r w:rsidRPr="00DC2FCF">
              <w:rPr>
                <w:rFonts w:cs="Arial"/>
                <w:color w:val="FFFFFF" w:themeColor="background1"/>
              </w:rPr>
              <w:t>£000</w:t>
            </w:r>
          </w:p>
        </w:tc>
        <w:tc>
          <w:tcPr>
            <w:tcW w:w="471" w:type="pct"/>
            <w:shd w:val="clear" w:color="auto" w:fill="BD2716"/>
            <w:vAlign w:val="center"/>
          </w:tcPr>
          <w:p w14:paraId="262CD0B9" w14:textId="77777777" w:rsidR="003F1F39" w:rsidRPr="00DC2FCF" w:rsidRDefault="003F1F39" w:rsidP="095637AE">
            <w:pPr>
              <w:jc w:val="right"/>
              <w:rPr>
                <w:rFonts w:cs="Arial"/>
                <w:color w:val="FFFFFF" w:themeColor="background1"/>
              </w:rPr>
            </w:pPr>
            <w:r w:rsidRPr="00DC2FCF">
              <w:rPr>
                <w:rFonts w:cs="Arial"/>
                <w:color w:val="FFFFFF" w:themeColor="background1"/>
              </w:rPr>
              <w:t>Gross</w:t>
            </w:r>
          </w:p>
          <w:p w14:paraId="20501F9A" w14:textId="77777777" w:rsidR="003F1F39" w:rsidRPr="00DC2FCF" w:rsidRDefault="003F1F39" w:rsidP="095637AE">
            <w:pPr>
              <w:jc w:val="right"/>
              <w:rPr>
                <w:rFonts w:cs="Arial"/>
                <w:color w:val="FFFFFF" w:themeColor="background1"/>
              </w:rPr>
            </w:pPr>
            <w:r w:rsidRPr="00DC2FCF">
              <w:rPr>
                <w:rFonts w:cs="Arial"/>
                <w:color w:val="FFFFFF" w:themeColor="background1"/>
              </w:rPr>
              <w:t>Income</w:t>
            </w:r>
          </w:p>
          <w:p w14:paraId="63E673CC" w14:textId="3CD91AFB" w:rsidR="003F1F39" w:rsidRPr="00DC2FCF" w:rsidRDefault="003F1F39" w:rsidP="095637AE">
            <w:pPr>
              <w:tabs>
                <w:tab w:val="decimal" w:pos="885"/>
              </w:tabs>
              <w:jc w:val="right"/>
              <w:rPr>
                <w:rFonts w:cs="Arial"/>
                <w:color w:val="FFFFFF" w:themeColor="background1"/>
              </w:rPr>
            </w:pPr>
            <w:r w:rsidRPr="00DC2FCF">
              <w:rPr>
                <w:rFonts w:cs="Arial"/>
                <w:color w:val="FFFFFF" w:themeColor="background1"/>
              </w:rPr>
              <w:t>£000</w:t>
            </w:r>
          </w:p>
        </w:tc>
        <w:tc>
          <w:tcPr>
            <w:tcW w:w="492" w:type="pct"/>
            <w:shd w:val="clear" w:color="auto" w:fill="BD2716"/>
            <w:vAlign w:val="center"/>
          </w:tcPr>
          <w:p w14:paraId="6E4CE181" w14:textId="570070E8" w:rsidR="003F1F39" w:rsidRPr="00DC2FCF" w:rsidRDefault="006A622E" w:rsidP="095637AE">
            <w:pPr>
              <w:jc w:val="right"/>
              <w:rPr>
                <w:rFonts w:cs="Arial"/>
                <w:color w:val="FFFFFF" w:themeColor="background1"/>
              </w:rPr>
            </w:pPr>
            <w:r>
              <w:rPr>
                <w:rFonts w:cs="Arial"/>
                <w:color w:val="FFFFFF" w:themeColor="background1"/>
              </w:rPr>
              <w:t>Gross</w:t>
            </w:r>
          </w:p>
          <w:p w14:paraId="16740CAC"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1AF556EB" w14:textId="7D16F13B" w:rsidR="003F1F39" w:rsidRPr="00DC2FCF" w:rsidRDefault="003F1F39" w:rsidP="095637AE">
            <w:pPr>
              <w:jc w:val="right"/>
              <w:rPr>
                <w:rFonts w:cs="Arial"/>
                <w:color w:val="FFFFFF" w:themeColor="background1"/>
              </w:rPr>
            </w:pPr>
            <w:r w:rsidRPr="00DC2FCF">
              <w:rPr>
                <w:rFonts w:cs="Arial"/>
                <w:color w:val="FFFFFF" w:themeColor="background1"/>
              </w:rPr>
              <w:t>£000</w:t>
            </w:r>
          </w:p>
        </w:tc>
        <w:tc>
          <w:tcPr>
            <w:tcW w:w="492" w:type="pct"/>
            <w:shd w:val="clear" w:color="auto" w:fill="BD2716"/>
            <w:vAlign w:val="center"/>
          </w:tcPr>
          <w:p w14:paraId="2A5E1F8A" w14:textId="77777777" w:rsidR="003F1F39" w:rsidRPr="00DC2FCF" w:rsidRDefault="003F1F39" w:rsidP="095637AE">
            <w:pPr>
              <w:jc w:val="right"/>
              <w:rPr>
                <w:rFonts w:cs="Arial"/>
                <w:color w:val="FFFFFF" w:themeColor="background1"/>
              </w:rPr>
            </w:pPr>
            <w:r w:rsidRPr="00DC2FCF">
              <w:rPr>
                <w:rFonts w:cs="Arial"/>
                <w:color w:val="FFFFFF" w:themeColor="background1"/>
              </w:rPr>
              <w:t>Net</w:t>
            </w:r>
          </w:p>
          <w:p w14:paraId="42FE42AE"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511427DF" w14:textId="3AF77989" w:rsidR="003F1F39" w:rsidRPr="00DC2FCF" w:rsidRDefault="003F1F39" w:rsidP="095637AE">
            <w:pPr>
              <w:jc w:val="right"/>
              <w:rPr>
                <w:rFonts w:cs="Arial"/>
                <w:color w:val="FFFFFF" w:themeColor="background1"/>
              </w:rPr>
            </w:pPr>
            <w:r w:rsidRPr="00DC2FCF">
              <w:rPr>
                <w:rFonts w:cs="Arial"/>
                <w:color w:val="FFFFFF" w:themeColor="background1"/>
              </w:rPr>
              <w:t>£000</w:t>
            </w:r>
          </w:p>
        </w:tc>
      </w:tr>
      <w:tr w:rsidR="003F1F39" w:rsidRPr="00D948C1" w14:paraId="38749423" w14:textId="77777777" w:rsidTr="6498351E">
        <w:tc>
          <w:tcPr>
            <w:tcW w:w="1814" w:type="pct"/>
          </w:tcPr>
          <w:p w14:paraId="493AEFF2" w14:textId="05EF55DD" w:rsidR="003F1F39" w:rsidRPr="007D2BA9" w:rsidRDefault="003F1F39" w:rsidP="095637AE">
            <w:pPr>
              <w:rPr>
                <w:rFonts w:cs="Arial"/>
              </w:rPr>
            </w:pPr>
            <w:r w:rsidRPr="007D2BA9">
              <w:rPr>
                <w:rFonts w:cs="Arial"/>
              </w:rPr>
              <w:t>Surplus on revaluation of non-current assets</w:t>
            </w:r>
          </w:p>
        </w:tc>
        <w:tc>
          <w:tcPr>
            <w:tcW w:w="349" w:type="pct"/>
          </w:tcPr>
          <w:p w14:paraId="7513FD57" w14:textId="77777777" w:rsidR="003F1F39" w:rsidRDefault="003F1F39" w:rsidP="095637AE">
            <w:pPr>
              <w:jc w:val="center"/>
              <w:rPr>
                <w:highlight w:val="red"/>
              </w:rPr>
            </w:pPr>
          </w:p>
        </w:tc>
        <w:tc>
          <w:tcPr>
            <w:tcW w:w="492" w:type="pct"/>
          </w:tcPr>
          <w:p w14:paraId="1AEAD810" w14:textId="77777777" w:rsidR="003F1F39" w:rsidRPr="00D948C1" w:rsidRDefault="003F1F39" w:rsidP="095637AE">
            <w:pPr>
              <w:tabs>
                <w:tab w:val="decimal" w:pos="884"/>
              </w:tabs>
              <w:rPr>
                <w:rFonts w:cs="Arial"/>
                <w:highlight w:val="red"/>
              </w:rPr>
            </w:pPr>
          </w:p>
        </w:tc>
        <w:tc>
          <w:tcPr>
            <w:tcW w:w="399" w:type="pct"/>
          </w:tcPr>
          <w:p w14:paraId="3E6F8F31" w14:textId="77777777" w:rsidR="003F1F39" w:rsidRPr="00D948C1" w:rsidRDefault="003F1F39" w:rsidP="095637AE">
            <w:pPr>
              <w:tabs>
                <w:tab w:val="decimal" w:pos="884"/>
              </w:tabs>
              <w:rPr>
                <w:rFonts w:cs="Arial"/>
                <w:highlight w:val="red"/>
              </w:rPr>
            </w:pPr>
          </w:p>
        </w:tc>
        <w:tc>
          <w:tcPr>
            <w:tcW w:w="492" w:type="pct"/>
            <w:vAlign w:val="center"/>
          </w:tcPr>
          <w:p w14:paraId="58D5192D" w14:textId="18D696E2" w:rsidR="003F1F39" w:rsidRPr="006822CA" w:rsidRDefault="005D14FC" w:rsidP="095637AE">
            <w:pPr>
              <w:tabs>
                <w:tab w:val="decimal" w:pos="889"/>
              </w:tabs>
              <w:jc w:val="right"/>
              <w:rPr>
                <w:rFonts w:cs="Arial"/>
              </w:rPr>
            </w:pPr>
            <w:r w:rsidRPr="006822CA">
              <w:rPr>
                <w:rFonts w:cs="Arial"/>
              </w:rPr>
              <w:t>(3,645)</w:t>
            </w:r>
          </w:p>
        </w:tc>
        <w:tc>
          <w:tcPr>
            <w:tcW w:w="471" w:type="pct"/>
            <w:vAlign w:val="center"/>
          </w:tcPr>
          <w:p w14:paraId="0233AD0A" w14:textId="77777777" w:rsidR="003F1F39" w:rsidRPr="00D948C1" w:rsidRDefault="003F1F39" w:rsidP="095637AE">
            <w:pPr>
              <w:tabs>
                <w:tab w:val="decimal" w:pos="885"/>
              </w:tabs>
              <w:jc w:val="right"/>
              <w:rPr>
                <w:rFonts w:cs="Arial"/>
                <w:highlight w:val="red"/>
              </w:rPr>
            </w:pPr>
          </w:p>
        </w:tc>
        <w:tc>
          <w:tcPr>
            <w:tcW w:w="492" w:type="pct"/>
            <w:vAlign w:val="center"/>
          </w:tcPr>
          <w:p w14:paraId="13821C5F" w14:textId="77777777" w:rsidR="003F1F39" w:rsidRPr="00D948C1" w:rsidRDefault="003F1F39" w:rsidP="095637AE">
            <w:pPr>
              <w:tabs>
                <w:tab w:val="decimal" w:pos="601"/>
              </w:tabs>
              <w:jc w:val="right"/>
              <w:rPr>
                <w:rFonts w:cs="Arial"/>
                <w:highlight w:val="red"/>
              </w:rPr>
            </w:pPr>
          </w:p>
        </w:tc>
        <w:tc>
          <w:tcPr>
            <w:tcW w:w="492" w:type="pct"/>
            <w:vAlign w:val="center"/>
          </w:tcPr>
          <w:p w14:paraId="018723C9" w14:textId="5773BA31" w:rsidR="003F1F39" w:rsidRPr="00853E26" w:rsidRDefault="003F1F39" w:rsidP="095637AE">
            <w:pPr>
              <w:tabs>
                <w:tab w:val="decimal" w:pos="889"/>
              </w:tabs>
              <w:jc w:val="right"/>
              <w:rPr>
                <w:rFonts w:cs="Arial"/>
              </w:rPr>
            </w:pPr>
            <w:r w:rsidRPr="00853E26">
              <w:rPr>
                <w:rFonts w:cs="Arial"/>
              </w:rPr>
              <w:t>(1,206)</w:t>
            </w:r>
          </w:p>
        </w:tc>
      </w:tr>
      <w:tr w:rsidR="003F1F39" w:rsidRPr="00D948C1" w14:paraId="3B437605" w14:textId="77777777" w:rsidTr="6498351E">
        <w:tc>
          <w:tcPr>
            <w:tcW w:w="1814" w:type="pct"/>
          </w:tcPr>
          <w:p w14:paraId="086826D1" w14:textId="77777777" w:rsidR="003F1F39" w:rsidRPr="00853E26" w:rsidRDefault="003F1F39" w:rsidP="095637AE">
            <w:pPr>
              <w:rPr>
                <w:rFonts w:cs="Arial"/>
              </w:rPr>
            </w:pPr>
            <w:r w:rsidRPr="00853E26">
              <w:rPr>
                <w:rFonts w:cs="Arial"/>
              </w:rPr>
              <w:t>Actuarial (gains)/losses on pensions assets and liabilities</w:t>
            </w:r>
          </w:p>
        </w:tc>
        <w:tc>
          <w:tcPr>
            <w:tcW w:w="349" w:type="pct"/>
            <w:vAlign w:val="center"/>
          </w:tcPr>
          <w:p w14:paraId="6DA1E0DE" w14:textId="47F04FAE" w:rsidR="003F1F39" w:rsidRPr="00D948C1" w:rsidRDefault="008B5A0C" w:rsidP="095637AE">
            <w:pPr>
              <w:jc w:val="center"/>
              <w:rPr>
                <w:rStyle w:val="Hyperlink"/>
                <w:highlight w:val="red"/>
              </w:rPr>
            </w:pPr>
            <w:hyperlink w:anchor="_19_Unusable_Reserves">
              <w:r>
                <w:rPr>
                  <w:rStyle w:val="Hyperlink"/>
                </w:rPr>
                <w:t>19</w:t>
              </w:r>
            </w:hyperlink>
          </w:p>
        </w:tc>
        <w:tc>
          <w:tcPr>
            <w:tcW w:w="492" w:type="pct"/>
          </w:tcPr>
          <w:p w14:paraId="1EA5DF64" w14:textId="4FAAFC67" w:rsidR="003F1F39" w:rsidRPr="00D948C1" w:rsidRDefault="003F1F39" w:rsidP="095637AE">
            <w:pPr>
              <w:tabs>
                <w:tab w:val="decimal" w:pos="884"/>
              </w:tabs>
              <w:rPr>
                <w:rFonts w:cs="Arial"/>
                <w:highlight w:val="red"/>
              </w:rPr>
            </w:pPr>
          </w:p>
        </w:tc>
        <w:tc>
          <w:tcPr>
            <w:tcW w:w="399" w:type="pct"/>
          </w:tcPr>
          <w:p w14:paraId="5C77D365" w14:textId="77777777" w:rsidR="003F1F39" w:rsidRPr="00D948C1" w:rsidRDefault="003F1F39" w:rsidP="095637AE">
            <w:pPr>
              <w:tabs>
                <w:tab w:val="decimal" w:pos="884"/>
              </w:tabs>
              <w:rPr>
                <w:rFonts w:cs="Arial"/>
                <w:highlight w:val="red"/>
              </w:rPr>
            </w:pPr>
          </w:p>
        </w:tc>
        <w:tc>
          <w:tcPr>
            <w:tcW w:w="492" w:type="pct"/>
            <w:vAlign w:val="center"/>
          </w:tcPr>
          <w:p w14:paraId="7BF5C23F" w14:textId="48D95AAC" w:rsidR="003F1F39" w:rsidRPr="006822CA" w:rsidRDefault="005D14FC" w:rsidP="095637AE">
            <w:pPr>
              <w:tabs>
                <w:tab w:val="decimal" w:pos="889"/>
              </w:tabs>
              <w:jc w:val="right"/>
              <w:rPr>
                <w:rFonts w:cs="Arial"/>
              </w:rPr>
            </w:pPr>
            <w:r w:rsidRPr="006822CA">
              <w:rPr>
                <w:rFonts w:cs="Arial"/>
              </w:rPr>
              <w:t>(67,199)</w:t>
            </w:r>
          </w:p>
        </w:tc>
        <w:tc>
          <w:tcPr>
            <w:tcW w:w="471" w:type="pct"/>
            <w:vAlign w:val="center"/>
          </w:tcPr>
          <w:p w14:paraId="1E29F50F" w14:textId="18D38FD5" w:rsidR="003F1F39" w:rsidRPr="00D948C1" w:rsidRDefault="003F1F39" w:rsidP="095637AE">
            <w:pPr>
              <w:tabs>
                <w:tab w:val="decimal" w:pos="885"/>
              </w:tabs>
              <w:jc w:val="right"/>
              <w:rPr>
                <w:rFonts w:cs="Arial"/>
                <w:highlight w:val="red"/>
              </w:rPr>
            </w:pPr>
          </w:p>
        </w:tc>
        <w:tc>
          <w:tcPr>
            <w:tcW w:w="492" w:type="pct"/>
            <w:vAlign w:val="center"/>
          </w:tcPr>
          <w:p w14:paraId="4AAAF1D4" w14:textId="77777777" w:rsidR="003F1F39" w:rsidRPr="00D948C1" w:rsidRDefault="003F1F39" w:rsidP="095637AE">
            <w:pPr>
              <w:tabs>
                <w:tab w:val="decimal" w:pos="601"/>
              </w:tabs>
              <w:jc w:val="right"/>
              <w:rPr>
                <w:rFonts w:cs="Arial"/>
                <w:highlight w:val="red"/>
              </w:rPr>
            </w:pPr>
          </w:p>
        </w:tc>
        <w:tc>
          <w:tcPr>
            <w:tcW w:w="492" w:type="pct"/>
            <w:vAlign w:val="center"/>
          </w:tcPr>
          <w:p w14:paraId="1B0C2065" w14:textId="54D5AF5F" w:rsidR="003F1F39" w:rsidRPr="00853E26" w:rsidRDefault="003F1F39" w:rsidP="095637AE">
            <w:pPr>
              <w:tabs>
                <w:tab w:val="decimal" w:pos="889"/>
              </w:tabs>
              <w:jc w:val="right"/>
              <w:rPr>
                <w:rFonts w:cs="Arial"/>
              </w:rPr>
            </w:pPr>
            <w:r w:rsidRPr="00853E26">
              <w:rPr>
                <w:rFonts w:cs="Arial"/>
              </w:rPr>
              <w:t>(4,170)</w:t>
            </w:r>
          </w:p>
        </w:tc>
      </w:tr>
      <w:tr w:rsidR="003F1F39" w:rsidRPr="00D948C1" w14:paraId="19E3407C" w14:textId="77777777" w:rsidTr="6498351E">
        <w:tc>
          <w:tcPr>
            <w:tcW w:w="1814" w:type="pct"/>
          </w:tcPr>
          <w:p w14:paraId="50923FDB" w14:textId="77777777" w:rsidR="003F1F39" w:rsidRPr="00853E26" w:rsidRDefault="003F1F39" w:rsidP="095637AE">
            <w:pPr>
              <w:rPr>
                <w:rFonts w:cs="Arial"/>
              </w:rPr>
            </w:pPr>
            <w:r w:rsidRPr="00853E26">
              <w:rPr>
                <w:rFonts w:cs="Arial"/>
              </w:rPr>
              <w:t>Other comprehensive income &amp; expenditure</w:t>
            </w:r>
          </w:p>
        </w:tc>
        <w:tc>
          <w:tcPr>
            <w:tcW w:w="349" w:type="pct"/>
          </w:tcPr>
          <w:p w14:paraId="0F36D4D3" w14:textId="77777777" w:rsidR="003F1F39" w:rsidRPr="00D948C1" w:rsidRDefault="003F1F39" w:rsidP="095637AE">
            <w:pPr>
              <w:jc w:val="center"/>
              <w:rPr>
                <w:rStyle w:val="Hyperlink"/>
                <w:highlight w:val="red"/>
              </w:rPr>
            </w:pPr>
          </w:p>
        </w:tc>
        <w:tc>
          <w:tcPr>
            <w:tcW w:w="492" w:type="pct"/>
          </w:tcPr>
          <w:p w14:paraId="15A8820A" w14:textId="763CA29A" w:rsidR="003F1F39" w:rsidRPr="00D948C1" w:rsidRDefault="003F1F39" w:rsidP="095637AE">
            <w:pPr>
              <w:tabs>
                <w:tab w:val="decimal" w:pos="884"/>
              </w:tabs>
              <w:rPr>
                <w:rFonts w:cs="Arial"/>
                <w:highlight w:val="red"/>
              </w:rPr>
            </w:pPr>
          </w:p>
        </w:tc>
        <w:tc>
          <w:tcPr>
            <w:tcW w:w="399" w:type="pct"/>
          </w:tcPr>
          <w:p w14:paraId="7C916610" w14:textId="77777777" w:rsidR="003F1F39" w:rsidRPr="00D948C1" w:rsidRDefault="003F1F39" w:rsidP="095637AE">
            <w:pPr>
              <w:tabs>
                <w:tab w:val="decimal" w:pos="884"/>
              </w:tabs>
              <w:rPr>
                <w:rFonts w:cs="Arial"/>
                <w:highlight w:val="red"/>
              </w:rPr>
            </w:pPr>
          </w:p>
        </w:tc>
        <w:tc>
          <w:tcPr>
            <w:tcW w:w="492" w:type="pct"/>
          </w:tcPr>
          <w:p w14:paraId="710568FF" w14:textId="2D92B1FB" w:rsidR="003F1F39" w:rsidRPr="006822CA" w:rsidRDefault="005D14FC" w:rsidP="095637AE">
            <w:pPr>
              <w:tabs>
                <w:tab w:val="decimal" w:pos="889"/>
              </w:tabs>
              <w:jc w:val="right"/>
              <w:rPr>
                <w:rFonts w:cs="Arial"/>
              </w:rPr>
            </w:pPr>
            <w:r w:rsidRPr="006822CA">
              <w:rPr>
                <w:rFonts w:cs="Arial"/>
              </w:rPr>
              <w:t>(70,845)</w:t>
            </w:r>
          </w:p>
        </w:tc>
        <w:tc>
          <w:tcPr>
            <w:tcW w:w="471" w:type="pct"/>
          </w:tcPr>
          <w:p w14:paraId="779A0222" w14:textId="7D7642D5" w:rsidR="003F1F39" w:rsidRPr="00D948C1" w:rsidRDefault="003F1F39" w:rsidP="095637AE">
            <w:pPr>
              <w:tabs>
                <w:tab w:val="decimal" w:pos="885"/>
              </w:tabs>
              <w:rPr>
                <w:rFonts w:cs="Arial"/>
                <w:highlight w:val="red"/>
              </w:rPr>
            </w:pPr>
          </w:p>
        </w:tc>
        <w:tc>
          <w:tcPr>
            <w:tcW w:w="492" w:type="pct"/>
          </w:tcPr>
          <w:p w14:paraId="6A50CA29" w14:textId="77777777" w:rsidR="003F1F39" w:rsidRPr="00D948C1" w:rsidRDefault="003F1F39" w:rsidP="095637AE">
            <w:pPr>
              <w:tabs>
                <w:tab w:val="decimal" w:pos="601"/>
              </w:tabs>
              <w:jc w:val="both"/>
              <w:rPr>
                <w:rFonts w:cs="Arial"/>
                <w:highlight w:val="red"/>
              </w:rPr>
            </w:pPr>
          </w:p>
        </w:tc>
        <w:tc>
          <w:tcPr>
            <w:tcW w:w="492" w:type="pct"/>
          </w:tcPr>
          <w:p w14:paraId="386871D1" w14:textId="6C47E429" w:rsidR="003F1F39" w:rsidRPr="00853E26" w:rsidRDefault="003F1F39" w:rsidP="095637AE">
            <w:pPr>
              <w:tabs>
                <w:tab w:val="decimal" w:pos="889"/>
              </w:tabs>
              <w:jc w:val="right"/>
              <w:rPr>
                <w:rFonts w:cs="Arial"/>
              </w:rPr>
            </w:pPr>
            <w:r w:rsidRPr="00853E26">
              <w:rPr>
                <w:rFonts w:cs="Arial"/>
              </w:rPr>
              <w:t>(5,377)</w:t>
            </w:r>
          </w:p>
        </w:tc>
      </w:tr>
      <w:tr w:rsidR="003F1F39" w:rsidRPr="00D948C1" w14:paraId="436605F0" w14:textId="77777777" w:rsidTr="6498351E">
        <w:tc>
          <w:tcPr>
            <w:tcW w:w="1814" w:type="pct"/>
          </w:tcPr>
          <w:p w14:paraId="1F797848" w14:textId="77777777" w:rsidR="003F1F39" w:rsidRPr="00853E26" w:rsidRDefault="003F1F39" w:rsidP="095637AE">
            <w:pPr>
              <w:rPr>
                <w:rFonts w:cs="Arial"/>
              </w:rPr>
            </w:pPr>
            <w:r w:rsidRPr="00853E26">
              <w:rPr>
                <w:rFonts w:cs="Arial"/>
              </w:rPr>
              <w:t>Total Comprehensive Income and Expenditure</w:t>
            </w:r>
          </w:p>
        </w:tc>
        <w:tc>
          <w:tcPr>
            <w:tcW w:w="349" w:type="pct"/>
          </w:tcPr>
          <w:p w14:paraId="292CA78A" w14:textId="77777777" w:rsidR="003F1F39" w:rsidRPr="00D948C1" w:rsidRDefault="003F1F39" w:rsidP="095637AE">
            <w:pPr>
              <w:jc w:val="center"/>
              <w:rPr>
                <w:rStyle w:val="Hyperlink"/>
                <w:highlight w:val="red"/>
              </w:rPr>
            </w:pPr>
          </w:p>
        </w:tc>
        <w:tc>
          <w:tcPr>
            <w:tcW w:w="492" w:type="pct"/>
          </w:tcPr>
          <w:p w14:paraId="1208351B" w14:textId="458F6543" w:rsidR="003F1F39" w:rsidRPr="00D948C1" w:rsidRDefault="003F1F39" w:rsidP="095637AE">
            <w:pPr>
              <w:tabs>
                <w:tab w:val="decimal" w:pos="884"/>
              </w:tabs>
              <w:rPr>
                <w:rFonts w:cs="Arial"/>
                <w:highlight w:val="red"/>
              </w:rPr>
            </w:pPr>
          </w:p>
        </w:tc>
        <w:tc>
          <w:tcPr>
            <w:tcW w:w="399" w:type="pct"/>
          </w:tcPr>
          <w:p w14:paraId="5FEA0334" w14:textId="77777777" w:rsidR="003F1F39" w:rsidRPr="00D948C1" w:rsidRDefault="003F1F39" w:rsidP="095637AE">
            <w:pPr>
              <w:tabs>
                <w:tab w:val="decimal" w:pos="884"/>
              </w:tabs>
              <w:rPr>
                <w:rFonts w:cs="Arial"/>
                <w:highlight w:val="red"/>
              </w:rPr>
            </w:pPr>
          </w:p>
        </w:tc>
        <w:tc>
          <w:tcPr>
            <w:tcW w:w="492" w:type="pct"/>
          </w:tcPr>
          <w:p w14:paraId="2F89DD26" w14:textId="34B5F09B" w:rsidR="003F1F39" w:rsidRPr="006822CA" w:rsidRDefault="005D14FC" w:rsidP="095637AE">
            <w:pPr>
              <w:tabs>
                <w:tab w:val="decimal" w:pos="742"/>
              </w:tabs>
              <w:jc w:val="right"/>
              <w:rPr>
                <w:rFonts w:cs="Arial"/>
                <w:b/>
                <w:bCs/>
              </w:rPr>
            </w:pPr>
            <w:r w:rsidRPr="006822CA">
              <w:rPr>
                <w:rFonts w:cs="Arial"/>
                <w:b/>
                <w:bCs/>
              </w:rPr>
              <w:t>(67,791)</w:t>
            </w:r>
          </w:p>
        </w:tc>
        <w:tc>
          <w:tcPr>
            <w:tcW w:w="471" w:type="pct"/>
          </w:tcPr>
          <w:p w14:paraId="56F5CCED" w14:textId="3E3C8CE9" w:rsidR="003F1F39" w:rsidRPr="00D948C1" w:rsidRDefault="003F1F39" w:rsidP="095637AE">
            <w:pPr>
              <w:tabs>
                <w:tab w:val="decimal" w:pos="885"/>
              </w:tabs>
              <w:rPr>
                <w:rFonts w:cs="Arial"/>
                <w:b/>
                <w:bCs/>
                <w:highlight w:val="red"/>
              </w:rPr>
            </w:pPr>
          </w:p>
        </w:tc>
        <w:tc>
          <w:tcPr>
            <w:tcW w:w="492" w:type="pct"/>
          </w:tcPr>
          <w:p w14:paraId="2EC37CEF" w14:textId="77777777" w:rsidR="003F1F39" w:rsidRPr="00D948C1" w:rsidRDefault="003F1F39" w:rsidP="095637AE">
            <w:pPr>
              <w:tabs>
                <w:tab w:val="decimal" w:pos="601"/>
              </w:tabs>
              <w:jc w:val="both"/>
              <w:rPr>
                <w:rFonts w:cs="Arial"/>
                <w:highlight w:val="red"/>
              </w:rPr>
            </w:pPr>
          </w:p>
        </w:tc>
        <w:tc>
          <w:tcPr>
            <w:tcW w:w="492" w:type="pct"/>
          </w:tcPr>
          <w:p w14:paraId="1C9CB8B0" w14:textId="7B043484" w:rsidR="003F1F39" w:rsidRPr="00853E26" w:rsidRDefault="003F1F39" w:rsidP="095637AE">
            <w:pPr>
              <w:tabs>
                <w:tab w:val="decimal" w:pos="742"/>
              </w:tabs>
              <w:jc w:val="right"/>
              <w:rPr>
                <w:rFonts w:cs="Arial"/>
                <w:b/>
                <w:bCs/>
              </w:rPr>
            </w:pPr>
            <w:r w:rsidRPr="00853E26">
              <w:rPr>
                <w:rFonts w:cs="Arial"/>
                <w:b/>
                <w:bCs/>
              </w:rPr>
              <w:t>461</w:t>
            </w:r>
          </w:p>
        </w:tc>
      </w:tr>
    </w:tbl>
    <w:p w14:paraId="74DB2AFC" w14:textId="77777777" w:rsidR="00E216EE" w:rsidRPr="00D948C1" w:rsidRDefault="00E216EE" w:rsidP="095637AE">
      <w:pPr>
        <w:rPr>
          <w:highlight w:val="red"/>
        </w:rPr>
        <w:sectPr w:rsidR="00E216EE" w:rsidRPr="00D948C1" w:rsidSect="001C1966">
          <w:pgSz w:w="16840" w:h="11907" w:orient="landscape" w:code="9"/>
          <w:pgMar w:top="1134" w:right="851" w:bottom="851" w:left="737" w:header="720" w:footer="720" w:gutter="0"/>
          <w:cols w:space="720"/>
          <w:docGrid w:linePitch="326"/>
        </w:sectPr>
      </w:pPr>
    </w:p>
    <w:p w14:paraId="331C1265" w14:textId="6427F145" w:rsidR="00BC0AFA" w:rsidRPr="00D948C1" w:rsidRDefault="002618EE" w:rsidP="007461FD">
      <w:pPr>
        <w:pStyle w:val="Heading1"/>
        <w:rPr>
          <w:szCs w:val="24"/>
        </w:rPr>
      </w:pPr>
      <w:bookmarkStart w:id="18" w:name="MIRS"/>
      <w:bookmarkStart w:id="19" w:name="_Toc215593387"/>
      <w:bookmarkEnd w:id="18"/>
      <w:r w:rsidRPr="00D948C1">
        <w:rPr>
          <w:szCs w:val="24"/>
        </w:rPr>
        <w:lastRenderedPageBreak/>
        <w:t>Movement in Reserves Statement 202</w:t>
      </w:r>
      <w:r w:rsidR="007742EF">
        <w:rPr>
          <w:szCs w:val="24"/>
        </w:rPr>
        <w:t>4</w:t>
      </w:r>
      <w:r w:rsidR="008F7B73" w:rsidRPr="00D948C1">
        <w:rPr>
          <w:szCs w:val="24"/>
        </w:rPr>
        <w:t>/2</w:t>
      </w:r>
      <w:r w:rsidR="007742EF">
        <w:rPr>
          <w:szCs w:val="24"/>
        </w:rPr>
        <w:t>5</w:t>
      </w:r>
      <w:bookmarkEnd w:id="19"/>
    </w:p>
    <w:p w14:paraId="56FA8C73" w14:textId="77777777" w:rsidR="001C2B3D" w:rsidRPr="00D948C1" w:rsidRDefault="001C2B3D" w:rsidP="007461FD">
      <w:pPr>
        <w:tabs>
          <w:tab w:val="left" w:pos="720"/>
          <w:tab w:val="right" w:pos="5760"/>
        </w:tabs>
        <w:rPr>
          <w:b/>
          <w:szCs w:val="24"/>
        </w:rPr>
      </w:pPr>
    </w:p>
    <w:tbl>
      <w:tblPr>
        <w:tblW w:w="4668" w:type="pct"/>
        <w:tblLook w:val="01E0" w:firstRow="1" w:lastRow="1" w:firstColumn="1" w:lastColumn="1" w:noHBand="0" w:noVBand="0"/>
      </w:tblPr>
      <w:tblGrid>
        <w:gridCol w:w="4141"/>
        <w:gridCol w:w="1218"/>
        <w:gridCol w:w="1392"/>
        <w:gridCol w:w="1218"/>
        <w:gridCol w:w="1275"/>
        <w:gridCol w:w="1218"/>
        <w:gridCol w:w="1218"/>
        <w:gridCol w:w="1275"/>
        <w:gridCol w:w="1275"/>
      </w:tblGrid>
      <w:tr w:rsidR="000850E2" w:rsidRPr="00D948C1" w14:paraId="60E4372C" w14:textId="77777777" w:rsidTr="00E952A1">
        <w:trPr>
          <w:tblHeader/>
        </w:trPr>
        <w:tc>
          <w:tcPr>
            <w:tcW w:w="1455" w:type="pct"/>
            <w:tcBorders>
              <w:top w:val="single" w:sz="4" w:space="0" w:color="auto"/>
              <w:left w:val="single" w:sz="4" w:space="0" w:color="auto"/>
              <w:bottom w:val="single" w:sz="4" w:space="0" w:color="auto"/>
              <w:right w:val="single" w:sz="4" w:space="0" w:color="auto"/>
            </w:tcBorders>
            <w:shd w:val="clear" w:color="auto" w:fill="BD2716"/>
            <w:vAlign w:val="center"/>
          </w:tcPr>
          <w:p w14:paraId="08D0DC47" w14:textId="19CEAB30" w:rsidR="00714A3E" w:rsidRPr="00D948C1" w:rsidRDefault="00714A3E" w:rsidP="00FA71D8">
            <w:pPr>
              <w:rPr>
                <w:rFonts w:cs="Arial"/>
                <w:color w:val="FFFFFF" w:themeColor="background1"/>
                <w:szCs w:val="24"/>
              </w:rPr>
            </w:pPr>
            <w:bookmarkStart w:id="20" w:name="_Hlk68095853"/>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33D8BDE9"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General fund</w:t>
            </w:r>
          </w:p>
          <w:p w14:paraId="4F9F51E1" w14:textId="3430C0A5"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89" w:type="pct"/>
            <w:tcBorders>
              <w:top w:val="single" w:sz="4" w:space="0" w:color="auto"/>
              <w:left w:val="single" w:sz="4" w:space="0" w:color="auto"/>
              <w:bottom w:val="single" w:sz="4" w:space="0" w:color="auto"/>
              <w:right w:val="single" w:sz="4" w:space="0" w:color="auto"/>
            </w:tcBorders>
            <w:shd w:val="clear" w:color="auto" w:fill="BD2716"/>
            <w:vAlign w:val="center"/>
          </w:tcPr>
          <w:p w14:paraId="4314780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Earmarked reserves</w:t>
            </w:r>
          </w:p>
          <w:p w14:paraId="2E150685" w14:textId="1199E508"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7D58B5F7"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General Fund Balance</w:t>
            </w:r>
          </w:p>
          <w:p w14:paraId="77A7F7BA" w14:textId="6D9D120C"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48CBE3AC"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grant unapplied reserve</w:t>
            </w:r>
          </w:p>
          <w:p w14:paraId="450F0A0F" w14:textId="7A13A8A9"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06E931C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receipts reserve</w:t>
            </w:r>
          </w:p>
          <w:p w14:paraId="6D01BE83" w14:textId="3B28678E"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25D6F2A9"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usable reserves</w:t>
            </w:r>
          </w:p>
          <w:p w14:paraId="76F688FE" w14:textId="42280E78"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7C0BB1C6"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Unusable reserves</w:t>
            </w:r>
          </w:p>
          <w:p w14:paraId="6AF27D92" w14:textId="67AFE80C"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7D97D35D"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Authority reserves</w:t>
            </w:r>
          </w:p>
          <w:p w14:paraId="73C82945" w14:textId="4494A4ED"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r>
      <w:tr w:rsidR="000850E2" w:rsidRPr="00D948C1" w14:paraId="471E4A0D" w14:textId="77777777" w:rsidTr="00E952A1">
        <w:trPr>
          <w:trHeight w:val="601"/>
        </w:trPr>
        <w:tc>
          <w:tcPr>
            <w:tcW w:w="1455" w:type="pct"/>
            <w:tcBorders>
              <w:top w:val="single" w:sz="4" w:space="0" w:color="auto"/>
              <w:left w:val="single" w:sz="4" w:space="0" w:color="auto"/>
              <w:bottom w:val="single" w:sz="4" w:space="0" w:color="auto"/>
              <w:right w:val="single" w:sz="4" w:space="0" w:color="auto"/>
            </w:tcBorders>
            <w:vAlign w:val="center"/>
          </w:tcPr>
          <w:p w14:paraId="559493BB" w14:textId="6A589121" w:rsidR="00714A3E" w:rsidRPr="00D948C1" w:rsidRDefault="00714A3E" w:rsidP="095637AE">
            <w:pPr>
              <w:rPr>
                <w:rFonts w:cs="Arial"/>
                <w:b/>
                <w:bCs/>
                <w:highlight w:val="red"/>
              </w:rPr>
            </w:pPr>
            <w:r w:rsidRPr="00853E26">
              <w:rPr>
                <w:rFonts w:cs="Arial"/>
                <w:b/>
                <w:bCs/>
              </w:rPr>
              <w:t xml:space="preserve">Balance </w:t>
            </w:r>
            <w:proofErr w:type="gramStart"/>
            <w:r w:rsidRPr="00853E26">
              <w:rPr>
                <w:rFonts w:cs="Arial"/>
                <w:b/>
                <w:bCs/>
              </w:rPr>
              <w:t>at</w:t>
            </w:r>
            <w:proofErr w:type="gramEnd"/>
            <w:r w:rsidRPr="00853E26">
              <w:rPr>
                <w:rFonts w:cs="Arial"/>
                <w:b/>
                <w:bCs/>
              </w:rPr>
              <w:t xml:space="preserve"> 31 March 2024 carried forwards</w:t>
            </w:r>
          </w:p>
        </w:tc>
        <w:tc>
          <w:tcPr>
            <w:tcW w:w="428" w:type="pct"/>
            <w:tcBorders>
              <w:top w:val="single" w:sz="4" w:space="0" w:color="auto"/>
              <w:left w:val="single" w:sz="4" w:space="0" w:color="auto"/>
              <w:bottom w:val="single" w:sz="4" w:space="0" w:color="auto"/>
              <w:right w:val="single" w:sz="4" w:space="0" w:color="auto"/>
            </w:tcBorders>
            <w:vAlign w:val="center"/>
          </w:tcPr>
          <w:p w14:paraId="3FF45B4E" w14:textId="16876FC5" w:rsidR="00714A3E" w:rsidRPr="00853E26" w:rsidRDefault="00714A3E" w:rsidP="095637AE">
            <w:pPr>
              <w:jc w:val="right"/>
              <w:rPr>
                <w:rFonts w:cs="Arial"/>
                <w:b/>
                <w:bCs/>
              </w:rPr>
            </w:pPr>
            <w:r w:rsidRPr="00853E26">
              <w:rPr>
                <w:rFonts w:cs="Arial"/>
                <w:b/>
                <w:bCs/>
              </w:rPr>
              <w:t>5,662</w:t>
            </w:r>
          </w:p>
        </w:tc>
        <w:tc>
          <w:tcPr>
            <w:tcW w:w="489" w:type="pct"/>
            <w:tcBorders>
              <w:top w:val="single" w:sz="4" w:space="0" w:color="auto"/>
              <w:left w:val="single" w:sz="4" w:space="0" w:color="auto"/>
              <w:bottom w:val="single" w:sz="4" w:space="0" w:color="auto"/>
              <w:right w:val="single" w:sz="4" w:space="0" w:color="auto"/>
            </w:tcBorders>
            <w:vAlign w:val="center"/>
          </w:tcPr>
          <w:p w14:paraId="1C5F882B" w14:textId="132C2692" w:rsidR="00714A3E" w:rsidRPr="00853E26" w:rsidRDefault="00EA77B0" w:rsidP="095637AE">
            <w:pPr>
              <w:jc w:val="right"/>
              <w:rPr>
                <w:rFonts w:cs="Arial"/>
                <w:b/>
                <w:bCs/>
              </w:rPr>
            </w:pPr>
            <w:r>
              <w:rPr>
                <w:rFonts w:cs="Arial"/>
                <w:b/>
                <w:bCs/>
              </w:rPr>
              <w:t>2</w:t>
            </w:r>
            <w:r w:rsidR="00714A3E" w:rsidRPr="00853E26">
              <w:rPr>
                <w:rFonts w:cs="Arial"/>
                <w:b/>
                <w:bCs/>
              </w:rPr>
              <w:t>8,</w:t>
            </w:r>
            <w:r>
              <w:rPr>
                <w:rFonts w:cs="Arial"/>
                <w:b/>
                <w:bCs/>
              </w:rPr>
              <w:t>034</w:t>
            </w:r>
          </w:p>
        </w:tc>
        <w:tc>
          <w:tcPr>
            <w:tcW w:w="428" w:type="pct"/>
            <w:tcBorders>
              <w:top w:val="single" w:sz="4" w:space="0" w:color="auto"/>
              <w:left w:val="single" w:sz="4" w:space="0" w:color="auto"/>
              <w:bottom w:val="single" w:sz="4" w:space="0" w:color="auto"/>
              <w:right w:val="single" w:sz="4" w:space="0" w:color="auto"/>
            </w:tcBorders>
            <w:vAlign w:val="center"/>
          </w:tcPr>
          <w:p w14:paraId="17F7A261" w14:textId="68BEFD98" w:rsidR="00714A3E" w:rsidRPr="00853E26" w:rsidRDefault="000850E2" w:rsidP="095637AE">
            <w:pPr>
              <w:jc w:val="right"/>
              <w:rPr>
                <w:rFonts w:cs="Arial"/>
                <w:b/>
                <w:bCs/>
              </w:rPr>
            </w:pPr>
            <w:r>
              <w:rPr>
                <w:rFonts w:cs="Arial"/>
                <w:b/>
                <w:bCs/>
              </w:rPr>
              <w:t>33</w:t>
            </w:r>
            <w:r w:rsidR="00714A3E" w:rsidRPr="00853E26">
              <w:rPr>
                <w:rFonts w:cs="Arial"/>
                <w:b/>
                <w:bCs/>
              </w:rPr>
              <w:t>,</w:t>
            </w:r>
            <w:r w:rsidR="00A17E3B">
              <w:rPr>
                <w:rFonts w:cs="Arial"/>
                <w:b/>
                <w:bCs/>
              </w:rPr>
              <w:t>696</w:t>
            </w:r>
          </w:p>
        </w:tc>
        <w:tc>
          <w:tcPr>
            <w:tcW w:w="448" w:type="pct"/>
            <w:tcBorders>
              <w:top w:val="single" w:sz="4" w:space="0" w:color="auto"/>
              <w:left w:val="single" w:sz="4" w:space="0" w:color="auto"/>
              <w:bottom w:val="single" w:sz="4" w:space="0" w:color="auto"/>
              <w:right w:val="single" w:sz="4" w:space="0" w:color="auto"/>
            </w:tcBorders>
            <w:vAlign w:val="center"/>
          </w:tcPr>
          <w:p w14:paraId="03224375" w14:textId="4FF25CC7" w:rsidR="00714A3E" w:rsidRPr="00853E26" w:rsidRDefault="00714A3E" w:rsidP="095637AE">
            <w:pPr>
              <w:jc w:val="right"/>
              <w:rPr>
                <w:rFonts w:cs="Arial"/>
                <w:b/>
                <w:bCs/>
              </w:rPr>
            </w:pPr>
            <w:r w:rsidRPr="00853E26">
              <w:rPr>
                <w:rFonts w:cs="Arial"/>
                <w:b/>
                <w:bCs/>
              </w:rPr>
              <w:t>-</w:t>
            </w:r>
          </w:p>
        </w:tc>
        <w:tc>
          <w:tcPr>
            <w:tcW w:w="428" w:type="pct"/>
            <w:tcBorders>
              <w:top w:val="single" w:sz="4" w:space="0" w:color="auto"/>
              <w:left w:val="single" w:sz="4" w:space="0" w:color="auto"/>
              <w:bottom w:val="single" w:sz="4" w:space="0" w:color="auto"/>
              <w:right w:val="single" w:sz="4" w:space="0" w:color="auto"/>
            </w:tcBorders>
            <w:vAlign w:val="center"/>
          </w:tcPr>
          <w:p w14:paraId="54827EAC" w14:textId="29B4BAF8" w:rsidR="00714A3E" w:rsidRPr="00853E26" w:rsidRDefault="00714A3E" w:rsidP="095637AE">
            <w:pPr>
              <w:jc w:val="right"/>
              <w:rPr>
                <w:rFonts w:cs="Arial"/>
                <w:b/>
                <w:bCs/>
              </w:rPr>
            </w:pPr>
            <w:r w:rsidRPr="00853E26">
              <w:rPr>
                <w:rFonts w:cs="Arial"/>
                <w:b/>
                <w:bCs/>
              </w:rPr>
              <w:t>71</w:t>
            </w:r>
          </w:p>
        </w:tc>
        <w:tc>
          <w:tcPr>
            <w:tcW w:w="428" w:type="pct"/>
            <w:tcBorders>
              <w:top w:val="single" w:sz="4" w:space="0" w:color="auto"/>
              <w:left w:val="single" w:sz="4" w:space="0" w:color="auto"/>
              <w:bottom w:val="single" w:sz="4" w:space="0" w:color="auto"/>
              <w:right w:val="single" w:sz="4" w:space="0" w:color="auto"/>
            </w:tcBorders>
            <w:vAlign w:val="center"/>
          </w:tcPr>
          <w:p w14:paraId="2D427BE8" w14:textId="1018A4FA" w:rsidR="00714A3E" w:rsidRPr="00853E26" w:rsidRDefault="00714A3E" w:rsidP="095637AE">
            <w:pPr>
              <w:jc w:val="right"/>
              <w:rPr>
                <w:rFonts w:cs="Arial"/>
                <w:b/>
                <w:bCs/>
              </w:rPr>
            </w:pPr>
            <w:r w:rsidRPr="00853E26">
              <w:rPr>
                <w:rFonts w:cs="Arial"/>
                <w:b/>
                <w:bCs/>
              </w:rPr>
              <w:t>33,768</w:t>
            </w:r>
          </w:p>
        </w:tc>
        <w:tc>
          <w:tcPr>
            <w:tcW w:w="448" w:type="pct"/>
            <w:tcBorders>
              <w:top w:val="single" w:sz="4" w:space="0" w:color="auto"/>
              <w:left w:val="single" w:sz="4" w:space="0" w:color="auto"/>
              <w:bottom w:val="single" w:sz="4" w:space="0" w:color="auto"/>
              <w:right w:val="single" w:sz="4" w:space="0" w:color="auto"/>
            </w:tcBorders>
            <w:vAlign w:val="center"/>
          </w:tcPr>
          <w:p w14:paraId="6A984194" w14:textId="43412555" w:rsidR="00714A3E" w:rsidRPr="00853E26" w:rsidRDefault="00714A3E" w:rsidP="095637AE">
            <w:pPr>
              <w:jc w:val="right"/>
              <w:rPr>
                <w:rFonts w:cs="Arial"/>
                <w:b/>
                <w:bCs/>
              </w:rPr>
            </w:pPr>
            <w:r w:rsidRPr="00853E26">
              <w:rPr>
                <w:rFonts w:cs="Arial"/>
                <w:b/>
                <w:bCs/>
              </w:rPr>
              <w:t>(536,720)</w:t>
            </w:r>
          </w:p>
        </w:tc>
        <w:tc>
          <w:tcPr>
            <w:tcW w:w="448" w:type="pct"/>
            <w:tcBorders>
              <w:top w:val="single" w:sz="4" w:space="0" w:color="auto"/>
              <w:left w:val="single" w:sz="4" w:space="0" w:color="auto"/>
              <w:bottom w:val="single" w:sz="4" w:space="0" w:color="auto"/>
              <w:right w:val="single" w:sz="4" w:space="0" w:color="auto"/>
            </w:tcBorders>
            <w:vAlign w:val="center"/>
          </w:tcPr>
          <w:p w14:paraId="6E18C3D9" w14:textId="51B87A3D" w:rsidR="00714A3E" w:rsidRPr="00853E26" w:rsidRDefault="00714A3E" w:rsidP="095637AE">
            <w:pPr>
              <w:jc w:val="right"/>
              <w:rPr>
                <w:rFonts w:cs="Arial"/>
                <w:b/>
                <w:bCs/>
              </w:rPr>
            </w:pPr>
            <w:r w:rsidRPr="00853E26">
              <w:rPr>
                <w:rFonts w:cs="Arial"/>
                <w:b/>
                <w:bCs/>
              </w:rPr>
              <w:t>(502,953)</w:t>
            </w:r>
          </w:p>
        </w:tc>
      </w:tr>
    </w:tbl>
    <w:p w14:paraId="6A8DD33C" w14:textId="77777777" w:rsidR="005F5C59" w:rsidRPr="00D948C1" w:rsidRDefault="005F5C59" w:rsidP="095637AE">
      <w:pPr>
        <w:rPr>
          <w:highlight w:val="red"/>
        </w:rPr>
      </w:pPr>
      <w:bookmarkStart w:id="21" w:name="_Hlk96092102"/>
    </w:p>
    <w:tbl>
      <w:tblPr>
        <w:tblW w:w="4669" w:type="pct"/>
        <w:tblLook w:val="01E0" w:firstRow="1" w:lastRow="1" w:firstColumn="1" w:lastColumn="1" w:noHBand="0" w:noVBand="0"/>
      </w:tblPr>
      <w:tblGrid>
        <w:gridCol w:w="4140"/>
        <w:gridCol w:w="1219"/>
        <w:gridCol w:w="1389"/>
        <w:gridCol w:w="1218"/>
        <w:gridCol w:w="1278"/>
        <w:gridCol w:w="1218"/>
        <w:gridCol w:w="1218"/>
        <w:gridCol w:w="1275"/>
        <w:gridCol w:w="1278"/>
      </w:tblGrid>
      <w:tr w:rsidR="00AC1F4E" w:rsidRPr="00D948C1" w14:paraId="2D06ACCF" w14:textId="77777777" w:rsidTr="00AC1F4E">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B7866" w14:textId="79DC6862" w:rsidR="00AC1F4E" w:rsidRPr="00853E26" w:rsidRDefault="00AC1F4E" w:rsidP="095637AE">
            <w:pPr>
              <w:rPr>
                <w:rFonts w:cs="Arial"/>
                <w:b/>
                <w:bCs/>
              </w:rPr>
            </w:pPr>
            <w:r w:rsidRPr="00853E26">
              <w:rPr>
                <w:rFonts w:cs="Arial"/>
                <w:b/>
                <w:bCs/>
              </w:rPr>
              <w:t>Movement in reserves during 2024/25</w:t>
            </w:r>
          </w:p>
        </w:tc>
      </w:tr>
      <w:tr w:rsidR="00E952A1" w:rsidRPr="00D948C1" w14:paraId="2946426D"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74204D2C" w14:textId="77777777" w:rsidR="00714A3E" w:rsidRPr="00853E26" w:rsidRDefault="00714A3E" w:rsidP="095637AE">
            <w:pPr>
              <w:rPr>
                <w:rFonts w:cs="Arial"/>
              </w:rPr>
            </w:pPr>
            <w:r w:rsidRPr="00853E26">
              <w:rPr>
                <w:rFonts w:cs="Arial"/>
              </w:rPr>
              <w:t>Surplus/(Deficit) on provision of services</w:t>
            </w:r>
          </w:p>
        </w:tc>
        <w:tc>
          <w:tcPr>
            <w:tcW w:w="428" w:type="pct"/>
            <w:tcBorders>
              <w:top w:val="single" w:sz="4" w:space="0" w:color="auto"/>
              <w:left w:val="single" w:sz="4" w:space="0" w:color="auto"/>
              <w:bottom w:val="single" w:sz="4" w:space="0" w:color="auto"/>
              <w:right w:val="single" w:sz="4" w:space="0" w:color="auto"/>
            </w:tcBorders>
            <w:vAlign w:val="center"/>
          </w:tcPr>
          <w:p w14:paraId="163D983C" w14:textId="03870A10" w:rsidR="00714A3E" w:rsidRPr="00853E26" w:rsidRDefault="00714A3E" w:rsidP="095637AE">
            <w:pPr>
              <w:jc w:val="right"/>
              <w:rPr>
                <w:rFonts w:cs="Arial"/>
              </w:rPr>
            </w:pPr>
            <w:r w:rsidRPr="00853E26">
              <w:rPr>
                <w:rFonts w:cs="Arial"/>
              </w:rPr>
              <w:t>(3,054)</w:t>
            </w:r>
          </w:p>
        </w:tc>
        <w:tc>
          <w:tcPr>
            <w:tcW w:w="488" w:type="pct"/>
            <w:tcBorders>
              <w:top w:val="single" w:sz="4" w:space="0" w:color="auto"/>
              <w:left w:val="single" w:sz="4" w:space="0" w:color="auto"/>
              <w:bottom w:val="single" w:sz="4" w:space="0" w:color="auto"/>
              <w:right w:val="single" w:sz="4" w:space="0" w:color="auto"/>
            </w:tcBorders>
            <w:vAlign w:val="center"/>
          </w:tcPr>
          <w:p w14:paraId="5405E407" w14:textId="264E06D2" w:rsidR="00714A3E" w:rsidRPr="00853E26" w:rsidRDefault="00714A3E" w:rsidP="095637AE">
            <w:pPr>
              <w:jc w:val="right"/>
              <w:rPr>
                <w:rFonts w:cs="Arial"/>
              </w:rPr>
            </w:pPr>
            <w:r w:rsidRPr="00853E26">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109BD29" w14:textId="152DBCE4" w:rsidR="00714A3E" w:rsidRPr="00853E26" w:rsidRDefault="00714A3E" w:rsidP="095637AE">
            <w:pPr>
              <w:jc w:val="right"/>
              <w:rPr>
                <w:rFonts w:cs="Arial"/>
              </w:rPr>
            </w:pPr>
            <w:r w:rsidRPr="00853E26">
              <w:rPr>
                <w:rFonts w:cs="Arial"/>
              </w:rPr>
              <w:t>(3,054)</w:t>
            </w:r>
          </w:p>
        </w:tc>
        <w:tc>
          <w:tcPr>
            <w:tcW w:w="449" w:type="pct"/>
            <w:tcBorders>
              <w:top w:val="single" w:sz="4" w:space="0" w:color="auto"/>
              <w:left w:val="single" w:sz="4" w:space="0" w:color="auto"/>
              <w:bottom w:val="single" w:sz="4" w:space="0" w:color="auto"/>
              <w:right w:val="single" w:sz="4" w:space="0" w:color="auto"/>
            </w:tcBorders>
            <w:vAlign w:val="center"/>
          </w:tcPr>
          <w:p w14:paraId="3E5D8BC6" w14:textId="53DD4CA0" w:rsidR="00714A3E" w:rsidRPr="00853E26" w:rsidRDefault="00714A3E" w:rsidP="095637AE">
            <w:pPr>
              <w:jc w:val="right"/>
              <w:rPr>
                <w:rFonts w:cs="Arial"/>
              </w:rPr>
            </w:pPr>
            <w:r w:rsidRPr="00853E26">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5C8128F" w14:textId="7E708E37" w:rsidR="00714A3E" w:rsidRPr="00853E26" w:rsidRDefault="00714A3E" w:rsidP="095637AE">
            <w:pPr>
              <w:jc w:val="right"/>
              <w:rPr>
                <w:rFonts w:cs="Arial"/>
              </w:rPr>
            </w:pPr>
            <w:r w:rsidRPr="00853E26">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77CB372" w14:textId="1C3C4E0E" w:rsidR="00714A3E" w:rsidRPr="00853E26" w:rsidRDefault="00714A3E" w:rsidP="095637AE">
            <w:pPr>
              <w:jc w:val="right"/>
              <w:rPr>
                <w:rFonts w:cs="Arial"/>
              </w:rPr>
            </w:pPr>
            <w:r w:rsidRPr="00853E26">
              <w:rPr>
                <w:rFonts w:cs="Arial"/>
              </w:rPr>
              <w:t>(3,054)</w:t>
            </w:r>
          </w:p>
        </w:tc>
        <w:tc>
          <w:tcPr>
            <w:tcW w:w="448" w:type="pct"/>
            <w:tcBorders>
              <w:top w:val="single" w:sz="4" w:space="0" w:color="auto"/>
              <w:left w:val="single" w:sz="4" w:space="0" w:color="auto"/>
              <w:bottom w:val="single" w:sz="4" w:space="0" w:color="auto"/>
              <w:right w:val="single" w:sz="4" w:space="0" w:color="auto"/>
            </w:tcBorders>
            <w:vAlign w:val="center"/>
          </w:tcPr>
          <w:p w14:paraId="55FCD86E" w14:textId="5074DE10" w:rsidR="00714A3E" w:rsidRPr="00853E26" w:rsidRDefault="00714A3E" w:rsidP="095637AE">
            <w:pPr>
              <w:jc w:val="right"/>
              <w:rPr>
                <w:rFonts w:cs="Arial"/>
              </w:rPr>
            </w:pPr>
            <w:r w:rsidRPr="00853E26">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6007E0C1" w14:textId="7C6E25CB" w:rsidR="00714A3E" w:rsidRPr="00853E26" w:rsidRDefault="00714A3E" w:rsidP="095637AE">
            <w:pPr>
              <w:jc w:val="right"/>
              <w:rPr>
                <w:rFonts w:cs="Arial"/>
              </w:rPr>
            </w:pPr>
            <w:r w:rsidRPr="00853E26">
              <w:rPr>
                <w:rFonts w:cs="Arial"/>
              </w:rPr>
              <w:t>(3,054)</w:t>
            </w:r>
          </w:p>
        </w:tc>
      </w:tr>
      <w:tr w:rsidR="00E952A1" w:rsidRPr="00D948C1" w14:paraId="4E6865FE"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076F222C" w14:textId="77777777" w:rsidR="00714A3E" w:rsidRPr="007D2BA9" w:rsidRDefault="00714A3E" w:rsidP="095637AE">
            <w:pPr>
              <w:rPr>
                <w:rFonts w:cs="Arial"/>
              </w:rPr>
            </w:pPr>
            <w:r w:rsidRPr="007D2BA9">
              <w:rPr>
                <w:rFonts w:cs="Arial"/>
              </w:rPr>
              <w:t>Other comprehensive income and expenditure</w:t>
            </w:r>
          </w:p>
        </w:tc>
        <w:tc>
          <w:tcPr>
            <w:tcW w:w="428" w:type="pct"/>
            <w:tcBorders>
              <w:top w:val="single" w:sz="4" w:space="0" w:color="auto"/>
              <w:left w:val="single" w:sz="4" w:space="0" w:color="auto"/>
              <w:bottom w:val="single" w:sz="4" w:space="0" w:color="auto"/>
              <w:right w:val="single" w:sz="4" w:space="0" w:color="auto"/>
            </w:tcBorders>
            <w:vAlign w:val="center"/>
          </w:tcPr>
          <w:p w14:paraId="4D7EABE7" w14:textId="466230E8" w:rsidR="00714A3E" w:rsidRPr="007D2BA9" w:rsidRDefault="00714A3E" w:rsidP="095637AE">
            <w:pPr>
              <w:jc w:val="right"/>
              <w:rPr>
                <w:rFonts w:cs="Arial"/>
              </w:rPr>
            </w:pPr>
            <w:r w:rsidRPr="007D2BA9">
              <w:rPr>
                <w:rFonts w:cs="Arial"/>
              </w:rPr>
              <w:t>-</w:t>
            </w:r>
          </w:p>
        </w:tc>
        <w:tc>
          <w:tcPr>
            <w:tcW w:w="488" w:type="pct"/>
            <w:tcBorders>
              <w:top w:val="single" w:sz="4" w:space="0" w:color="auto"/>
              <w:left w:val="single" w:sz="4" w:space="0" w:color="auto"/>
              <w:bottom w:val="single" w:sz="4" w:space="0" w:color="auto"/>
              <w:right w:val="single" w:sz="4" w:space="0" w:color="auto"/>
            </w:tcBorders>
            <w:vAlign w:val="center"/>
          </w:tcPr>
          <w:p w14:paraId="0F95A66C" w14:textId="5B2234A6"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B1E271E" w14:textId="46704D3F" w:rsidR="00714A3E" w:rsidRPr="007D2BA9" w:rsidRDefault="00714A3E" w:rsidP="095637AE">
            <w:pPr>
              <w:jc w:val="right"/>
              <w:rPr>
                <w:rFonts w:cs="Arial"/>
              </w:rPr>
            </w:pPr>
            <w:r w:rsidRPr="007D2BA9">
              <w:rPr>
                <w:rFonts w:cs="Arial"/>
              </w:rPr>
              <w:t>-</w:t>
            </w:r>
          </w:p>
        </w:tc>
        <w:tc>
          <w:tcPr>
            <w:tcW w:w="449" w:type="pct"/>
            <w:tcBorders>
              <w:top w:val="single" w:sz="4" w:space="0" w:color="auto"/>
              <w:left w:val="single" w:sz="4" w:space="0" w:color="auto"/>
              <w:bottom w:val="single" w:sz="4" w:space="0" w:color="auto"/>
              <w:right w:val="single" w:sz="4" w:space="0" w:color="auto"/>
            </w:tcBorders>
            <w:vAlign w:val="center"/>
          </w:tcPr>
          <w:p w14:paraId="0D1437EC" w14:textId="477F4AA5"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5BB204F1" w14:textId="1F1A7F62"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577471D5" w14:textId="7A0ADF08" w:rsidR="00714A3E" w:rsidRPr="007D2BA9" w:rsidRDefault="00714A3E" w:rsidP="095637AE">
            <w:pPr>
              <w:jc w:val="right"/>
              <w:rPr>
                <w:rFonts w:cs="Arial"/>
              </w:rPr>
            </w:pPr>
            <w:r w:rsidRPr="007D2BA9">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293FE1E1" w14:textId="548E9FF4" w:rsidR="00714A3E" w:rsidRPr="007D2BA9" w:rsidRDefault="00714A3E" w:rsidP="095637AE">
            <w:pPr>
              <w:jc w:val="right"/>
              <w:rPr>
                <w:rFonts w:cs="Arial"/>
              </w:rPr>
            </w:pPr>
            <w:r w:rsidRPr="007D2BA9">
              <w:rPr>
                <w:rFonts w:cs="Arial"/>
              </w:rPr>
              <w:t>70,845</w:t>
            </w:r>
          </w:p>
        </w:tc>
        <w:tc>
          <w:tcPr>
            <w:tcW w:w="448" w:type="pct"/>
            <w:tcBorders>
              <w:top w:val="single" w:sz="4" w:space="0" w:color="auto"/>
              <w:left w:val="single" w:sz="4" w:space="0" w:color="auto"/>
              <w:bottom w:val="single" w:sz="4" w:space="0" w:color="auto"/>
              <w:right w:val="single" w:sz="4" w:space="0" w:color="auto"/>
            </w:tcBorders>
            <w:vAlign w:val="center"/>
          </w:tcPr>
          <w:p w14:paraId="12C944FD" w14:textId="33A243D1" w:rsidR="00714A3E" w:rsidRPr="007D2BA9" w:rsidRDefault="00714A3E" w:rsidP="095637AE">
            <w:pPr>
              <w:jc w:val="right"/>
              <w:rPr>
                <w:rFonts w:cs="Arial"/>
              </w:rPr>
            </w:pPr>
            <w:r w:rsidRPr="007D2BA9">
              <w:rPr>
                <w:rFonts w:cs="Arial"/>
              </w:rPr>
              <w:t>70,845</w:t>
            </w:r>
          </w:p>
        </w:tc>
      </w:tr>
      <w:tr w:rsidR="00E952A1" w:rsidRPr="00D948C1" w14:paraId="5BA82A1C"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161D9113" w14:textId="77777777" w:rsidR="00714A3E" w:rsidRPr="007D2BA9" w:rsidRDefault="00714A3E" w:rsidP="095637AE">
            <w:pPr>
              <w:rPr>
                <w:rFonts w:cs="Arial"/>
                <w:b/>
              </w:rPr>
            </w:pPr>
            <w:r w:rsidRPr="007D2BA9">
              <w:rPr>
                <w:rFonts w:cs="Arial"/>
                <w:b/>
              </w:rPr>
              <w:t>Total comprehensive income and expenditure</w:t>
            </w:r>
          </w:p>
        </w:tc>
        <w:tc>
          <w:tcPr>
            <w:tcW w:w="428" w:type="pct"/>
            <w:tcBorders>
              <w:top w:val="single" w:sz="4" w:space="0" w:color="auto"/>
              <w:left w:val="single" w:sz="4" w:space="0" w:color="auto"/>
              <w:bottom w:val="single" w:sz="4" w:space="0" w:color="auto"/>
              <w:right w:val="single" w:sz="4" w:space="0" w:color="auto"/>
            </w:tcBorders>
            <w:vAlign w:val="center"/>
          </w:tcPr>
          <w:p w14:paraId="07534A8A" w14:textId="79B37085" w:rsidR="00714A3E" w:rsidRPr="007D2BA9" w:rsidRDefault="00714A3E" w:rsidP="095637AE">
            <w:pPr>
              <w:jc w:val="right"/>
              <w:rPr>
                <w:rFonts w:cs="Arial"/>
                <w:b/>
              </w:rPr>
            </w:pPr>
            <w:r w:rsidRPr="007D2BA9">
              <w:rPr>
                <w:rFonts w:cs="Arial"/>
                <w:b/>
              </w:rPr>
              <w:t>(3,054)</w:t>
            </w:r>
          </w:p>
        </w:tc>
        <w:tc>
          <w:tcPr>
            <w:tcW w:w="488" w:type="pct"/>
            <w:tcBorders>
              <w:top w:val="single" w:sz="4" w:space="0" w:color="auto"/>
              <w:left w:val="single" w:sz="4" w:space="0" w:color="auto"/>
              <w:bottom w:val="single" w:sz="4" w:space="0" w:color="auto"/>
              <w:right w:val="single" w:sz="4" w:space="0" w:color="auto"/>
            </w:tcBorders>
            <w:vAlign w:val="center"/>
          </w:tcPr>
          <w:p w14:paraId="215F524C" w14:textId="3F12ABB9" w:rsidR="00714A3E" w:rsidRPr="007D2BA9" w:rsidRDefault="00714A3E" w:rsidP="095637AE">
            <w:pPr>
              <w:jc w:val="right"/>
              <w:rPr>
                <w:rFonts w:cs="Arial"/>
                <w:b/>
              </w:rPr>
            </w:pPr>
            <w:r w:rsidRPr="007D2BA9">
              <w:rPr>
                <w:rFonts w:cs="Arial"/>
                <w:b/>
              </w:rPr>
              <w:t>-</w:t>
            </w:r>
          </w:p>
        </w:tc>
        <w:tc>
          <w:tcPr>
            <w:tcW w:w="428" w:type="pct"/>
            <w:tcBorders>
              <w:top w:val="single" w:sz="4" w:space="0" w:color="auto"/>
              <w:left w:val="single" w:sz="4" w:space="0" w:color="auto"/>
              <w:bottom w:val="single" w:sz="4" w:space="0" w:color="auto"/>
              <w:right w:val="single" w:sz="4" w:space="0" w:color="auto"/>
            </w:tcBorders>
            <w:vAlign w:val="center"/>
          </w:tcPr>
          <w:p w14:paraId="60E4EFFF" w14:textId="148C5A32" w:rsidR="00714A3E" w:rsidRPr="007D2BA9" w:rsidRDefault="00714A3E" w:rsidP="095637AE">
            <w:pPr>
              <w:jc w:val="right"/>
              <w:rPr>
                <w:rFonts w:cs="Arial"/>
                <w:b/>
              </w:rPr>
            </w:pPr>
            <w:r w:rsidRPr="007D2BA9">
              <w:rPr>
                <w:rFonts w:cs="Arial"/>
                <w:b/>
              </w:rPr>
              <w:t>(3,054)</w:t>
            </w:r>
          </w:p>
        </w:tc>
        <w:tc>
          <w:tcPr>
            <w:tcW w:w="449" w:type="pct"/>
            <w:tcBorders>
              <w:top w:val="single" w:sz="4" w:space="0" w:color="auto"/>
              <w:left w:val="single" w:sz="4" w:space="0" w:color="auto"/>
              <w:bottom w:val="single" w:sz="4" w:space="0" w:color="auto"/>
              <w:right w:val="single" w:sz="4" w:space="0" w:color="auto"/>
            </w:tcBorders>
            <w:vAlign w:val="center"/>
          </w:tcPr>
          <w:p w14:paraId="79DCD563" w14:textId="24848F48" w:rsidR="00714A3E" w:rsidRPr="007D2BA9" w:rsidRDefault="00714A3E" w:rsidP="095637AE">
            <w:pPr>
              <w:jc w:val="right"/>
              <w:rPr>
                <w:rFonts w:cs="Arial"/>
                <w:b/>
              </w:rPr>
            </w:pPr>
            <w:r w:rsidRPr="007D2BA9">
              <w:rPr>
                <w:rFonts w:cs="Arial"/>
                <w:b/>
              </w:rPr>
              <w:t>-</w:t>
            </w:r>
          </w:p>
        </w:tc>
        <w:tc>
          <w:tcPr>
            <w:tcW w:w="428" w:type="pct"/>
            <w:tcBorders>
              <w:top w:val="single" w:sz="4" w:space="0" w:color="auto"/>
              <w:left w:val="single" w:sz="4" w:space="0" w:color="auto"/>
              <w:bottom w:val="single" w:sz="4" w:space="0" w:color="auto"/>
              <w:right w:val="single" w:sz="4" w:space="0" w:color="auto"/>
            </w:tcBorders>
            <w:vAlign w:val="center"/>
          </w:tcPr>
          <w:p w14:paraId="27F32962" w14:textId="0C798384" w:rsidR="00714A3E" w:rsidRPr="007D2BA9" w:rsidRDefault="00714A3E" w:rsidP="095637AE">
            <w:pPr>
              <w:jc w:val="right"/>
              <w:rPr>
                <w:rFonts w:cs="Arial"/>
                <w:b/>
              </w:rPr>
            </w:pPr>
            <w:r w:rsidRPr="007D2BA9">
              <w:rPr>
                <w:rFonts w:cs="Arial"/>
                <w:b/>
              </w:rPr>
              <w:t>-</w:t>
            </w:r>
          </w:p>
        </w:tc>
        <w:tc>
          <w:tcPr>
            <w:tcW w:w="428" w:type="pct"/>
            <w:tcBorders>
              <w:top w:val="single" w:sz="4" w:space="0" w:color="auto"/>
              <w:left w:val="single" w:sz="4" w:space="0" w:color="auto"/>
              <w:bottom w:val="single" w:sz="4" w:space="0" w:color="auto"/>
              <w:right w:val="single" w:sz="4" w:space="0" w:color="auto"/>
            </w:tcBorders>
            <w:vAlign w:val="center"/>
          </w:tcPr>
          <w:p w14:paraId="3687562A" w14:textId="586D11E3" w:rsidR="00714A3E" w:rsidRPr="007D2BA9" w:rsidRDefault="00714A3E" w:rsidP="095637AE">
            <w:pPr>
              <w:jc w:val="right"/>
              <w:rPr>
                <w:rFonts w:cs="Arial"/>
                <w:b/>
              </w:rPr>
            </w:pPr>
            <w:r w:rsidRPr="007D2BA9">
              <w:rPr>
                <w:rFonts w:cs="Arial"/>
                <w:b/>
              </w:rPr>
              <w:t>(3,054)</w:t>
            </w:r>
          </w:p>
        </w:tc>
        <w:tc>
          <w:tcPr>
            <w:tcW w:w="448" w:type="pct"/>
            <w:tcBorders>
              <w:top w:val="single" w:sz="4" w:space="0" w:color="auto"/>
              <w:left w:val="single" w:sz="4" w:space="0" w:color="auto"/>
              <w:bottom w:val="single" w:sz="4" w:space="0" w:color="auto"/>
              <w:right w:val="single" w:sz="4" w:space="0" w:color="auto"/>
            </w:tcBorders>
            <w:vAlign w:val="center"/>
          </w:tcPr>
          <w:p w14:paraId="010160A1" w14:textId="63BAB87F" w:rsidR="00714A3E" w:rsidRPr="007D2BA9" w:rsidRDefault="00714A3E" w:rsidP="095637AE">
            <w:pPr>
              <w:jc w:val="right"/>
              <w:rPr>
                <w:rFonts w:cs="Arial"/>
                <w:b/>
              </w:rPr>
            </w:pPr>
            <w:r w:rsidRPr="007D2BA9">
              <w:rPr>
                <w:rFonts w:cs="Arial"/>
                <w:b/>
              </w:rPr>
              <w:t>70,845</w:t>
            </w:r>
          </w:p>
        </w:tc>
        <w:tc>
          <w:tcPr>
            <w:tcW w:w="448" w:type="pct"/>
            <w:tcBorders>
              <w:top w:val="single" w:sz="4" w:space="0" w:color="auto"/>
              <w:left w:val="single" w:sz="4" w:space="0" w:color="auto"/>
              <w:bottom w:val="single" w:sz="4" w:space="0" w:color="auto"/>
              <w:right w:val="single" w:sz="4" w:space="0" w:color="auto"/>
            </w:tcBorders>
            <w:vAlign w:val="center"/>
          </w:tcPr>
          <w:p w14:paraId="2CE4AC06" w14:textId="0B0243C8" w:rsidR="00714A3E" w:rsidRPr="007D2BA9" w:rsidRDefault="00714A3E" w:rsidP="095637AE">
            <w:pPr>
              <w:jc w:val="right"/>
              <w:rPr>
                <w:rFonts w:cs="Arial"/>
                <w:b/>
              </w:rPr>
            </w:pPr>
            <w:r w:rsidRPr="007D2BA9">
              <w:rPr>
                <w:rFonts w:cs="Arial"/>
                <w:b/>
              </w:rPr>
              <w:t>67,791</w:t>
            </w:r>
          </w:p>
        </w:tc>
      </w:tr>
    </w:tbl>
    <w:p w14:paraId="1565F23A" w14:textId="77777777" w:rsidR="005F5C59" w:rsidRPr="00D948C1" w:rsidRDefault="005F5C59" w:rsidP="095637AE">
      <w:pPr>
        <w:rPr>
          <w:highlight w:val="red"/>
        </w:rPr>
      </w:pPr>
    </w:p>
    <w:tbl>
      <w:tblPr>
        <w:tblW w:w="4667" w:type="pct"/>
        <w:tblLook w:val="01E0" w:firstRow="1" w:lastRow="1" w:firstColumn="1" w:lastColumn="1" w:noHBand="0" w:noVBand="0"/>
      </w:tblPr>
      <w:tblGrid>
        <w:gridCol w:w="4139"/>
        <w:gridCol w:w="1221"/>
        <w:gridCol w:w="1391"/>
        <w:gridCol w:w="1215"/>
        <w:gridCol w:w="1275"/>
        <w:gridCol w:w="1218"/>
        <w:gridCol w:w="1218"/>
        <w:gridCol w:w="1275"/>
        <w:gridCol w:w="1275"/>
      </w:tblGrid>
      <w:tr w:rsidR="00AC1F4E" w:rsidRPr="00D948C1" w14:paraId="02EAAC60" w14:textId="77777777" w:rsidTr="00AC1F4E">
        <w:trPr>
          <w:trHeight w:val="231"/>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FC4B9" w14:textId="74F06FB2" w:rsidR="00AC1F4E" w:rsidRPr="007D2BA9" w:rsidRDefault="00AC1F4E" w:rsidP="095637AE">
            <w:pPr>
              <w:rPr>
                <w:rFonts w:cs="Arial"/>
                <w:b/>
              </w:rPr>
            </w:pPr>
            <w:r w:rsidRPr="007D2BA9">
              <w:rPr>
                <w:rFonts w:cs="Arial"/>
                <w:b/>
              </w:rPr>
              <w:t>Adjustments between accounting basis and funding basis under regulations</w:t>
            </w:r>
          </w:p>
        </w:tc>
      </w:tr>
      <w:tr w:rsidR="00C91BDD" w:rsidRPr="00D948C1" w14:paraId="70B24B03"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7FE39711" w14:textId="77777777" w:rsidR="00714A3E" w:rsidRPr="007D2BA9" w:rsidRDefault="00714A3E" w:rsidP="095637AE">
            <w:pPr>
              <w:rPr>
                <w:rFonts w:cs="Arial"/>
              </w:rPr>
            </w:pPr>
            <w:r w:rsidRPr="007D2BA9">
              <w:rPr>
                <w:rFonts w:cs="Arial"/>
              </w:rPr>
              <w:t>Charges for depreciation and impairment of non-current assets</w:t>
            </w:r>
          </w:p>
        </w:tc>
        <w:tc>
          <w:tcPr>
            <w:tcW w:w="429" w:type="pct"/>
            <w:tcBorders>
              <w:top w:val="single" w:sz="4" w:space="0" w:color="auto"/>
              <w:left w:val="single" w:sz="4" w:space="0" w:color="auto"/>
              <w:bottom w:val="single" w:sz="4" w:space="0" w:color="auto"/>
              <w:right w:val="single" w:sz="4" w:space="0" w:color="auto"/>
            </w:tcBorders>
            <w:vAlign w:val="center"/>
          </w:tcPr>
          <w:p w14:paraId="59277039" w14:textId="448804C8" w:rsidR="00714A3E" w:rsidRPr="007D2BA9" w:rsidRDefault="00714A3E" w:rsidP="095637AE">
            <w:pPr>
              <w:jc w:val="right"/>
              <w:rPr>
                <w:rFonts w:cs="Arial"/>
              </w:rPr>
            </w:pPr>
            <w:r w:rsidRPr="007D2BA9">
              <w:rPr>
                <w:rFonts w:cs="Arial"/>
              </w:rPr>
              <w:t>6,719</w:t>
            </w:r>
          </w:p>
        </w:tc>
        <w:tc>
          <w:tcPr>
            <w:tcW w:w="489" w:type="pct"/>
            <w:tcBorders>
              <w:top w:val="single" w:sz="4" w:space="0" w:color="auto"/>
              <w:left w:val="single" w:sz="4" w:space="0" w:color="auto"/>
              <w:bottom w:val="single" w:sz="4" w:space="0" w:color="auto"/>
              <w:right w:val="single" w:sz="4" w:space="0" w:color="auto"/>
            </w:tcBorders>
            <w:vAlign w:val="center"/>
          </w:tcPr>
          <w:p w14:paraId="59090DA7" w14:textId="55C42C9D"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4B5D9C6E" w14:textId="460EB97E" w:rsidR="00714A3E" w:rsidRPr="007D2BA9" w:rsidRDefault="00714A3E" w:rsidP="095637AE">
            <w:pPr>
              <w:jc w:val="right"/>
              <w:rPr>
                <w:rFonts w:cs="Arial"/>
              </w:rPr>
            </w:pPr>
            <w:r w:rsidRPr="007D2BA9">
              <w:rPr>
                <w:rFonts w:cs="Arial"/>
              </w:rPr>
              <w:t>6,719</w:t>
            </w:r>
          </w:p>
        </w:tc>
        <w:tc>
          <w:tcPr>
            <w:tcW w:w="448" w:type="pct"/>
            <w:tcBorders>
              <w:top w:val="single" w:sz="4" w:space="0" w:color="auto"/>
              <w:left w:val="single" w:sz="4" w:space="0" w:color="auto"/>
              <w:bottom w:val="single" w:sz="4" w:space="0" w:color="auto"/>
              <w:right w:val="single" w:sz="4" w:space="0" w:color="auto"/>
            </w:tcBorders>
            <w:vAlign w:val="center"/>
          </w:tcPr>
          <w:p w14:paraId="7B5F2FAD" w14:textId="4C3385B4"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DB5030D" w14:textId="6F9D164A"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442BF4B" w14:textId="2FF92A7B" w:rsidR="00714A3E" w:rsidRPr="007D2BA9" w:rsidRDefault="00714A3E" w:rsidP="095637AE">
            <w:pPr>
              <w:jc w:val="right"/>
              <w:rPr>
                <w:rFonts w:cs="Arial"/>
              </w:rPr>
            </w:pPr>
            <w:r w:rsidRPr="007D2BA9">
              <w:rPr>
                <w:rFonts w:cs="Arial"/>
              </w:rPr>
              <w:t>6,719</w:t>
            </w:r>
          </w:p>
        </w:tc>
        <w:tc>
          <w:tcPr>
            <w:tcW w:w="448" w:type="pct"/>
            <w:tcBorders>
              <w:top w:val="single" w:sz="4" w:space="0" w:color="auto"/>
              <w:left w:val="single" w:sz="4" w:space="0" w:color="auto"/>
              <w:bottom w:val="single" w:sz="4" w:space="0" w:color="auto"/>
              <w:right w:val="single" w:sz="4" w:space="0" w:color="auto"/>
            </w:tcBorders>
            <w:vAlign w:val="center"/>
          </w:tcPr>
          <w:p w14:paraId="3FB19B94" w14:textId="7B30E943" w:rsidR="00714A3E" w:rsidRPr="007D2BA9" w:rsidRDefault="00714A3E" w:rsidP="095637AE">
            <w:pPr>
              <w:jc w:val="right"/>
              <w:rPr>
                <w:rFonts w:cs="Arial"/>
              </w:rPr>
            </w:pPr>
            <w:r w:rsidRPr="007D2BA9">
              <w:rPr>
                <w:rFonts w:cs="Arial"/>
              </w:rPr>
              <w:t>(6,719)</w:t>
            </w:r>
          </w:p>
        </w:tc>
        <w:tc>
          <w:tcPr>
            <w:tcW w:w="448" w:type="pct"/>
            <w:tcBorders>
              <w:top w:val="single" w:sz="4" w:space="0" w:color="auto"/>
              <w:left w:val="single" w:sz="4" w:space="0" w:color="auto"/>
              <w:bottom w:val="single" w:sz="4" w:space="0" w:color="auto"/>
              <w:right w:val="single" w:sz="4" w:space="0" w:color="auto"/>
            </w:tcBorders>
            <w:vAlign w:val="center"/>
          </w:tcPr>
          <w:p w14:paraId="1BAA5602" w14:textId="05F3EFFD" w:rsidR="00714A3E" w:rsidRPr="007D2BA9" w:rsidRDefault="00714A3E" w:rsidP="095637AE">
            <w:pPr>
              <w:jc w:val="right"/>
              <w:rPr>
                <w:rFonts w:cs="Arial"/>
              </w:rPr>
            </w:pPr>
            <w:r w:rsidRPr="007D2BA9">
              <w:rPr>
                <w:rFonts w:cs="Arial"/>
              </w:rPr>
              <w:t>-</w:t>
            </w:r>
          </w:p>
        </w:tc>
      </w:tr>
      <w:tr w:rsidR="00C91BDD" w:rsidRPr="00D948C1" w14:paraId="46D287E0"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02F4AC74" w14:textId="77777777" w:rsidR="00714A3E" w:rsidRPr="007D2BA9" w:rsidRDefault="00714A3E" w:rsidP="095637AE">
            <w:pPr>
              <w:rPr>
                <w:rFonts w:cs="Arial"/>
              </w:rPr>
            </w:pPr>
            <w:r w:rsidRPr="007D2BA9">
              <w:rPr>
                <w:rFonts w:cs="Arial"/>
              </w:rPr>
              <w:t>Amortisation of intangible assets</w:t>
            </w:r>
          </w:p>
        </w:tc>
        <w:tc>
          <w:tcPr>
            <w:tcW w:w="429" w:type="pct"/>
            <w:tcBorders>
              <w:top w:val="single" w:sz="4" w:space="0" w:color="auto"/>
              <w:left w:val="single" w:sz="4" w:space="0" w:color="auto"/>
              <w:bottom w:val="single" w:sz="4" w:space="0" w:color="auto"/>
              <w:right w:val="single" w:sz="4" w:space="0" w:color="auto"/>
            </w:tcBorders>
            <w:vAlign w:val="center"/>
          </w:tcPr>
          <w:p w14:paraId="7F888314" w14:textId="5B8E89B1" w:rsidR="00714A3E" w:rsidRPr="007D2BA9" w:rsidRDefault="00714A3E" w:rsidP="095637AE">
            <w:pPr>
              <w:jc w:val="right"/>
              <w:rPr>
                <w:rFonts w:cs="Arial"/>
              </w:rPr>
            </w:pPr>
            <w:r w:rsidRPr="007D2BA9">
              <w:rPr>
                <w:rFonts w:cs="Arial"/>
              </w:rPr>
              <w:t>219</w:t>
            </w:r>
          </w:p>
        </w:tc>
        <w:tc>
          <w:tcPr>
            <w:tcW w:w="489" w:type="pct"/>
            <w:tcBorders>
              <w:top w:val="single" w:sz="4" w:space="0" w:color="auto"/>
              <w:left w:val="single" w:sz="4" w:space="0" w:color="auto"/>
              <w:bottom w:val="single" w:sz="4" w:space="0" w:color="auto"/>
              <w:right w:val="single" w:sz="4" w:space="0" w:color="auto"/>
            </w:tcBorders>
            <w:vAlign w:val="center"/>
          </w:tcPr>
          <w:p w14:paraId="3319852A" w14:textId="31B06E92"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75166037" w14:textId="483F05B2" w:rsidR="00714A3E" w:rsidRPr="007D2BA9" w:rsidRDefault="00714A3E" w:rsidP="095637AE">
            <w:pPr>
              <w:jc w:val="right"/>
              <w:rPr>
                <w:rFonts w:cs="Arial"/>
              </w:rPr>
            </w:pPr>
            <w:r w:rsidRPr="007D2BA9">
              <w:rPr>
                <w:rFonts w:cs="Arial"/>
              </w:rPr>
              <w:t>219</w:t>
            </w:r>
          </w:p>
        </w:tc>
        <w:tc>
          <w:tcPr>
            <w:tcW w:w="448" w:type="pct"/>
            <w:tcBorders>
              <w:top w:val="single" w:sz="4" w:space="0" w:color="auto"/>
              <w:left w:val="single" w:sz="4" w:space="0" w:color="auto"/>
              <w:bottom w:val="single" w:sz="4" w:space="0" w:color="auto"/>
              <w:right w:val="single" w:sz="4" w:space="0" w:color="auto"/>
            </w:tcBorders>
            <w:vAlign w:val="center"/>
          </w:tcPr>
          <w:p w14:paraId="2AFDF395" w14:textId="7F100783"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6B7656B2" w14:textId="5BF55595"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35E8D404" w14:textId="1B2321F5" w:rsidR="00714A3E" w:rsidRPr="007D2BA9" w:rsidRDefault="00714A3E" w:rsidP="095637AE">
            <w:pPr>
              <w:jc w:val="right"/>
              <w:rPr>
                <w:rFonts w:cs="Arial"/>
              </w:rPr>
            </w:pPr>
            <w:r w:rsidRPr="007D2BA9">
              <w:rPr>
                <w:rFonts w:cs="Arial"/>
              </w:rPr>
              <w:t>219</w:t>
            </w:r>
          </w:p>
        </w:tc>
        <w:tc>
          <w:tcPr>
            <w:tcW w:w="448" w:type="pct"/>
            <w:tcBorders>
              <w:top w:val="single" w:sz="4" w:space="0" w:color="auto"/>
              <w:left w:val="single" w:sz="4" w:space="0" w:color="auto"/>
              <w:bottom w:val="single" w:sz="4" w:space="0" w:color="auto"/>
              <w:right w:val="single" w:sz="4" w:space="0" w:color="auto"/>
            </w:tcBorders>
            <w:vAlign w:val="center"/>
          </w:tcPr>
          <w:p w14:paraId="401A5FEA" w14:textId="39BC580A" w:rsidR="00714A3E" w:rsidRPr="007D2BA9" w:rsidRDefault="00714A3E" w:rsidP="095637AE">
            <w:pPr>
              <w:jc w:val="right"/>
              <w:rPr>
                <w:rFonts w:cs="Arial"/>
              </w:rPr>
            </w:pPr>
            <w:r w:rsidRPr="007D2BA9">
              <w:rPr>
                <w:rFonts w:cs="Arial"/>
              </w:rPr>
              <w:t>(219)</w:t>
            </w:r>
          </w:p>
        </w:tc>
        <w:tc>
          <w:tcPr>
            <w:tcW w:w="448" w:type="pct"/>
            <w:tcBorders>
              <w:top w:val="single" w:sz="4" w:space="0" w:color="auto"/>
              <w:left w:val="single" w:sz="4" w:space="0" w:color="auto"/>
              <w:bottom w:val="single" w:sz="4" w:space="0" w:color="auto"/>
              <w:right w:val="single" w:sz="4" w:space="0" w:color="auto"/>
            </w:tcBorders>
            <w:vAlign w:val="center"/>
          </w:tcPr>
          <w:p w14:paraId="4EDE7244" w14:textId="346FC9E4" w:rsidR="00714A3E" w:rsidRPr="007D2BA9" w:rsidRDefault="00714A3E" w:rsidP="095637AE">
            <w:pPr>
              <w:jc w:val="right"/>
              <w:rPr>
                <w:rFonts w:cs="Arial"/>
              </w:rPr>
            </w:pPr>
            <w:r w:rsidRPr="007D2BA9">
              <w:rPr>
                <w:rFonts w:cs="Arial"/>
              </w:rPr>
              <w:t>-</w:t>
            </w:r>
          </w:p>
        </w:tc>
      </w:tr>
      <w:tr w:rsidR="00C91BDD" w:rsidRPr="00D948C1" w14:paraId="3F28A79C"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15B368CE" w14:textId="77777777" w:rsidR="00714A3E" w:rsidRPr="007D2BA9" w:rsidRDefault="00714A3E" w:rsidP="095637AE">
            <w:pPr>
              <w:rPr>
                <w:rFonts w:cs="Arial"/>
              </w:rPr>
            </w:pPr>
            <w:r w:rsidRPr="007D2BA9">
              <w:rPr>
                <w:rFonts w:cs="Arial"/>
              </w:rPr>
              <w:t>Disposal of assets</w:t>
            </w:r>
          </w:p>
        </w:tc>
        <w:tc>
          <w:tcPr>
            <w:tcW w:w="429" w:type="pct"/>
            <w:tcBorders>
              <w:top w:val="single" w:sz="4" w:space="0" w:color="auto"/>
              <w:left w:val="single" w:sz="4" w:space="0" w:color="auto"/>
              <w:bottom w:val="single" w:sz="4" w:space="0" w:color="auto"/>
              <w:right w:val="single" w:sz="4" w:space="0" w:color="auto"/>
            </w:tcBorders>
            <w:vAlign w:val="center"/>
          </w:tcPr>
          <w:p w14:paraId="1EC864CE" w14:textId="5C5963F5" w:rsidR="00714A3E" w:rsidRPr="007D2BA9" w:rsidRDefault="00714A3E" w:rsidP="095637AE">
            <w:pPr>
              <w:jc w:val="right"/>
              <w:rPr>
                <w:rFonts w:cs="Arial"/>
              </w:rPr>
            </w:pPr>
            <w:r w:rsidRPr="007D2BA9">
              <w:rPr>
                <w:rFonts w:cs="Arial"/>
              </w:rPr>
              <w:t>(116)</w:t>
            </w:r>
          </w:p>
        </w:tc>
        <w:tc>
          <w:tcPr>
            <w:tcW w:w="489" w:type="pct"/>
            <w:tcBorders>
              <w:top w:val="single" w:sz="4" w:space="0" w:color="auto"/>
              <w:left w:val="single" w:sz="4" w:space="0" w:color="auto"/>
              <w:bottom w:val="single" w:sz="4" w:space="0" w:color="auto"/>
              <w:right w:val="single" w:sz="4" w:space="0" w:color="auto"/>
            </w:tcBorders>
            <w:vAlign w:val="center"/>
          </w:tcPr>
          <w:p w14:paraId="08CFEEA2" w14:textId="04A5E3C9"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2C026E61" w14:textId="5B8F1D81" w:rsidR="00714A3E" w:rsidRPr="007D2BA9" w:rsidRDefault="00714A3E" w:rsidP="095637AE">
            <w:pPr>
              <w:jc w:val="right"/>
              <w:rPr>
                <w:rFonts w:cs="Arial"/>
              </w:rPr>
            </w:pPr>
            <w:r w:rsidRPr="007D2BA9">
              <w:rPr>
                <w:rFonts w:cs="Arial"/>
              </w:rPr>
              <w:t>(116)</w:t>
            </w:r>
          </w:p>
        </w:tc>
        <w:tc>
          <w:tcPr>
            <w:tcW w:w="448" w:type="pct"/>
            <w:tcBorders>
              <w:top w:val="single" w:sz="4" w:space="0" w:color="auto"/>
              <w:left w:val="single" w:sz="4" w:space="0" w:color="auto"/>
              <w:bottom w:val="single" w:sz="4" w:space="0" w:color="auto"/>
              <w:right w:val="single" w:sz="4" w:space="0" w:color="auto"/>
            </w:tcBorders>
            <w:vAlign w:val="center"/>
          </w:tcPr>
          <w:p w14:paraId="703201AB" w14:textId="025AECD3"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976E80B" w14:textId="1F76DC77" w:rsidR="00714A3E" w:rsidRPr="007D2BA9" w:rsidRDefault="00714A3E" w:rsidP="095637AE">
            <w:pPr>
              <w:jc w:val="right"/>
              <w:rPr>
                <w:rFonts w:cs="Arial"/>
              </w:rPr>
            </w:pPr>
            <w:r w:rsidRPr="007D2BA9">
              <w:rPr>
                <w:rFonts w:cs="Arial"/>
              </w:rPr>
              <w:t>1</w:t>
            </w:r>
            <w:r>
              <w:rPr>
                <w:rFonts w:cs="Arial"/>
              </w:rPr>
              <w:t>2</w:t>
            </w:r>
            <w:r w:rsidRPr="007D2BA9">
              <w:rPr>
                <w:rFonts w:cs="Arial"/>
              </w:rPr>
              <w:t>3</w:t>
            </w:r>
          </w:p>
        </w:tc>
        <w:tc>
          <w:tcPr>
            <w:tcW w:w="428" w:type="pct"/>
            <w:tcBorders>
              <w:top w:val="single" w:sz="4" w:space="0" w:color="auto"/>
              <w:left w:val="single" w:sz="4" w:space="0" w:color="auto"/>
              <w:bottom w:val="single" w:sz="4" w:space="0" w:color="auto"/>
              <w:right w:val="single" w:sz="4" w:space="0" w:color="auto"/>
            </w:tcBorders>
            <w:vAlign w:val="center"/>
          </w:tcPr>
          <w:p w14:paraId="71B0CFA0" w14:textId="3122DCDB" w:rsidR="00714A3E" w:rsidRPr="007D2BA9" w:rsidRDefault="00714A3E" w:rsidP="095637AE">
            <w:pPr>
              <w:jc w:val="right"/>
              <w:rPr>
                <w:rFonts w:cs="Arial"/>
              </w:rPr>
            </w:pPr>
            <w:r w:rsidRPr="007D2BA9">
              <w:rPr>
                <w:rFonts w:cs="Arial"/>
              </w:rPr>
              <w:t>7</w:t>
            </w:r>
          </w:p>
        </w:tc>
        <w:tc>
          <w:tcPr>
            <w:tcW w:w="448" w:type="pct"/>
            <w:tcBorders>
              <w:top w:val="single" w:sz="4" w:space="0" w:color="auto"/>
              <w:left w:val="single" w:sz="4" w:space="0" w:color="auto"/>
              <w:bottom w:val="single" w:sz="4" w:space="0" w:color="auto"/>
              <w:right w:val="single" w:sz="4" w:space="0" w:color="auto"/>
            </w:tcBorders>
            <w:vAlign w:val="center"/>
          </w:tcPr>
          <w:p w14:paraId="271A20F7" w14:textId="4242018E" w:rsidR="00714A3E" w:rsidRPr="007D2BA9" w:rsidRDefault="00714A3E" w:rsidP="095637AE">
            <w:pPr>
              <w:jc w:val="right"/>
              <w:rPr>
                <w:rFonts w:cs="Arial"/>
              </w:rPr>
            </w:pPr>
            <w:r w:rsidRPr="007D2BA9">
              <w:rPr>
                <w:rFonts w:cs="Arial"/>
              </w:rPr>
              <w:t>(7)</w:t>
            </w:r>
          </w:p>
        </w:tc>
        <w:tc>
          <w:tcPr>
            <w:tcW w:w="448" w:type="pct"/>
            <w:tcBorders>
              <w:top w:val="single" w:sz="4" w:space="0" w:color="auto"/>
              <w:left w:val="single" w:sz="4" w:space="0" w:color="auto"/>
              <w:bottom w:val="single" w:sz="4" w:space="0" w:color="auto"/>
              <w:right w:val="single" w:sz="4" w:space="0" w:color="auto"/>
            </w:tcBorders>
            <w:vAlign w:val="center"/>
          </w:tcPr>
          <w:p w14:paraId="306F76AD" w14:textId="7255F44C" w:rsidR="00714A3E" w:rsidRPr="007D2BA9" w:rsidRDefault="00714A3E" w:rsidP="095637AE">
            <w:pPr>
              <w:jc w:val="right"/>
              <w:rPr>
                <w:rFonts w:cs="Arial"/>
              </w:rPr>
            </w:pPr>
            <w:r w:rsidRPr="007D2BA9">
              <w:rPr>
                <w:rFonts w:cs="Arial"/>
              </w:rPr>
              <w:t>-</w:t>
            </w:r>
          </w:p>
        </w:tc>
      </w:tr>
      <w:tr w:rsidR="00C91BDD" w:rsidRPr="00D948C1" w14:paraId="2AD01712"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15B2E092" w14:textId="77777777" w:rsidR="00714A3E" w:rsidRPr="007D2BA9" w:rsidRDefault="00714A3E" w:rsidP="095637AE">
            <w:pPr>
              <w:rPr>
                <w:rFonts w:cs="Arial"/>
              </w:rPr>
            </w:pPr>
            <w:r w:rsidRPr="007D2BA9">
              <w:rPr>
                <w:rFonts w:cs="Arial"/>
              </w:rPr>
              <w:t>Capital grants unapplied</w:t>
            </w:r>
          </w:p>
        </w:tc>
        <w:tc>
          <w:tcPr>
            <w:tcW w:w="429" w:type="pct"/>
            <w:tcBorders>
              <w:top w:val="single" w:sz="4" w:space="0" w:color="auto"/>
              <w:left w:val="single" w:sz="4" w:space="0" w:color="auto"/>
              <w:bottom w:val="single" w:sz="4" w:space="0" w:color="auto"/>
              <w:right w:val="single" w:sz="4" w:space="0" w:color="auto"/>
            </w:tcBorders>
            <w:vAlign w:val="center"/>
          </w:tcPr>
          <w:p w14:paraId="0A5DECCD" w14:textId="48226E22" w:rsidR="00714A3E" w:rsidRPr="007D2BA9" w:rsidRDefault="00714A3E" w:rsidP="095637AE">
            <w:pPr>
              <w:jc w:val="right"/>
              <w:rPr>
                <w:rFonts w:cs="Arial"/>
              </w:rPr>
            </w:pPr>
            <w:r w:rsidRPr="007D2BA9">
              <w:rPr>
                <w:rFonts w:cs="Arial"/>
              </w:rPr>
              <w:t>-</w:t>
            </w:r>
          </w:p>
        </w:tc>
        <w:tc>
          <w:tcPr>
            <w:tcW w:w="489" w:type="pct"/>
            <w:tcBorders>
              <w:top w:val="single" w:sz="4" w:space="0" w:color="auto"/>
              <w:left w:val="single" w:sz="4" w:space="0" w:color="auto"/>
              <w:bottom w:val="single" w:sz="4" w:space="0" w:color="auto"/>
              <w:right w:val="single" w:sz="4" w:space="0" w:color="auto"/>
            </w:tcBorders>
            <w:vAlign w:val="center"/>
          </w:tcPr>
          <w:p w14:paraId="50522AF2" w14:textId="0AF05AFE"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7B4661C6" w14:textId="3FAC08D0" w:rsidR="00714A3E" w:rsidRPr="007D2BA9" w:rsidRDefault="00714A3E" w:rsidP="095637AE">
            <w:pPr>
              <w:jc w:val="right"/>
              <w:rPr>
                <w:rFonts w:cs="Arial"/>
              </w:rPr>
            </w:pPr>
            <w:r w:rsidRPr="007D2BA9">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6C336388" w14:textId="667CEC22"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A7E37B8" w14:textId="3AE8D981"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72C431F" w14:textId="703719E3" w:rsidR="00714A3E" w:rsidRPr="007D2BA9" w:rsidRDefault="00714A3E" w:rsidP="095637AE">
            <w:pPr>
              <w:jc w:val="right"/>
              <w:rPr>
                <w:rFonts w:cs="Arial"/>
              </w:rPr>
            </w:pPr>
            <w:r w:rsidRPr="007D2BA9">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6817B55B" w14:textId="42056555" w:rsidR="00714A3E" w:rsidRPr="007D2BA9" w:rsidRDefault="00714A3E" w:rsidP="095637AE">
            <w:pPr>
              <w:jc w:val="right"/>
              <w:rPr>
                <w:rFonts w:cs="Arial"/>
              </w:rPr>
            </w:pPr>
            <w:r w:rsidRPr="007D2BA9">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70954DA1" w14:textId="4AC07738" w:rsidR="00714A3E" w:rsidRPr="007D2BA9" w:rsidRDefault="00714A3E" w:rsidP="095637AE">
            <w:pPr>
              <w:jc w:val="right"/>
              <w:rPr>
                <w:rFonts w:cs="Arial"/>
              </w:rPr>
            </w:pPr>
            <w:r w:rsidRPr="007D2BA9">
              <w:rPr>
                <w:rFonts w:cs="Arial"/>
              </w:rPr>
              <w:t>-</w:t>
            </w:r>
          </w:p>
        </w:tc>
      </w:tr>
      <w:tr w:rsidR="00C91BDD" w:rsidRPr="00D948C1" w14:paraId="743B9017"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0C11D181" w14:textId="77777777" w:rsidR="00714A3E" w:rsidRPr="007D2BA9" w:rsidRDefault="00714A3E" w:rsidP="095637AE">
            <w:pPr>
              <w:rPr>
                <w:rFonts w:cs="Arial"/>
              </w:rPr>
            </w:pPr>
            <w:r w:rsidRPr="007D2BA9">
              <w:rPr>
                <w:rFonts w:cs="Arial"/>
              </w:rPr>
              <w:t>Provision for the repayment of debt</w:t>
            </w:r>
          </w:p>
        </w:tc>
        <w:tc>
          <w:tcPr>
            <w:tcW w:w="429" w:type="pct"/>
            <w:tcBorders>
              <w:top w:val="single" w:sz="4" w:space="0" w:color="auto"/>
              <w:left w:val="single" w:sz="4" w:space="0" w:color="auto"/>
              <w:bottom w:val="single" w:sz="4" w:space="0" w:color="auto"/>
              <w:right w:val="single" w:sz="4" w:space="0" w:color="auto"/>
            </w:tcBorders>
            <w:vAlign w:val="center"/>
          </w:tcPr>
          <w:p w14:paraId="229EEBAD" w14:textId="661D7B64" w:rsidR="00714A3E" w:rsidRPr="007D2BA9" w:rsidRDefault="00714A3E" w:rsidP="095637AE">
            <w:pPr>
              <w:jc w:val="right"/>
              <w:rPr>
                <w:rFonts w:cs="Arial"/>
              </w:rPr>
            </w:pPr>
            <w:r w:rsidRPr="007D2BA9">
              <w:rPr>
                <w:rFonts w:cs="Arial"/>
              </w:rPr>
              <w:t>(606)</w:t>
            </w:r>
          </w:p>
        </w:tc>
        <w:tc>
          <w:tcPr>
            <w:tcW w:w="489" w:type="pct"/>
            <w:tcBorders>
              <w:top w:val="single" w:sz="4" w:space="0" w:color="auto"/>
              <w:left w:val="single" w:sz="4" w:space="0" w:color="auto"/>
              <w:bottom w:val="single" w:sz="4" w:space="0" w:color="auto"/>
              <w:right w:val="single" w:sz="4" w:space="0" w:color="auto"/>
            </w:tcBorders>
            <w:vAlign w:val="center"/>
          </w:tcPr>
          <w:p w14:paraId="45C40CF6" w14:textId="086ED44E"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0D320D4A" w14:textId="312D85E4" w:rsidR="00714A3E" w:rsidRPr="007D2BA9" w:rsidRDefault="00714A3E" w:rsidP="095637AE">
            <w:pPr>
              <w:jc w:val="right"/>
              <w:rPr>
                <w:rFonts w:cs="Arial"/>
              </w:rPr>
            </w:pPr>
            <w:r w:rsidRPr="007D2BA9">
              <w:rPr>
                <w:rFonts w:cs="Arial"/>
              </w:rPr>
              <w:t>(606)</w:t>
            </w:r>
          </w:p>
        </w:tc>
        <w:tc>
          <w:tcPr>
            <w:tcW w:w="448" w:type="pct"/>
            <w:tcBorders>
              <w:top w:val="single" w:sz="4" w:space="0" w:color="auto"/>
              <w:left w:val="single" w:sz="4" w:space="0" w:color="auto"/>
              <w:bottom w:val="single" w:sz="4" w:space="0" w:color="auto"/>
              <w:right w:val="single" w:sz="4" w:space="0" w:color="auto"/>
            </w:tcBorders>
            <w:vAlign w:val="center"/>
          </w:tcPr>
          <w:p w14:paraId="00241521" w14:textId="797D14A3"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34B439F" w14:textId="14B2E76A"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96DD9D1" w14:textId="28C1AB17" w:rsidR="00714A3E" w:rsidRPr="007D2BA9" w:rsidRDefault="00714A3E" w:rsidP="095637AE">
            <w:pPr>
              <w:jc w:val="right"/>
              <w:rPr>
                <w:rFonts w:cs="Arial"/>
              </w:rPr>
            </w:pPr>
            <w:r w:rsidRPr="007D2BA9">
              <w:rPr>
                <w:rFonts w:cs="Arial"/>
              </w:rPr>
              <w:t>(606)</w:t>
            </w:r>
          </w:p>
        </w:tc>
        <w:tc>
          <w:tcPr>
            <w:tcW w:w="448" w:type="pct"/>
            <w:tcBorders>
              <w:top w:val="single" w:sz="4" w:space="0" w:color="auto"/>
              <w:left w:val="single" w:sz="4" w:space="0" w:color="auto"/>
              <w:bottom w:val="single" w:sz="4" w:space="0" w:color="auto"/>
              <w:right w:val="single" w:sz="4" w:space="0" w:color="auto"/>
            </w:tcBorders>
            <w:vAlign w:val="center"/>
          </w:tcPr>
          <w:p w14:paraId="064A11D7" w14:textId="180C79E8" w:rsidR="00714A3E" w:rsidRPr="007D2BA9" w:rsidRDefault="00714A3E" w:rsidP="095637AE">
            <w:pPr>
              <w:jc w:val="right"/>
              <w:rPr>
                <w:rFonts w:cs="Arial"/>
              </w:rPr>
            </w:pPr>
            <w:r w:rsidRPr="007D2BA9">
              <w:rPr>
                <w:rFonts w:cs="Arial"/>
              </w:rPr>
              <w:t>606</w:t>
            </w:r>
          </w:p>
        </w:tc>
        <w:tc>
          <w:tcPr>
            <w:tcW w:w="448" w:type="pct"/>
            <w:tcBorders>
              <w:top w:val="single" w:sz="4" w:space="0" w:color="auto"/>
              <w:left w:val="single" w:sz="4" w:space="0" w:color="auto"/>
              <w:bottom w:val="single" w:sz="4" w:space="0" w:color="auto"/>
              <w:right w:val="single" w:sz="4" w:space="0" w:color="auto"/>
            </w:tcBorders>
            <w:vAlign w:val="center"/>
          </w:tcPr>
          <w:p w14:paraId="629B2086" w14:textId="1FD4EF30" w:rsidR="00714A3E" w:rsidRPr="007D2BA9" w:rsidRDefault="00714A3E" w:rsidP="095637AE">
            <w:pPr>
              <w:jc w:val="right"/>
              <w:rPr>
                <w:rFonts w:cs="Arial"/>
              </w:rPr>
            </w:pPr>
            <w:r w:rsidRPr="007D2BA9">
              <w:rPr>
                <w:rFonts w:cs="Arial"/>
              </w:rPr>
              <w:t>-</w:t>
            </w:r>
          </w:p>
        </w:tc>
      </w:tr>
      <w:tr w:rsidR="00C91BDD" w:rsidRPr="00D948C1" w14:paraId="5744B3B6"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2C13B346" w14:textId="77777777" w:rsidR="00714A3E" w:rsidRPr="007D2BA9" w:rsidRDefault="00714A3E" w:rsidP="095637AE">
            <w:pPr>
              <w:rPr>
                <w:rFonts w:cs="Arial"/>
              </w:rPr>
            </w:pPr>
            <w:r w:rsidRPr="007D2BA9">
              <w:rPr>
                <w:rFonts w:cs="Arial"/>
              </w:rPr>
              <w:t>Capital expenditure charged against General Fund Balance</w:t>
            </w:r>
          </w:p>
        </w:tc>
        <w:tc>
          <w:tcPr>
            <w:tcW w:w="429" w:type="pct"/>
            <w:tcBorders>
              <w:top w:val="single" w:sz="4" w:space="0" w:color="auto"/>
              <w:left w:val="single" w:sz="4" w:space="0" w:color="auto"/>
              <w:bottom w:val="single" w:sz="4" w:space="0" w:color="auto"/>
              <w:right w:val="single" w:sz="4" w:space="0" w:color="auto"/>
            </w:tcBorders>
            <w:vAlign w:val="center"/>
          </w:tcPr>
          <w:p w14:paraId="0AD15415" w14:textId="62D0CB27" w:rsidR="00714A3E" w:rsidRPr="007D2BA9" w:rsidRDefault="00714A3E" w:rsidP="095637AE">
            <w:pPr>
              <w:jc w:val="right"/>
              <w:rPr>
                <w:rFonts w:cs="Arial"/>
              </w:rPr>
            </w:pPr>
            <w:r w:rsidRPr="007D2BA9">
              <w:rPr>
                <w:rFonts w:cs="Arial"/>
              </w:rPr>
              <w:t>(</w:t>
            </w:r>
            <w:r w:rsidR="00C91BDD">
              <w:rPr>
                <w:rFonts w:cs="Arial"/>
              </w:rPr>
              <w:t>4</w:t>
            </w:r>
            <w:r w:rsidRPr="007D2BA9">
              <w:rPr>
                <w:rFonts w:cs="Arial"/>
              </w:rPr>
              <w:t>,</w:t>
            </w:r>
            <w:r w:rsidR="00C91BDD">
              <w:rPr>
                <w:rFonts w:cs="Arial"/>
              </w:rPr>
              <w:t>261</w:t>
            </w:r>
            <w:r w:rsidRPr="007D2BA9">
              <w:rPr>
                <w:rFonts w:cs="Arial"/>
              </w:rPr>
              <w:t>)</w:t>
            </w:r>
          </w:p>
        </w:tc>
        <w:tc>
          <w:tcPr>
            <w:tcW w:w="489" w:type="pct"/>
            <w:tcBorders>
              <w:top w:val="single" w:sz="4" w:space="0" w:color="auto"/>
              <w:left w:val="single" w:sz="4" w:space="0" w:color="auto"/>
              <w:bottom w:val="single" w:sz="4" w:space="0" w:color="auto"/>
              <w:right w:val="single" w:sz="4" w:space="0" w:color="auto"/>
            </w:tcBorders>
            <w:vAlign w:val="center"/>
          </w:tcPr>
          <w:p w14:paraId="1B936054" w14:textId="7D7FBC3F"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7FE340EA" w14:textId="4E8D8B92" w:rsidR="00714A3E" w:rsidRPr="007D2BA9" w:rsidRDefault="00714A3E" w:rsidP="095637AE">
            <w:pPr>
              <w:jc w:val="right"/>
              <w:rPr>
                <w:rFonts w:cs="Arial"/>
              </w:rPr>
            </w:pPr>
            <w:r w:rsidRPr="007D2BA9">
              <w:rPr>
                <w:rFonts w:cs="Arial"/>
              </w:rPr>
              <w:t>(</w:t>
            </w:r>
            <w:r w:rsidR="00C91BDD">
              <w:rPr>
                <w:rFonts w:cs="Arial"/>
              </w:rPr>
              <w:t>4</w:t>
            </w:r>
            <w:r w:rsidRPr="007D2BA9">
              <w:rPr>
                <w:rFonts w:cs="Arial"/>
              </w:rPr>
              <w:t>,</w:t>
            </w:r>
            <w:r w:rsidR="00C91BDD">
              <w:rPr>
                <w:rFonts w:cs="Arial"/>
              </w:rPr>
              <w:t>261</w:t>
            </w:r>
            <w:r w:rsidRPr="007D2BA9">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0FDD9DDA" w14:textId="653775C7"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3FD5B9C" w14:textId="789B21CA"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69B037FA" w14:textId="39E7BB29" w:rsidR="00714A3E" w:rsidRPr="007D2BA9" w:rsidRDefault="00714A3E" w:rsidP="095637AE">
            <w:pPr>
              <w:jc w:val="right"/>
              <w:rPr>
                <w:rFonts w:cs="Arial"/>
              </w:rPr>
            </w:pPr>
            <w:r w:rsidRPr="007D2BA9">
              <w:rPr>
                <w:rFonts w:cs="Arial"/>
              </w:rPr>
              <w:t>(4,261)</w:t>
            </w:r>
          </w:p>
        </w:tc>
        <w:tc>
          <w:tcPr>
            <w:tcW w:w="448" w:type="pct"/>
            <w:tcBorders>
              <w:top w:val="single" w:sz="4" w:space="0" w:color="auto"/>
              <w:left w:val="single" w:sz="4" w:space="0" w:color="auto"/>
              <w:bottom w:val="single" w:sz="4" w:space="0" w:color="auto"/>
              <w:right w:val="single" w:sz="4" w:space="0" w:color="auto"/>
            </w:tcBorders>
            <w:vAlign w:val="center"/>
          </w:tcPr>
          <w:p w14:paraId="28605687" w14:textId="513771FE" w:rsidR="00714A3E" w:rsidRPr="007D2BA9" w:rsidRDefault="00714A3E" w:rsidP="095637AE">
            <w:pPr>
              <w:jc w:val="right"/>
              <w:rPr>
                <w:rFonts w:cs="Arial"/>
              </w:rPr>
            </w:pPr>
            <w:r w:rsidRPr="007D2BA9">
              <w:rPr>
                <w:rFonts w:cs="Arial"/>
              </w:rPr>
              <w:t>4,261</w:t>
            </w:r>
          </w:p>
        </w:tc>
        <w:tc>
          <w:tcPr>
            <w:tcW w:w="448" w:type="pct"/>
            <w:tcBorders>
              <w:top w:val="single" w:sz="4" w:space="0" w:color="auto"/>
              <w:left w:val="single" w:sz="4" w:space="0" w:color="auto"/>
              <w:bottom w:val="single" w:sz="4" w:space="0" w:color="auto"/>
              <w:right w:val="single" w:sz="4" w:space="0" w:color="auto"/>
            </w:tcBorders>
            <w:vAlign w:val="center"/>
          </w:tcPr>
          <w:p w14:paraId="12E43151" w14:textId="21CD667E" w:rsidR="00714A3E" w:rsidRPr="007D2BA9" w:rsidRDefault="00714A3E" w:rsidP="095637AE">
            <w:pPr>
              <w:jc w:val="right"/>
              <w:rPr>
                <w:rFonts w:cs="Arial"/>
              </w:rPr>
            </w:pPr>
            <w:r w:rsidRPr="007D2BA9">
              <w:rPr>
                <w:rFonts w:cs="Arial"/>
              </w:rPr>
              <w:t>-</w:t>
            </w:r>
          </w:p>
        </w:tc>
      </w:tr>
      <w:tr w:rsidR="00C91BDD" w:rsidRPr="00D948C1" w14:paraId="67A1C7F6"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01AF2B4E" w14:textId="77777777" w:rsidR="00714A3E" w:rsidRPr="007D2BA9" w:rsidRDefault="00714A3E" w:rsidP="095637AE">
            <w:pPr>
              <w:rPr>
                <w:rFonts w:cs="Arial"/>
              </w:rPr>
            </w:pPr>
            <w:r w:rsidRPr="007D2BA9">
              <w:rPr>
                <w:rFonts w:cs="Arial"/>
              </w:rPr>
              <w:t>Amount by which the Code and the statutory pension costs differ</w:t>
            </w:r>
          </w:p>
        </w:tc>
        <w:tc>
          <w:tcPr>
            <w:tcW w:w="429" w:type="pct"/>
            <w:tcBorders>
              <w:top w:val="single" w:sz="4" w:space="0" w:color="auto"/>
              <w:left w:val="single" w:sz="4" w:space="0" w:color="auto"/>
              <w:bottom w:val="single" w:sz="4" w:space="0" w:color="auto"/>
              <w:right w:val="single" w:sz="4" w:space="0" w:color="auto"/>
            </w:tcBorders>
            <w:vAlign w:val="center"/>
          </w:tcPr>
          <w:p w14:paraId="381D0F2D" w14:textId="390FD7E6" w:rsidR="00714A3E" w:rsidRPr="007D2BA9" w:rsidRDefault="00714A3E" w:rsidP="095637AE">
            <w:pPr>
              <w:jc w:val="right"/>
              <w:rPr>
                <w:rFonts w:cs="Arial"/>
              </w:rPr>
            </w:pPr>
            <w:r w:rsidRPr="007D2BA9">
              <w:rPr>
                <w:rFonts w:cs="Arial"/>
              </w:rPr>
              <w:t>3,709</w:t>
            </w:r>
          </w:p>
        </w:tc>
        <w:tc>
          <w:tcPr>
            <w:tcW w:w="489" w:type="pct"/>
            <w:tcBorders>
              <w:top w:val="single" w:sz="4" w:space="0" w:color="auto"/>
              <w:left w:val="single" w:sz="4" w:space="0" w:color="auto"/>
              <w:bottom w:val="single" w:sz="4" w:space="0" w:color="auto"/>
              <w:right w:val="single" w:sz="4" w:space="0" w:color="auto"/>
            </w:tcBorders>
            <w:vAlign w:val="center"/>
          </w:tcPr>
          <w:p w14:paraId="4DDC01E6" w14:textId="0B0CF54E" w:rsidR="00714A3E" w:rsidRPr="007D2BA9" w:rsidRDefault="00714A3E" w:rsidP="095637AE">
            <w:pPr>
              <w:jc w:val="right"/>
              <w:rPr>
                <w:rFonts w:cs="Arial"/>
              </w:rPr>
            </w:pPr>
            <w:r w:rsidRPr="007D2BA9">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0C41A927" w14:textId="4E276A8B" w:rsidR="00714A3E" w:rsidRPr="007D2BA9" w:rsidRDefault="00714A3E" w:rsidP="095637AE">
            <w:pPr>
              <w:jc w:val="right"/>
              <w:rPr>
                <w:rFonts w:cs="Arial"/>
              </w:rPr>
            </w:pPr>
            <w:r w:rsidRPr="007D2BA9">
              <w:rPr>
                <w:rFonts w:cs="Arial"/>
              </w:rPr>
              <w:t>3,709</w:t>
            </w:r>
          </w:p>
        </w:tc>
        <w:tc>
          <w:tcPr>
            <w:tcW w:w="448" w:type="pct"/>
            <w:tcBorders>
              <w:top w:val="single" w:sz="4" w:space="0" w:color="auto"/>
              <w:left w:val="single" w:sz="4" w:space="0" w:color="auto"/>
              <w:bottom w:val="single" w:sz="4" w:space="0" w:color="auto"/>
              <w:right w:val="single" w:sz="4" w:space="0" w:color="auto"/>
            </w:tcBorders>
            <w:vAlign w:val="center"/>
          </w:tcPr>
          <w:p w14:paraId="624116D4" w14:textId="49D6B5EA"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6159D60" w14:textId="7A17B008" w:rsidR="00714A3E" w:rsidRPr="007D2BA9" w:rsidRDefault="00714A3E" w:rsidP="095637AE">
            <w:pPr>
              <w:jc w:val="right"/>
              <w:rPr>
                <w:rFonts w:cs="Arial"/>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36436E53" w14:textId="612732EC" w:rsidR="00714A3E" w:rsidRPr="007D2BA9" w:rsidRDefault="00714A3E" w:rsidP="095637AE">
            <w:pPr>
              <w:jc w:val="right"/>
              <w:rPr>
                <w:rFonts w:cs="Arial"/>
              </w:rPr>
            </w:pPr>
            <w:r w:rsidRPr="007D2BA9">
              <w:rPr>
                <w:rFonts w:cs="Arial"/>
              </w:rPr>
              <w:t>3,709</w:t>
            </w:r>
          </w:p>
        </w:tc>
        <w:tc>
          <w:tcPr>
            <w:tcW w:w="448" w:type="pct"/>
            <w:tcBorders>
              <w:top w:val="single" w:sz="4" w:space="0" w:color="auto"/>
              <w:left w:val="single" w:sz="4" w:space="0" w:color="auto"/>
              <w:bottom w:val="single" w:sz="4" w:space="0" w:color="auto"/>
              <w:right w:val="single" w:sz="4" w:space="0" w:color="auto"/>
            </w:tcBorders>
            <w:vAlign w:val="center"/>
          </w:tcPr>
          <w:p w14:paraId="53EC4922" w14:textId="19067C52" w:rsidR="00714A3E" w:rsidRPr="007D2BA9" w:rsidRDefault="00714A3E" w:rsidP="095637AE">
            <w:pPr>
              <w:jc w:val="right"/>
              <w:rPr>
                <w:rFonts w:cs="Arial"/>
              </w:rPr>
            </w:pPr>
            <w:r w:rsidRPr="007D2BA9">
              <w:rPr>
                <w:rFonts w:cs="Arial"/>
              </w:rPr>
              <w:t>(3,709)</w:t>
            </w:r>
          </w:p>
        </w:tc>
        <w:tc>
          <w:tcPr>
            <w:tcW w:w="448" w:type="pct"/>
            <w:tcBorders>
              <w:top w:val="single" w:sz="4" w:space="0" w:color="auto"/>
              <w:left w:val="single" w:sz="4" w:space="0" w:color="auto"/>
              <w:bottom w:val="single" w:sz="4" w:space="0" w:color="auto"/>
              <w:right w:val="single" w:sz="4" w:space="0" w:color="auto"/>
            </w:tcBorders>
            <w:vAlign w:val="center"/>
          </w:tcPr>
          <w:p w14:paraId="2ABE752B" w14:textId="5A1F8A66" w:rsidR="00714A3E" w:rsidRPr="007D2BA9" w:rsidRDefault="00714A3E" w:rsidP="095637AE">
            <w:pPr>
              <w:jc w:val="right"/>
              <w:rPr>
                <w:rFonts w:cs="Arial"/>
              </w:rPr>
            </w:pPr>
            <w:r w:rsidRPr="007D2BA9">
              <w:rPr>
                <w:rFonts w:cs="Arial"/>
              </w:rPr>
              <w:t>-</w:t>
            </w:r>
          </w:p>
        </w:tc>
      </w:tr>
    </w:tbl>
    <w:p w14:paraId="596C7F8A" w14:textId="2E86E568" w:rsidR="00AC1F4E" w:rsidRDefault="00AC1F4E"/>
    <w:p w14:paraId="081B849A" w14:textId="77777777" w:rsidR="00AC1F4E" w:rsidRDefault="00AC1F4E">
      <w:r>
        <w:br w:type="page"/>
      </w:r>
    </w:p>
    <w:tbl>
      <w:tblPr>
        <w:tblW w:w="4670" w:type="pct"/>
        <w:tblLook w:val="01E0" w:firstRow="1" w:lastRow="1" w:firstColumn="1" w:lastColumn="1" w:noHBand="0" w:noVBand="0"/>
      </w:tblPr>
      <w:tblGrid>
        <w:gridCol w:w="4141"/>
        <w:gridCol w:w="1219"/>
        <w:gridCol w:w="1392"/>
        <w:gridCol w:w="1219"/>
        <w:gridCol w:w="1276"/>
        <w:gridCol w:w="1219"/>
        <w:gridCol w:w="1219"/>
        <w:gridCol w:w="1278"/>
        <w:gridCol w:w="1273"/>
      </w:tblGrid>
      <w:tr w:rsidR="007A241A" w:rsidRPr="00D948C1" w14:paraId="4A0CABEF" w14:textId="77777777" w:rsidTr="00AC1F4E">
        <w:trPr>
          <w:trHeight w:val="287"/>
        </w:trPr>
        <w:tc>
          <w:tcPr>
            <w:tcW w:w="1454" w:type="pct"/>
            <w:tcBorders>
              <w:top w:val="single" w:sz="4" w:space="0" w:color="auto"/>
              <w:left w:val="single" w:sz="4" w:space="0" w:color="auto"/>
              <w:bottom w:val="single" w:sz="4" w:space="0" w:color="auto"/>
              <w:right w:val="single" w:sz="4" w:space="0" w:color="auto"/>
            </w:tcBorders>
            <w:shd w:val="clear" w:color="auto" w:fill="BD2716"/>
            <w:vAlign w:val="center"/>
          </w:tcPr>
          <w:p w14:paraId="280347FD" w14:textId="075C0D7A" w:rsidR="00714A3E" w:rsidRPr="00D948C1" w:rsidRDefault="002C5DD1" w:rsidP="002C5DD1">
            <w:pPr>
              <w:rPr>
                <w:rFonts w:cs="Arial"/>
                <w:color w:val="FFFFFF" w:themeColor="background1"/>
                <w:szCs w:val="24"/>
              </w:rPr>
            </w:pPr>
            <w:r w:rsidRPr="00D948C1">
              <w:lastRenderedPageBreak/>
              <w:br w:type="page"/>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46B3698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General fund</w:t>
            </w:r>
          </w:p>
          <w:p w14:paraId="20ED74D4" w14:textId="7D15C1A9"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89" w:type="pct"/>
            <w:tcBorders>
              <w:top w:val="single" w:sz="4" w:space="0" w:color="auto"/>
              <w:left w:val="single" w:sz="4" w:space="0" w:color="auto"/>
              <w:bottom w:val="single" w:sz="4" w:space="0" w:color="auto"/>
              <w:right w:val="single" w:sz="4" w:space="0" w:color="auto"/>
            </w:tcBorders>
            <w:shd w:val="clear" w:color="auto" w:fill="BD2716"/>
            <w:vAlign w:val="center"/>
          </w:tcPr>
          <w:p w14:paraId="6B3449C9"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Earmarked reserves</w:t>
            </w:r>
          </w:p>
          <w:p w14:paraId="50A79A2B" w14:textId="4FFFA712"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1DB92B8B"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General Fund Balance</w:t>
            </w:r>
          </w:p>
          <w:p w14:paraId="48D24374" w14:textId="63C82A57"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072D9F97"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grant unapplied reserve</w:t>
            </w:r>
          </w:p>
          <w:p w14:paraId="595203C6" w14:textId="7C502A96"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2A7EA851"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receipts reserve</w:t>
            </w:r>
          </w:p>
          <w:p w14:paraId="3A67AF20" w14:textId="580BED96"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5CA67C3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usable reserves</w:t>
            </w:r>
          </w:p>
          <w:p w14:paraId="36B6438E" w14:textId="79F92DD0"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9" w:type="pct"/>
            <w:tcBorders>
              <w:top w:val="single" w:sz="4" w:space="0" w:color="auto"/>
              <w:left w:val="single" w:sz="4" w:space="0" w:color="auto"/>
              <w:bottom w:val="single" w:sz="4" w:space="0" w:color="auto"/>
              <w:right w:val="single" w:sz="4" w:space="0" w:color="auto"/>
            </w:tcBorders>
            <w:shd w:val="clear" w:color="auto" w:fill="BD2716"/>
            <w:vAlign w:val="center"/>
          </w:tcPr>
          <w:p w14:paraId="675F75DA"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Unusable reserves</w:t>
            </w:r>
          </w:p>
          <w:p w14:paraId="094A6BC4" w14:textId="54391E9C"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7" w:type="pct"/>
            <w:tcBorders>
              <w:top w:val="single" w:sz="4" w:space="0" w:color="auto"/>
              <w:left w:val="single" w:sz="4" w:space="0" w:color="auto"/>
              <w:bottom w:val="single" w:sz="4" w:space="0" w:color="auto"/>
              <w:right w:val="single" w:sz="4" w:space="0" w:color="auto"/>
            </w:tcBorders>
            <w:shd w:val="clear" w:color="auto" w:fill="BD2716"/>
            <w:vAlign w:val="center"/>
          </w:tcPr>
          <w:p w14:paraId="2E582E86"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Authority reserves</w:t>
            </w:r>
          </w:p>
          <w:p w14:paraId="0714F521" w14:textId="07FD9B15"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r>
      <w:tr w:rsidR="007A241A" w:rsidRPr="00D948C1" w14:paraId="6963C0DD" w14:textId="77777777" w:rsidTr="00AC1F4E">
        <w:trPr>
          <w:trHeight w:val="287"/>
        </w:trPr>
        <w:tc>
          <w:tcPr>
            <w:tcW w:w="1454" w:type="pct"/>
            <w:tcBorders>
              <w:top w:val="single" w:sz="4" w:space="0" w:color="auto"/>
              <w:left w:val="single" w:sz="4" w:space="0" w:color="auto"/>
              <w:bottom w:val="single" w:sz="4" w:space="0" w:color="auto"/>
              <w:right w:val="single" w:sz="4" w:space="0" w:color="auto"/>
            </w:tcBorders>
            <w:vAlign w:val="center"/>
          </w:tcPr>
          <w:p w14:paraId="4481244C" w14:textId="77777777" w:rsidR="00714A3E" w:rsidRPr="00D948C1" w:rsidRDefault="00714A3E" w:rsidP="002C5DD1">
            <w:pPr>
              <w:rPr>
                <w:rFonts w:cs="Arial"/>
                <w:szCs w:val="24"/>
              </w:rPr>
            </w:pPr>
            <w:r w:rsidRPr="00D948C1">
              <w:rPr>
                <w:rFonts w:cs="Arial"/>
                <w:szCs w:val="24"/>
              </w:rPr>
              <w:t>Amount by which the Code and the statutory collection fund income differ</w:t>
            </w:r>
          </w:p>
        </w:tc>
        <w:tc>
          <w:tcPr>
            <w:tcW w:w="428" w:type="pct"/>
            <w:tcBorders>
              <w:top w:val="single" w:sz="4" w:space="0" w:color="auto"/>
              <w:left w:val="single" w:sz="4" w:space="0" w:color="auto"/>
              <w:bottom w:val="single" w:sz="4" w:space="0" w:color="auto"/>
              <w:right w:val="single" w:sz="4" w:space="0" w:color="auto"/>
            </w:tcBorders>
            <w:vAlign w:val="center"/>
          </w:tcPr>
          <w:p w14:paraId="295A6216" w14:textId="66CAD82C" w:rsidR="00714A3E" w:rsidRPr="00BB7FAB" w:rsidRDefault="00714A3E" w:rsidP="00233A66">
            <w:pPr>
              <w:jc w:val="right"/>
              <w:rPr>
                <w:rFonts w:cs="Arial"/>
                <w:szCs w:val="24"/>
              </w:rPr>
            </w:pPr>
            <w:r w:rsidRPr="00BB7FAB">
              <w:rPr>
                <w:rFonts w:cs="Arial"/>
                <w:szCs w:val="24"/>
              </w:rPr>
              <w:t>(472)</w:t>
            </w:r>
          </w:p>
        </w:tc>
        <w:tc>
          <w:tcPr>
            <w:tcW w:w="489" w:type="pct"/>
            <w:tcBorders>
              <w:top w:val="single" w:sz="4" w:space="0" w:color="auto"/>
              <w:left w:val="single" w:sz="4" w:space="0" w:color="auto"/>
              <w:bottom w:val="single" w:sz="4" w:space="0" w:color="auto"/>
              <w:right w:val="single" w:sz="4" w:space="0" w:color="auto"/>
            </w:tcBorders>
            <w:vAlign w:val="center"/>
          </w:tcPr>
          <w:p w14:paraId="20BD3AE5" w14:textId="0B6A20EF" w:rsidR="00714A3E" w:rsidRPr="00BB7FAB" w:rsidRDefault="00714A3E" w:rsidP="00233A66">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68937DD" w14:textId="0AE1523E" w:rsidR="00714A3E" w:rsidRPr="00BB7FAB" w:rsidRDefault="00714A3E" w:rsidP="00233A66">
            <w:pPr>
              <w:jc w:val="right"/>
              <w:rPr>
                <w:rFonts w:cs="Arial"/>
                <w:szCs w:val="24"/>
              </w:rPr>
            </w:pPr>
            <w:r w:rsidRPr="00BB7FAB">
              <w:rPr>
                <w:rFonts w:cs="Arial"/>
                <w:szCs w:val="24"/>
              </w:rPr>
              <w:t>(472)</w:t>
            </w:r>
          </w:p>
        </w:tc>
        <w:tc>
          <w:tcPr>
            <w:tcW w:w="448" w:type="pct"/>
            <w:tcBorders>
              <w:top w:val="single" w:sz="4" w:space="0" w:color="auto"/>
              <w:left w:val="single" w:sz="4" w:space="0" w:color="auto"/>
              <w:bottom w:val="single" w:sz="4" w:space="0" w:color="auto"/>
              <w:right w:val="single" w:sz="4" w:space="0" w:color="auto"/>
            </w:tcBorders>
            <w:vAlign w:val="center"/>
          </w:tcPr>
          <w:p w14:paraId="59934DC4" w14:textId="65F0753F" w:rsidR="00714A3E" w:rsidRPr="00BB7FAB" w:rsidRDefault="00714A3E" w:rsidP="00233A66">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960B35E" w14:textId="278D1EB5" w:rsidR="00714A3E" w:rsidRPr="00BB7FAB" w:rsidRDefault="00714A3E" w:rsidP="00233A66">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DCE0B5F" w14:textId="62B30A2C" w:rsidR="00714A3E" w:rsidRPr="00BB7FAB" w:rsidRDefault="00714A3E" w:rsidP="00233A66">
            <w:pPr>
              <w:jc w:val="right"/>
              <w:rPr>
                <w:rFonts w:cs="Arial"/>
                <w:szCs w:val="24"/>
              </w:rPr>
            </w:pPr>
            <w:r w:rsidRPr="00BB7FAB">
              <w:rPr>
                <w:rFonts w:cs="Arial"/>
                <w:szCs w:val="24"/>
              </w:rPr>
              <w:t>(472)</w:t>
            </w:r>
          </w:p>
        </w:tc>
        <w:tc>
          <w:tcPr>
            <w:tcW w:w="449" w:type="pct"/>
            <w:tcBorders>
              <w:top w:val="single" w:sz="4" w:space="0" w:color="auto"/>
              <w:left w:val="single" w:sz="4" w:space="0" w:color="auto"/>
              <w:bottom w:val="single" w:sz="4" w:space="0" w:color="auto"/>
              <w:right w:val="single" w:sz="4" w:space="0" w:color="auto"/>
            </w:tcBorders>
            <w:vAlign w:val="center"/>
          </w:tcPr>
          <w:p w14:paraId="04970D6A" w14:textId="1D9F7F9D" w:rsidR="00714A3E" w:rsidRPr="00BB7FAB" w:rsidRDefault="00714A3E" w:rsidP="00233A66">
            <w:pPr>
              <w:jc w:val="right"/>
              <w:rPr>
                <w:rFonts w:cs="Arial"/>
                <w:szCs w:val="24"/>
              </w:rPr>
            </w:pPr>
            <w:r w:rsidRPr="00BB7FAB">
              <w:rPr>
                <w:rFonts w:cs="Arial"/>
                <w:szCs w:val="24"/>
              </w:rPr>
              <w:t>472</w:t>
            </w:r>
          </w:p>
        </w:tc>
        <w:tc>
          <w:tcPr>
            <w:tcW w:w="447" w:type="pct"/>
            <w:tcBorders>
              <w:top w:val="single" w:sz="4" w:space="0" w:color="auto"/>
              <w:left w:val="single" w:sz="4" w:space="0" w:color="auto"/>
              <w:bottom w:val="single" w:sz="4" w:space="0" w:color="auto"/>
              <w:right w:val="single" w:sz="4" w:space="0" w:color="auto"/>
            </w:tcBorders>
            <w:vAlign w:val="center"/>
          </w:tcPr>
          <w:p w14:paraId="0235EA22" w14:textId="2997EA03" w:rsidR="00714A3E" w:rsidRPr="00BB7FAB" w:rsidRDefault="00714A3E" w:rsidP="00233A66">
            <w:pPr>
              <w:jc w:val="right"/>
              <w:rPr>
                <w:rFonts w:cs="Arial"/>
                <w:szCs w:val="24"/>
              </w:rPr>
            </w:pPr>
            <w:r w:rsidRPr="00BB7FAB">
              <w:rPr>
                <w:rFonts w:cs="Arial"/>
                <w:szCs w:val="24"/>
              </w:rPr>
              <w:t>-</w:t>
            </w:r>
          </w:p>
        </w:tc>
      </w:tr>
      <w:tr w:rsidR="00431CDB" w:rsidRPr="00D948C1" w14:paraId="74FCB40D" w14:textId="77777777" w:rsidTr="00AC1F4E">
        <w:trPr>
          <w:trHeight w:val="269"/>
        </w:trPr>
        <w:tc>
          <w:tcPr>
            <w:tcW w:w="1454" w:type="pct"/>
            <w:tcBorders>
              <w:top w:val="single" w:sz="4" w:space="0" w:color="auto"/>
              <w:left w:val="single" w:sz="4" w:space="0" w:color="auto"/>
              <w:bottom w:val="single" w:sz="4" w:space="0" w:color="auto"/>
              <w:right w:val="single" w:sz="4" w:space="0" w:color="auto"/>
            </w:tcBorders>
            <w:vAlign w:val="center"/>
          </w:tcPr>
          <w:p w14:paraId="26223A25" w14:textId="299E784D" w:rsidR="00FD1DF8" w:rsidRPr="00AD3B8A" w:rsidRDefault="00FD1DF8" w:rsidP="00FD1DF8">
            <w:pPr>
              <w:rPr>
                <w:rFonts w:cs="Arial"/>
                <w:szCs w:val="24"/>
              </w:rPr>
            </w:pPr>
            <w:r>
              <w:rPr>
                <w:rFonts w:cs="Arial"/>
                <w:szCs w:val="24"/>
              </w:rPr>
              <w:t>Accumulated absences</w:t>
            </w:r>
          </w:p>
        </w:tc>
        <w:tc>
          <w:tcPr>
            <w:tcW w:w="428" w:type="pct"/>
            <w:tcBorders>
              <w:top w:val="single" w:sz="4" w:space="0" w:color="auto"/>
              <w:left w:val="single" w:sz="4" w:space="0" w:color="auto"/>
              <w:bottom w:val="single" w:sz="4" w:space="0" w:color="auto"/>
              <w:right w:val="single" w:sz="4" w:space="0" w:color="auto"/>
            </w:tcBorders>
            <w:vAlign w:val="center"/>
          </w:tcPr>
          <w:p w14:paraId="0A1D6347" w14:textId="4795F64B" w:rsidR="00FD1DF8" w:rsidRPr="00FD1DF8" w:rsidRDefault="00FD1DF8" w:rsidP="00FD1DF8">
            <w:pPr>
              <w:jc w:val="right"/>
              <w:rPr>
                <w:rFonts w:cs="Arial"/>
                <w:szCs w:val="24"/>
              </w:rPr>
            </w:pPr>
            <w:r w:rsidRPr="00BB7FAB">
              <w:rPr>
                <w:rFonts w:cs="Arial"/>
                <w:szCs w:val="24"/>
              </w:rPr>
              <w:t>(258)</w:t>
            </w:r>
          </w:p>
        </w:tc>
        <w:tc>
          <w:tcPr>
            <w:tcW w:w="489" w:type="pct"/>
            <w:tcBorders>
              <w:top w:val="single" w:sz="4" w:space="0" w:color="auto"/>
              <w:left w:val="single" w:sz="4" w:space="0" w:color="auto"/>
              <w:bottom w:val="single" w:sz="4" w:space="0" w:color="auto"/>
              <w:right w:val="single" w:sz="4" w:space="0" w:color="auto"/>
            </w:tcBorders>
            <w:vAlign w:val="center"/>
          </w:tcPr>
          <w:p w14:paraId="2476595C" w14:textId="5F16742F" w:rsidR="00FD1DF8" w:rsidRPr="00FD1DF8" w:rsidRDefault="00FD1DF8" w:rsidP="00FD1DF8">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6B4EEB98" w14:textId="7B742036" w:rsidR="00FD1DF8" w:rsidRPr="00FD1DF8" w:rsidRDefault="00FD1DF8" w:rsidP="00FD1DF8">
            <w:pPr>
              <w:jc w:val="right"/>
              <w:rPr>
                <w:rFonts w:cs="Arial"/>
                <w:szCs w:val="24"/>
              </w:rPr>
            </w:pPr>
            <w:r w:rsidRPr="00BB7FAB">
              <w:rPr>
                <w:rFonts w:cs="Arial"/>
                <w:szCs w:val="24"/>
              </w:rPr>
              <w:t>(258)</w:t>
            </w:r>
          </w:p>
        </w:tc>
        <w:tc>
          <w:tcPr>
            <w:tcW w:w="448" w:type="pct"/>
            <w:tcBorders>
              <w:top w:val="single" w:sz="4" w:space="0" w:color="auto"/>
              <w:left w:val="single" w:sz="4" w:space="0" w:color="auto"/>
              <w:bottom w:val="single" w:sz="4" w:space="0" w:color="auto"/>
              <w:right w:val="single" w:sz="4" w:space="0" w:color="auto"/>
            </w:tcBorders>
            <w:vAlign w:val="center"/>
          </w:tcPr>
          <w:p w14:paraId="4DB129DE" w14:textId="3104C276" w:rsidR="00FD1DF8" w:rsidRPr="00FD1DF8" w:rsidRDefault="00FD1DF8" w:rsidP="00FD1DF8">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20A00909" w14:textId="1EA4F2AD" w:rsidR="00FD1DF8" w:rsidRPr="00FD1DF8" w:rsidRDefault="00FD1DF8" w:rsidP="00FD1DF8">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36875A83" w14:textId="38FE871A" w:rsidR="00FD1DF8" w:rsidRPr="00FD1DF8" w:rsidRDefault="00FD1DF8" w:rsidP="00FD1DF8">
            <w:pPr>
              <w:jc w:val="right"/>
              <w:rPr>
                <w:rFonts w:cs="Arial"/>
                <w:szCs w:val="24"/>
              </w:rPr>
            </w:pPr>
            <w:r w:rsidRPr="00BB7FAB">
              <w:rPr>
                <w:rFonts w:cs="Arial"/>
                <w:szCs w:val="24"/>
              </w:rPr>
              <w:t>(258)</w:t>
            </w:r>
          </w:p>
        </w:tc>
        <w:tc>
          <w:tcPr>
            <w:tcW w:w="449" w:type="pct"/>
            <w:tcBorders>
              <w:top w:val="single" w:sz="4" w:space="0" w:color="auto"/>
              <w:left w:val="single" w:sz="4" w:space="0" w:color="auto"/>
              <w:bottom w:val="single" w:sz="4" w:space="0" w:color="auto"/>
              <w:right w:val="single" w:sz="4" w:space="0" w:color="auto"/>
            </w:tcBorders>
            <w:vAlign w:val="center"/>
          </w:tcPr>
          <w:p w14:paraId="01A82EEE" w14:textId="1791C963" w:rsidR="00FD1DF8" w:rsidRPr="00FD1DF8" w:rsidRDefault="00FD1DF8" w:rsidP="00FD1DF8">
            <w:pPr>
              <w:jc w:val="right"/>
              <w:rPr>
                <w:rFonts w:cs="Arial"/>
                <w:szCs w:val="24"/>
              </w:rPr>
            </w:pPr>
            <w:r w:rsidRPr="00BB7FAB">
              <w:rPr>
                <w:rFonts w:cs="Arial"/>
                <w:szCs w:val="24"/>
              </w:rPr>
              <w:t>258</w:t>
            </w:r>
          </w:p>
        </w:tc>
        <w:tc>
          <w:tcPr>
            <w:tcW w:w="447" w:type="pct"/>
            <w:tcBorders>
              <w:top w:val="single" w:sz="4" w:space="0" w:color="auto"/>
              <w:left w:val="single" w:sz="4" w:space="0" w:color="auto"/>
              <w:bottom w:val="single" w:sz="4" w:space="0" w:color="auto"/>
              <w:right w:val="single" w:sz="4" w:space="0" w:color="auto"/>
            </w:tcBorders>
            <w:vAlign w:val="center"/>
          </w:tcPr>
          <w:p w14:paraId="2C1D240C" w14:textId="4EE7A5BE" w:rsidR="00FD1DF8" w:rsidRPr="00FD1DF8" w:rsidRDefault="00FD1DF8" w:rsidP="00FD1DF8">
            <w:pPr>
              <w:jc w:val="right"/>
              <w:rPr>
                <w:rFonts w:cs="Arial"/>
                <w:szCs w:val="24"/>
              </w:rPr>
            </w:pPr>
            <w:r w:rsidRPr="00BB7FAB">
              <w:rPr>
                <w:rFonts w:cs="Arial"/>
                <w:szCs w:val="24"/>
              </w:rPr>
              <w:t>-</w:t>
            </w:r>
          </w:p>
        </w:tc>
      </w:tr>
      <w:tr w:rsidR="007A241A" w:rsidRPr="00D948C1" w14:paraId="57544245" w14:textId="77777777" w:rsidTr="00AC1F4E">
        <w:trPr>
          <w:trHeight w:val="269"/>
        </w:trPr>
        <w:tc>
          <w:tcPr>
            <w:tcW w:w="1454" w:type="pct"/>
            <w:tcBorders>
              <w:top w:val="single" w:sz="4" w:space="0" w:color="auto"/>
              <w:left w:val="single" w:sz="4" w:space="0" w:color="auto"/>
              <w:bottom w:val="single" w:sz="4" w:space="0" w:color="auto"/>
              <w:right w:val="single" w:sz="4" w:space="0" w:color="auto"/>
            </w:tcBorders>
            <w:vAlign w:val="center"/>
          </w:tcPr>
          <w:p w14:paraId="32EAC610" w14:textId="49EE3817" w:rsidR="00FD1DF8" w:rsidRPr="00D948C1" w:rsidRDefault="00FD1DF8" w:rsidP="00FD1DF8">
            <w:pPr>
              <w:rPr>
                <w:rFonts w:cs="Arial"/>
                <w:b/>
                <w:bCs/>
                <w:szCs w:val="24"/>
              </w:rPr>
            </w:pPr>
            <w:r w:rsidRPr="00D948C1">
              <w:rPr>
                <w:rFonts w:cs="Arial"/>
                <w:b/>
                <w:bCs/>
                <w:szCs w:val="24"/>
              </w:rPr>
              <w:t>Adjustments total</w:t>
            </w:r>
          </w:p>
        </w:tc>
        <w:tc>
          <w:tcPr>
            <w:tcW w:w="428" w:type="pct"/>
            <w:tcBorders>
              <w:top w:val="single" w:sz="4" w:space="0" w:color="auto"/>
              <w:left w:val="single" w:sz="4" w:space="0" w:color="auto"/>
              <w:bottom w:val="single" w:sz="4" w:space="0" w:color="auto"/>
              <w:right w:val="single" w:sz="4" w:space="0" w:color="auto"/>
            </w:tcBorders>
            <w:vAlign w:val="center"/>
          </w:tcPr>
          <w:p w14:paraId="73BD343E" w14:textId="5AA90844" w:rsidR="00FD1DF8" w:rsidRPr="00BB7FAB" w:rsidRDefault="00C91BDD" w:rsidP="00FD1DF8">
            <w:pPr>
              <w:jc w:val="right"/>
              <w:rPr>
                <w:rFonts w:cs="Arial"/>
                <w:b/>
                <w:bCs/>
                <w:szCs w:val="24"/>
              </w:rPr>
            </w:pPr>
            <w:r>
              <w:rPr>
                <w:rFonts w:cs="Arial"/>
                <w:b/>
                <w:bCs/>
                <w:szCs w:val="24"/>
              </w:rPr>
              <w:t>4</w:t>
            </w:r>
            <w:r w:rsidR="00FD1DF8" w:rsidRPr="00BB7FAB">
              <w:rPr>
                <w:rFonts w:cs="Arial"/>
                <w:b/>
                <w:bCs/>
                <w:szCs w:val="24"/>
              </w:rPr>
              <w:t>,</w:t>
            </w:r>
            <w:r>
              <w:rPr>
                <w:rFonts w:cs="Arial"/>
                <w:b/>
                <w:bCs/>
                <w:szCs w:val="24"/>
              </w:rPr>
              <w:t>934</w:t>
            </w:r>
          </w:p>
        </w:tc>
        <w:tc>
          <w:tcPr>
            <w:tcW w:w="489" w:type="pct"/>
            <w:tcBorders>
              <w:top w:val="single" w:sz="4" w:space="0" w:color="auto"/>
              <w:left w:val="single" w:sz="4" w:space="0" w:color="auto"/>
              <w:bottom w:val="single" w:sz="4" w:space="0" w:color="auto"/>
              <w:right w:val="single" w:sz="4" w:space="0" w:color="auto"/>
            </w:tcBorders>
            <w:vAlign w:val="center"/>
          </w:tcPr>
          <w:p w14:paraId="3C8A25F6" w14:textId="0D216EC4" w:rsidR="00FD1DF8" w:rsidRPr="00BB7FAB" w:rsidRDefault="00FD1DF8" w:rsidP="00FD1DF8">
            <w:pPr>
              <w:jc w:val="right"/>
              <w:rPr>
                <w:rFonts w:cs="Arial"/>
                <w:b/>
                <w:bCs/>
                <w:szCs w:val="24"/>
              </w:rPr>
            </w:pPr>
            <w:r w:rsidRPr="00BB7FAB">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ADF1687" w14:textId="31E6F655" w:rsidR="00FD1DF8" w:rsidRPr="00BB7FAB" w:rsidRDefault="00C91BDD" w:rsidP="00FD1DF8">
            <w:pPr>
              <w:jc w:val="right"/>
              <w:rPr>
                <w:rFonts w:cs="Arial"/>
                <w:b/>
                <w:bCs/>
                <w:szCs w:val="24"/>
              </w:rPr>
            </w:pPr>
            <w:r>
              <w:rPr>
                <w:rFonts w:cs="Arial"/>
                <w:b/>
                <w:bCs/>
                <w:szCs w:val="24"/>
              </w:rPr>
              <w:t>4</w:t>
            </w:r>
            <w:r w:rsidR="00FD1DF8" w:rsidRPr="00BB7FAB">
              <w:rPr>
                <w:rFonts w:cs="Arial"/>
                <w:b/>
                <w:bCs/>
                <w:szCs w:val="24"/>
              </w:rPr>
              <w:t>,</w:t>
            </w:r>
            <w:r>
              <w:rPr>
                <w:rFonts w:cs="Arial"/>
                <w:b/>
                <w:bCs/>
                <w:szCs w:val="24"/>
              </w:rPr>
              <w:t>934</w:t>
            </w:r>
          </w:p>
        </w:tc>
        <w:tc>
          <w:tcPr>
            <w:tcW w:w="448" w:type="pct"/>
            <w:tcBorders>
              <w:top w:val="single" w:sz="4" w:space="0" w:color="auto"/>
              <w:left w:val="single" w:sz="4" w:space="0" w:color="auto"/>
              <w:bottom w:val="single" w:sz="4" w:space="0" w:color="auto"/>
              <w:right w:val="single" w:sz="4" w:space="0" w:color="auto"/>
            </w:tcBorders>
            <w:vAlign w:val="center"/>
          </w:tcPr>
          <w:p w14:paraId="0F5BA14B" w14:textId="2BB4B93F" w:rsidR="00FD1DF8" w:rsidRPr="00BB7FAB" w:rsidRDefault="00FD1DF8" w:rsidP="00FD1DF8">
            <w:pPr>
              <w:jc w:val="right"/>
              <w:rPr>
                <w:rFonts w:cs="Arial"/>
                <w:b/>
                <w:bCs/>
                <w:szCs w:val="24"/>
              </w:rPr>
            </w:pPr>
            <w:r w:rsidRPr="00BB7FAB">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9477CDB" w14:textId="35A15725" w:rsidR="00FD1DF8" w:rsidRPr="00BB7FAB" w:rsidRDefault="00FD1DF8" w:rsidP="00FD1DF8">
            <w:pPr>
              <w:jc w:val="right"/>
              <w:rPr>
                <w:rFonts w:cs="Arial"/>
                <w:b/>
                <w:bCs/>
                <w:szCs w:val="24"/>
              </w:rPr>
            </w:pPr>
            <w:r w:rsidRPr="00BB7FAB">
              <w:rPr>
                <w:rFonts w:cs="Arial"/>
                <w:b/>
                <w:bCs/>
                <w:szCs w:val="24"/>
              </w:rPr>
              <w:t>123</w:t>
            </w:r>
          </w:p>
        </w:tc>
        <w:tc>
          <w:tcPr>
            <w:tcW w:w="428" w:type="pct"/>
            <w:tcBorders>
              <w:top w:val="single" w:sz="4" w:space="0" w:color="auto"/>
              <w:left w:val="single" w:sz="4" w:space="0" w:color="auto"/>
              <w:bottom w:val="single" w:sz="4" w:space="0" w:color="auto"/>
              <w:right w:val="single" w:sz="4" w:space="0" w:color="auto"/>
            </w:tcBorders>
            <w:vAlign w:val="center"/>
          </w:tcPr>
          <w:p w14:paraId="568DC9C1" w14:textId="3E588B34" w:rsidR="00FD1DF8" w:rsidRPr="00BB7FAB" w:rsidRDefault="00FD1DF8" w:rsidP="00FD1DF8">
            <w:pPr>
              <w:jc w:val="right"/>
              <w:rPr>
                <w:rFonts w:cs="Arial"/>
                <w:b/>
                <w:bCs/>
                <w:szCs w:val="24"/>
              </w:rPr>
            </w:pPr>
            <w:r w:rsidRPr="00BB7FAB">
              <w:rPr>
                <w:rFonts w:cs="Arial"/>
                <w:b/>
                <w:bCs/>
                <w:szCs w:val="24"/>
              </w:rPr>
              <w:t>5,</w:t>
            </w:r>
            <w:r w:rsidR="00725FB8">
              <w:rPr>
                <w:rFonts w:cs="Arial"/>
                <w:b/>
                <w:bCs/>
                <w:szCs w:val="24"/>
              </w:rPr>
              <w:t>057</w:t>
            </w:r>
          </w:p>
        </w:tc>
        <w:tc>
          <w:tcPr>
            <w:tcW w:w="449" w:type="pct"/>
            <w:tcBorders>
              <w:top w:val="single" w:sz="4" w:space="0" w:color="auto"/>
              <w:left w:val="single" w:sz="4" w:space="0" w:color="auto"/>
              <w:bottom w:val="single" w:sz="4" w:space="0" w:color="auto"/>
              <w:right w:val="single" w:sz="4" w:space="0" w:color="auto"/>
            </w:tcBorders>
            <w:vAlign w:val="center"/>
          </w:tcPr>
          <w:p w14:paraId="1881D60B" w14:textId="4ADA6BA6" w:rsidR="00FD1DF8" w:rsidRPr="00BB7FAB" w:rsidRDefault="00FD1DF8" w:rsidP="00FD1DF8">
            <w:pPr>
              <w:jc w:val="right"/>
              <w:rPr>
                <w:rFonts w:cs="Arial"/>
                <w:b/>
                <w:bCs/>
                <w:szCs w:val="24"/>
              </w:rPr>
            </w:pPr>
            <w:r w:rsidRPr="00BB7FAB">
              <w:rPr>
                <w:rFonts w:cs="Arial"/>
                <w:b/>
                <w:bCs/>
                <w:szCs w:val="24"/>
              </w:rPr>
              <w:t>(5,</w:t>
            </w:r>
            <w:r w:rsidR="00725FB8">
              <w:rPr>
                <w:rFonts w:cs="Arial"/>
                <w:b/>
                <w:bCs/>
                <w:szCs w:val="24"/>
              </w:rPr>
              <w:t>057</w:t>
            </w:r>
            <w:r w:rsidRPr="00BB7FAB">
              <w:rPr>
                <w:rFonts w:cs="Arial"/>
                <w:b/>
                <w:bCs/>
                <w:szCs w:val="24"/>
              </w:rPr>
              <w:t>)</w:t>
            </w:r>
          </w:p>
        </w:tc>
        <w:tc>
          <w:tcPr>
            <w:tcW w:w="447" w:type="pct"/>
            <w:tcBorders>
              <w:top w:val="single" w:sz="4" w:space="0" w:color="auto"/>
              <w:left w:val="single" w:sz="4" w:space="0" w:color="auto"/>
              <w:bottom w:val="single" w:sz="4" w:space="0" w:color="auto"/>
              <w:right w:val="single" w:sz="4" w:space="0" w:color="auto"/>
            </w:tcBorders>
            <w:vAlign w:val="center"/>
          </w:tcPr>
          <w:p w14:paraId="47FD312C" w14:textId="33297E6F" w:rsidR="00FD1DF8" w:rsidRPr="00BB7FAB" w:rsidRDefault="00FD1DF8" w:rsidP="00FD1DF8">
            <w:pPr>
              <w:jc w:val="right"/>
              <w:rPr>
                <w:rFonts w:cs="Arial"/>
                <w:b/>
                <w:bCs/>
                <w:szCs w:val="24"/>
              </w:rPr>
            </w:pPr>
            <w:r w:rsidRPr="00BB7FAB">
              <w:rPr>
                <w:rFonts w:cs="Arial"/>
                <w:b/>
                <w:bCs/>
                <w:szCs w:val="24"/>
              </w:rPr>
              <w:t>-</w:t>
            </w:r>
          </w:p>
        </w:tc>
      </w:tr>
      <w:tr w:rsidR="007A241A" w:rsidRPr="00D948C1" w14:paraId="0BEA7D72" w14:textId="77777777" w:rsidTr="00AC1F4E">
        <w:trPr>
          <w:trHeight w:val="243"/>
        </w:trPr>
        <w:tc>
          <w:tcPr>
            <w:tcW w:w="1454" w:type="pct"/>
            <w:tcBorders>
              <w:top w:val="single" w:sz="4" w:space="0" w:color="auto"/>
              <w:left w:val="single" w:sz="4" w:space="0" w:color="auto"/>
              <w:bottom w:val="single" w:sz="4" w:space="0" w:color="auto"/>
              <w:right w:val="single" w:sz="4" w:space="0" w:color="auto"/>
            </w:tcBorders>
            <w:vAlign w:val="center"/>
          </w:tcPr>
          <w:p w14:paraId="567F3060" w14:textId="77777777" w:rsidR="00FD1DF8" w:rsidRPr="00D948C1" w:rsidRDefault="00FD1DF8" w:rsidP="00FD1DF8">
            <w:pPr>
              <w:rPr>
                <w:rFonts w:cs="Arial"/>
                <w:b/>
                <w:bCs/>
                <w:szCs w:val="24"/>
              </w:rPr>
            </w:pPr>
            <w:r w:rsidRPr="00D948C1">
              <w:rPr>
                <w:rFonts w:cs="Arial"/>
                <w:b/>
                <w:bCs/>
                <w:szCs w:val="24"/>
              </w:rPr>
              <w:t>Net increase/decrease before transfers to earmarked reserves</w:t>
            </w:r>
          </w:p>
        </w:tc>
        <w:tc>
          <w:tcPr>
            <w:tcW w:w="428" w:type="pct"/>
            <w:tcBorders>
              <w:top w:val="single" w:sz="4" w:space="0" w:color="auto"/>
              <w:left w:val="single" w:sz="4" w:space="0" w:color="auto"/>
              <w:bottom w:val="single" w:sz="4" w:space="0" w:color="auto"/>
              <w:right w:val="single" w:sz="4" w:space="0" w:color="auto"/>
            </w:tcBorders>
            <w:vAlign w:val="center"/>
          </w:tcPr>
          <w:p w14:paraId="686FAE83" w14:textId="5C9C6015" w:rsidR="00FD1DF8" w:rsidRPr="00BB7FAB" w:rsidRDefault="008178B2" w:rsidP="00FD1DF8">
            <w:pPr>
              <w:jc w:val="right"/>
              <w:rPr>
                <w:rFonts w:cs="Arial"/>
                <w:b/>
                <w:bCs/>
                <w:szCs w:val="24"/>
              </w:rPr>
            </w:pPr>
            <w:r>
              <w:rPr>
                <w:rFonts w:cs="Arial"/>
                <w:b/>
                <w:bCs/>
                <w:szCs w:val="24"/>
              </w:rPr>
              <w:t>1</w:t>
            </w:r>
            <w:r w:rsidR="00FD1DF8" w:rsidRPr="00BB7FAB">
              <w:rPr>
                <w:rFonts w:cs="Arial"/>
                <w:b/>
                <w:bCs/>
                <w:szCs w:val="24"/>
              </w:rPr>
              <w:t>,</w:t>
            </w:r>
            <w:r>
              <w:rPr>
                <w:rFonts w:cs="Arial"/>
                <w:b/>
                <w:bCs/>
                <w:szCs w:val="24"/>
              </w:rPr>
              <w:t>880</w:t>
            </w:r>
          </w:p>
        </w:tc>
        <w:tc>
          <w:tcPr>
            <w:tcW w:w="489" w:type="pct"/>
            <w:tcBorders>
              <w:top w:val="single" w:sz="4" w:space="0" w:color="auto"/>
              <w:left w:val="single" w:sz="4" w:space="0" w:color="auto"/>
              <w:bottom w:val="single" w:sz="4" w:space="0" w:color="auto"/>
              <w:right w:val="single" w:sz="4" w:space="0" w:color="auto"/>
            </w:tcBorders>
            <w:vAlign w:val="center"/>
          </w:tcPr>
          <w:p w14:paraId="1F86B70D" w14:textId="47A1FF34" w:rsidR="00FD1DF8" w:rsidRPr="00BB7FAB" w:rsidRDefault="00FD1DF8" w:rsidP="00FD1DF8">
            <w:pPr>
              <w:jc w:val="right"/>
              <w:rPr>
                <w:rFonts w:cs="Arial"/>
                <w:b/>
                <w:bCs/>
                <w:szCs w:val="24"/>
              </w:rPr>
            </w:pPr>
            <w:r w:rsidRPr="00BB7FAB">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0E2930F0" w14:textId="533AC6CF" w:rsidR="00FD1DF8" w:rsidRPr="00BB7FAB" w:rsidRDefault="008178B2" w:rsidP="00FD1DF8">
            <w:pPr>
              <w:jc w:val="right"/>
              <w:rPr>
                <w:rFonts w:cs="Arial"/>
                <w:b/>
                <w:bCs/>
                <w:szCs w:val="24"/>
              </w:rPr>
            </w:pPr>
            <w:r>
              <w:rPr>
                <w:rFonts w:cs="Arial"/>
                <w:b/>
                <w:bCs/>
                <w:szCs w:val="24"/>
              </w:rPr>
              <w:t>1</w:t>
            </w:r>
            <w:r w:rsidR="00FD1DF8" w:rsidRPr="00BB7FAB">
              <w:rPr>
                <w:rFonts w:cs="Arial"/>
                <w:b/>
                <w:bCs/>
                <w:szCs w:val="24"/>
              </w:rPr>
              <w:t>,</w:t>
            </w:r>
            <w:r>
              <w:rPr>
                <w:rFonts w:cs="Arial"/>
                <w:b/>
                <w:bCs/>
                <w:szCs w:val="24"/>
              </w:rPr>
              <w:t>880</w:t>
            </w:r>
          </w:p>
        </w:tc>
        <w:tc>
          <w:tcPr>
            <w:tcW w:w="448" w:type="pct"/>
            <w:tcBorders>
              <w:top w:val="single" w:sz="4" w:space="0" w:color="auto"/>
              <w:left w:val="single" w:sz="4" w:space="0" w:color="auto"/>
              <w:bottom w:val="single" w:sz="4" w:space="0" w:color="auto"/>
              <w:right w:val="single" w:sz="4" w:space="0" w:color="auto"/>
            </w:tcBorders>
            <w:vAlign w:val="center"/>
          </w:tcPr>
          <w:p w14:paraId="0B7221F6" w14:textId="7606B77D" w:rsidR="00FD1DF8" w:rsidRPr="00BB7FAB" w:rsidRDefault="00FD1DF8" w:rsidP="00FD1DF8">
            <w:pPr>
              <w:jc w:val="right"/>
              <w:rPr>
                <w:rFonts w:cs="Arial"/>
                <w:b/>
                <w:bCs/>
                <w:szCs w:val="24"/>
              </w:rPr>
            </w:pPr>
            <w:r w:rsidRPr="00BB7FAB">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348D842E" w14:textId="06801FD7" w:rsidR="00FD1DF8" w:rsidRPr="00BB7FAB" w:rsidRDefault="00FD1DF8" w:rsidP="00FD1DF8">
            <w:pPr>
              <w:jc w:val="right"/>
              <w:rPr>
                <w:rFonts w:cs="Arial"/>
                <w:b/>
                <w:bCs/>
                <w:szCs w:val="24"/>
              </w:rPr>
            </w:pPr>
            <w:r w:rsidRPr="00BB7FAB">
              <w:rPr>
                <w:rFonts w:cs="Arial"/>
                <w:b/>
                <w:bCs/>
                <w:szCs w:val="24"/>
              </w:rPr>
              <w:t>123</w:t>
            </w:r>
          </w:p>
        </w:tc>
        <w:tc>
          <w:tcPr>
            <w:tcW w:w="428" w:type="pct"/>
            <w:tcBorders>
              <w:top w:val="single" w:sz="4" w:space="0" w:color="auto"/>
              <w:left w:val="single" w:sz="4" w:space="0" w:color="auto"/>
              <w:bottom w:val="single" w:sz="4" w:space="0" w:color="auto"/>
              <w:right w:val="single" w:sz="4" w:space="0" w:color="auto"/>
            </w:tcBorders>
            <w:vAlign w:val="center"/>
          </w:tcPr>
          <w:p w14:paraId="341499D3" w14:textId="3684160D" w:rsidR="00FD1DF8" w:rsidRPr="00BB7FAB" w:rsidRDefault="00FD1DF8" w:rsidP="00FD1DF8">
            <w:pPr>
              <w:jc w:val="right"/>
              <w:rPr>
                <w:rFonts w:cs="Arial"/>
                <w:b/>
                <w:bCs/>
                <w:szCs w:val="24"/>
              </w:rPr>
            </w:pPr>
            <w:r w:rsidRPr="00BB7FAB">
              <w:rPr>
                <w:rFonts w:cs="Arial"/>
                <w:b/>
                <w:bCs/>
                <w:szCs w:val="24"/>
              </w:rPr>
              <w:t>2,</w:t>
            </w:r>
            <w:r w:rsidR="00E12206">
              <w:rPr>
                <w:rFonts w:cs="Arial"/>
                <w:b/>
                <w:bCs/>
                <w:szCs w:val="24"/>
              </w:rPr>
              <w:t>003</w:t>
            </w:r>
          </w:p>
        </w:tc>
        <w:tc>
          <w:tcPr>
            <w:tcW w:w="449" w:type="pct"/>
            <w:tcBorders>
              <w:top w:val="single" w:sz="4" w:space="0" w:color="auto"/>
              <w:left w:val="single" w:sz="4" w:space="0" w:color="auto"/>
              <w:bottom w:val="single" w:sz="4" w:space="0" w:color="auto"/>
              <w:right w:val="single" w:sz="4" w:space="0" w:color="auto"/>
            </w:tcBorders>
            <w:vAlign w:val="center"/>
          </w:tcPr>
          <w:p w14:paraId="155E0793" w14:textId="6F1F4B3B" w:rsidR="00FD1DF8" w:rsidRPr="00BB7FAB" w:rsidRDefault="00FD1DF8" w:rsidP="00FD1DF8">
            <w:pPr>
              <w:jc w:val="right"/>
              <w:rPr>
                <w:rFonts w:cs="Arial"/>
                <w:b/>
                <w:bCs/>
                <w:szCs w:val="24"/>
              </w:rPr>
            </w:pPr>
            <w:r w:rsidRPr="00BB7FAB">
              <w:rPr>
                <w:rFonts w:cs="Arial"/>
                <w:b/>
                <w:bCs/>
                <w:szCs w:val="24"/>
              </w:rPr>
              <w:t>65,</w:t>
            </w:r>
            <w:r w:rsidR="00A55182">
              <w:rPr>
                <w:rFonts w:cs="Arial"/>
                <w:b/>
                <w:bCs/>
                <w:szCs w:val="24"/>
              </w:rPr>
              <w:t>787</w:t>
            </w:r>
          </w:p>
        </w:tc>
        <w:tc>
          <w:tcPr>
            <w:tcW w:w="447" w:type="pct"/>
            <w:tcBorders>
              <w:top w:val="single" w:sz="4" w:space="0" w:color="auto"/>
              <w:left w:val="single" w:sz="4" w:space="0" w:color="auto"/>
              <w:bottom w:val="single" w:sz="4" w:space="0" w:color="auto"/>
              <w:right w:val="single" w:sz="4" w:space="0" w:color="auto"/>
            </w:tcBorders>
            <w:vAlign w:val="center"/>
          </w:tcPr>
          <w:p w14:paraId="535556A9" w14:textId="5C8DDA05" w:rsidR="00FD1DF8" w:rsidRPr="00BB7FAB" w:rsidRDefault="00FD1DF8" w:rsidP="00FD1DF8">
            <w:pPr>
              <w:jc w:val="right"/>
              <w:rPr>
                <w:rFonts w:cs="Arial"/>
                <w:b/>
                <w:bCs/>
                <w:szCs w:val="24"/>
              </w:rPr>
            </w:pPr>
            <w:r w:rsidRPr="00BB7FAB">
              <w:rPr>
                <w:rFonts w:cs="Arial"/>
                <w:b/>
                <w:bCs/>
                <w:szCs w:val="24"/>
              </w:rPr>
              <w:t>67,791</w:t>
            </w:r>
          </w:p>
        </w:tc>
      </w:tr>
      <w:tr w:rsidR="007A241A" w:rsidRPr="00D948C1" w14:paraId="2E062C85"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4163233F" w14:textId="77777777" w:rsidR="00FD1DF8" w:rsidRPr="00D948C1" w:rsidRDefault="00FD1DF8" w:rsidP="00FD1DF8">
            <w:pPr>
              <w:rPr>
                <w:rFonts w:cs="Arial"/>
                <w:szCs w:val="24"/>
              </w:rPr>
            </w:pPr>
            <w:r w:rsidRPr="00D948C1">
              <w:rPr>
                <w:rFonts w:cs="Arial"/>
                <w:szCs w:val="24"/>
              </w:rPr>
              <w:t>Transfers (to)/from earmarked reserves</w:t>
            </w:r>
          </w:p>
        </w:tc>
        <w:tc>
          <w:tcPr>
            <w:tcW w:w="428" w:type="pct"/>
            <w:tcBorders>
              <w:top w:val="single" w:sz="4" w:space="0" w:color="auto"/>
              <w:left w:val="single" w:sz="4" w:space="0" w:color="auto"/>
              <w:bottom w:val="single" w:sz="4" w:space="0" w:color="auto"/>
              <w:right w:val="single" w:sz="4" w:space="0" w:color="auto"/>
            </w:tcBorders>
            <w:vAlign w:val="center"/>
          </w:tcPr>
          <w:p w14:paraId="134C1091" w14:textId="5A8EA6C7" w:rsidR="00FD1DF8" w:rsidRPr="00BB7FAB" w:rsidRDefault="00FD1DF8" w:rsidP="00FD1DF8">
            <w:pPr>
              <w:jc w:val="right"/>
              <w:rPr>
                <w:rFonts w:cs="Arial"/>
                <w:szCs w:val="24"/>
              </w:rPr>
            </w:pPr>
            <w:r w:rsidRPr="00BB7FAB">
              <w:rPr>
                <w:rFonts w:cs="Arial"/>
                <w:szCs w:val="24"/>
              </w:rPr>
              <w:t>(</w:t>
            </w:r>
            <w:r w:rsidR="00976700">
              <w:rPr>
                <w:rFonts w:cs="Arial"/>
                <w:szCs w:val="24"/>
              </w:rPr>
              <w:t>97</w:t>
            </w:r>
            <w:r w:rsidR="004A6FA2">
              <w:rPr>
                <w:rFonts w:cs="Arial"/>
                <w:szCs w:val="24"/>
              </w:rPr>
              <w:t>8</w:t>
            </w:r>
            <w:r w:rsidRPr="00BB7FAB">
              <w:rPr>
                <w:rFonts w:cs="Arial"/>
                <w:szCs w:val="24"/>
              </w:rPr>
              <w:t>)</w:t>
            </w:r>
          </w:p>
        </w:tc>
        <w:tc>
          <w:tcPr>
            <w:tcW w:w="489" w:type="pct"/>
            <w:tcBorders>
              <w:top w:val="single" w:sz="4" w:space="0" w:color="auto"/>
              <w:left w:val="single" w:sz="4" w:space="0" w:color="auto"/>
              <w:bottom w:val="single" w:sz="4" w:space="0" w:color="auto"/>
              <w:right w:val="single" w:sz="4" w:space="0" w:color="auto"/>
            </w:tcBorders>
            <w:vAlign w:val="center"/>
          </w:tcPr>
          <w:p w14:paraId="682434A2" w14:textId="6F581ED7" w:rsidR="00FD1DF8" w:rsidRPr="00BB7FAB" w:rsidRDefault="00242997" w:rsidP="00FD1DF8">
            <w:pPr>
              <w:jc w:val="right"/>
              <w:rPr>
                <w:rFonts w:cs="Arial"/>
                <w:szCs w:val="24"/>
              </w:rPr>
            </w:pPr>
            <w:r>
              <w:rPr>
                <w:rFonts w:cs="Arial"/>
                <w:szCs w:val="24"/>
              </w:rPr>
              <w:t>9</w:t>
            </w:r>
            <w:r w:rsidR="00976700">
              <w:rPr>
                <w:rFonts w:cs="Arial"/>
                <w:szCs w:val="24"/>
              </w:rPr>
              <w:t>7</w:t>
            </w:r>
            <w:r>
              <w:rPr>
                <w:rFonts w:cs="Arial"/>
                <w:szCs w:val="24"/>
              </w:rPr>
              <w:t>8</w:t>
            </w:r>
          </w:p>
        </w:tc>
        <w:tc>
          <w:tcPr>
            <w:tcW w:w="428" w:type="pct"/>
            <w:tcBorders>
              <w:top w:val="single" w:sz="4" w:space="0" w:color="auto"/>
              <w:left w:val="single" w:sz="4" w:space="0" w:color="auto"/>
              <w:bottom w:val="single" w:sz="4" w:space="0" w:color="auto"/>
              <w:right w:val="single" w:sz="4" w:space="0" w:color="auto"/>
            </w:tcBorders>
            <w:vAlign w:val="center"/>
          </w:tcPr>
          <w:p w14:paraId="50042043" w14:textId="5FF9EB26" w:rsidR="00FD1DF8" w:rsidRPr="00BB7FAB" w:rsidRDefault="00FD1DF8" w:rsidP="00FD1DF8">
            <w:pPr>
              <w:jc w:val="right"/>
              <w:rPr>
                <w:rFonts w:cs="Arial"/>
                <w:szCs w:val="24"/>
              </w:rPr>
            </w:pPr>
            <w:r w:rsidRPr="00BB7FAB">
              <w:rPr>
                <w:rFonts w:cs="Arial"/>
                <w:szCs w:val="24"/>
              </w:rPr>
              <w:t>-</w:t>
            </w:r>
          </w:p>
        </w:tc>
        <w:tc>
          <w:tcPr>
            <w:tcW w:w="448" w:type="pct"/>
            <w:tcBorders>
              <w:top w:val="single" w:sz="4" w:space="0" w:color="auto"/>
              <w:left w:val="single" w:sz="4" w:space="0" w:color="auto"/>
              <w:bottom w:val="single" w:sz="4" w:space="0" w:color="auto"/>
              <w:right w:val="single" w:sz="4" w:space="0" w:color="auto"/>
            </w:tcBorders>
            <w:vAlign w:val="center"/>
          </w:tcPr>
          <w:p w14:paraId="1ABA209D" w14:textId="2448D69A" w:rsidR="00FD1DF8" w:rsidRPr="00BB7FAB" w:rsidRDefault="00FD1DF8" w:rsidP="00FD1DF8">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7181E5AC" w14:textId="5FC44DFE" w:rsidR="00FD1DF8" w:rsidRPr="00BB7FAB" w:rsidRDefault="00FD1DF8" w:rsidP="00FD1DF8">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F54F1FF" w14:textId="68B3E755" w:rsidR="00FD1DF8" w:rsidRPr="00BB7FAB" w:rsidRDefault="00FD1DF8" w:rsidP="00FD1DF8">
            <w:pPr>
              <w:jc w:val="right"/>
              <w:rPr>
                <w:rFonts w:cs="Arial"/>
                <w:szCs w:val="24"/>
              </w:rPr>
            </w:pPr>
            <w:r w:rsidRPr="00BB7FAB">
              <w:rPr>
                <w:rFonts w:cs="Arial"/>
                <w:szCs w:val="24"/>
              </w:rPr>
              <w:t>-</w:t>
            </w:r>
          </w:p>
        </w:tc>
        <w:tc>
          <w:tcPr>
            <w:tcW w:w="449" w:type="pct"/>
            <w:tcBorders>
              <w:top w:val="single" w:sz="4" w:space="0" w:color="auto"/>
              <w:left w:val="single" w:sz="4" w:space="0" w:color="auto"/>
              <w:bottom w:val="single" w:sz="4" w:space="0" w:color="auto"/>
              <w:right w:val="single" w:sz="4" w:space="0" w:color="auto"/>
            </w:tcBorders>
            <w:vAlign w:val="center"/>
          </w:tcPr>
          <w:p w14:paraId="18D47684" w14:textId="6D2A3CE4" w:rsidR="00FD1DF8" w:rsidRPr="00BB7FAB" w:rsidRDefault="00FD1DF8" w:rsidP="00FD1DF8">
            <w:pPr>
              <w:jc w:val="right"/>
              <w:rPr>
                <w:rFonts w:cs="Arial"/>
                <w:szCs w:val="24"/>
              </w:rPr>
            </w:pPr>
            <w:r w:rsidRPr="00BB7FAB">
              <w:rPr>
                <w:rFonts w:cs="Arial"/>
                <w:szCs w:val="24"/>
              </w:rPr>
              <w:t>-</w:t>
            </w:r>
          </w:p>
        </w:tc>
        <w:tc>
          <w:tcPr>
            <w:tcW w:w="447" w:type="pct"/>
            <w:tcBorders>
              <w:top w:val="single" w:sz="4" w:space="0" w:color="auto"/>
              <w:left w:val="single" w:sz="4" w:space="0" w:color="auto"/>
              <w:bottom w:val="single" w:sz="4" w:space="0" w:color="auto"/>
              <w:right w:val="single" w:sz="4" w:space="0" w:color="auto"/>
            </w:tcBorders>
            <w:vAlign w:val="center"/>
          </w:tcPr>
          <w:p w14:paraId="29D3663E" w14:textId="4E3402F8" w:rsidR="00FD1DF8" w:rsidRPr="00BB7FAB" w:rsidRDefault="00FD1DF8" w:rsidP="00FD1DF8">
            <w:pPr>
              <w:jc w:val="right"/>
              <w:rPr>
                <w:rFonts w:cs="Arial"/>
                <w:szCs w:val="24"/>
              </w:rPr>
            </w:pPr>
            <w:r w:rsidRPr="00BB7FAB">
              <w:rPr>
                <w:rFonts w:cs="Arial"/>
                <w:szCs w:val="24"/>
              </w:rPr>
              <w:t>-</w:t>
            </w:r>
          </w:p>
        </w:tc>
      </w:tr>
      <w:tr w:rsidR="007A241A" w:rsidRPr="00D948C1" w14:paraId="230CAA49"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2F9811DF" w14:textId="77777777" w:rsidR="00FD1DF8" w:rsidRPr="00D948C1" w:rsidRDefault="00FD1DF8" w:rsidP="00FD1DF8">
            <w:pPr>
              <w:rPr>
                <w:rFonts w:cs="Arial"/>
                <w:szCs w:val="24"/>
              </w:rPr>
            </w:pPr>
            <w:r w:rsidRPr="00D948C1">
              <w:rPr>
                <w:rFonts w:cs="Arial"/>
                <w:szCs w:val="24"/>
              </w:rPr>
              <w:t>Increase/(Decrease) in the year</w:t>
            </w:r>
          </w:p>
        </w:tc>
        <w:tc>
          <w:tcPr>
            <w:tcW w:w="428" w:type="pct"/>
            <w:tcBorders>
              <w:top w:val="single" w:sz="4" w:space="0" w:color="auto"/>
              <w:left w:val="single" w:sz="4" w:space="0" w:color="auto"/>
              <w:bottom w:val="single" w:sz="4" w:space="0" w:color="auto"/>
              <w:right w:val="single" w:sz="4" w:space="0" w:color="auto"/>
            </w:tcBorders>
            <w:vAlign w:val="center"/>
          </w:tcPr>
          <w:p w14:paraId="77F2718C" w14:textId="1CEDB0B8" w:rsidR="00FD1DF8" w:rsidRPr="00BB7FAB" w:rsidRDefault="00FD1DF8" w:rsidP="00FD1DF8">
            <w:pPr>
              <w:jc w:val="right"/>
              <w:rPr>
                <w:rFonts w:cs="Arial"/>
                <w:szCs w:val="24"/>
              </w:rPr>
            </w:pPr>
            <w:r w:rsidRPr="00BB7FAB">
              <w:rPr>
                <w:rFonts w:cs="Arial"/>
                <w:szCs w:val="24"/>
              </w:rPr>
              <w:t>902</w:t>
            </w:r>
          </w:p>
        </w:tc>
        <w:tc>
          <w:tcPr>
            <w:tcW w:w="489" w:type="pct"/>
            <w:tcBorders>
              <w:top w:val="single" w:sz="4" w:space="0" w:color="auto"/>
              <w:left w:val="single" w:sz="4" w:space="0" w:color="auto"/>
              <w:bottom w:val="single" w:sz="4" w:space="0" w:color="auto"/>
              <w:right w:val="single" w:sz="4" w:space="0" w:color="auto"/>
            </w:tcBorders>
            <w:vAlign w:val="center"/>
          </w:tcPr>
          <w:p w14:paraId="2AFB0A63" w14:textId="08F69A79" w:rsidR="00FD1DF8" w:rsidRPr="00BB7FAB" w:rsidRDefault="00976700" w:rsidP="00FD1DF8">
            <w:pPr>
              <w:jc w:val="right"/>
              <w:rPr>
                <w:rFonts w:cs="Arial"/>
                <w:szCs w:val="24"/>
              </w:rPr>
            </w:pPr>
            <w:r>
              <w:rPr>
                <w:rFonts w:cs="Arial"/>
                <w:szCs w:val="24"/>
              </w:rPr>
              <w:t>978</w:t>
            </w:r>
          </w:p>
        </w:tc>
        <w:tc>
          <w:tcPr>
            <w:tcW w:w="428" w:type="pct"/>
            <w:tcBorders>
              <w:top w:val="single" w:sz="4" w:space="0" w:color="auto"/>
              <w:left w:val="single" w:sz="4" w:space="0" w:color="auto"/>
              <w:bottom w:val="single" w:sz="4" w:space="0" w:color="auto"/>
              <w:right w:val="single" w:sz="4" w:space="0" w:color="auto"/>
            </w:tcBorders>
            <w:vAlign w:val="center"/>
          </w:tcPr>
          <w:p w14:paraId="7BCA3B9F" w14:textId="197A4A4B" w:rsidR="00FD1DF8" w:rsidRPr="00BB7FAB" w:rsidRDefault="00431CDB" w:rsidP="00FD1DF8">
            <w:pPr>
              <w:jc w:val="right"/>
              <w:rPr>
                <w:rFonts w:cs="Arial"/>
                <w:szCs w:val="24"/>
              </w:rPr>
            </w:pPr>
            <w:r>
              <w:rPr>
                <w:rFonts w:cs="Arial"/>
                <w:szCs w:val="24"/>
              </w:rPr>
              <w:t>1</w:t>
            </w:r>
            <w:r w:rsidR="00FD1DF8" w:rsidRPr="00BB7FAB">
              <w:rPr>
                <w:rFonts w:cs="Arial"/>
                <w:szCs w:val="24"/>
              </w:rPr>
              <w:t>,</w:t>
            </w:r>
            <w:r>
              <w:rPr>
                <w:rFonts w:cs="Arial"/>
                <w:szCs w:val="24"/>
              </w:rPr>
              <w:t>880</w:t>
            </w:r>
          </w:p>
        </w:tc>
        <w:tc>
          <w:tcPr>
            <w:tcW w:w="448" w:type="pct"/>
            <w:tcBorders>
              <w:top w:val="single" w:sz="4" w:space="0" w:color="auto"/>
              <w:left w:val="single" w:sz="4" w:space="0" w:color="auto"/>
              <w:bottom w:val="single" w:sz="4" w:space="0" w:color="auto"/>
              <w:right w:val="single" w:sz="4" w:space="0" w:color="auto"/>
            </w:tcBorders>
            <w:vAlign w:val="center"/>
          </w:tcPr>
          <w:p w14:paraId="735B6E20" w14:textId="73BB6D35" w:rsidR="00FD1DF8" w:rsidRPr="00BB7FAB" w:rsidRDefault="00FD1DF8" w:rsidP="00FD1DF8">
            <w:pPr>
              <w:jc w:val="right"/>
              <w:rPr>
                <w:rFonts w:cs="Arial"/>
                <w:szCs w:val="24"/>
              </w:rPr>
            </w:pPr>
            <w:r w:rsidRPr="00BB7FAB">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59CC859" w14:textId="452E0E5D" w:rsidR="00FD1DF8" w:rsidRPr="00BB7FAB" w:rsidRDefault="00FD1DF8" w:rsidP="00FD1DF8">
            <w:pPr>
              <w:jc w:val="right"/>
              <w:rPr>
                <w:rFonts w:cs="Arial"/>
                <w:szCs w:val="24"/>
              </w:rPr>
            </w:pPr>
            <w:r w:rsidRPr="00BB7FAB">
              <w:rPr>
                <w:rFonts w:cs="Arial"/>
                <w:szCs w:val="24"/>
              </w:rPr>
              <w:t>123</w:t>
            </w:r>
          </w:p>
        </w:tc>
        <w:tc>
          <w:tcPr>
            <w:tcW w:w="428" w:type="pct"/>
            <w:tcBorders>
              <w:top w:val="single" w:sz="4" w:space="0" w:color="auto"/>
              <w:left w:val="single" w:sz="4" w:space="0" w:color="auto"/>
              <w:bottom w:val="single" w:sz="4" w:space="0" w:color="auto"/>
              <w:right w:val="single" w:sz="4" w:space="0" w:color="auto"/>
            </w:tcBorders>
            <w:vAlign w:val="center"/>
          </w:tcPr>
          <w:p w14:paraId="3ABEC896" w14:textId="2F285B80" w:rsidR="00FD1DF8" w:rsidRPr="00BB7FAB" w:rsidRDefault="00FD1DF8" w:rsidP="00FD1DF8">
            <w:pPr>
              <w:jc w:val="right"/>
              <w:rPr>
                <w:rFonts w:cs="Arial"/>
                <w:szCs w:val="24"/>
              </w:rPr>
            </w:pPr>
            <w:r w:rsidRPr="00BB7FAB">
              <w:rPr>
                <w:rFonts w:cs="Arial"/>
                <w:szCs w:val="24"/>
              </w:rPr>
              <w:t>2,003</w:t>
            </w:r>
          </w:p>
        </w:tc>
        <w:tc>
          <w:tcPr>
            <w:tcW w:w="449" w:type="pct"/>
            <w:tcBorders>
              <w:top w:val="single" w:sz="4" w:space="0" w:color="auto"/>
              <w:left w:val="single" w:sz="4" w:space="0" w:color="auto"/>
              <w:bottom w:val="single" w:sz="4" w:space="0" w:color="auto"/>
              <w:right w:val="single" w:sz="4" w:space="0" w:color="auto"/>
            </w:tcBorders>
            <w:vAlign w:val="center"/>
          </w:tcPr>
          <w:p w14:paraId="4421FC8E" w14:textId="0A648E8F" w:rsidR="00FD1DF8" w:rsidRPr="00BB7FAB" w:rsidRDefault="00FD1DF8" w:rsidP="00FD1DF8">
            <w:pPr>
              <w:jc w:val="right"/>
              <w:rPr>
                <w:rFonts w:cs="Arial"/>
                <w:szCs w:val="24"/>
              </w:rPr>
            </w:pPr>
            <w:r w:rsidRPr="00BB7FAB">
              <w:rPr>
                <w:rFonts w:cs="Arial"/>
                <w:szCs w:val="24"/>
              </w:rPr>
              <w:t>65,787</w:t>
            </w:r>
          </w:p>
        </w:tc>
        <w:tc>
          <w:tcPr>
            <w:tcW w:w="447" w:type="pct"/>
            <w:tcBorders>
              <w:top w:val="single" w:sz="4" w:space="0" w:color="auto"/>
              <w:left w:val="single" w:sz="4" w:space="0" w:color="auto"/>
              <w:bottom w:val="single" w:sz="4" w:space="0" w:color="auto"/>
              <w:right w:val="single" w:sz="4" w:space="0" w:color="auto"/>
            </w:tcBorders>
            <w:vAlign w:val="center"/>
          </w:tcPr>
          <w:p w14:paraId="66E2BA29" w14:textId="5E1C2BB5" w:rsidR="00FD1DF8" w:rsidRPr="00BB7FAB" w:rsidRDefault="00FD1DF8" w:rsidP="00FD1DF8">
            <w:pPr>
              <w:jc w:val="right"/>
              <w:rPr>
                <w:rFonts w:cs="Arial"/>
                <w:szCs w:val="24"/>
              </w:rPr>
            </w:pPr>
            <w:r w:rsidRPr="00BB7FAB">
              <w:rPr>
                <w:rFonts w:cs="Arial"/>
                <w:szCs w:val="24"/>
              </w:rPr>
              <w:t>67,791</w:t>
            </w:r>
          </w:p>
        </w:tc>
      </w:tr>
      <w:tr w:rsidR="007A241A" w:rsidRPr="00D948C1" w14:paraId="41422747"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5441B83B" w14:textId="282E07D0" w:rsidR="00FD1DF8" w:rsidRPr="00D948C1" w:rsidRDefault="00FD1DF8" w:rsidP="00FD1DF8">
            <w:pPr>
              <w:rPr>
                <w:rFonts w:cs="Arial"/>
                <w:b/>
                <w:bCs/>
                <w:szCs w:val="24"/>
              </w:rPr>
            </w:pPr>
            <w:r w:rsidRPr="00D948C1">
              <w:rPr>
                <w:rFonts w:cs="Arial"/>
                <w:b/>
                <w:bCs/>
                <w:szCs w:val="24"/>
              </w:rPr>
              <w:t xml:space="preserve">Balance </w:t>
            </w:r>
            <w:proofErr w:type="gramStart"/>
            <w:r w:rsidRPr="00D948C1">
              <w:rPr>
                <w:rFonts w:cs="Arial"/>
                <w:b/>
                <w:bCs/>
                <w:szCs w:val="24"/>
              </w:rPr>
              <w:t>at</w:t>
            </w:r>
            <w:proofErr w:type="gramEnd"/>
            <w:r w:rsidRPr="00D948C1">
              <w:rPr>
                <w:rFonts w:cs="Arial"/>
                <w:b/>
                <w:bCs/>
                <w:szCs w:val="24"/>
              </w:rPr>
              <w:t xml:space="preserve"> 31 March 202</w:t>
            </w:r>
            <w:r>
              <w:rPr>
                <w:rFonts w:cs="Arial"/>
                <w:b/>
                <w:bCs/>
                <w:szCs w:val="24"/>
              </w:rPr>
              <w:t>5</w:t>
            </w:r>
            <w:r w:rsidRPr="00D948C1">
              <w:rPr>
                <w:rFonts w:cs="Arial"/>
                <w:b/>
                <w:bCs/>
                <w:szCs w:val="24"/>
              </w:rPr>
              <w:t xml:space="preserve"> carried forwards</w:t>
            </w:r>
          </w:p>
        </w:tc>
        <w:tc>
          <w:tcPr>
            <w:tcW w:w="428" w:type="pct"/>
            <w:tcBorders>
              <w:top w:val="single" w:sz="4" w:space="0" w:color="auto"/>
              <w:left w:val="single" w:sz="4" w:space="0" w:color="auto"/>
              <w:bottom w:val="single" w:sz="4" w:space="0" w:color="auto"/>
              <w:right w:val="single" w:sz="4" w:space="0" w:color="auto"/>
            </w:tcBorders>
            <w:vAlign w:val="center"/>
          </w:tcPr>
          <w:p w14:paraId="78458479" w14:textId="51755B69" w:rsidR="00FD1DF8" w:rsidRPr="00BB7FAB" w:rsidRDefault="00FD1DF8" w:rsidP="00FD1DF8">
            <w:pPr>
              <w:jc w:val="right"/>
              <w:rPr>
                <w:rFonts w:cs="Arial"/>
                <w:b/>
                <w:bCs/>
                <w:szCs w:val="24"/>
              </w:rPr>
            </w:pPr>
            <w:r w:rsidRPr="00BB7FAB">
              <w:rPr>
                <w:rFonts w:cs="Arial"/>
                <w:b/>
                <w:bCs/>
                <w:szCs w:val="24"/>
              </w:rPr>
              <w:t>6,564</w:t>
            </w:r>
          </w:p>
        </w:tc>
        <w:tc>
          <w:tcPr>
            <w:tcW w:w="489" w:type="pct"/>
            <w:tcBorders>
              <w:top w:val="single" w:sz="4" w:space="0" w:color="auto"/>
              <w:left w:val="single" w:sz="4" w:space="0" w:color="auto"/>
              <w:bottom w:val="single" w:sz="4" w:space="0" w:color="auto"/>
              <w:right w:val="single" w:sz="4" w:space="0" w:color="auto"/>
            </w:tcBorders>
            <w:vAlign w:val="center"/>
          </w:tcPr>
          <w:p w14:paraId="1DF81C61" w14:textId="4DE59254" w:rsidR="00FD1DF8" w:rsidRPr="00BB7FAB" w:rsidRDefault="00390925" w:rsidP="00FD1DF8">
            <w:pPr>
              <w:jc w:val="right"/>
              <w:rPr>
                <w:rFonts w:cs="Arial"/>
                <w:b/>
                <w:bCs/>
                <w:szCs w:val="24"/>
              </w:rPr>
            </w:pPr>
            <w:r>
              <w:rPr>
                <w:rFonts w:cs="Arial"/>
                <w:b/>
                <w:bCs/>
                <w:szCs w:val="24"/>
              </w:rPr>
              <w:t>29</w:t>
            </w:r>
            <w:r w:rsidR="00FD1DF8" w:rsidRPr="00BB7FAB">
              <w:rPr>
                <w:rFonts w:cs="Arial"/>
                <w:b/>
                <w:bCs/>
                <w:szCs w:val="24"/>
              </w:rPr>
              <w:t>,</w:t>
            </w:r>
            <w:r>
              <w:rPr>
                <w:rFonts w:cs="Arial"/>
                <w:b/>
                <w:bCs/>
                <w:szCs w:val="24"/>
              </w:rPr>
              <w:t>012</w:t>
            </w:r>
          </w:p>
        </w:tc>
        <w:tc>
          <w:tcPr>
            <w:tcW w:w="428" w:type="pct"/>
            <w:tcBorders>
              <w:top w:val="single" w:sz="4" w:space="0" w:color="auto"/>
              <w:left w:val="single" w:sz="4" w:space="0" w:color="auto"/>
              <w:bottom w:val="single" w:sz="4" w:space="0" w:color="auto"/>
              <w:right w:val="single" w:sz="4" w:space="0" w:color="auto"/>
            </w:tcBorders>
            <w:vAlign w:val="center"/>
          </w:tcPr>
          <w:p w14:paraId="526589FB" w14:textId="3AD90B91" w:rsidR="00FD1DF8" w:rsidRPr="00BB7FAB" w:rsidRDefault="007A241A" w:rsidP="00FD1DF8">
            <w:pPr>
              <w:jc w:val="right"/>
              <w:rPr>
                <w:rFonts w:cs="Arial"/>
                <w:b/>
                <w:bCs/>
                <w:szCs w:val="24"/>
              </w:rPr>
            </w:pPr>
            <w:r>
              <w:rPr>
                <w:rFonts w:cs="Arial"/>
                <w:b/>
                <w:bCs/>
                <w:szCs w:val="24"/>
              </w:rPr>
              <w:t>35</w:t>
            </w:r>
            <w:r w:rsidR="00FD1DF8" w:rsidRPr="00BB7FAB">
              <w:rPr>
                <w:rFonts w:cs="Arial"/>
                <w:b/>
                <w:bCs/>
                <w:szCs w:val="24"/>
              </w:rPr>
              <w:t>,</w:t>
            </w:r>
            <w:r>
              <w:rPr>
                <w:rFonts w:cs="Arial"/>
                <w:b/>
                <w:bCs/>
                <w:szCs w:val="24"/>
              </w:rPr>
              <w:t>576</w:t>
            </w:r>
          </w:p>
        </w:tc>
        <w:tc>
          <w:tcPr>
            <w:tcW w:w="448" w:type="pct"/>
            <w:tcBorders>
              <w:top w:val="single" w:sz="4" w:space="0" w:color="auto"/>
              <w:left w:val="single" w:sz="4" w:space="0" w:color="auto"/>
              <w:bottom w:val="single" w:sz="4" w:space="0" w:color="auto"/>
              <w:right w:val="single" w:sz="4" w:space="0" w:color="auto"/>
            </w:tcBorders>
            <w:vAlign w:val="center"/>
          </w:tcPr>
          <w:p w14:paraId="5B6B8703" w14:textId="6DBF95ED" w:rsidR="00FD1DF8" w:rsidRPr="00BB7FAB" w:rsidRDefault="00FD1DF8" w:rsidP="00FD1DF8">
            <w:pPr>
              <w:jc w:val="right"/>
              <w:rPr>
                <w:rFonts w:cs="Arial"/>
                <w:b/>
                <w:bCs/>
                <w:szCs w:val="24"/>
              </w:rPr>
            </w:pPr>
            <w:r w:rsidRPr="00BB7FAB">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7275934" w14:textId="17485D39" w:rsidR="00FD1DF8" w:rsidRPr="00BB7FAB" w:rsidRDefault="00FD1DF8" w:rsidP="00FD1DF8">
            <w:pPr>
              <w:jc w:val="right"/>
              <w:rPr>
                <w:rFonts w:cs="Arial"/>
                <w:b/>
                <w:bCs/>
                <w:szCs w:val="24"/>
              </w:rPr>
            </w:pPr>
            <w:r w:rsidRPr="00BB7FAB">
              <w:rPr>
                <w:rFonts w:cs="Arial"/>
                <w:b/>
                <w:bCs/>
                <w:szCs w:val="24"/>
              </w:rPr>
              <w:t>194</w:t>
            </w:r>
          </w:p>
        </w:tc>
        <w:tc>
          <w:tcPr>
            <w:tcW w:w="428" w:type="pct"/>
            <w:tcBorders>
              <w:top w:val="single" w:sz="4" w:space="0" w:color="auto"/>
              <w:left w:val="single" w:sz="4" w:space="0" w:color="auto"/>
              <w:bottom w:val="single" w:sz="4" w:space="0" w:color="auto"/>
              <w:right w:val="single" w:sz="4" w:space="0" w:color="auto"/>
            </w:tcBorders>
            <w:vAlign w:val="center"/>
          </w:tcPr>
          <w:p w14:paraId="4B95F4EF" w14:textId="43A3A152" w:rsidR="00FD1DF8" w:rsidRPr="00BB7FAB" w:rsidRDefault="00FD1DF8" w:rsidP="00FD1DF8">
            <w:pPr>
              <w:jc w:val="right"/>
              <w:rPr>
                <w:rFonts w:cs="Arial"/>
                <w:b/>
                <w:bCs/>
                <w:szCs w:val="24"/>
              </w:rPr>
            </w:pPr>
            <w:r w:rsidRPr="00BB7FAB">
              <w:rPr>
                <w:rFonts w:cs="Arial"/>
                <w:b/>
                <w:bCs/>
                <w:szCs w:val="24"/>
              </w:rPr>
              <w:t>35,770</w:t>
            </w:r>
          </w:p>
        </w:tc>
        <w:tc>
          <w:tcPr>
            <w:tcW w:w="449" w:type="pct"/>
            <w:tcBorders>
              <w:top w:val="single" w:sz="4" w:space="0" w:color="auto"/>
              <w:left w:val="single" w:sz="4" w:space="0" w:color="auto"/>
              <w:bottom w:val="single" w:sz="4" w:space="0" w:color="auto"/>
              <w:right w:val="single" w:sz="4" w:space="0" w:color="auto"/>
            </w:tcBorders>
            <w:vAlign w:val="center"/>
          </w:tcPr>
          <w:p w14:paraId="52E254E2" w14:textId="3A4D1C02" w:rsidR="00FD1DF8" w:rsidRPr="00BB7FAB" w:rsidRDefault="00FD1DF8" w:rsidP="00FD1DF8">
            <w:pPr>
              <w:jc w:val="right"/>
              <w:rPr>
                <w:rFonts w:cs="Arial"/>
                <w:b/>
                <w:bCs/>
                <w:szCs w:val="24"/>
              </w:rPr>
            </w:pPr>
            <w:r w:rsidRPr="00BB7FAB">
              <w:rPr>
                <w:rFonts w:cs="Arial"/>
                <w:b/>
                <w:bCs/>
                <w:szCs w:val="24"/>
              </w:rPr>
              <w:t>(470,932)</w:t>
            </w:r>
          </w:p>
        </w:tc>
        <w:tc>
          <w:tcPr>
            <w:tcW w:w="447" w:type="pct"/>
            <w:tcBorders>
              <w:top w:val="single" w:sz="4" w:space="0" w:color="auto"/>
              <w:left w:val="single" w:sz="4" w:space="0" w:color="auto"/>
              <w:bottom w:val="single" w:sz="4" w:space="0" w:color="auto"/>
              <w:right w:val="single" w:sz="4" w:space="0" w:color="auto"/>
            </w:tcBorders>
            <w:vAlign w:val="center"/>
          </w:tcPr>
          <w:p w14:paraId="4FDF36B2" w14:textId="1E5FEE36" w:rsidR="00FD1DF8" w:rsidRPr="00BB7FAB" w:rsidRDefault="00FD1DF8" w:rsidP="00FD1DF8">
            <w:pPr>
              <w:jc w:val="right"/>
              <w:rPr>
                <w:rFonts w:cs="Arial"/>
                <w:b/>
                <w:bCs/>
                <w:szCs w:val="24"/>
              </w:rPr>
            </w:pPr>
            <w:r w:rsidRPr="00BB7FAB">
              <w:rPr>
                <w:rFonts w:cs="Arial"/>
                <w:b/>
                <w:bCs/>
                <w:szCs w:val="24"/>
              </w:rPr>
              <w:t>(435,162)</w:t>
            </w:r>
          </w:p>
        </w:tc>
      </w:tr>
      <w:bookmarkEnd w:id="20"/>
      <w:bookmarkEnd w:id="21"/>
    </w:tbl>
    <w:p w14:paraId="7FAF9A33" w14:textId="4415CE51" w:rsidR="00B9618C" w:rsidRPr="00D948C1" w:rsidRDefault="00BC0AFA" w:rsidP="005C1944">
      <w:pPr>
        <w:rPr>
          <w:b/>
          <w:bCs/>
        </w:rPr>
      </w:pPr>
      <w:r w:rsidRPr="00D948C1">
        <w:rPr>
          <w:sz w:val="22"/>
        </w:rPr>
        <w:br w:type="page"/>
      </w:r>
      <w:r w:rsidR="002618EE" w:rsidRPr="00D948C1">
        <w:rPr>
          <w:b/>
          <w:bCs/>
        </w:rPr>
        <w:lastRenderedPageBreak/>
        <w:t>Movement in Reserves Statement 202</w:t>
      </w:r>
      <w:r w:rsidR="003F1F39">
        <w:rPr>
          <w:b/>
          <w:bCs/>
        </w:rPr>
        <w:t>3</w:t>
      </w:r>
      <w:r w:rsidR="002618EE" w:rsidRPr="00D948C1">
        <w:rPr>
          <w:b/>
          <w:bCs/>
        </w:rPr>
        <w:t>/2</w:t>
      </w:r>
      <w:r w:rsidR="003F1F39">
        <w:rPr>
          <w:b/>
          <w:bCs/>
        </w:rPr>
        <w:t>4</w:t>
      </w:r>
      <w:r w:rsidR="00592F20">
        <w:rPr>
          <w:b/>
          <w:bCs/>
        </w:rPr>
        <w:t xml:space="preserve"> </w:t>
      </w:r>
      <w:r w:rsidR="00CC60A1">
        <w:rPr>
          <w:b/>
          <w:bCs/>
        </w:rPr>
        <w:t>(</w:t>
      </w:r>
      <w:r w:rsidR="00592F20">
        <w:rPr>
          <w:b/>
          <w:bCs/>
        </w:rPr>
        <w:t>Restated</w:t>
      </w:r>
      <w:r w:rsidR="008A52B6">
        <w:rPr>
          <w:b/>
          <w:bCs/>
        </w:rPr>
        <w:t>*</w:t>
      </w:r>
      <w:r w:rsidR="00CC60A1">
        <w:rPr>
          <w:b/>
          <w:bCs/>
        </w:rPr>
        <w:t>)</w:t>
      </w:r>
    </w:p>
    <w:p w14:paraId="0EBB8CB1" w14:textId="77777777" w:rsidR="00B9618C" w:rsidRPr="00D948C1" w:rsidRDefault="00B9618C" w:rsidP="007461FD">
      <w:pPr>
        <w:tabs>
          <w:tab w:val="left" w:pos="720"/>
          <w:tab w:val="right" w:pos="5760"/>
        </w:tabs>
        <w:rPr>
          <w:b/>
          <w:szCs w:val="24"/>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218"/>
        <w:gridCol w:w="1390"/>
        <w:gridCol w:w="1218"/>
        <w:gridCol w:w="1274"/>
        <w:gridCol w:w="1218"/>
        <w:gridCol w:w="1218"/>
        <w:gridCol w:w="1274"/>
        <w:gridCol w:w="1274"/>
      </w:tblGrid>
      <w:tr w:rsidR="005F7D2D" w:rsidRPr="00D948C1" w14:paraId="264A0BBD" w14:textId="77777777" w:rsidTr="00866B67">
        <w:trPr>
          <w:tblHeader/>
        </w:trPr>
        <w:tc>
          <w:tcPr>
            <w:tcW w:w="1455" w:type="pct"/>
            <w:shd w:val="clear" w:color="auto" w:fill="BD2716"/>
          </w:tcPr>
          <w:p w14:paraId="620EB3F8" w14:textId="7BF7C79B" w:rsidR="005F7D2D" w:rsidRPr="00D948C1" w:rsidRDefault="005F7D2D" w:rsidP="0089432E">
            <w:pPr>
              <w:jc w:val="both"/>
              <w:rPr>
                <w:rFonts w:cs="Arial"/>
                <w:color w:val="FFFFFF" w:themeColor="background1"/>
                <w:szCs w:val="24"/>
              </w:rPr>
            </w:pPr>
          </w:p>
        </w:tc>
        <w:tc>
          <w:tcPr>
            <w:tcW w:w="428" w:type="pct"/>
            <w:shd w:val="clear" w:color="auto" w:fill="BD2716"/>
            <w:vAlign w:val="center"/>
          </w:tcPr>
          <w:p w14:paraId="7B26C35C"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General fund</w:t>
            </w:r>
          </w:p>
          <w:p w14:paraId="691B2F1F" w14:textId="19218A99"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88" w:type="pct"/>
            <w:shd w:val="clear" w:color="auto" w:fill="BD2716"/>
            <w:vAlign w:val="center"/>
          </w:tcPr>
          <w:p w14:paraId="37570E84"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Earmarked reserves</w:t>
            </w:r>
          </w:p>
          <w:p w14:paraId="52EBA608" w14:textId="21D4AD01"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28" w:type="pct"/>
            <w:shd w:val="clear" w:color="auto" w:fill="BD2716"/>
            <w:vAlign w:val="center"/>
          </w:tcPr>
          <w:p w14:paraId="01632A02"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General Fund Balance</w:t>
            </w:r>
          </w:p>
          <w:p w14:paraId="354D5EB8" w14:textId="544F4D71"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38F2CE3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grant unapplied reserve</w:t>
            </w:r>
          </w:p>
          <w:p w14:paraId="0FA4BC0C" w14:textId="55DF1C3B"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28" w:type="pct"/>
            <w:shd w:val="clear" w:color="auto" w:fill="BD2716"/>
            <w:vAlign w:val="center"/>
          </w:tcPr>
          <w:p w14:paraId="3173BF79"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receipts reserve</w:t>
            </w:r>
          </w:p>
          <w:p w14:paraId="3DCED43A" w14:textId="40856324"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28" w:type="pct"/>
            <w:shd w:val="clear" w:color="auto" w:fill="BD2716"/>
            <w:vAlign w:val="center"/>
          </w:tcPr>
          <w:p w14:paraId="27B094B5"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usable reserves</w:t>
            </w:r>
          </w:p>
          <w:p w14:paraId="42B093EE" w14:textId="3C45A158"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2C45B070"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Unusable reserves</w:t>
            </w:r>
          </w:p>
          <w:p w14:paraId="0B27E9A8" w14:textId="088E9321"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37DF92F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Authority reserves</w:t>
            </w:r>
          </w:p>
          <w:p w14:paraId="153B7D7E" w14:textId="171711DD"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r>
      <w:tr w:rsidR="005F7D2D" w:rsidRPr="00D948C1" w14:paraId="73439B5F" w14:textId="77777777" w:rsidTr="00866B67">
        <w:trPr>
          <w:trHeight w:val="80"/>
        </w:trPr>
        <w:tc>
          <w:tcPr>
            <w:tcW w:w="1455" w:type="pct"/>
            <w:vAlign w:val="center"/>
          </w:tcPr>
          <w:p w14:paraId="6A7AAA8D" w14:textId="1F5BF9E0" w:rsidR="005F7D2D" w:rsidRPr="006822CA" w:rsidRDefault="005F7D2D" w:rsidP="003F1F39">
            <w:pPr>
              <w:rPr>
                <w:rFonts w:cs="Arial"/>
                <w:b/>
                <w:bCs/>
                <w:szCs w:val="24"/>
              </w:rPr>
            </w:pPr>
            <w:r w:rsidRPr="006822CA">
              <w:rPr>
                <w:rFonts w:cs="Arial"/>
                <w:b/>
                <w:bCs/>
                <w:szCs w:val="24"/>
              </w:rPr>
              <w:t xml:space="preserve">Balance </w:t>
            </w:r>
            <w:proofErr w:type="gramStart"/>
            <w:r w:rsidRPr="006822CA">
              <w:rPr>
                <w:rFonts w:cs="Arial"/>
                <w:b/>
                <w:bCs/>
                <w:szCs w:val="24"/>
              </w:rPr>
              <w:t>at</w:t>
            </w:r>
            <w:proofErr w:type="gramEnd"/>
            <w:r w:rsidRPr="006822CA">
              <w:rPr>
                <w:rFonts w:cs="Arial"/>
                <w:b/>
                <w:bCs/>
                <w:szCs w:val="24"/>
              </w:rPr>
              <w:t xml:space="preserve"> 31 March 2023 carried forwards</w:t>
            </w:r>
          </w:p>
        </w:tc>
        <w:tc>
          <w:tcPr>
            <w:tcW w:w="428" w:type="pct"/>
            <w:vAlign w:val="center"/>
          </w:tcPr>
          <w:p w14:paraId="7EEDC766" w14:textId="26872D37" w:rsidR="005F7D2D" w:rsidRPr="006822CA" w:rsidRDefault="005F7D2D" w:rsidP="003F1F39">
            <w:pPr>
              <w:jc w:val="right"/>
              <w:rPr>
                <w:rFonts w:cs="Arial"/>
                <w:b/>
                <w:bCs/>
                <w:szCs w:val="24"/>
              </w:rPr>
            </w:pPr>
            <w:r w:rsidRPr="006822CA">
              <w:rPr>
                <w:rFonts w:cs="Arial"/>
                <w:b/>
                <w:bCs/>
                <w:szCs w:val="24"/>
              </w:rPr>
              <w:t>4,887</w:t>
            </w:r>
          </w:p>
        </w:tc>
        <w:tc>
          <w:tcPr>
            <w:tcW w:w="488" w:type="pct"/>
            <w:vAlign w:val="center"/>
          </w:tcPr>
          <w:p w14:paraId="03078EA4" w14:textId="58E76E7C" w:rsidR="005F7D2D" w:rsidRPr="006822CA" w:rsidRDefault="0093677F" w:rsidP="003F1F39">
            <w:pPr>
              <w:jc w:val="right"/>
              <w:rPr>
                <w:rFonts w:cs="Arial"/>
                <w:b/>
                <w:bCs/>
                <w:szCs w:val="24"/>
              </w:rPr>
            </w:pPr>
            <w:r>
              <w:rPr>
                <w:rFonts w:cs="Arial"/>
                <w:b/>
                <w:bCs/>
                <w:szCs w:val="24"/>
              </w:rPr>
              <w:t>29</w:t>
            </w:r>
            <w:r w:rsidR="005F7D2D" w:rsidRPr="006822CA">
              <w:rPr>
                <w:rFonts w:cs="Arial"/>
                <w:b/>
                <w:bCs/>
                <w:szCs w:val="24"/>
              </w:rPr>
              <w:t>,</w:t>
            </w:r>
            <w:r>
              <w:rPr>
                <w:rFonts w:cs="Arial"/>
                <w:b/>
                <w:bCs/>
                <w:szCs w:val="24"/>
              </w:rPr>
              <w:t>602</w:t>
            </w:r>
          </w:p>
        </w:tc>
        <w:tc>
          <w:tcPr>
            <w:tcW w:w="428" w:type="pct"/>
            <w:vAlign w:val="center"/>
          </w:tcPr>
          <w:p w14:paraId="53F7E359" w14:textId="23439533" w:rsidR="005F7D2D" w:rsidRPr="006822CA" w:rsidRDefault="00725DA0" w:rsidP="003F1F39">
            <w:pPr>
              <w:jc w:val="right"/>
              <w:rPr>
                <w:rFonts w:cs="Arial"/>
                <w:b/>
                <w:bCs/>
                <w:szCs w:val="24"/>
              </w:rPr>
            </w:pPr>
            <w:r>
              <w:rPr>
                <w:rFonts w:cs="Arial"/>
                <w:b/>
                <w:bCs/>
                <w:szCs w:val="24"/>
              </w:rPr>
              <w:t>34</w:t>
            </w:r>
            <w:r w:rsidR="005F7D2D" w:rsidRPr="006822CA">
              <w:rPr>
                <w:rFonts w:cs="Arial"/>
                <w:b/>
                <w:bCs/>
                <w:szCs w:val="24"/>
              </w:rPr>
              <w:t>,</w:t>
            </w:r>
            <w:r>
              <w:rPr>
                <w:rFonts w:cs="Arial"/>
                <w:b/>
                <w:bCs/>
                <w:szCs w:val="24"/>
              </w:rPr>
              <w:t>4</w:t>
            </w:r>
            <w:r w:rsidR="00334D7C">
              <w:rPr>
                <w:rFonts w:cs="Arial"/>
                <w:b/>
                <w:bCs/>
                <w:szCs w:val="24"/>
              </w:rPr>
              <w:t>8</w:t>
            </w:r>
            <w:r w:rsidR="00320FF8">
              <w:rPr>
                <w:rFonts w:cs="Arial"/>
                <w:b/>
                <w:bCs/>
                <w:szCs w:val="24"/>
              </w:rPr>
              <w:t>8</w:t>
            </w:r>
          </w:p>
        </w:tc>
        <w:tc>
          <w:tcPr>
            <w:tcW w:w="448" w:type="pct"/>
            <w:vAlign w:val="center"/>
          </w:tcPr>
          <w:p w14:paraId="243148B0" w14:textId="0AB8AF21" w:rsidR="005F7D2D" w:rsidRPr="006822CA" w:rsidRDefault="005F7D2D" w:rsidP="003F1F39">
            <w:pPr>
              <w:jc w:val="right"/>
              <w:rPr>
                <w:rFonts w:cs="Arial"/>
                <w:b/>
                <w:bCs/>
                <w:szCs w:val="24"/>
              </w:rPr>
            </w:pPr>
            <w:r w:rsidRPr="006822CA">
              <w:rPr>
                <w:rFonts w:cs="Arial"/>
                <w:b/>
                <w:bCs/>
                <w:szCs w:val="24"/>
              </w:rPr>
              <w:t>27</w:t>
            </w:r>
          </w:p>
        </w:tc>
        <w:tc>
          <w:tcPr>
            <w:tcW w:w="428" w:type="pct"/>
            <w:vAlign w:val="center"/>
          </w:tcPr>
          <w:p w14:paraId="11BE4635" w14:textId="668184A6" w:rsidR="005F7D2D" w:rsidRPr="006822CA" w:rsidRDefault="005F7D2D" w:rsidP="003F1F39">
            <w:pPr>
              <w:jc w:val="right"/>
              <w:rPr>
                <w:rFonts w:cs="Arial"/>
                <w:b/>
                <w:bCs/>
                <w:szCs w:val="24"/>
              </w:rPr>
            </w:pPr>
            <w:r w:rsidRPr="006822CA">
              <w:rPr>
                <w:rFonts w:cs="Arial"/>
                <w:b/>
                <w:bCs/>
                <w:szCs w:val="24"/>
              </w:rPr>
              <w:t>1,692</w:t>
            </w:r>
          </w:p>
        </w:tc>
        <w:tc>
          <w:tcPr>
            <w:tcW w:w="428" w:type="pct"/>
            <w:vAlign w:val="center"/>
          </w:tcPr>
          <w:p w14:paraId="4B98108E" w14:textId="2892E716" w:rsidR="005F7D2D" w:rsidRPr="006822CA" w:rsidRDefault="005F7D2D" w:rsidP="003F1F39">
            <w:pPr>
              <w:jc w:val="right"/>
              <w:rPr>
                <w:rFonts w:cs="Arial"/>
                <w:b/>
                <w:bCs/>
                <w:szCs w:val="24"/>
              </w:rPr>
            </w:pPr>
            <w:r w:rsidRPr="006822CA">
              <w:rPr>
                <w:rFonts w:cs="Arial"/>
                <w:b/>
                <w:bCs/>
                <w:szCs w:val="24"/>
              </w:rPr>
              <w:t>36,208</w:t>
            </w:r>
          </w:p>
        </w:tc>
        <w:tc>
          <w:tcPr>
            <w:tcW w:w="448" w:type="pct"/>
            <w:vAlign w:val="center"/>
          </w:tcPr>
          <w:p w14:paraId="23C0055C" w14:textId="7E67AD2D" w:rsidR="005F7D2D" w:rsidRPr="006822CA" w:rsidRDefault="005F7D2D" w:rsidP="003F1F39">
            <w:pPr>
              <w:jc w:val="right"/>
              <w:rPr>
                <w:rFonts w:cs="Arial"/>
                <w:b/>
                <w:bCs/>
                <w:szCs w:val="24"/>
              </w:rPr>
            </w:pPr>
            <w:r w:rsidRPr="006822CA">
              <w:rPr>
                <w:rFonts w:cs="Arial"/>
                <w:b/>
                <w:bCs/>
                <w:szCs w:val="24"/>
              </w:rPr>
              <w:t>(538,699)</w:t>
            </w:r>
          </w:p>
        </w:tc>
        <w:tc>
          <w:tcPr>
            <w:tcW w:w="448" w:type="pct"/>
            <w:vAlign w:val="center"/>
          </w:tcPr>
          <w:p w14:paraId="189A51DF" w14:textId="3D2EA78F" w:rsidR="005F7D2D" w:rsidRPr="006822CA" w:rsidRDefault="005F7D2D" w:rsidP="003F1F39">
            <w:pPr>
              <w:jc w:val="right"/>
              <w:rPr>
                <w:rFonts w:cs="Arial"/>
                <w:b/>
                <w:bCs/>
                <w:szCs w:val="24"/>
              </w:rPr>
            </w:pPr>
            <w:r w:rsidRPr="006822CA">
              <w:rPr>
                <w:rFonts w:cs="Arial"/>
                <w:b/>
                <w:bCs/>
                <w:szCs w:val="24"/>
              </w:rPr>
              <w:t>(502,491)</w:t>
            </w:r>
          </w:p>
        </w:tc>
      </w:tr>
    </w:tbl>
    <w:p w14:paraId="51D42E70" w14:textId="77777777" w:rsidR="00FA18E2" w:rsidRPr="00D948C1" w:rsidRDefault="00FA18E2"/>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1219"/>
        <w:gridCol w:w="1393"/>
        <w:gridCol w:w="1216"/>
        <w:gridCol w:w="1276"/>
        <w:gridCol w:w="1219"/>
        <w:gridCol w:w="1219"/>
        <w:gridCol w:w="1276"/>
        <w:gridCol w:w="1276"/>
      </w:tblGrid>
      <w:tr w:rsidR="00743E44" w:rsidRPr="00D948C1" w14:paraId="3EA1B9CA" w14:textId="77777777" w:rsidTr="00743E44">
        <w:tc>
          <w:tcPr>
            <w:tcW w:w="1455" w:type="pct"/>
            <w:shd w:val="clear" w:color="auto" w:fill="D9D9D9" w:themeFill="background1" w:themeFillShade="D9"/>
            <w:vAlign w:val="center"/>
          </w:tcPr>
          <w:p w14:paraId="43A12F52" w14:textId="77777777" w:rsidR="005F7D2D" w:rsidRPr="00D948C1" w:rsidRDefault="005F7D2D" w:rsidP="003F1F39">
            <w:pPr>
              <w:rPr>
                <w:rFonts w:cs="Arial"/>
                <w:b/>
                <w:bCs/>
                <w:szCs w:val="24"/>
              </w:rPr>
            </w:pPr>
            <w:r w:rsidRPr="00D948C1">
              <w:rPr>
                <w:rFonts w:cs="Arial"/>
                <w:b/>
                <w:bCs/>
                <w:szCs w:val="24"/>
              </w:rPr>
              <w:t>Movement in reserves during 2023/24</w:t>
            </w:r>
          </w:p>
        </w:tc>
        <w:tc>
          <w:tcPr>
            <w:tcW w:w="428" w:type="pct"/>
            <w:shd w:val="clear" w:color="auto" w:fill="D9D9D9" w:themeFill="background1" w:themeFillShade="D9"/>
            <w:vAlign w:val="center"/>
          </w:tcPr>
          <w:p w14:paraId="19A14671" w14:textId="77777777" w:rsidR="005F7D2D" w:rsidRPr="00D948C1" w:rsidRDefault="005F7D2D" w:rsidP="003F1F39">
            <w:pPr>
              <w:rPr>
                <w:rFonts w:cs="Arial"/>
                <w:b/>
                <w:bCs/>
                <w:szCs w:val="24"/>
              </w:rPr>
            </w:pPr>
          </w:p>
        </w:tc>
        <w:tc>
          <w:tcPr>
            <w:tcW w:w="489" w:type="pct"/>
            <w:shd w:val="clear" w:color="auto" w:fill="D9D9D9" w:themeFill="background1" w:themeFillShade="D9"/>
            <w:vAlign w:val="center"/>
          </w:tcPr>
          <w:p w14:paraId="5B1814DF" w14:textId="77777777" w:rsidR="005F7D2D" w:rsidRPr="00D948C1" w:rsidRDefault="005F7D2D" w:rsidP="003F1F39">
            <w:pPr>
              <w:rPr>
                <w:rFonts w:cs="Arial"/>
                <w:b/>
                <w:bCs/>
                <w:szCs w:val="24"/>
              </w:rPr>
            </w:pPr>
          </w:p>
        </w:tc>
        <w:tc>
          <w:tcPr>
            <w:tcW w:w="427" w:type="pct"/>
            <w:shd w:val="clear" w:color="auto" w:fill="D9D9D9" w:themeFill="background1" w:themeFillShade="D9"/>
            <w:vAlign w:val="center"/>
          </w:tcPr>
          <w:p w14:paraId="45E59537" w14:textId="77777777" w:rsidR="005F7D2D" w:rsidRPr="00D948C1" w:rsidRDefault="005F7D2D" w:rsidP="003F1F39">
            <w:pPr>
              <w:rPr>
                <w:rFonts w:cs="Arial"/>
                <w:b/>
                <w:bCs/>
                <w:szCs w:val="24"/>
              </w:rPr>
            </w:pPr>
          </w:p>
        </w:tc>
        <w:tc>
          <w:tcPr>
            <w:tcW w:w="448" w:type="pct"/>
            <w:shd w:val="clear" w:color="auto" w:fill="D9D9D9" w:themeFill="background1" w:themeFillShade="D9"/>
            <w:vAlign w:val="center"/>
          </w:tcPr>
          <w:p w14:paraId="1D1E3200" w14:textId="77777777" w:rsidR="005F7D2D" w:rsidRPr="00D948C1" w:rsidRDefault="005F7D2D" w:rsidP="003F1F39">
            <w:pPr>
              <w:rPr>
                <w:rFonts w:cs="Arial"/>
                <w:b/>
                <w:bCs/>
                <w:szCs w:val="24"/>
              </w:rPr>
            </w:pPr>
          </w:p>
        </w:tc>
        <w:tc>
          <w:tcPr>
            <w:tcW w:w="428" w:type="pct"/>
            <w:shd w:val="clear" w:color="auto" w:fill="D9D9D9" w:themeFill="background1" w:themeFillShade="D9"/>
            <w:vAlign w:val="center"/>
          </w:tcPr>
          <w:p w14:paraId="2A70E951" w14:textId="77777777" w:rsidR="005F7D2D" w:rsidRPr="00D948C1" w:rsidRDefault="005F7D2D" w:rsidP="003F1F39">
            <w:pPr>
              <w:rPr>
                <w:rFonts w:cs="Arial"/>
                <w:b/>
                <w:bCs/>
                <w:szCs w:val="24"/>
              </w:rPr>
            </w:pPr>
          </w:p>
        </w:tc>
        <w:tc>
          <w:tcPr>
            <w:tcW w:w="428" w:type="pct"/>
            <w:shd w:val="clear" w:color="auto" w:fill="D9D9D9" w:themeFill="background1" w:themeFillShade="D9"/>
            <w:vAlign w:val="center"/>
          </w:tcPr>
          <w:p w14:paraId="48B38E8F" w14:textId="77777777" w:rsidR="005F7D2D" w:rsidRPr="00D948C1" w:rsidRDefault="005F7D2D" w:rsidP="003F1F39">
            <w:pPr>
              <w:rPr>
                <w:rFonts w:cs="Arial"/>
                <w:b/>
                <w:bCs/>
                <w:szCs w:val="24"/>
              </w:rPr>
            </w:pPr>
          </w:p>
        </w:tc>
        <w:tc>
          <w:tcPr>
            <w:tcW w:w="448" w:type="pct"/>
            <w:shd w:val="clear" w:color="auto" w:fill="D9D9D9" w:themeFill="background1" w:themeFillShade="D9"/>
            <w:vAlign w:val="center"/>
          </w:tcPr>
          <w:p w14:paraId="2B70DE64" w14:textId="77777777" w:rsidR="005F7D2D" w:rsidRPr="00D948C1" w:rsidRDefault="005F7D2D" w:rsidP="003F1F39">
            <w:pPr>
              <w:rPr>
                <w:rFonts w:cs="Arial"/>
                <w:b/>
                <w:bCs/>
                <w:szCs w:val="24"/>
              </w:rPr>
            </w:pPr>
          </w:p>
        </w:tc>
        <w:tc>
          <w:tcPr>
            <w:tcW w:w="448" w:type="pct"/>
            <w:shd w:val="clear" w:color="auto" w:fill="D9D9D9" w:themeFill="background1" w:themeFillShade="D9"/>
            <w:vAlign w:val="center"/>
          </w:tcPr>
          <w:p w14:paraId="5D4F19E8" w14:textId="5A492870" w:rsidR="005F7D2D" w:rsidRPr="00D948C1" w:rsidRDefault="005F7D2D" w:rsidP="003F1F39">
            <w:pPr>
              <w:rPr>
                <w:rFonts w:cs="Arial"/>
                <w:b/>
                <w:bCs/>
                <w:szCs w:val="24"/>
              </w:rPr>
            </w:pPr>
          </w:p>
        </w:tc>
      </w:tr>
      <w:tr w:rsidR="00743E44" w:rsidRPr="00D948C1" w14:paraId="6B984610" w14:textId="77777777" w:rsidTr="00743E44">
        <w:tc>
          <w:tcPr>
            <w:tcW w:w="1455" w:type="pct"/>
            <w:vAlign w:val="center"/>
          </w:tcPr>
          <w:p w14:paraId="5D61526C" w14:textId="3F4B645D" w:rsidR="005F7D2D" w:rsidRPr="006822CA" w:rsidRDefault="005F7D2D" w:rsidP="003F1F39">
            <w:pPr>
              <w:rPr>
                <w:rFonts w:cs="Arial"/>
                <w:szCs w:val="24"/>
              </w:rPr>
            </w:pPr>
            <w:r w:rsidRPr="006822CA">
              <w:rPr>
                <w:rFonts w:cs="Arial"/>
                <w:szCs w:val="24"/>
              </w:rPr>
              <w:t>Surplus/(Deficit) on provision of services</w:t>
            </w:r>
          </w:p>
        </w:tc>
        <w:tc>
          <w:tcPr>
            <w:tcW w:w="428" w:type="pct"/>
            <w:vAlign w:val="center"/>
          </w:tcPr>
          <w:p w14:paraId="79A3E37B" w14:textId="62CA0B2B" w:rsidR="005F7D2D" w:rsidRPr="006822CA" w:rsidRDefault="005F7D2D" w:rsidP="003F1F39">
            <w:pPr>
              <w:jc w:val="right"/>
              <w:rPr>
                <w:rFonts w:cs="Arial"/>
                <w:szCs w:val="24"/>
              </w:rPr>
            </w:pPr>
            <w:r w:rsidRPr="006822CA">
              <w:rPr>
                <w:rFonts w:cs="Arial"/>
                <w:szCs w:val="24"/>
              </w:rPr>
              <w:t>(5,838)</w:t>
            </w:r>
          </w:p>
        </w:tc>
        <w:tc>
          <w:tcPr>
            <w:tcW w:w="489" w:type="pct"/>
            <w:vAlign w:val="center"/>
          </w:tcPr>
          <w:p w14:paraId="1F5AD541" w14:textId="414E9CA6" w:rsidR="005F7D2D" w:rsidRPr="006822CA" w:rsidRDefault="005F7D2D" w:rsidP="003F1F39">
            <w:pPr>
              <w:jc w:val="right"/>
              <w:rPr>
                <w:rFonts w:cs="Arial"/>
                <w:szCs w:val="24"/>
              </w:rPr>
            </w:pPr>
            <w:r w:rsidRPr="006822CA">
              <w:rPr>
                <w:rFonts w:cs="Arial"/>
                <w:szCs w:val="24"/>
              </w:rPr>
              <w:t>-</w:t>
            </w:r>
          </w:p>
        </w:tc>
        <w:tc>
          <w:tcPr>
            <w:tcW w:w="427" w:type="pct"/>
            <w:vAlign w:val="center"/>
          </w:tcPr>
          <w:p w14:paraId="7AB3E3EB" w14:textId="427E8B30" w:rsidR="005F7D2D" w:rsidRPr="006822CA" w:rsidRDefault="005F7D2D" w:rsidP="003F1F39">
            <w:pPr>
              <w:jc w:val="right"/>
              <w:rPr>
                <w:rFonts w:cs="Arial"/>
                <w:szCs w:val="24"/>
              </w:rPr>
            </w:pPr>
            <w:r w:rsidRPr="006822CA">
              <w:rPr>
                <w:rFonts w:cs="Arial"/>
                <w:szCs w:val="24"/>
              </w:rPr>
              <w:t>(5,838)</w:t>
            </w:r>
          </w:p>
        </w:tc>
        <w:tc>
          <w:tcPr>
            <w:tcW w:w="448" w:type="pct"/>
            <w:vAlign w:val="center"/>
          </w:tcPr>
          <w:p w14:paraId="26BEEDEA" w14:textId="4D1780DE" w:rsidR="005F7D2D" w:rsidRPr="006822CA" w:rsidRDefault="005F7D2D" w:rsidP="003F1F39">
            <w:pPr>
              <w:jc w:val="right"/>
              <w:rPr>
                <w:rFonts w:cs="Arial"/>
                <w:szCs w:val="24"/>
              </w:rPr>
            </w:pPr>
            <w:r w:rsidRPr="006822CA">
              <w:rPr>
                <w:rFonts w:cs="Arial"/>
                <w:szCs w:val="24"/>
              </w:rPr>
              <w:t>-</w:t>
            </w:r>
          </w:p>
        </w:tc>
        <w:tc>
          <w:tcPr>
            <w:tcW w:w="428" w:type="pct"/>
            <w:vAlign w:val="center"/>
          </w:tcPr>
          <w:p w14:paraId="05B9DE50" w14:textId="33A6FA53" w:rsidR="005F7D2D" w:rsidRPr="006822CA" w:rsidRDefault="005F7D2D" w:rsidP="003F1F39">
            <w:pPr>
              <w:jc w:val="right"/>
              <w:rPr>
                <w:rFonts w:cs="Arial"/>
                <w:szCs w:val="24"/>
              </w:rPr>
            </w:pPr>
            <w:r w:rsidRPr="006822CA">
              <w:rPr>
                <w:rFonts w:cs="Arial"/>
                <w:szCs w:val="24"/>
              </w:rPr>
              <w:t>-</w:t>
            </w:r>
          </w:p>
        </w:tc>
        <w:tc>
          <w:tcPr>
            <w:tcW w:w="428" w:type="pct"/>
            <w:vAlign w:val="center"/>
          </w:tcPr>
          <w:p w14:paraId="46924E4C" w14:textId="0EEA70B1" w:rsidR="005F7D2D" w:rsidRPr="006822CA" w:rsidRDefault="005F7D2D" w:rsidP="003F1F39">
            <w:pPr>
              <w:jc w:val="right"/>
              <w:rPr>
                <w:rFonts w:cs="Arial"/>
                <w:szCs w:val="24"/>
              </w:rPr>
            </w:pPr>
            <w:r w:rsidRPr="006822CA">
              <w:rPr>
                <w:rFonts w:cs="Arial"/>
                <w:szCs w:val="24"/>
              </w:rPr>
              <w:t>(5,838)</w:t>
            </w:r>
          </w:p>
        </w:tc>
        <w:tc>
          <w:tcPr>
            <w:tcW w:w="448" w:type="pct"/>
            <w:vAlign w:val="center"/>
          </w:tcPr>
          <w:p w14:paraId="75D28C07" w14:textId="2454D7F8" w:rsidR="005F7D2D" w:rsidRPr="006822CA" w:rsidRDefault="005F7D2D" w:rsidP="003F1F39">
            <w:pPr>
              <w:jc w:val="right"/>
              <w:rPr>
                <w:rFonts w:cs="Arial"/>
                <w:szCs w:val="24"/>
              </w:rPr>
            </w:pPr>
            <w:r w:rsidRPr="006822CA">
              <w:rPr>
                <w:rFonts w:cs="Arial"/>
                <w:szCs w:val="24"/>
              </w:rPr>
              <w:t>-</w:t>
            </w:r>
          </w:p>
        </w:tc>
        <w:tc>
          <w:tcPr>
            <w:tcW w:w="448" w:type="pct"/>
            <w:vAlign w:val="center"/>
          </w:tcPr>
          <w:p w14:paraId="2952E141" w14:textId="77FAECF6" w:rsidR="005F7D2D" w:rsidRPr="006822CA" w:rsidRDefault="005F7D2D" w:rsidP="003F1F39">
            <w:pPr>
              <w:jc w:val="right"/>
              <w:rPr>
                <w:rFonts w:cs="Arial"/>
                <w:szCs w:val="24"/>
              </w:rPr>
            </w:pPr>
            <w:r w:rsidRPr="006822CA">
              <w:rPr>
                <w:rFonts w:cs="Arial"/>
                <w:szCs w:val="24"/>
              </w:rPr>
              <w:t>(5,838)</w:t>
            </w:r>
          </w:p>
        </w:tc>
      </w:tr>
      <w:tr w:rsidR="00743E44" w:rsidRPr="00D948C1" w14:paraId="231F4288" w14:textId="77777777" w:rsidTr="00743E44">
        <w:tc>
          <w:tcPr>
            <w:tcW w:w="1455" w:type="pct"/>
            <w:vAlign w:val="center"/>
          </w:tcPr>
          <w:p w14:paraId="4BC4D0A5" w14:textId="6CEB3529" w:rsidR="005F7D2D" w:rsidRPr="006822CA" w:rsidRDefault="005F7D2D" w:rsidP="003F1F39">
            <w:pPr>
              <w:rPr>
                <w:rFonts w:cs="Arial"/>
                <w:szCs w:val="24"/>
              </w:rPr>
            </w:pPr>
            <w:r w:rsidRPr="006822CA">
              <w:rPr>
                <w:rFonts w:cs="Arial"/>
                <w:szCs w:val="24"/>
              </w:rPr>
              <w:t>Other comprehensive income and expenditure</w:t>
            </w:r>
          </w:p>
        </w:tc>
        <w:tc>
          <w:tcPr>
            <w:tcW w:w="428" w:type="pct"/>
            <w:vAlign w:val="center"/>
          </w:tcPr>
          <w:p w14:paraId="58851518" w14:textId="7C9BB27C" w:rsidR="005F7D2D" w:rsidRPr="006822CA" w:rsidRDefault="005F7D2D" w:rsidP="003F1F39">
            <w:pPr>
              <w:jc w:val="right"/>
              <w:rPr>
                <w:rFonts w:cs="Arial"/>
                <w:szCs w:val="24"/>
              </w:rPr>
            </w:pPr>
            <w:r w:rsidRPr="006822CA">
              <w:rPr>
                <w:rFonts w:cs="Arial"/>
                <w:szCs w:val="24"/>
              </w:rPr>
              <w:t>-</w:t>
            </w:r>
          </w:p>
        </w:tc>
        <w:tc>
          <w:tcPr>
            <w:tcW w:w="489" w:type="pct"/>
            <w:vAlign w:val="center"/>
          </w:tcPr>
          <w:p w14:paraId="04871AAE" w14:textId="39738D4F" w:rsidR="005F7D2D" w:rsidRPr="006822CA" w:rsidRDefault="005F7D2D" w:rsidP="003F1F39">
            <w:pPr>
              <w:jc w:val="right"/>
              <w:rPr>
                <w:rFonts w:cs="Arial"/>
                <w:szCs w:val="24"/>
              </w:rPr>
            </w:pPr>
            <w:r w:rsidRPr="006822CA">
              <w:rPr>
                <w:rFonts w:cs="Arial"/>
                <w:szCs w:val="24"/>
              </w:rPr>
              <w:t>-</w:t>
            </w:r>
          </w:p>
        </w:tc>
        <w:tc>
          <w:tcPr>
            <w:tcW w:w="427" w:type="pct"/>
            <w:vAlign w:val="center"/>
          </w:tcPr>
          <w:p w14:paraId="4E173A56" w14:textId="3AD2A764" w:rsidR="005F7D2D" w:rsidRPr="006822CA" w:rsidRDefault="005F7D2D" w:rsidP="003F1F39">
            <w:pPr>
              <w:jc w:val="right"/>
              <w:rPr>
                <w:rFonts w:cs="Arial"/>
                <w:szCs w:val="24"/>
              </w:rPr>
            </w:pPr>
            <w:r w:rsidRPr="006822CA">
              <w:rPr>
                <w:rFonts w:cs="Arial"/>
                <w:szCs w:val="24"/>
              </w:rPr>
              <w:t>-</w:t>
            </w:r>
          </w:p>
        </w:tc>
        <w:tc>
          <w:tcPr>
            <w:tcW w:w="448" w:type="pct"/>
            <w:vAlign w:val="center"/>
          </w:tcPr>
          <w:p w14:paraId="004718A9" w14:textId="348447A2" w:rsidR="005F7D2D" w:rsidRPr="006822CA" w:rsidRDefault="005F7D2D" w:rsidP="003F1F39">
            <w:pPr>
              <w:jc w:val="right"/>
              <w:rPr>
                <w:rFonts w:cs="Arial"/>
                <w:szCs w:val="24"/>
              </w:rPr>
            </w:pPr>
            <w:r w:rsidRPr="006822CA">
              <w:rPr>
                <w:rFonts w:cs="Arial"/>
                <w:szCs w:val="24"/>
              </w:rPr>
              <w:t>-</w:t>
            </w:r>
          </w:p>
        </w:tc>
        <w:tc>
          <w:tcPr>
            <w:tcW w:w="428" w:type="pct"/>
            <w:vAlign w:val="center"/>
          </w:tcPr>
          <w:p w14:paraId="4289BB93" w14:textId="58DB6943" w:rsidR="005F7D2D" w:rsidRPr="006822CA" w:rsidRDefault="005F7D2D" w:rsidP="003F1F39">
            <w:pPr>
              <w:jc w:val="right"/>
              <w:rPr>
                <w:rFonts w:cs="Arial"/>
                <w:szCs w:val="24"/>
              </w:rPr>
            </w:pPr>
            <w:r w:rsidRPr="006822CA">
              <w:rPr>
                <w:rFonts w:cs="Arial"/>
                <w:szCs w:val="24"/>
              </w:rPr>
              <w:t>-</w:t>
            </w:r>
          </w:p>
        </w:tc>
        <w:tc>
          <w:tcPr>
            <w:tcW w:w="428" w:type="pct"/>
            <w:vAlign w:val="center"/>
          </w:tcPr>
          <w:p w14:paraId="38EDC860" w14:textId="737C538C" w:rsidR="005F7D2D" w:rsidRPr="006822CA" w:rsidRDefault="005F7D2D" w:rsidP="003F1F39">
            <w:pPr>
              <w:jc w:val="right"/>
              <w:rPr>
                <w:rFonts w:cs="Arial"/>
                <w:szCs w:val="24"/>
              </w:rPr>
            </w:pPr>
            <w:r w:rsidRPr="006822CA">
              <w:rPr>
                <w:rFonts w:cs="Arial"/>
                <w:szCs w:val="24"/>
              </w:rPr>
              <w:t>-</w:t>
            </w:r>
          </w:p>
        </w:tc>
        <w:tc>
          <w:tcPr>
            <w:tcW w:w="448" w:type="pct"/>
            <w:vAlign w:val="center"/>
          </w:tcPr>
          <w:p w14:paraId="152CE82A" w14:textId="640397C4" w:rsidR="005F7D2D" w:rsidRPr="006822CA" w:rsidRDefault="005F7D2D" w:rsidP="003F1F39">
            <w:pPr>
              <w:jc w:val="right"/>
              <w:rPr>
                <w:rFonts w:cs="Arial"/>
                <w:szCs w:val="24"/>
              </w:rPr>
            </w:pPr>
            <w:r w:rsidRPr="006822CA">
              <w:rPr>
                <w:rFonts w:cs="Arial"/>
                <w:szCs w:val="24"/>
              </w:rPr>
              <w:t>5,377</w:t>
            </w:r>
          </w:p>
        </w:tc>
        <w:tc>
          <w:tcPr>
            <w:tcW w:w="448" w:type="pct"/>
            <w:vAlign w:val="center"/>
          </w:tcPr>
          <w:p w14:paraId="76D34C33" w14:textId="1607C613" w:rsidR="005F7D2D" w:rsidRPr="006822CA" w:rsidRDefault="005F7D2D" w:rsidP="003F1F39">
            <w:pPr>
              <w:jc w:val="right"/>
              <w:rPr>
                <w:rFonts w:cs="Arial"/>
                <w:szCs w:val="24"/>
              </w:rPr>
            </w:pPr>
            <w:r w:rsidRPr="006822CA">
              <w:rPr>
                <w:rFonts w:cs="Arial"/>
                <w:szCs w:val="24"/>
              </w:rPr>
              <w:t>5,377</w:t>
            </w:r>
          </w:p>
        </w:tc>
      </w:tr>
      <w:tr w:rsidR="00743E44" w:rsidRPr="00D948C1" w14:paraId="2D1EB13C" w14:textId="77777777" w:rsidTr="00743E44">
        <w:tc>
          <w:tcPr>
            <w:tcW w:w="1455" w:type="pct"/>
            <w:vAlign w:val="center"/>
          </w:tcPr>
          <w:p w14:paraId="01481495" w14:textId="021C698D" w:rsidR="005F7D2D" w:rsidRPr="006822CA" w:rsidRDefault="005F7D2D" w:rsidP="003F1F39">
            <w:pPr>
              <w:rPr>
                <w:rFonts w:cs="Arial"/>
                <w:b/>
                <w:bCs/>
                <w:szCs w:val="24"/>
              </w:rPr>
            </w:pPr>
            <w:r w:rsidRPr="006822CA">
              <w:rPr>
                <w:rFonts w:cs="Arial"/>
                <w:b/>
                <w:bCs/>
                <w:szCs w:val="24"/>
              </w:rPr>
              <w:t>Total comprehensive income and expenditure</w:t>
            </w:r>
          </w:p>
        </w:tc>
        <w:tc>
          <w:tcPr>
            <w:tcW w:w="428" w:type="pct"/>
            <w:vAlign w:val="center"/>
          </w:tcPr>
          <w:p w14:paraId="454A3BF2" w14:textId="75DC8CC4" w:rsidR="005F7D2D" w:rsidRPr="006822CA" w:rsidRDefault="005F7D2D" w:rsidP="003F1F39">
            <w:pPr>
              <w:jc w:val="right"/>
              <w:rPr>
                <w:rFonts w:cs="Arial"/>
                <w:b/>
                <w:bCs/>
                <w:szCs w:val="24"/>
              </w:rPr>
            </w:pPr>
            <w:r w:rsidRPr="006822CA">
              <w:rPr>
                <w:rFonts w:cs="Arial"/>
                <w:b/>
                <w:bCs/>
                <w:szCs w:val="24"/>
              </w:rPr>
              <w:t>(5,838)</w:t>
            </w:r>
          </w:p>
        </w:tc>
        <w:tc>
          <w:tcPr>
            <w:tcW w:w="489" w:type="pct"/>
            <w:vAlign w:val="center"/>
          </w:tcPr>
          <w:p w14:paraId="4BEA8603" w14:textId="143DC0AC" w:rsidR="005F7D2D" w:rsidRPr="006822CA" w:rsidRDefault="005F7D2D" w:rsidP="003F1F39">
            <w:pPr>
              <w:jc w:val="right"/>
              <w:rPr>
                <w:rFonts w:cs="Arial"/>
                <w:b/>
                <w:bCs/>
                <w:szCs w:val="24"/>
              </w:rPr>
            </w:pPr>
            <w:r w:rsidRPr="006822CA">
              <w:rPr>
                <w:rFonts w:cs="Arial"/>
                <w:b/>
                <w:bCs/>
                <w:szCs w:val="24"/>
              </w:rPr>
              <w:t>-</w:t>
            </w:r>
          </w:p>
        </w:tc>
        <w:tc>
          <w:tcPr>
            <w:tcW w:w="427" w:type="pct"/>
            <w:vAlign w:val="center"/>
          </w:tcPr>
          <w:p w14:paraId="7F23F0E3" w14:textId="6C17E49C" w:rsidR="005F7D2D" w:rsidRPr="006822CA" w:rsidRDefault="005F7D2D" w:rsidP="003F1F39">
            <w:pPr>
              <w:jc w:val="right"/>
              <w:rPr>
                <w:rFonts w:cs="Arial"/>
                <w:b/>
                <w:bCs/>
                <w:szCs w:val="24"/>
              </w:rPr>
            </w:pPr>
            <w:r w:rsidRPr="006822CA">
              <w:rPr>
                <w:rFonts w:cs="Arial"/>
                <w:b/>
                <w:bCs/>
                <w:szCs w:val="24"/>
              </w:rPr>
              <w:t>(5,838)</w:t>
            </w:r>
          </w:p>
        </w:tc>
        <w:tc>
          <w:tcPr>
            <w:tcW w:w="448" w:type="pct"/>
            <w:vAlign w:val="center"/>
          </w:tcPr>
          <w:p w14:paraId="5E0CDA64" w14:textId="3BDBA7F5" w:rsidR="005F7D2D" w:rsidRPr="006822CA" w:rsidRDefault="005F7D2D" w:rsidP="003F1F39">
            <w:pPr>
              <w:jc w:val="right"/>
              <w:rPr>
                <w:rFonts w:cs="Arial"/>
                <w:b/>
                <w:bCs/>
                <w:szCs w:val="24"/>
              </w:rPr>
            </w:pPr>
            <w:r w:rsidRPr="006822CA">
              <w:rPr>
                <w:rFonts w:cs="Arial"/>
                <w:b/>
                <w:bCs/>
                <w:szCs w:val="24"/>
              </w:rPr>
              <w:t>-</w:t>
            </w:r>
          </w:p>
        </w:tc>
        <w:tc>
          <w:tcPr>
            <w:tcW w:w="428" w:type="pct"/>
            <w:vAlign w:val="center"/>
          </w:tcPr>
          <w:p w14:paraId="2E231714" w14:textId="1B0796DE" w:rsidR="005F7D2D" w:rsidRPr="006822CA" w:rsidRDefault="005F7D2D" w:rsidP="003F1F39">
            <w:pPr>
              <w:jc w:val="right"/>
              <w:rPr>
                <w:rFonts w:cs="Arial"/>
                <w:b/>
                <w:bCs/>
                <w:szCs w:val="24"/>
              </w:rPr>
            </w:pPr>
            <w:r w:rsidRPr="006822CA">
              <w:rPr>
                <w:rFonts w:cs="Arial"/>
                <w:b/>
                <w:bCs/>
                <w:szCs w:val="24"/>
              </w:rPr>
              <w:t>-</w:t>
            </w:r>
          </w:p>
        </w:tc>
        <w:tc>
          <w:tcPr>
            <w:tcW w:w="428" w:type="pct"/>
            <w:vAlign w:val="center"/>
          </w:tcPr>
          <w:p w14:paraId="1339318F" w14:textId="0AF3F38A" w:rsidR="005F7D2D" w:rsidRPr="006822CA" w:rsidRDefault="005F7D2D" w:rsidP="003F1F39">
            <w:pPr>
              <w:jc w:val="right"/>
              <w:rPr>
                <w:rFonts w:cs="Arial"/>
                <w:b/>
                <w:bCs/>
                <w:szCs w:val="24"/>
              </w:rPr>
            </w:pPr>
            <w:r w:rsidRPr="006822CA">
              <w:rPr>
                <w:rFonts w:cs="Arial"/>
                <w:b/>
                <w:bCs/>
                <w:szCs w:val="24"/>
              </w:rPr>
              <w:t>(5,838)</w:t>
            </w:r>
          </w:p>
        </w:tc>
        <w:tc>
          <w:tcPr>
            <w:tcW w:w="448" w:type="pct"/>
            <w:vAlign w:val="center"/>
          </w:tcPr>
          <w:p w14:paraId="142F05E1" w14:textId="6EBA5663" w:rsidR="005F7D2D" w:rsidRPr="006822CA" w:rsidRDefault="005F7D2D" w:rsidP="003F1F39">
            <w:pPr>
              <w:jc w:val="right"/>
              <w:rPr>
                <w:rFonts w:cs="Arial"/>
                <w:b/>
                <w:bCs/>
                <w:szCs w:val="24"/>
              </w:rPr>
            </w:pPr>
            <w:r w:rsidRPr="006822CA">
              <w:rPr>
                <w:rFonts w:cs="Arial"/>
                <w:b/>
                <w:bCs/>
                <w:szCs w:val="24"/>
              </w:rPr>
              <w:t>5,377</w:t>
            </w:r>
          </w:p>
        </w:tc>
        <w:tc>
          <w:tcPr>
            <w:tcW w:w="448" w:type="pct"/>
            <w:vAlign w:val="center"/>
          </w:tcPr>
          <w:p w14:paraId="6B0154CA" w14:textId="42777F17" w:rsidR="005F7D2D" w:rsidRPr="006822CA" w:rsidRDefault="005F7D2D" w:rsidP="003F1F39">
            <w:pPr>
              <w:jc w:val="right"/>
              <w:rPr>
                <w:rFonts w:cs="Arial"/>
                <w:b/>
                <w:bCs/>
                <w:szCs w:val="24"/>
              </w:rPr>
            </w:pPr>
            <w:r w:rsidRPr="006822CA">
              <w:rPr>
                <w:rFonts w:cs="Arial"/>
                <w:b/>
                <w:bCs/>
                <w:szCs w:val="24"/>
              </w:rPr>
              <w:t>(461)</w:t>
            </w:r>
          </w:p>
        </w:tc>
      </w:tr>
    </w:tbl>
    <w:p w14:paraId="540656BA" w14:textId="77777777" w:rsidR="00FA18E2" w:rsidRPr="00D948C1" w:rsidRDefault="00FA18E2"/>
    <w:tbl>
      <w:tblPr>
        <w:tblW w:w="4671" w:type="pct"/>
        <w:tblLook w:val="01E0" w:firstRow="1" w:lastRow="1" w:firstColumn="1" w:lastColumn="1" w:noHBand="0" w:noVBand="0"/>
      </w:tblPr>
      <w:tblGrid>
        <w:gridCol w:w="4143"/>
        <w:gridCol w:w="1219"/>
        <w:gridCol w:w="1395"/>
        <w:gridCol w:w="1219"/>
        <w:gridCol w:w="1279"/>
        <w:gridCol w:w="1219"/>
        <w:gridCol w:w="1219"/>
        <w:gridCol w:w="1276"/>
        <w:gridCol w:w="1270"/>
      </w:tblGrid>
      <w:tr w:rsidR="008869D1" w:rsidRPr="00D948C1" w14:paraId="2EA996E3" w14:textId="77777777" w:rsidTr="00743E44">
        <w:trPr>
          <w:trHeight w:val="231"/>
        </w:trPr>
        <w:tc>
          <w:tcPr>
            <w:tcW w:w="1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97626" w14:textId="77777777" w:rsidR="005F7D2D" w:rsidRPr="00D948C1" w:rsidRDefault="005F7D2D" w:rsidP="00F7299E">
            <w:pPr>
              <w:rPr>
                <w:rFonts w:cs="Arial"/>
                <w:b/>
                <w:bCs/>
                <w:szCs w:val="24"/>
              </w:rPr>
            </w:pPr>
            <w:r w:rsidRPr="00D948C1">
              <w:rPr>
                <w:rFonts w:cs="Arial"/>
                <w:b/>
                <w:bCs/>
                <w:szCs w:val="24"/>
              </w:rPr>
              <w:t>Adjustments between accounting basis and funding basis under regulations</w:t>
            </w:r>
          </w:p>
        </w:tc>
        <w:tc>
          <w:tcPr>
            <w:tcW w:w="4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6693" w14:textId="77777777" w:rsidR="005F7D2D" w:rsidRPr="00D948C1" w:rsidRDefault="005F7D2D" w:rsidP="00F7299E">
            <w:pPr>
              <w:rPr>
                <w:rFonts w:cs="Arial"/>
                <w:b/>
                <w:bCs/>
                <w:szCs w:val="24"/>
              </w:rPr>
            </w:pP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9D5EA" w14:textId="77777777" w:rsidR="005F7D2D" w:rsidRPr="00D948C1" w:rsidRDefault="005F7D2D" w:rsidP="00F7299E">
            <w:pPr>
              <w:rPr>
                <w:rFonts w:cs="Arial"/>
                <w:b/>
                <w:bCs/>
                <w:szCs w:val="24"/>
              </w:rPr>
            </w:pPr>
          </w:p>
        </w:tc>
        <w:tc>
          <w:tcPr>
            <w:tcW w:w="4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05AE7" w14:textId="77777777" w:rsidR="005F7D2D" w:rsidRPr="00D948C1" w:rsidRDefault="005F7D2D" w:rsidP="00F7299E">
            <w:pPr>
              <w:rPr>
                <w:rFonts w:cs="Arial"/>
                <w:b/>
                <w:bCs/>
                <w:szCs w:val="24"/>
              </w:rPr>
            </w:pP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F735A" w14:textId="77777777" w:rsidR="005F7D2D" w:rsidRPr="00D948C1" w:rsidRDefault="005F7D2D" w:rsidP="00F7299E">
            <w:pPr>
              <w:rPr>
                <w:rFonts w:cs="Arial"/>
                <w:b/>
                <w:bCs/>
                <w:szCs w:val="24"/>
              </w:rPr>
            </w:pPr>
          </w:p>
        </w:tc>
        <w:tc>
          <w:tcPr>
            <w:tcW w:w="4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91777" w14:textId="77777777" w:rsidR="005F7D2D" w:rsidRPr="00D948C1" w:rsidRDefault="005F7D2D" w:rsidP="00F7299E">
            <w:pPr>
              <w:rPr>
                <w:rFonts w:cs="Arial"/>
                <w:b/>
                <w:bCs/>
                <w:szCs w:val="24"/>
              </w:rPr>
            </w:pPr>
          </w:p>
        </w:tc>
        <w:tc>
          <w:tcPr>
            <w:tcW w:w="4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760CEC" w14:textId="77777777" w:rsidR="005F7D2D" w:rsidRPr="00D948C1" w:rsidRDefault="005F7D2D" w:rsidP="00F7299E">
            <w:pPr>
              <w:rPr>
                <w:rFonts w:cs="Arial"/>
                <w:b/>
                <w:bCs/>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A614B" w14:textId="77777777" w:rsidR="005F7D2D" w:rsidRPr="00D948C1" w:rsidRDefault="005F7D2D" w:rsidP="00F7299E">
            <w:pPr>
              <w:rPr>
                <w:rFonts w:cs="Arial"/>
                <w:b/>
                <w:bCs/>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3C1AB" w14:textId="32C4CA16" w:rsidR="005F7D2D" w:rsidRPr="00D948C1" w:rsidRDefault="005F7D2D" w:rsidP="00F7299E">
            <w:pPr>
              <w:rPr>
                <w:rFonts w:cs="Arial"/>
                <w:b/>
                <w:bCs/>
                <w:szCs w:val="24"/>
              </w:rPr>
            </w:pPr>
          </w:p>
        </w:tc>
      </w:tr>
      <w:tr w:rsidR="008869D1" w:rsidRPr="00D948C1" w14:paraId="5C3D45DD"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3B0E4D2B" w14:textId="77777777" w:rsidR="005F7D2D" w:rsidRPr="006822CA" w:rsidRDefault="005F7D2D" w:rsidP="00F7299E">
            <w:pPr>
              <w:rPr>
                <w:rFonts w:cs="Arial"/>
                <w:szCs w:val="24"/>
              </w:rPr>
            </w:pPr>
            <w:r w:rsidRPr="006822CA">
              <w:rPr>
                <w:rFonts w:cs="Arial"/>
                <w:szCs w:val="24"/>
              </w:rPr>
              <w:t>Charges for depreciation and impairment of non-current assets</w:t>
            </w:r>
          </w:p>
        </w:tc>
        <w:tc>
          <w:tcPr>
            <w:tcW w:w="428" w:type="pct"/>
            <w:tcBorders>
              <w:top w:val="single" w:sz="4" w:space="0" w:color="auto"/>
              <w:left w:val="single" w:sz="4" w:space="0" w:color="auto"/>
              <w:bottom w:val="single" w:sz="4" w:space="0" w:color="auto"/>
              <w:right w:val="single" w:sz="4" w:space="0" w:color="auto"/>
            </w:tcBorders>
            <w:vAlign w:val="center"/>
          </w:tcPr>
          <w:p w14:paraId="2EB34822" w14:textId="77777777" w:rsidR="005F7D2D" w:rsidRPr="003F09DA" w:rsidRDefault="005F7D2D" w:rsidP="00F7299E">
            <w:pPr>
              <w:jc w:val="right"/>
              <w:rPr>
                <w:rFonts w:cs="Arial"/>
                <w:szCs w:val="24"/>
              </w:rPr>
            </w:pPr>
            <w:r w:rsidRPr="003F09DA">
              <w:rPr>
                <w:rFonts w:cs="Arial"/>
                <w:szCs w:val="24"/>
              </w:rPr>
              <w:t>5,865</w:t>
            </w:r>
          </w:p>
        </w:tc>
        <w:tc>
          <w:tcPr>
            <w:tcW w:w="490" w:type="pct"/>
            <w:tcBorders>
              <w:top w:val="single" w:sz="4" w:space="0" w:color="auto"/>
              <w:left w:val="single" w:sz="4" w:space="0" w:color="auto"/>
              <w:bottom w:val="single" w:sz="4" w:space="0" w:color="auto"/>
              <w:right w:val="single" w:sz="4" w:space="0" w:color="auto"/>
            </w:tcBorders>
            <w:vAlign w:val="center"/>
          </w:tcPr>
          <w:p w14:paraId="2EE30E34" w14:textId="77777777" w:rsidR="005F7D2D" w:rsidRPr="003F09DA" w:rsidRDefault="005F7D2D" w:rsidP="00F7299E">
            <w:pPr>
              <w:jc w:val="right"/>
              <w:rPr>
                <w:rFonts w:cs="Arial"/>
                <w:szCs w:val="24"/>
              </w:rPr>
            </w:pPr>
            <w:r w:rsidRPr="003F09D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57A4B02A" w14:textId="77777777" w:rsidR="005F7D2D" w:rsidRPr="003F09DA" w:rsidRDefault="005F7D2D" w:rsidP="00F7299E">
            <w:pPr>
              <w:jc w:val="right"/>
              <w:rPr>
                <w:rFonts w:cs="Arial"/>
                <w:szCs w:val="24"/>
              </w:rPr>
            </w:pPr>
            <w:r w:rsidRPr="006822CA">
              <w:rPr>
                <w:rFonts w:cs="Arial"/>
                <w:szCs w:val="24"/>
              </w:rPr>
              <w:t>5,865</w:t>
            </w:r>
          </w:p>
        </w:tc>
        <w:tc>
          <w:tcPr>
            <w:tcW w:w="449" w:type="pct"/>
            <w:tcBorders>
              <w:top w:val="single" w:sz="4" w:space="0" w:color="auto"/>
              <w:left w:val="single" w:sz="4" w:space="0" w:color="auto"/>
              <w:bottom w:val="single" w:sz="4" w:space="0" w:color="auto"/>
              <w:right w:val="single" w:sz="4" w:space="0" w:color="auto"/>
            </w:tcBorders>
            <w:vAlign w:val="center"/>
          </w:tcPr>
          <w:p w14:paraId="7FC3E61C" w14:textId="77777777" w:rsidR="005F7D2D" w:rsidRPr="003F09DA" w:rsidRDefault="005F7D2D" w:rsidP="00F7299E">
            <w:pPr>
              <w:jc w:val="right"/>
              <w:rPr>
                <w:rFonts w:cs="Arial"/>
                <w:szCs w:val="24"/>
              </w:rPr>
            </w:pPr>
            <w:r w:rsidRPr="003F09D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95FCCAA" w14:textId="77777777" w:rsidR="005F7D2D" w:rsidRPr="003F09DA" w:rsidRDefault="005F7D2D" w:rsidP="00F7299E">
            <w:pPr>
              <w:jc w:val="right"/>
              <w:rPr>
                <w:rFonts w:cs="Arial"/>
                <w:szCs w:val="24"/>
              </w:rPr>
            </w:pPr>
            <w:r w:rsidRPr="003F09D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0B3B5F6A" w14:textId="77777777" w:rsidR="005F7D2D" w:rsidRPr="003F09DA" w:rsidRDefault="005F7D2D" w:rsidP="00F7299E">
            <w:pPr>
              <w:jc w:val="right"/>
              <w:rPr>
                <w:rFonts w:cs="Arial"/>
                <w:szCs w:val="24"/>
              </w:rPr>
            </w:pPr>
            <w:r w:rsidRPr="003F09DA">
              <w:rPr>
                <w:rFonts w:cs="Arial"/>
                <w:szCs w:val="24"/>
              </w:rPr>
              <w:t>5,865</w:t>
            </w:r>
          </w:p>
        </w:tc>
        <w:tc>
          <w:tcPr>
            <w:tcW w:w="448" w:type="pct"/>
            <w:tcBorders>
              <w:top w:val="single" w:sz="4" w:space="0" w:color="auto"/>
              <w:left w:val="single" w:sz="4" w:space="0" w:color="auto"/>
              <w:bottom w:val="single" w:sz="4" w:space="0" w:color="auto"/>
              <w:right w:val="single" w:sz="4" w:space="0" w:color="auto"/>
            </w:tcBorders>
            <w:vAlign w:val="center"/>
          </w:tcPr>
          <w:p w14:paraId="7FC82E2F" w14:textId="77777777" w:rsidR="005F7D2D" w:rsidRPr="003F09DA" w:rsidRDefault="005F7D2D" w:rsidP="00F7299E">
            <w:pPr>
              <w:jc w:val="right"/>
              <w:rPr>
                <w:rFonts w:cs="Arial"/>
                <w:szCs w:val="24"/>
              </w:rPr>
            </w:pPr>
            <w:r w:rsidRPr="003F09DA">
              <w:rPr>
                <w:rFonts w:cs="Arial"/>
                <w:szCs w:val="24"/>
              </w:rPr>
              <w:t>(5,865)</w:t>
            </w:r>
          </w:p>
        </w:tc>
        <w:tc>
          <w:tcPr>
            <w:tcW w:w="448" w:type="pct"/>
            <w:tcBorders>
              <w:top w:val="single" w:sz="4" w:space="0" w:color="auto"/>
              <w:left w:val="single" w:sz="4" w:space="0" w:color="auto"/>
              <w:bottom w:val="single" w:sz="4" w:space="0" w:color="auto"/>
              <w:right w:val="single" w:sz="4" w:space="0" w:color="auto"/>
            </w:tcBorders>
            <w:vAlign w:val="center"/>
          </w:tcPr>
          <w:p w14:paraId="3DA0C89F" w14:textId="77777777" w:rsidR="005F7D2D" w:rsidRPr="003F09DA" w:rsidRDefault="005F7D2D" w:rsidP="00F7299E">
            <w:pPr>
              <w:jc w:val="right"/>
              <w:rPr>
                <w:rFonts w:cs="Arial"/>
                <w:szCs w:val="24"/>
              </w:rPr>
            </w:pPr>
            <w:r w:rsidRPr="003F09DA">
              <w:rPr>
                <w:rFonts w:cs="Arial"/>
                <w:szCs w:val="24"/>
              </w:rPr>
              <w:t>-</w:t>
            </w:r>
          </w:p>
        </w:tc>
      </w:tr>
      <w:tr w:rsidR="008869D1" w:rsidRPr="00D948C1" w14:paraId="55CB25E7"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35AE21C7" w14:textId="77777777" w:rsidR="005F7D2D" w:rsidRPr="006822CA" w:rsidRDefault="005F7D2D" w:rsidP="00F7299E">
            <w:pPr>
              <w:rPr>
                <w:rFonts w:cs="Arial"/>
                <w:szCs w:val="24"/>
              </w:rPr>
            </w:pPr>
            <w:r w:rsidRPr="006822CA">
              <w:rPr>
                <w:rFonts w:cs="Arial"/>
                <w:szCs w:val="24"/>
              </w:rPr>
              <w:t>Amortisation of intangible assets</w:t>
            </w:r>
          </w:p>
        </w:tc>
        <w:tc>
          <w:tcPr>
            <w:tcW w:w="428" w:type="pct"/>
            <w:tcBorders>
              <w:top w:val="single" w:sz="4" w:space="0" w:color="auto"/>
              <w:left w:val="single" w:sz="4" w:space="0" w:color="auto"/>
              <w:bottom w:val="single" w:sz="4" w:space="0" w:color="auto"/>
              <w:right w:val="single" w:sz="4" w:space="0" w:color="auto"/>
            </w:tcBorders>
            <w:vAlign w:val="center"/>
          </w:tcPr>
          <w:p w14:paraId="745297BF" w14:textId="77777777" w:rsidR="005F7D2D" w:rsidRPr="003F09DA" w:rsidRDefault="005F7D2D" w:rsidP="00F7299E">
            <w:pPr>
              <w:jc w:val="right"/>
              <w:rPr>
                <w:rFonts w:cs="Arial"/>
                <w:szCs w:val="24"/>
              </w:rPr>
            </w:pPr>
            <w:r w:rsidRPr="003F09DA">
              <w:rPr>
                <w:rFonts w:cs="Arial"/>
                <w:szCs w:val="24"/>
              </w:rPr>
              <w:t>188</w:t>
            </w:r>
          </w:p>
        </w:tc>
        <w:tc>
          <w:tcPr>
            <w:tcW w:w="490" w:type="pct"/>
            <w:tcBorders>
              <w:top w:val="single" w:sz="4" w:space="0" w:color="auto"/>
              <w:left w:val="single" w:sz="4" w:space="0" w:color="auto"/>
              <w:bottom w:val="single" w:sz="4" w:space="0" w:color="auto"/>
              <w:right w:val="single" w:sz="4" w:space="0" w:color="auto"/>
            </w:tcBorders>
            <w:vAlign w:val="center"/>
          </w:tcPr>
          <w:p w14:paraId="1F946D08" w14:textId="77777777" w:rsidR="005F7D2D" w:rsidRPr="003F09DA" w:rsidRDefault="005F7D2D" w:rsidP="00F7299E">
            <w:pPr>
              <w:jc w:val="right"/>
              <w:rPr>
                <w:rFonts w:cs="Arial"/>
                <w:szCs w:val="24"/>
              </w:rPr>
            </w:pPr>
            <w:r w:rsidRPr="003F09D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C277C16" w14:textId="77777777" w:rsidR="005F7D2D" w:rsidRPr="003F09DA" w:rsidRDefault="005F7D2D" w:rsidP="00F7299E">
            <w:pPr>
              <w:jc w:val="right"/>
              <w:rPr>
                <w:rFonts w:cs="Arial"/>
                <w:szCs w:val="24"/>
              </w:rPr>
            </w:pPr>
            <w:r w:rsidRPr="003F09DA">
              <w:rPr>
                <w:rFonts w:cs="Arial"/>
                <w:szCs w:val="24"/>
              </w:rPr>
              <w:t>188</w:t>
            </w:r>
          </w:p>
        </w:tc>
        <w:tc>
          <w:tcPr>
            <w:tcW w:w="449" w:type="pct"/>
            <w:tcBorders>
              <w:top w:val="single" w:sz="4" w:space="0" w:color="auto"/>
              <w:left w:val="single" w:sz="4" w:space="0" w:color="auto"/>
              <w:bottom w:val="single" w:sz="4" w:space="0" w:color="auto"/>
              <w:right w:val="single" w:sz="4" w:space="0" w:color="auto"/>
            </w:tcBorders>
            <w:vAlign w:val="center"/>
          </w:tcPr>
          <w:p w14:paraId="19E6B7A2" w14:textId="77777777" w:rsidR="005F7D2D" w:rsidRPr="003F09DA" w:rsidRDefault="005F7D2D" w:rsidP="00F7299E">
            <w:pPr>
              <w:jc w:val="right"/>
              <w:rPr>
                <w:rFonts w:cs="Arial"/>
                <w:szCs w:val="24"/>
              </w:rPr>
            </w:pPr>
            <w:r w:rsidRPr="003F09D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31F7F98" w14:textId="77777777" w:rsidR="005F7D2D" w:rsidRPr="003F09DA" w:rsidRDefault="005F7D2D" w:rsidP="00F7299E">
            <w:pPr>
              <w:jc w:val="right"/>
              <w:rPr>
                <w:rFonts w:cs="Arial"/>
                <w:szCs w:val="24"/>
              </w:rPr>
            </w:pPr>
            <w:r w:rsidRPr="003F09D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2A6EB779" w14:textId="77777777" w:rsidR="005F7D2D" w:rsidRPr="003F09DA" w:rsidRDefault="005F7D2D" w:rsidP="00F7299E">
            <w:pPr>
              <w:jc w:val="right"/>
              <w:rPr>
                <w:rFonts w:cs="Arial"/>
                <w:szCs w:val="24"/>
              </w:rPr>
            </w:pPr>
            <w:r w:rsidRPr="003F09DA">
              <w:rPr>
                <w:rFonts w:cs="Arial"/>
                <w:szCs w:val="24"/>
              </w:rPr>
              <w:t>188</w:t>
            </w:r>
          </w:p>
        </w:tc>
        <w:tc>
          <w:tcPr>
            <w:tcW w:w="448" w:type="pct"/>
            <w:tcBorders>
              <w:top w:val="single" w:sz="4" w:space="0" w:color="auto"/>
              <w:left w:val="single" w:sz="4" w:space="0" w:color="auto"/>
              <w:bottom w:val="single" w:sz="4" w:space="0" w:color="auto"/>
              <w:right w:val="single" w:sz="4" w:space="0" w:color="auto"/>
            </w:tcBorders>
            <w:vAlign w:val="center"/>
          </w:tcPr>
          <w:p w14:paraId="74815AD8" w14:textId="77777777" w:rsidR="005F7D2D" w:rsidRPr="003F09DA" w:rsidRDefault="005F7D2D" w:rsidP="00F7299E">
            <w:pPr>
              <w:jc w:val="right"/>
              <w:rPr>
                <w:rFonts w:cs="Arial"/>
                <w:szCs w:val="24"/>
              </w:rPr>
            </w:pPr>
            <w:r w:rsidRPr="003F09DA">
              <w:rPr>
                <w:rFonts w:cs="Arial"/>
                <w:szCs w:val="24"/>
              </w:rPr>
              <w:t>(188)</w:t>
            </w:r>
          </w:p>
        </w:tc>
        <w:tc>
          <w:tcPr>
            <w:tcW w:w="448" w:type="pct"/>
            <w:tcBorders>
              <w:top w:val="single" w:sz="4" w:space="0" w:color="auto"/>
              <w:left w:val="single" w:sz="4" w:space="0" w:color="auto"/>
              <w:bottom w:val="single" w:sz="4" w:space="0" w:color="auto"/>
              <w:right w:val="single" w:sz="4" w:space="0" w:color="auto"/>
            </w:tcBorders>
            <w:vAlign w:val="center"/>
          </w:tcPr>
          <w:p w14:paraId="21871206" w14:textId="77777777" w:rsidR="005F7D2D" w:rsidRPr="003F09DA" w:rsidRDefault="005F7D2D" w:rsidP="00F7299E">
            <w:pPr>
              <w:jc w:val="right"/>
              <w:rPr>
                <w:rFonts w:cs="Arial"/>
                <w:szCs w:val="24"/>
              </w:rPr>
            </w:pPr>
            <w:r w:rsidRPr="003F09DA">
              <w:rPr>
                <w:rFonts w:cs="Arial"/>
                <w:szCs w:val="24"/>
              </w:rPr>
              <w:t>-</w:t>
            </w:r>
          </w:p>
        </w:tc>
      </w:tr>
      <w:tr w:rsidR="008869D1" w:rsidRPr="00D948C1" w14:paraId="47758CDF"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6D79F1D2" w14:textId="77777777" w:rsidR="005F7D2D" w:rsidRPr="006822CA" w:rsidRDefault="005F7D2D" w:rsidP="00F7299E">
            <w:pPr>
              <w:rPr>
                <w:rFonts w:cs="Arial"/>
                <w:szCs w:val="24"/>
              </w:rPr>
            </w:pPr>
            <w:r w:rsidRPr="006822CA">
              <w:rPr>
                <w:rFonts w:cs="Arial"/>
                <w:szCs w:val="24"/>
              </w:rPr>
              <w:t>Disposal of assets</w:t>
            </w:r>
          </w:p>
        </w:tc>
        <w:tc>
          <w:tcPr>
            <w:tcW w:w="428" w:type="pct"/>
            <w:tcBorders>
              <w:top w:val="single" w:sz="4" w:space="0" w:color="auto"/>
              <w:left w:val="single" w:sz="4" w:space="0" w:color="auto"/>
              <w:bottom w:val="single" w:sz="4" w:space="0" w:color="auto"/>
              <w:right w:val="single" w:sz="4" w:space="0" w:color="auto"/>
            </w:tcBorders>
            <w:vAlign w:val="center"/>
          </w:tcPr>
          <w:p w14:paraId="7A3EFC7F" w14:textId="77777777" w:rsidR="005F7D2D" w:rsidRPr="006822CA" w:rsidRDefault="005F7D2D" w:rsidP="00F7299E">
            <w:pPr>
              <w:jc w:val="right"/>
              <w:rPr>
                <w:rFonts w:cs="Arial"/>
                <w:szCs w:val="24"/>
              </w:rPr>
            </w:pPr>
            <w:r w:rsidRPr="006822CA">
              <w:rPr>
                <w:rFonts w:cs="Arial"/>
                <w:szCs w:val="24"/>
              </w:rPr>
              <w:t>32</w:t>
            </w:r>
          </w:p>
        </w:tc>
        <w:tc>
          <w:tcPr>
            <w:tcW w:w="490" w:type="pct"/>
            <w:tcBorders>
              <w:top w:val="single" w:sz="4" w:space="0" w:color="auto"/>
              <w:left w:val="single" w:sz="4" w:space="0" w:color="auto"/>
              <w:bottom w:val="single" w:sz="4" w:space="0" w:color="auto"/>
              <w:right w:val="single" w:sz="4" w:space="0" w:color="auto"/>
            </w:tcBorders>
            <w:vAlign w:val="center"/>
          </w:tcPr>
          <w:p w14:paraId="5D69940A"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36611FDF" w14:textId="77777777" w:rsidR="005F7D2D" w:rsidRPr="006822CA" w:rsidRDefault="005F7D2D" w:rsidP="00F7299E">
            <w:pPr>
              <w:jc w:val="right"/>
              <w:rPr>
                <w:rFonts w:cs="Arial"/>
                <w:szCs w:val="24"/>
              </w:rPr>
            </w:pPr>
            <w:r w:rsidRPr="006822CA">
              <w:rPr>
                <w:rFonts w:cs="Arial"/>
                <w:szCs w:val="24"/>
              </w:rPr>
              <w:t>32</w:t>
            </w:r>
          </w:p>
        </w:tc>
        <w:tc>
          <w:tcPr>
            <w:tcW w:w="449" w:type="pct"/>
            <w:tcBorders>
              <w:top w:val="single" w:sz="4" w:space="0" w:color="auto"/>
              <w:left w:val="single" w:sz="4" w:space="0" w:color="auto"/>
              <w:bottom w:val="single" w:sz="4" w:space="0" w:color="auto"/>
              <w:right w:val="single" w:sz="4" w:space="0" w:color="auto"/>
            </w:tcBorders>
            <w:vAlign w:val="center"/>
          </w:tcPr>
          <w:p w14:paraId="5DEB4261"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255E5D74" w14:textId="77777777" w:rsidR="005F7D2D" w:rsidRPr="006822CA" w:rsidRDefault="005F7D2D" w:rsidP="00F7299E">
            <w:pPr>
              <w:jc w:val="right"/>
              <w:rPr>
                <w:rFonts w:cs="Arial"/>
                <w:szCs w:val="24"/>
              </w:rPr>
            </w:pPr>
            <w:r w:rsidRPr="006822CA">
              <w:rPr>
                <w:rFonts w:cs="Arial"/>
                <w:szCs w:val="24"/>
              </w:rPr>
              <w:t>16</w:t>
            </w:r>
          </w:p>
        </w:tc>
        <w:tc>
          <w:tcPr>
            <w:tcW w:w="428" w:type="pct"/>
            <w:tcBorders>
              <w:top w:val="single" w:sz="4" w:space="0" w:color="auto"/>
              <w:left w:val="single" w:sz="4" w:space="0" w:color="auto"/>
              <w:bottom w:val="single" w:sz="4" w:space="0" w:color="auto"/>
              <w:right w:val="single" w:sz="4" w:space="0" w:color="auto"/>
            </w:tcBorders>
            <w:vAlign w:val="center"/>
          </w:tcPr>
          <w:p w14:paraId="3033F94B" w14:textId="77777777" w:rsidR="005F7D2D" w:rsidRPr="006822CA" w:rsidRDefault="005F7D2D" w:rsidP="00F7299E">
            <w:pPr>
              <w:jc w:val="right"/>
              <w:rPr>
                <w:rFonts w:cs="Arial"/>
                <w:szCs w:val="24"/>
              </w:rPr>
            </w:pPr>
            <w:r w:rsidRPr="006822CA">
              <w:rPr>
                <w:rFonts w:cs="Arial"/>
                <w:szCs w:val="24"/>
              </w:rPr>
              <w:t>48</w:t>
            </w:r>
          </w:p>
        </w:tc>
        <w:tc>
          <w:tcPr>
            <w:tcW w:w="448" w:type="pct"/>
            <w:tcBorders>
              <w:top w:val="single" w:sz="4" w:space="0" w:color="auto"/>
              <w:left w:val="single" w:sz="4" w:space="0" w:color="auto"/>
              <w:bottom w:val="single" w:sz="4" w:space="0" w:color="auto"/>
              <w:right w:val="single" w:sz="4" w:space="0" w:color="auto"/>
            </w:tcBorders>
            <w:vAlign w:val="center"/>
          </w:tcPr>
          <w:p w14:paraId="54EF7708" w14:textId="77777777" w:rsidR="005F7D2D" w:rsidRPr="006822CA" w:rsidRDefault="005F7D2D" w:rsidP="00F7299E">
            <w:pPr>
              <w:jc w:val="right"/>
              <w:rPr>
                <w:rFonts w:cs="Arial"/>
                <w:szCs w:val="24"/>
              </w:rPr>
            </w:pPr>
            <w:r w:rsidRPr="006822CA">
              <w:rPr>
                <w:rFonts w:cs="Arial"/>
                <w:szCs w:val="24"/>
              </w:rPr>
              <w:t>(48)</w:t>
            </w:r>
          </w:p>
        </w:tc>
        <w:tc>
          <w:tcPr>
            <w:tcW w:w="448" w:type="pct"/>
            <w:tcBorders>
              <w:top w:val="single" w:sz="4" w:space="0" w:color="auto"/>
              <w:left w:val="single" w:sz="4" w:space="0" w:color="auto"/>
              <w:bottom w:val="single" w:sz="4" w:space="0" w:color="auto"/>
              <w:right w:val="single" w:sz="4" w:space="0" w:color="auto"/>
            </w:tcBorders>
            <w:vAlign w:val="center"/>
          </w:tcPr>
          <w:p w14:paraId="01B63E02" w14:textId="77777777" w:rsidR="005F7D2D" w:rsidRPr="006822CA" w:rsidRDefault="005F7D2D" w:rsidP="00F7299E">
            <w:pPr>
              <w:jc w:val="right"/>
              <w:rPr>
                <w:rFonts w:cs="Arial"/>
                <w:szCs w:val="24"/>
              </w:rPr>
            </w:pPr>
            <w:r w:rsidRPr="006822CA">
              <w:rPr>
                <w:rFonts w:cs="Arial"/>
                <w:szCs w:val="24"/>
              </w:rPr>
              <w:t>-</w:t>
            </w:r>
          </w:p>
        </w:tc>
      </w:tr>
      <w:tr w:rsidR="008869D1" w:rsidRPr="00D948C1" w14:paraId="05CF900F"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03AA1F0F" w14:textId="77777777" w:rsidR="005F7D2D" w:rsidRPr="006822CA" w:rsidRDefault="005F7D2D" w:rsidP="00F7299E">
            <w:pPr>
              <w:rPr>
                <w:rFonts w:cs="Arial"/>
                <w:szCs w:val="24"/>
              </w:rPr>
            </w:pPr>
            <w:r w:rsidRPr="006822CA">
              <w:rPr>
                <w:rFonts w:cs="Arial"/>
                <w:szCs w:val="24"/>
              </w:rPr>
              <w:t>Capital grants unapplied</w:t>
            </w:r>
          </w:p>
        </w:tc>
        <w:tc>
          <w:tcPr>
            <w:tcW w:w="428" w:type="pct"/>
            <w:tcBorders>
              <w:top w:val="single" w:sz="4" w:space="0" w:color="auto"/>
              <w:left w:val="single" w:sz="4" w:space="0" w:color="auto"/>
              <w:bottom w:val="single" w:sz="4" w:space="0" w:color="auto"/>
              <w:right w:val="single" w:sz="4" w:space="0" w:color="auto"/>
            </w:tcBorders>
            <w:vAlign w:val="center"/>
          </w:tcPr>
          <w:p w14:paraId="307636FA" w14:textId="77777777" w:rsidR="005F7D2D" w:rsidRPr="006822CA" w:rsidRDefault="005F7D2D" w:rsidP="00F7299E">
            <w:pPr>
              <w:jc w:val="right"/>
              <w:rPr>
                <w:rFonts w:cs="Arial"/>
                <w:szCs w:val="24"/>
              </w:rPr>
            </w:pPr>
            <w:r w:rsidRPr="006822CA">
              <w:rPr>
                <w:rFonts w:cs="Arial"/>
                <w:szCs w:val="24"/>
              </w:rPr>
              <w:t>27</w:t>
            </w:r>
          </w:p>
        </w:tc>
        <w:tc>
          <w:tcPr>
            <w:tcW w:w="490" w:type="pct"/>
            <w:tcBorders>
              <w:top w:val="single" w:sz="4" w:space="0" w:color="auto"/>
              <w:left w:val="single" w:sz="4" w:space="0" w:color="auto"/>
              <w:bottom w:val="single" w:sz="4" w:space="0" w:color="auto"/>
              <w:right w:val="single" w:sz="4" w:space="0" w:color="auto"/>
            </w:tcBorders>
            <w:vAlign w:val="center"/>
          </w:tcPr>
          <w:p w14:paraId="4227D4F6"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0D21A76E" w14:textId="77777777" w:rsidR="005F7D2D" w:rsidRPr="006822CA" w:rsidRDefault="005F7D2D" w:rsidP="00F7299E">
            <w:pPr>
              <w:jc w:val="right"/>
              <w:rPr>
                <w:rFonts w:cs="Arial"/>
                <w:szCs w:val="24"/>
              </w:rPr>
            </w:pPr>
            <w:r w:rsidRPr="006822CA">
              <w:rPr>
                <w:rFonts w:cs="Arial"/>
                <w:szCs w:val="24"/>
              </w:rPr>
              <w:t>27</w:t>
            </w:r>
          </w:p>
        </w:tc>
        <w:tc>
          <w:tcPr>
            <w:tcW w:w="449" w:type="pct"/>
            <w:tcBorders>
              <w:top w:val="single" w:sz="4" w:space="0" w:color="auto"/>
              <w:left w:val="single" w:sz="4" w:space="0" w:color="auto"/>
              <w:bottom w:val="single" w:sz="4" w:space="0" w:color="auto"/>
              <w:right w:val="single" w:sz="4" w:space="0" w:color="auto"/>
            </w:tcBorders>
            <w:vAlign w:val="center"/>
          </w:tcPr>
          <w:p w14:paraId="0974775B" w14:textId="77777777" w:rsidR="005F7D2D" w:rsidRPr="006822CA" w:rsidRDefault="005F7D2D" w:rsidP="00F7299E">
            <w:pPr>
              <w:jc w:val="right"/>
              <w:rPr>
                <w:rFonts w:cs="Arial"/>
                <w:szCs w:val="24"/>
              </w:rPr>
            </w:pPr>
            <w:r w:rsidRPr="006822CA">
              <w:rPr>
                <w:rFonts w:cs="Arial"/>
                <w:szCs w:val="24"/>
              </w:rPr>
              <w:t>(27)</w:t>
            </w:r>
          </w:p>
        </w:tc>
        <w:tc>
          <w:tcPr>
            <w:tcW w:w="428" w:type="pct"/>
            <w:tcBorders>
              <w:top w:val="single" w:sz="4" w:space="0" w:color="auto"/>
              <w:left w:val="single" w:sz="4" w:space="0" w:color="auto"/>
              <w:bottom w:val="single" w:sz="4" w:space="0" w:color="auto"/>
              <w:right w:val="single" w:sz="4" w:space="0" w:color="auto"/>
            </w:tcBorders>
            <w:vAlign w:val="center"/>
          </w:tcPr>
          <w:p w14:paraId="5413961B"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0E725E8E" w14:textId="77777777" w:rsidR="005F7D2D" w:rsidRPr="006822CA" w:rsidRDefault="005F7D2D" w:rsidP="00F7299E">
            <w:pPr>
              <w:jc w:val="right"/>
              <w:rPr>
                <w:rFonts w:cs="Arial"/>
                <w:szCs w:val="24"/>
              </w:rPr>
            </w:pPr>
            <w:r w:rsidRPr="006822CA">
              <w:rPr>
                <w:rFonts w:cs="Arial"/>
                <w:szCs w:val="24"/>
              </w:rPr>
              <w:t>-</w:t>
            </w:r>
          </w:p>
        </w:tc>
        <w:tc>
          <w:tcPr>
            <w:tcW w:w="448" w:type="pct"/>
            <w:tcBorders>
              <w:top w:val="single" w:sz="4" w:space="0" w:color="auto"/>
              <w:left w:val="single" w:sz="4" w:space="0" w:color="auto"/>
              <w:bottom w:val="single" w:sz="4" w:space="0" w:color="auto"/>
              <w:right w:val="single" w:sz="4" w:space="0" w:color="auto"/>
            </w:tcBorders>
            <w:vAlign w:val="center"/>
          </w:tcPr>
          <w:p w14:paraId="54A231C5" w14:textId="77777777" w:rsidR="005F7D2D" w:rsidRPr="006822CA" w:rsidRDefault="005F7D2D" w:rsidP="00F7299E">
            <w:pPr>
              <w:jc w:val="right"/>
              <w:rPr>
                <w:rFonts w:cs="Arial"/>
                <w:szCs w:val="24"/>
              </w:rPr>
            </w:pPr>
            <w:r w:rsidRPr="006822CA">
              <w:rPr>
                <w:rFonts w:cs="Arial"/>
                <w:szCs w:val="24"/>
              </w:rPr>
              <w:t>-</w:t>
            </w:r>
          </w:p>
        </w:tc>
        <w:tc>
          <w:tcPr>
            <w:tcW w:w="448" w:type="pct"/>
            <w:tcBorders>
              <w:top w:val="single" w:sz="4" w:space="0" w:color="auto"/>
              <w:left w:val="single" w:sz="4" w:space="0" w:color="auto"/>
              <w:bottom w:val="single" w:sz="4" w:space="0" w:color="auto"/>
              <w:right w:val="single" w:sz="4" w:space="0" w:color="auto"/>
            </w:tcBorders>
            <w:vAlign w:val="center"/>
          </w:tcPr>
          <w:p w14:paraId="6D5C37A4" w14:textId="77777777" w:rsidR="005F7D2D" w:rsidRPr="006822CA" w:rsidRDefault="005F7D2D" w:rsidP="00F7299E">
            <w:pPr>
              <w:jc w:val="right"/>
              <w:rPr>
                <w:rFonts w:cs="Arial"/>
                <w:szCs w:val="24"/>
              </w:rPr>
            </w:pPr>
            <w:r w:rsidRPr="006822CA">
              <w:rPr>
                <w:rFonts w:cs="Arial"/>
                <w:szCs w:val="24"/>
              </w:rPr>
              <w:t>-</w:t>
            </w:r>
          </w:p>
        </w:tc>
      </w:tr>
      <w:tr w:rsidR="008869D1" w:rsidRPr="00D948C1" w14:paraId="66ED74A6"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06D63E22" w14:textId="77777777" w:rsidR="005F7D2D" w:rsidRPr="006822CA" w:rsidRDefault="005F7D2D" w:rsidP="00F7299E">
            <w:pPr>
              <w:rPr>
                <w:rFonts w:cs="Arial"/>
                <w:szCs w:val="24"/>
              </w:rPr>
            </w:pPr>
            <w:r w:rsidRPr="006822CA">
              <w:rPr>
                <w:rFonts w:cs="Arial"/>
                <w:szCs w:val="24"/>
              </w:rPr>
              <w:t>Provision for the repayment of debt</w:t>
            </w:r>
          </w:p>
        </w:tc>
        <w:tc>
          <w:tcPr>
            <w:tcW w:w="428" w:type="pct"/>
            <w:tcBorders>
              <w:top w:val="single" w:sz="4" w:space="0" w:color="auto"/>
              <w:left w:val="single" w:sz="4" w:space="0" w:color="auto"/>
              <w:bottom w:val="single" w:sz="4" w:space="0" w:color="auto"/>
              <w:right w:val="single" w:sz="4" w:space="0" w:color="auto"/>
            </w:tcBorders>
            <w:vAlign w:val="center"/>
          </w:tcPr>
          <w:p w14:paraId="641A580B" w14:textId="77777777" w:rsidR="005F7D2D" w:rsidRPr="006822CA" w:rsidRDefault="005F7D2D" w:rsidP="00F7299E">
            <w:pPr>
              <w:jc w:val="right"/>
              <w:rPr>
                <w:rFonts w:cs="Arial"/>
                <w:szCs w:val="24"/>
              </w:rPr>
            </w:pPr>
            <w:r w:rsidRPr="006822CA">
              <w:rPr>
                <w:rFonts w:cs="Arial"/>
                <w:szCs w:val="24"/>
              </w:rPr>
              <w:t>(517)</w:t>
            </w:r>
          </w:p>
        </w:tc>
        <w:tc>
          <w:tcPr>
            <w:tcW w:w="490" w:type="pct"/>
            <w:tcBorders>
              <w:top w:val="single" w:sz="4" w:space="0" w:color="auto"/>
              <w:left w:val="single" w:sz="4" w:space="0" w:color="auto"/>
              <w:bottom w:val="single" w:sz="4" w:space="0" w:color="auto"/>
              <w:right w:val="single" w:sz="4" w:space="0" w:color="auto"/>
            </w:tcBorders>
            <w:vAlign w:val="center"/>
          </w:tcPr>
          <w:p w14:paraId="61B098F4"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EE8A540" w14:textId="77777777" w:rsidR="005F7D2D" w:rsidRPr="006822CA" w:rsidRDefault="005F7D2D" w:rsidP="00F7299E">
            <w:pPr>
              <w:jc w:val="right"/>
              <w:rPr>
                <w:rFonts w:cs="Arial"/>
                <w:szCs w:val="24"/>
              </w:rPr>
            </w:pPr>
            <w:r w:rsidRPr="006822CA">
              <w:rPr>
                <w:rFonts w:cs="Arial"/>
                <w:szCs w:val="24"/>
              </w:rPr>
              <w:t>(517)</w:t>
            </w:r>
          </w:p>
        </w:tc>
        <w:tc>
          <w:tcPr>
            <w:tcW w:w="449" w:type="pct"/>
            <w:tcBorders>
              <w:top w:val="single" w:sz="4" w:space="0" w:color="auto"/>
              <w:left w:val="single" w:sz="4" w:space="0" w:color="auto"/>
              <w:bottom w:val="single" w:sz="4" w:space="0" w:color="auto"/>
              <w:right w:val="single" w:sz="4" w:space="0" w:color="auto"/>
            </w:tcBorders>
            <w:vAlign w:val="center"/>
          </w:tcPr>
          <w:p w14:paraId="1B633C68"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9111781"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2FBF92C5" w14:textId="77777777" w:rsidR="005F7D2D" w:rsidRPr="006822CA" w:rsidRDefault="005F7D2D" w:rsidP="00F7299E">
            <w:pPr>
              <w:jc w:val="right"/>
              <w:rPr>
                <w:rFonts w:cs="Arial"/>
                <w:szCs w:val="24"/>
              </w:rPr>
            </w:pPr>
            <w:r w:rsidRPr="006822CA">
              <w:rPr>
                <w:rFonts w:cs="Arial"/>
                <w:szCs w:val="24"/>
              </w:rPr>
              <w:t>(517)</w:t>
            </w:r>
          </w:p>
        </w:tc>
        <w:tc>
          <w:tcPr>
            <w:tcW w:w="448" w:type="pct"/>
            <w:tcBorders>
              <w:top w:val="single" w:sz="4" w:space="0" w:color="auto"/>
              <w:left w:val="single" w:sz="4" w:space="0" w:color="auto"/>
              <w:bottom w:val="single" w:sz="4" w:space="0" w:color="auto"/>
              <w:right w:val="single" w:sz="4" w:space="0" w:color="auto"/>
            </w:tcBorders>
            <w:vAlign w:val="center"/>
          </w:tcPr>
          <w:p w14:paraId="636E606A" w14:textId="77777777" w:rsidR="005F7D2D" w:rsidRPr="006822CA" w:rsidRDefault="005F7D2D" w:rsidP="00F7299E">
            <w:pPr>
              <w:jc w:val="right"/>
              <w:rPr>
                <w:rFonts w:cs="Arial"/>
                <w:szCs w:val="24"/>
              </w:rPr>
            </w:pPr>
            <w:r w:rsidRPr="006822CA">
              <w:rPr>
                <w:rFonts w:cs="Arial"/>
                <w:szCs w:val="24"/>
              </w:rPr>
              <w:t>517</w:t>
            </w:r>
          </w:p>
        </w:tc>
        <w:tc>
          <w:tcPr>
            <w:tcW w:w="448" w:type="pct"/>
            <w:tcBorders>
              <w:top w:val="single" w:sz="4" w:space="0" w:color="auto"/>
              <w:left w:val="single" w:sz="4" w:space="0" w:color="auto"/>
              <w:bottom w:val="single" w:sz="4" w:space="0" w:color="auto"/>
              <w:right w:val="single" w:sz="4" w:space="0" w:color="auto"/>
            </w:tcBorders>
            <w:vAlign w:val="center"/>
          </w:tcPr>
          <w:p w14:paraId="1C759BFA" w14:textId="77777777" w:rsidR="005F7D2D" w:rsidRPr="006822CA" w:rsidRDefault="005F7D2D" w:rsidP="00F7299E">
            <w:pPr>
              <w:jc w:val="right"/>
              <w:rPr>
                <w:rFonts w:cs="Arial"/>
                <w:szCs w:val="24"/>
              </w:rPr>
            </w:pPr>
            <w:r w:rsidRPr="006822CA">
              <w:rPr>
                <w:rFonts w:cs="Arial"/>
                <w:szCs w:val="24"/>
              </w:rPr>
              <w:t>-</w:t>
            </w:r>
          </w:p>
        </w:tc>
      </w:tr>
      <w:tr w:rsidR="008869D1" w:rsidRPr="00D948C1" w14:paraId="5000B989"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3EA0F24D" w14:textId="77777777" w:rsidR="005F7D2D" w:rsidRPr="006822CA" w:rsidRDefault="005F7D2D" w:rsidP="00F7299E">
            <w:pPr>
              <w:rPr>
                <w:rFonts w:cs="Arial"/>
                <w:szCs w:val="24"/>
              </w:rPr>
            </w:pPr>
            <w:r w:rsidRPr="006822CA">
              <w:rPr>
                <w:rFonts w:cs="Arial"/>
                <w:szCs w:val="24"/>
              </w:rPr>
              <w:t>Capital expenditure charged against General Fund Balance</w:t>
            </w:r>
          </w:p>
        </w:tc>
        <w:tc>
          <w:tcPr>
            <w:tcW w:w="428" w:type="pct"/>
            <w:tcBorders>
              <w:top w:val="single" w:sz="4" w:space="0" w:color="auto"/>
              <w:left w:val="single" w:sz="4" w:space="0" w:color="auto"/>
              <w:bottom w:val="single" w:sz="4" w:space="0" w:color="auto"/>
              <w:right w:val="single" w:sz="4" w:space="0" w:color="auto"/>
            </w:tcBorders>
            <w:vAlign w:val="center"/>
          </w:tcPr>
          <w:p w14:paraId="3F7C4053" w14:textId="479C57D5" w:rsidR="005F7D2D" w:rsidRPr="006822CA" w:rsidRDefault="005F7D2D" w:rsidP="00F7299E">
            <w:pPr>
              <w:jc w:val="right"/>
              <w:rPr>
                <w:rFonts w:cs="Arial"/>
                <w:szCs w:val="24"/>
              </w:rPr>
            </w:pPr>
            <w:r w:rsidRPr="006822CA">
              <w:rPr>
                <w:rFonts w:cs="Arial"/>
                <w:szCs w:val="24"/>
              </w:rPr>
              <w:t>(</w:t>
            </w:r>
            <w:r w:rsidR="004E77AC">
              <w:rPr>
                <w:rFonts w:cs="Arial"/>
                <w:szCs w:val="24"/>
              </w:rPr>
              <w:t>5</w:t>
            </w:r>
            <w:r w:rsidRPr="006822CA">
              <w:rPr>
                <w:rFonts w:cs="Arial"/>
                <w:szCs w:val="24"/>
              </w:rPr>
              <w:t>,1</w:t>
            </w:r>
            <w:r w:rsidR="004E77AC">
              <w:rPr>
                <w:rFonts w:cs="Arial"/>
                <w:szCs w:val="24"/>
              </w:rPr>
              <w:t>88</w:t>
            </w:r>
            <w:r w:rsidRPr="006822CA">
              <w:rPr>
                <w:rFonts w:cs="Arial"/>
                <w:szCs w:val="24"/>
              </w:rPr>
              <w:t>)</w:t>
            </w:r>
          </w:p>
        </w:tc>
        <w:tc>
          <w:tcPr>
            <w:tcW w:w="490" w:type="pct"/>
            <w:tcBorders>
              <w:top w:val="single" w:sz="4" w:space="0" w:color="auto"/>
              <w:left w:val="single" w:sz="4" w:space="0" w:color="auto"/>
              <w:bottom w:val="single" w:sz="4" w:space="0" w:color="auto"/>
              <w:right w:val="single" w:sz="4" w:space="0" w:color="auto"/>
            </w:tcBorders>
            <w:vAlign w:val="center"/>
          </w:tcPr>
          <w:p w14:paraId="1CBC8D84" w14:textId="3BD81255" w:rsidR="005F7D2D" w:rsidRPr="006822CA" w:rsidRDefault="008869D1" w:rsidP="00F7299E">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088DC0DF" w14:textId="33A99F41" w:rsidR="005F7D2D" w:rsidRPr="006822CA" w:rsidRDefault="005F7D2D" w:rsidP="00F7299E">
            <w:pPr>
              <w:jc w:val="right"/>
              <w:rPr>
                <w:rFonts w:cs="Arial"/>
                <w:szCs w:val="24"/>
              </w:rPr>
            </w:pPr>
            <w:r w:rsidRPr="006822CA">
              <w:rPr>
                <w:rFonts w:cs="Arial"/>
                <w:szCs w:val="24"/>
              </w:rPr>
              <w:t>(</w:t>
            </w:r>
            <w:r w:rsidR="008869D1">
              <w:rPr>
                <w:rFonts w:cs="Arial"/>
                <w:szCs w:val="24"/>
              </w:rPr>
              <w:t>5</w:t>
            </w:r>
            <w:r w:rsidRPr="006822CA">
              <w:rPr>
                <w:rFonts w:cs="Arial"/>
                <w:szCs w:val="24"/>
              </w:rPr>
              <w:t>,</w:t>
            </w:r>
            <w:r w:rsidR="008869D1">
              <w:rPr>
                <w:rFonts w:cs="Arial"/>
                <w:szCs w:val="24"/>
              </w:rPr>
              <w:t>188</w:t>
            </w:r>
            <w:r w:rsidRPr="006822CA">
              <w:rPr>
                <w:rFonts w:cs="Arial"/>
                <w:szCs w:val="24"/>
              </w:rPr>
              <w:t>)</w:t>
            </w:r>
          </w:p>
        </w:tc>
        <w:tc>
          <w:tcPr>
            <w:tcW w:w="449" w:type="pct"/>
            <w:tcBorders>
              <w:top w:val="single" w:sz="4" w:space="0" w:color="auto"/>
              <w:left w:val="single" w:sz="4" w:space="0" w:color="auto"/>
              <w:bottom w:val="single" w:sz="4" w:space="0" w:color="auto"/>
              <w:right w:val="single" w:sz="4" w:space="0" w:color="auto"/>
            </w:tcBorders>
            <w:vAlign w:val="center"/>
          </w:tcPr>
          <w:p w14:paraId="71071717"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380DB369" w14:textId="77777777" w:rsidR="005F7D2D" w:rsidRPr="006822CA" w:rsidRDefault="005F7D2D" w:rsidP="00F7299E">
            <w:pPr>
              <w:jc w:val="right"/>
              <w:rPr>
                <w:rFonts w:cs="Arial"/>
                <w:szCs w:val="24"/>
              </w:rPr>
            </w:pPr>
            <w:r w:rsidRPr="006822CA">
              <w:rPr>
                <w:rFonts w:cs="Arial"/>
                <w:szCs w:val="24"/>
              </w:rPr>
              <w:t>(1,637)</w:t>
            </w:r>
          </w:p>
        </w:tc>
        <w:tc>
          <w:tcPr>
            <w:tcW w:w="428" w:type="pct"/>
            <w:tcBorders>
              <w:top w:val="single" w:sz="4" w:space="0" w:color="auto"/>
              <w:left w:val="single" w:sz="4" w:space="0" w:color="auto"/>
              <w:bottom w:val="single" w:sz="4" w:space="0" w:color="auto"/>
              <w:right w:val="single" w:sz="4" w:space="0" w:color="auto"/>
            </w:tcBorders>
            <w:vAlign w:val="center"/>
          </w:tcPr>
          <w:p w14:paraId="00A885E9" w14:textId="77777777" w:rsidR="005F7D2D" w:rsidRPr="006822CA" w:rsidRDefault="005F7D2D" w:rsidP="00F7299E">
            <w:pPr>
              <w:jc w:val="right"/>
              <w:rPr>
                <w:rFonts w:cs="Arial"/>
                <w:szCs w:val="24"/>
              </w:rPr>
            </w:pPr>
            <w:r w:rsidRPr="006822CA">
              <w:rPr>
                <w:rFonts w:cs="Arial"/>
                <w:szCs w:val="24"/>
              </w:rPr>
              <w:t>(6,825)</w:t>
            </w:r>
          </w:p>
        </w:tc>
        <w:tc>
          <w:tcPr>
            <w:tcW w:w="448" w:type="pct"/>
            <w:tcBorders>
              <w:top w:val="single" w:sz="4" w:space="0" w:color="auto"/>
              <w:left w:val="single" w:sz="4" w:space="0" w:color="auto"/>
              <w:bottom w:val="single" w:sz="4" w:space="0" w:color="auto"/>
              <w:right w:val="single" w:sz="4" w:space="0" w:color="auto"/>
            </w:tcBorders>
            <w:vAlign w:val="center"/>
          </w:tcPr>
          <w:p w14:paraId="5C25E90D" w14:textId="77777777" w:rsidR="005F7D2D" w:rsidRPr="006822CA" w:rsidRDefault="005F7D2D" w:rsidP="00F7299E">
            <w:pPr>
              <w:jc w:val="right"/>
              <w:rPr>
                <w:rFonts w:cs="Arial"/>
                <w:szCs w:val="24"/>
              </w:rPr>
            </w:pPr>
            <w:r w:rsidRPr="006822CA">
              <w:rPr>
                <w:rFonts w:cs="Arial"/>
                <w:szCs w:val="24"/>
              </w:rPr>
              <w:t>6,825</w:t>
            </w:r>
          </w:p>
        </w:tc>
        <w:tc>
          <w:tcPr>
            <w:tcW w:w="448" w:type="pct"/>
            <w:tcBorders>
              <w:top w:val="single" w:sz="4" w:space="0" w:color="auto"/>
              <w:left w:val="single" w:sz="4" w:space="0" w:color="auto"/>
              <w:bottom w:val="single" w:sz="4" w:space="0" w:color="auto"/>
              <w:right w:val="single" w:sz="4" w:space="0" w:color="auto"/>
            </w:tcBorders>
            <w:vAlign w:val="center"/>
          </w:tcPr>
          <w:p w14:paraId="356A7469" w14:textId="77777777" w:rsidR="005F7D2D" w:rsidRPr="006822CA" w:rsidRDefault="005F7D2D" w:rsidP="00F7299E">
            <w:pPr>
              <w:jc w:val="right"/>
              <w:rPr>
                <w:rFonts w:cs="Arial"/>
                <w:szCs w:val="24"/>
              </w:rPr>
            </w:pPr>
            <w:r w:rsidRPr="006822CA">
              <w:rPr>
                <w:rFonts w:cs="Arial"/>
                <w:szCs w:val="24"/>
              </w:rPr>
              <w:t>-</w:t>
            </w:r>
          </w:p>
        </w:tc>
      </w:tr>
      <w:tr w:rsidR="008869D1" w:rsidRPr="00D948C1" w14:paraId="61454401" w14:textId="77777777" w:rsidTr="00743E44">
        <w:tc>
          <w:tcPr>
            <w:tcW w:w="1455" w:type="pct"/>
            <w:tcBorders>
              <w:top w:val="single" w:sz="4" w:space="0" w:color="auto"/>
              <w:left w:val="single" w:sz="4" w:space="0" w:color="auto"/>
              <w:bottom w:val="single" w:sz="4" w:space="0" w:color="auto"/>
              <w:right w:val="single" w:sz="4" w:space="0" w:color="auto"/>
            </w:tcBorders>
            <w:vAlign w:val="center"/>
          </w:tcPr>
          <w:p w14:paraId="46DA8AFF" w14:textId="77777777" w:rsidR="005F7D2D" w:rsidRPr="006822CA" w:rsidRDefault="005F7D2D" w:rsidP="00F7299E">
            <w:pPr>
              <w:rPr>
                <w:rFonts w:cs="Arial"/>
                <w:szCs w:val="24"/>
              </w:rPr>
            </w:pPr>
            <w:r w:rsidRPr="006822CA">
              <w:rPr>
                <w:rFonts w:cs="Arial"/>
                <w:szCs w:val="24"/>
              </w:rPr>
              <w:t>Amount by which the Code and the statutory pension costs differ</w:t>
            </w:r>
          </w:p>
        </w:tc>
        <w:tc>
          <w:tcPr>
            <w:tcW w:w="428" w:type="pct"/>
            <w:tcBorders>
              <w:top w:val="single" w:sz="4" w:space="0" w:color="auto"/>
              <w:left w:val="single" w:sz="4" w:space="0" w:color="auto"/>
              <w:bottom w:val="single" w:sz="4" w:space="0" w:color="auto"/>
              <w:right w:val="single" w:sz="4" w:space="0" w:color="auto"/>
            </w:tcBorders>
            <w:vAlign w:val="center"/>
          </w:tcPr>
          <w:p w14:paraId="49132464" w14:textId="77777777" w:rsidR="005F7D2D" w:rsidRPr="006822CA" w:rsidRDefault="005F7D2D" w:rsidP="00F7299E">
            <w:pPr>
              <w:jc w:val="right"/>
              <w:rPr>
                <w:rFonts w:cs="Arial"/>
                <w:szCs w:val="24"/>
              </w:rPr>
            </w:pPr>
            <w:r w:rsidRPr="006822CA">
              <w:rPr>
                <w:rFonts w:cs="Arial"/>
                <w:szCs w:val="24"/>
              </w:rPr>
              <w:t>4,554</w:t>
            </w:r>
          </w:p>
        </w:tc>
        <w:tc>
          <w:tcPr>
            <w:tcW w:w="490" w:type="pct"/>
            <w:tcBorders>
              <w:top w:val="single" w:sz="4" w:space="0" w:color="auto"/>
              <w:left w:val="single" w:sz="4" w:space="0" w:color="auto"/>
              <w:bottom w:val="single" w:sz="4" w:space="0" w:color="auto"/>
              <w:right w:val="single" w:sz="4" w:space="0" w:color="auto"/>
            </w:tcBorders>
            <w:vAlign w:val="center"/>
          </w:tcPr>
          <w:p w14:paraId="7E67DC4D"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717B7D37" w14:textId="77777777" w:rsidR="005F7D2D" w:rsidRPr="006822CA" w:rsidRDefault="005F7D2D" w:rsidP="00F7299E">
            <w:pPr>
              <w:jc w:val="right"/>
              <w:rPr>
                <w:rFonts w:cs="Arial"/>
                <w:szCs w:val="24"/>
              </w:rPr>
            </w:pPr>
            <w:r w:rsidRPr="006822CA">
              <w:rPr>
                <w:rFonts w:cs="Arial"/>
                <w:szCs w:val="24"/>
              </w:rPr>
              <w:t>4,554</w:t>
            </w:r>
          </w:p>
        </w:tc>
        <w:tc>
          <w:tcPr>
            <w:tcW w:w="449" w:type="pct"/>
            <w:tcBorders>
              <w:top w:val="single" w:sz="4" w:space="0" w:color="auto"/>
              <w:left w:val="single" w:sz="4" w:space="0" w:color="auto"/>
              <w:bottom w:val="single" w:sz="4" w:space="0" w:color="auto"/>
              <w:right w:val="single" w:sz="4" w:space="0" w:color="auto"/>
            </w:tcBorders>
            <w:vAlign w:val="center"/>
          </w:tcPr>
          <w:p w14:paraId="207450E0"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294F6F4D" w14:textId="77777777" w:rsidR="005F7D2D" w:rsidRPr="006822CA" w:rsidRDefault="005F7D2D" w:rsidP="00F7299E">
            <w:pPr>
              <w:jc w:val="right"/>
              <w:rPr>
                <w:rFonts w:cs="Arial"/>
                <w:szCs w:val="24"/>
              </w:rPr>
            </w:pPr>
            <w:r w:rsidRPr="006822CA">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676DB337" w14:textId="77777777" w:rsidR="005F7D2D" w:rsidRPr="006822CA" w:rsidRDefault="005F7D2D" w:rsidP="00F7299E">
            <w:pPr>
              <w:jc w:val="right"/>
              <w:rPr>
                <w:rFonts w:cs="Arial"/>
                <w:szCs w:val="24"/>
              </w:rPr>
            </w:pPr>
            <w:r w:rsidRPr="006822CA">
              <w:rPr>
                <w:rFonts w:cs="Arial"/>
                <w:szCs w:val="24"/>
              </w:rPr>
              <w:t>4,554</w:t>
            </w:r>
          </w:p>
        </w:tc>
        <w:tc>
          <w:tcPr>
            <w:tcW w:w="448" w:type="pct"/>
            <w:tcBorders>
              <w:top w:val="single" w:sz="4" w:space="0" w:color="auto"/>
              <w:left w:val="single" w:sz="4" w:space="0" w:color="auto"/>
              <w:bottom w:val="single" w:sz="4" w:space="0" w:color="auto"/>
              <w:right w:val="single" w:sz="4" w:space="0" w:color="auto"/>
            </w:tcBorders>
            <w:vAlign w:val="center"/>
          </w:tcPr>
          <w:p w14:paraId="76812170" w14:textId="77777777" w:rsidR="005F7D2D" w:rsidRPr="006822CA" w:rsidRDefault="005F7D2D" w:rsidP="00F7299E">
            <w:pPr>
              <w:jc w:val="right"/>
              <w:rPr>
                <w:rFonts w:cs="Arial"/>
                <w:szCs w:val="24"/>
              </w:rPr>
            </w:pPr>
            <w:r w:rsidRPr="006822CA">
              <w:rPr>
                <w:rFonts w:cs="Arial"/>
                <w:szCs w:val="24"/>
              </w:rPr>
              <w:t>(4,554)</w:t>
            </w:r>
          </w:p>
        </w:tc>
        <w:tc>
          <w:tcPr>
            <w:tcW w:w="448" w:type="pct"/>
            <w:tcBorders>
              <w:top w:val="single" w:sz="4" w:space="0" w:color="auto"/>
              <w:left w:val="single" w:sz="4" w:space="0" w:color="auto"/>
              <w:bottom w:val="single" w:sz="4" w:space="0" w:color="auto"/>
              <w:right w:val="single" w:sz="4" w:space="0" w:color="auto"/>
            </w:tcBorders>
            <w:vAlign w:val="center"/>
          </w:tcPr>
          <w:p w14:paraId="52ECCB6F" w14:textId="77777777" w:rsidR="005F7D2D" w:rsidRPr="006822CA" w:rsidRDefault="005F7D2D" w:rsidP="00F7299E">
            <w:pPr>
              <w:jc w:val="right"/>
              <w:rPr>
                <w:rFonts w:cs="Arial"/>
                <w:szCs w:val="24"/>
              </w:rPr>
            </w:pPr>
            <w:r w:rsidRPr="006822CA">
              <w:rPr>
                <w:rFonts w:cs="Arial"/>
                <w:szCs w:val="24"/>
              </w:rPr>
              <w:t>-</w:t>
            </w:r>
          </w:p>
        </w:tc>
      </w:tr>
    </w:tbl>
    <w:p w14:paraId="7A8F6265" w14:textId="77777777" w:rsidR="00C9086E" w:rsidRDefault="00C9086E">
      <w:r>
        <w:br w:type="page"/>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1"/>
        <w:gridCol w:w="1218"/>
        <w:gridCol w:w="1396"/>
        <w:gridCol w:w="1276"/>
        <w:gridCol w:w="1281"/>
        <w:gridCol w:w="1218"/>
        <w:gridCol w:w="1218"/>
        <w:gridCol w:w="1276"/>
        <w:gridCol w:w="1276"/>
      </w:tblGrid>
      <w:tr w:rsidR="003A40B1" w:rsidRPr="00D948C1" w14:paraId="18F549B5" w14:textId="77777777" w:rsidTr="003A40B1">
        <w:trPr>
          <w:trHeight w:val="243"/>
        </w:trPr>
        <w:tc>
          <w:tcPr>
            <w:tcW w:w="1448" w:type="pct"/>
            <w:shd w:val="clear" w:color="auto" w:fill="BD2716"/>
          </w:tcPr>
          <w:p w14:paraId="07570DB5" w14:textId="766E2507" w:rsidR="005F7D2D" w:rsidRPr="00D948C1" w:rsidRDefault="005F7D2D" w:rsidP="00FA18E2">
            <w:pPr>
              <w:rPr>
                <w:rFonts w:cs="Arial"/>
                <w:b/>
                <w:bCs/>
                <w:color w:val="FFFFFF" w:themeColor="background1"/>
                <w:szCs w:val="24"/>
              </w:rPr>
            </w:pPr>
          </w:p>
        </w:tc>
        <w:tc>
          <w:tcPr>
            <w:tcW w:w="426" w:type="pct"/>
            <w:shd w:val="clear" w:color="auto" w:fill="BD2716"/>
            <w:vAlign w:val="center"/>
          </w:tcPr>
          <w:p w14:paraId="15AD7F5D"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General fund</w:t>
            </w:r>
          </w:p>
          <w:p w14:paraId="31B59034" w14:textId="3BFBE116"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88" w:type="pct"/>
            <w:shd w:val="clear" w:color="auto" w:fill="BD2716"/>
            <w:vAlign w:val="center"/>
          </w:tcPr>
          <w:p w14:paraId="48F6DBB6"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Earmarked reserves</w:t>
            </w:r>
          </w:p>
          <w:p w14:paraId="1D69DE41" w14:textId="4157C356"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6" w:type="pct"/>
            <w:shd w:val="clear" w:color="auto" w:fill="BD2716"/>
            <w:vAlign w:val="center"/>
          </w:tcPr>
          <w:p w14:paraId="5EED9B7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General Fund Balance</w:t>
            </w:r>
          </w:p>
          <w:p w14:paraId="01802268" w14:textId="5C734E7F"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4C31F05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grant unapplied reserve</w:t>
            </w:r>
          </w:p>
          <w:p w14:paraId="4D241E6C" w14:textId="32DF582F"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26" w:type="pct"/>
            <w:shd w:val="clear" w:color="auto" w:fill="BD2716"/>
            <w:vAlign w:val="center"/>
          </w:tcPr>
          <w:p w14:paraId="3D46DD97"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receipts reserve</w:t>
            </w:r>
          </w:p>
          <w:p w14:paraId="7DB0012A" w14:textId="62AFAD84"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26" w:type="pct"/>
            <w:shd w:val="clear" w:color="auto" w:fill="BD2716"/>
            <w:vAlign w:val="center"/>
          </w:tcPr>
          <w:p w14:paraId="08A07B9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usable reserves</w:t>
            </w:r>
          </w:p>
          <w:p w14:paraId="6429AE61" w14:textId="0FB32E00"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6" w:type="pct"/>
            <w:shd w:val="clear" w:color="auto" w:fill="BD2716"/>
            <w:vAlign w:val="center"/>
          </w:tcPr>
          <w:p w14:paraId="67F8620E"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Unusable reserves</w:t>
            </w:r>
          </w:p>
          <w:p w14:paraId="2E139E79" w14:textId="372B5337"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6" w:type="pct"/>
            <w:shd w:val="clear" w:color="auto" w:fill="BD2716"/>
            <w:vAlign w:val="center"/>
          </w:tcPr>
          <w:p w14:paraId="4C897C7D"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Authority reserves</w:t>
            </w:r>
          </w:p>
          <w:p w14:paraId="41B35CA0" w14:textId="517996E9"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r>
      <w:tr w:rsidR="003A40B1" w:rsidRPr="00D948C1" w14:paraId="2E91ED86" w14:textId="77777777" w:rsidTr="003A40B1">
        <w:trPr>
          <w:trHeight w:val="243"/>
        </w:trPr>
        <w:tc>
          <w:tcPr>
            <w:tcW w:w="1448" w:type="pct"/>
            <w:vAlign w:val="center"/>
          </w:tcPr>
          <w:p w14:paraId="44D08273" w14:textId="1445EF27" w:rsidR="005F7D2D" w:rsidRPr="00D948C1" w:rsidRDefault="005F7D2D" w:rsidP="006636C3">
            <w:pPr>
              <w:rPr>
                <w:rFonts w:cs="Arial"/>
                <w:b/>
                <w:bCs/>
                <w:szCs w:val="24"/>
              </w:rPr>
            </w:pPr>
            <w:r w:rsidRPr="00D948C1">
              <w:rPr>
                <w:rFonts w:cs="Arial"/>
                <w:szCs w:val="24"/>
              </w:rPr>
              <w:t>Amount by which the Code and the statutory collection fund income differ</w:t>
            </w:r>
          </w:p>
        </w:tc>
        <w:tc>
          <w:tcPr>
            <w:tcW w:w="426" w:type="pct"/>
            <w:vAlign w:val="center"/>
          </w:tcPr>
          <w:p w14:paraId="0E2951B8" w14:textId="10BFBC05" w:rsidR="005F7D2D" w:rsidRPr="006822CA" w:rsidRDefault="005F7D2D" w:rsidP="006636C3">
            <w:pPr>
              <w:jc w:val="right"/>
              <w:rPr>
                <w:rFonts w:cs="Arial"/>
                <w:b/>
                <w:bCs/>
                <w:szCs w:val="24"/>
              </w:rPr>
            </w:pPr>
            <w:r w:rsidRPr="006822CA">
              <w:rPr>
                <w:rFonts w:cs="Arial"/>
                <w:szCs w:val="24"/>
              </w:rPr>
              <w:t>87</w:t>
            </w:r>
          </w:p>
        </w:tc>
        <w:tc>
          <w:tcPr>
            <w:tcW w:w="488" w:type="pct"/>
            <w:vAlign w:val="center"/>
          </w:tcPr>
          <w:p w14:paraId="6230AE73" w14:textId="66AB4EAF" w:rsidR="005F7D2D" w:rsidRPr="006822CA" w:rsidRDefault="005F7D2D" w:rsidP="006636C3">
            <w:pPr>
              <w:jc w:val="right"/>
              <w:rPr>
                <w:rFonts w:cs="Arial"/>
                <w:b/>
                <w:bCs/>
                <w:szCs w:val="24"/>
              </w:rPr>
            </w:pPr>
            <w:r w:rsidRPr="006822CA">
              <w:rPr>
                <w:rFonts w:cs="Arial"/>
                <w:szCs w:val="24"/>
              </w:rPr>
              <w:t>-</w:t>
            </w:r>
          </w:p>
        </w:tc>
        <w:tc>
          <w:tcPr>
            <w:tcW w:w="446" w:type="pct"/>
            <w:vAlign w:val="center"/>
          </w:tcPr>
          <w:p w14:paraId="00A14ADF" w14:textId="0DF46523" w:rsidR="005F7D2D" w:rsidRPr="006822CA" w:rsidRDefault="005F7D2D" w:rsidP="006636C3">
            <w:pPr>
              <w:jc w:val="right"/>
              <w:rPr>
                <w:rFonts w:cs="Arial"/>
                <w:b/>
                <w:bCs/>
                <w:szCs w:val="24"/>
              </w:rPr>
            </w:pPr>
            <w:r w:rsidRPr="006822CA">
              <w:rPr>
                <w:rFonts w:cs="Arial"/>
                <w:szCs w:val="24"/>
              </w:rPr>
              <w:t>87</w:t>
            </w:r>
          </w:p>
        </w:tc>
        <w:tc>
          <w:tcPr>
            <w:tcW w:w="448" w:type="pct"/>
            <w:vAlign w:val="center"/>
          </w:tcPr>
          <w:p w14:paraId="1B6E6F07" w14:textId="60DEC681" w:rsidR="005F7D2D" w:rsidRPr="006822CA" w:rsidRDefault="005F7D2D" w:rsidP="006636C3">
            <w:pPr>
              <w:jc w:val="right"/>
              <w:rPr>
                <w:rFonts w:cs="Arial"/>
                <w:b/>
                <w:bCs/>
                <w:szCs w:val="24"/>
              </w:rPr>
            </w:pPr>
            <w:r w:rsidRPr="006822CA">
              <w:rPr>
                <w:rFonts w:cs="Arial"/>
                <w:szCs w:val="24"/>
              </w:rPr>
              <w:t>-</w:t>
            </w:r>
          </w:p>
        </w:tc>
        <w:tc>
          <w:tcPr>
            <w:tcW w:w="426" w:type="pct"/>
            <w:vAlign w:val="center"/>
          </w:tcPr>
          <w:p w14:paraId="76A60F1F" w14:textId="017E4C21" w:rsidR="005F7D2D" w:rsidRPr="006822CA" w:rsidRDefault="005F7D2D" w:rsidP="006636C3">
            <w:pPr>
              <w:jc w:val="right"/>
              <w:rPr>
                <w:rFonts w:cs="Arial"/>
                <w:b/>
                <w:bCs/>
                <w:szCs w:val="24"/>
              </w:rPr>
            </w:pPr>
            <w:r w:rsidRPr="006822CA">
              <w:rPr>
                <w:rFonts w:cs="Arial"/>
                <w:szCs w:val="24"/>
              </w:rPr>
              <w:t>-</w:t>
            </w:r>
          </w:p>
        </w:tc>
        <w:tc>
          <w:tcPr>
            <w:tcW w:w="426" w:type="pct"/>
            <w:vAlign w:val="center"/>
          </w:tcPr>
          <w:p w14:paraId="5B9EFF36" w14:textId="2F286E70" w:rsidR="005F7D2D" w:rsidRPr="006822CA" w:rsidRDefault="005F7D2D" w:rsidP="006636C3">
            <w:pPr>
              <w:jc w:val="right"/>
              <w:rPr>
                <w:rFonts w:cs="Arial"/>
                <w:b/>
                <w:bCs/>
                <w:szCs w:val="24"/>
              </w:rPr>
            </w:pPr>
            <w:r w:rsidRPr="006822CA">
              <w:rPr>
                <w:rFonts w:cs="Arial"/>
                <w:szCs w:val="24"/>
              </w:rPr>
              <w:t>87</w:t>
            </w:r>
          </w:p>
        </w:tc>
        <w:tc>
          <w:tcPr>
            <w:tcW w:w="446" w:type="pct"/>
            <w:vAlign w:val="center"/>
          </w:tcPr>
          <w:p w14:paraId="7DB1AAA2" w14:textId="49C348CC" w:rsidR="005F7D2D" w:rsidRPr="006822CA" w:rsidRDefault="005F7D2D" w:rsidP="006636C3">
            <w:pPr>
              <w:jc w:val="right"/>
              <w:rPr>
                <w:rFonts w:cs="Arial"/>
                <w:b/>
                <w:bCs/>
                <w:szCs w:val="24"/>
              </w:rPr>
            </w:pPr>
            <w:r w:rsidRPr="006822CA">
              <w:rPr>
                <w:rFonts w:cs="Arial"/>
                <w:szCs w:val="24"/>
              </w:rPr>
              <w:t>(87)</w:t>
            </w:r>
          </w:p>
        </w:tc>
        <w:tc>
          <w:tcPr>
            <w:tcW w:w="446" w:type="pct"/>
            <w:vAlign w:val="center"/>
          </w:tcPr>
          <w:p w14:paraId="23EBF7E6" w14:textId="3A1845AA" w:rsidR="005F7D2D" w:rsidRPr="006822CA" w:rsidRDefault="005F7D2D" w:rsidP="006636C3">
            <w:pPr>
              <w:jc w:val="right"/>
              <w:rPr>
                <w:rFonts w:cs="Arial"/>
                <w:b/>
                <w:bCs/>
                <w:szCs w:val="24"/>
              </w:rPr>
            </w:pPr>
            <w:r w:rsidRPr="006822CA">
              <w:rPr>
                <w:rFonts w:cs="Arial"/>
                <w:szCs w:val="24"/>
              </w:rPr>
              <w:t>-</w:t>
            </w:r>
          </w:p>
        </w:tc>
      </w:tr>
      <w:tr w:rsidR="003A40B1" w:rsidRPr="00D948C1" w14:paraId="2B401723" w14:textId="77777777" w:rsidTr="003A40B1">
        <w:tc>
          <w:tcPr>
            <w:tcW w:w="1448" w:type="pct"/>
            <w:vAlign w:val="center"/>
          </w:tcPr>
          <w:p w14:paraId="59BDF1A5" w14:textId="47D19E58" w:rsidR="00234FEF" w:rsidRPr="00D948C1" w:rsidRDefault="00234FEF" w:rsidP="00234FEF">
            <w:pPr>
              <w:rPr>
                <w:rFonts w:cs="Arial"/>
                <w:b/>
                <w:bCs/>
                <w:szCs w:val="24"/>
              </w:rPr>
            </w:pPr>
            <w:r>
              <w:rPr>
                <w:rFonts w:cs="Arial"/>
                <w:szCs w:val="24"/>
              </w:rPr>
              <w:t>Accumulated absences</w:t>
            </w:r>
          </w:p>
        </w:tc>
        <w:tc>
          <w:tcPr>
            <w:tcW w:w="426" w:type="pct"/>
            <w:vAlign w:val="center"/>
          </w:tcPr>
          <w:p w14:paraId="66EC3ED3" w14:textId="403EDCDF" w:rsidR="00234FEF" w:rsidRPr="006822CA" w:rsidRDefault="00234FEF" w:rsidP="00234FEF">
            <w:pPr>
              <w:jc w:val="right"/>
              <w:rPr>
                <w:rFonts w:cs="Arial"/>
                <w:b/>
                <w:bCs/>
                <w:szCs w:val="24"/>
              </w:rPr>
            </w:pPr>
            <w:r w:rsidRPr="006822CA">
              <w:rPr>
                <w:rFonts w:cs="Arial"/>
                <w:szCs w:val="24"/>
              </w:rPr>
              <w:t>(3)</w:t>
            </w:r>
          </w:p>
        </w:tc>
        <w:tc>
          <w:tcPr>
            <w:tcW w:w="488" w:type="pct"/>
            <w:vAlign w:val="center"/>
          </w:tcPr>
          <w:p w14:paraId="10331679" w14:textId="46AC2623" w:rsidR="00234FEF" w:rsidRPr="006822CA" w:rsidRDefault="00234FEF" w:rsidP="00234FEF">
            <w:pPr>
              <w:jc w:val="right"/>
              <w:rPr>
                <w:rFonts w:cs="Arial"/>
                <w:b/>
                <w:bCs/>
                <w:szCs w:val="24"/>
              </w:rPr>
            </w:pPr>
            <w:r w:rsidRPr="006822CA">
              <w:rPr>
                <w:rFonts w:cs="Arial"/>
                <w:szCs w:val="24"/>
              </w:rPr>
              <w:t>-</w:t>
            </w:r>
          </w:p>
        </w:tc>
        <w:tc>
          <w:tcPr>
            <w:tcW w:w="446" w:type="pct"/>
            <w:vAlign w:val="center"/>
          </w:tcPr>
          <w:p w14:paraId="12F1D010" w14:textId="553FDF5C" w:rsidR="00234FEF" w:rsidRPr="006822CA" w:rsidRDefault="00234FEF" w:rsidP="00234FEF">
            <w:pPr>
              <w:jc w:val="right"/>
              <w:rPr>
                <w:rFonts w:cs="Arial"/>
                <w:b/>
                <w:bCs/>
                <w:szCs w:val="24"/>
              </w:rPr>
            </w:pPr>
            <w:r w:rsidRPr="006822CA">
              <w:rPr>
                <w:rFonts w:cs="Arial"/>
                <w:szCs w:val="24"/>
              </w:rPr>
              <w:t>(3)</w:t>
            </w:r>
          </w:p>
        </w:tc>
        <w:tc>
          <w:tcPr>
            <w:tcW w:w="448" w:type="pct"/>
            <w:vAlign w:val="center"/>
          </w:tcPr>
          <w:p w14:paraId="61C7C0D0" w14:textId="0E68B3AD" w:rsidR="00234FEF" w:rsidRPr="006822CA" w:rsidRDefault="00234FEF" w:rsidP="00234FEF">
            <w:pPr>
              <w:jc w:val="right"/>
              <w:rPr>
                <w:rFonts w:cs="Arial"/>
                <w:b/>
                <w:bCs/>
                <w:szCs w:val="24"/>
              </w:rPr>
            </w:pPr>
            <w:r w:rsidRPr="006822CA">
              <w:rPr>
                <w:rFonts w:cs="Arial"/>
                <w:szCs w:val="24"/>
              </w:rPr>
              <w:t>-</w:t>
            </w:r>
          </w:p>
        </w:tc>
        <w:tc>
          <w:tcPr>
            <w:tcW w:w="426" w:type="pct"/>
            <w:vAlign w:val="center"/>
          </w:tcPr>
          <w:p w14:paraId="473CE4F2" w14:textId="61C1B2DC" w:rsidR="00234FEF" w:rsidRPr="006822CA" w:rsidRDefault="00234FEF" w:rsidP="00234FEF">
            <w:pPr>
              <w:jc w:val="right"/>
              <w:rPr>
                <w:rFonts w:cs="Arial"/>
                <w:b/>
                <w:bCs/>
                <w:szCs w:val="24"/>
              </w:rPr>
            </w:pPr>
            <w:r w:rsidRPr="006822CA">
              <w:rPr>
                <w:rFonts w:cs="Arial"/>
                <w:szCs w:val="24"/>
              </w:rPr>
              <w:t>-</w:t>
            </w:r>
          </w:p>
        </w:tc>
        <w:tc>
          <w:tcPr>
            <w:tcW w:w="426" w:type="pct"/>
            <w:vAlign w:val="center"/>
          </w:tcPr>
          <w:p w14:paraId="0627FBA6" w14:textId="5EF798E8" w:rsidR="00234FEF" w:rsidRPr="006822CA" w:rsidRDefault="00234FEF" w:rsidP="00234FEF">
            <w:pPr>
              <w:jc w:val="right"/>
              <w:rPr>
                <w:rFonts w:cs="Arial"/>
                <w:b/>
                <w:bCs/>
                <w:szCs w:val="24"/>
              </w:rPr>
            </w:pPr>
            <w:r w:rsidRPr="006822CA">
              <w:rPr>
                <w:rFonts w:cs="Arial"/>
                <w:szCs w:val="24"/>
              </w:rPr>
              <w:t>(3)</w:t>
            </w:r>
          </w:p>
        </w:tc>
        <w:tc>
          <w:tcPr>
            <w:tcW w:w="446" w:type="pct"/>
            <w:vAlign w:val="center"/>
          </w:tcPr>
          <w:p w14:paraId="46EDB9B7" w14:textId="5BB1E734" w:rsidR="00234FEF" w:rsidRPr="006822CA" w:rsidRDefault="00234FEF" w:rsidP="00234FEF">
            <w:pPr>
              <w:jc w:val="right"/>
              <w:rPr>
                <w:rFonts w:cs="Arial"/>
                <w:b/>
                <w:bCs/>
                <w:szCs w:val="24"/>
              </w:rPr>
            </w:pPr>
            <w:r w:rsidRPr="006822CA">
              <w:rPr>
                <w:rFonts w:cs="Arial"/>
                <w:szCs w:val="24"/>
              </w:rPr>
              <w:t>3</w:t>
            </w:r>
          </w:p>
        </w:tc>
        <w:tc>
          <w:tcPr>
            <w:tcW w:w="446" w:type="pct"/>
            <w:vAlign w:val="center"/>
          </w:tcPr>
          <w:p w14:paraId="28FA73FA" w14:textId="52FF9772" w:rsidR="00234FEF" w:rsidRPr="006822CA" w:rsidRDefault="00234FEF" w:rsidP="00234FEF">
            <w:pPr>
              <w:jc w:val="right"/>
              <w:rPr>
                <w:rFonts w:cs="Arial"/>
                <w:b/>
                <w:bCs/>
                <w:szCs w:val="24"/>
              </w:rPr>
            </w:pPr>
            <w:r w:rsidRPr="006822CA">
              <w:rPr>
                <w:rFonts w:cs="Arial"/>
                <w:szCs w:val="24"/>
              </w:rPr>
              <w:t>-</w:t>
            </w:r>
          </w:p>
        </w:tc>
      </w:tr>
      <w:tr w:rsidR="003A40B1" w:rsidRPr="00D948C1" w14:paraId="4B0A7D01" w14:textId="77777777" w:rsidTr="003A40B1">
        <w:tc>
          <w:tcPr>
            <w:tcW w:w="1448" w:type="pct"/>
            <w:vAlign w:val="center"/>
          </w:tcPr>
          <w:p w14:paraId="3967B4B8" w14:textId="2CC86317" w:rsidR="00234FEF" w:rsidRPr="00D948C1" w:rsidRDefault="00234FEF" w:rsidP="00234FEF">
            <w:pPr>
              <w:rPr>
                <w:rFonts w:cs="Arial"/>
                <w:szCs w:val="24"/>
              </w:rPr>
            </w:pPr>
            <w:r w:rsidRPr="00D948C1">
              <w:rPr>
                <w:rFonts w:cs="Arial"/>
                <w:b/>
                <w:bCs/>
                <w:szCs w:val="24"/>
              </w:rPr>
              <w:t>Adjustments total</w:t>
            </w:r>
          </w:p>
        </w:tc>
        <w:tc>
          <w:tcPr>
            <w:tcW w:w="426" w:type="pct"/>
            <w:vAlign w:val="center"/>
          </w:tcPr>
          <w:p w14:paraId="5A8CD4F4" w14:textId="7B9A017B" w:rsidR="00234FEF" w:rsidRPr="006822CA" w:rsidRDefault="009A15D6" w:rsidP="00234FEF">
            <w:pPr>
              <w:jc w:val="right"/>
              <w:rPr>
                <w:rFonts w:cs="Arial"/>
                <w:szCs w:val="24"/>
              </w:rPr>
            </w:pPr>
            <w:r>
              <w:rPr>
                <w:rFonts w:cs="Arial"/>
                <w:b/>
                <w:bCs/>
                <w:szCs w:val="24"/>
              </w:rPr>
              <w:t>5</w:t>
            </w:r>
            <w:r w:rsidR="00234FEF" w:rsidRPr="006822CA">
              <w:rPr>
                <w:rFonts w:cs="Arial"/>
                <w:b/>
                <w:bCs/>
                <w:szCs w:val="24"/>
              </w:rPr>
              <w:t>,0</w:t>
            </w:r>
            <w:r>
              <w:rPr>
                <w:rFonts w:cs="Arial"/>
                <w:b/>
                <w:bCs/>
                <w:szCs w:val="24"/>
              </w:rPr>
              <w:t>45</w:t>
            </w:r>
          </w:p>
        </w:tc>
        <w:tc>
          <w:tcPr>
            <w:tcW w:w="488" w:type="pct"/>
            <w:vAlign w:val="center"/>
          </w:tcPr>
          <w:p w14:paraId="67D273DF" w14:textId="2DAC2388" w:rsidR="00234FEF" w:rsidRPr="006822CA" w:rsidRDefault="009A15D6" w:rsidP="00234FEF">
            <w:pPr>
              <w:jc w:val="right"/>
              <w:rPr>
                <w:rFonts w:cs="Arial"/>
                <w:szCs w:val="24"/>
              </w:rPr>
            </w:pPr>
            <w:r>
              <w:rPr>
                <w:rFonts w:cs="Arial"/>
                <w:b/>
                <w:bCs/>
                <w:szCs w:val="24"/>
              </w:rPr>
              <w:t>-</w:t>
            </w:r>
          </w:p>
        </w:tc>
        <w:tc>
          <w:tcPr>
            <w:tcW w:w="446" w:type="pct"/>
            <w:vAlign w:val="center"/>
          </w:tcPr>
          <w:p w14:paraId="0FB42D0C" w14:textId="10DCFE7E" w:rsidR="00234FEF" w:rsidRPr="006822CA" w:rsidRDefault="00234FEF" w:rsidP="00234FEF">
            <w:pPr>
              <w:jc w:val="right"/>
              <w:rPr>
                <w:rFonts w:cs="Arial"/>
                <w:szCs w:val="24"/>
              </w:rPr>
            </w:pPr>
            <w:r w:rsidRPr="006822CA">
              <w:rPr>
                <w:rFonts w:cs="Arial"/>
                <w:b/>
                <w:bCs/>
                <w:szCs w:val="24"/>
              </w:rPr>
              <w:t>5,0</w:t>
            </w:r>
            <w:r w:rsidR="009A15D6">
              <w:rPr>
                <w:rFonts w:cs="Arial"/>
                <w:b/>
                <w:bCs/>
                <w:szCs w:val="24"/>
              </w:rPr>
              <w:t>45</w:t>
            </w:r>
          </w:p>
        </w:tc>
        <w:tc>
          <w:tcPr>
            <w:tcW w:w="448" w:type="pct"/>
            <w:vAlign w:val="center"/>
          </w:tcPr>
          <w:p w14:paraId="04710A9B" w14:textId="1E5415F7" w:rsidR="00234FEF" w:rsidRPr="006822CA" w:rsidRDefault="00234FEF" w:rsidP="00234FEF">
            <w:pPr>
              <w:jc w:val="right"/>
              <w:rPr>
                <w:rFonts w:cs="Arial"/>
                <w:szCs w:val="24"/>
              </w:rPr>
            </w:pPr>
            <w:r w:rsidRPr="006822CA">
              <w:rPr>
                <w:rFonts w:cs="Arial"/>
                <w:b/>
                <w:bCs/>
                <w:szCs w:val="24"/>
              </w:rPr>
              <w:t>(27)</w:t>
            </w:r>
          </w:p>
        </w:tc>
        <w:tc>
          <w:tcPr>
            <w:tcW w:w="426" w:type="pct"/>
            <w:vAlign w:val="center"/>
          </w:tcPr>
          <w:p w14:paraId="7FB090AE" w14:textId="6E12A10F" w:rsidR="00234FEF" w:rsidRPr="006822CA" w:rsidRDefault="00234FEF" w:rsidP="00234FEF">
            <w:pPr>
              <w:jc w:val="right"/>
              <w:rPr>
                <w:rFonts w:cs="Arial"/>
                <w:szCs w:val="24"/>
              </w:rPr>
            </w:pPr>
            <w:r w:rsidRPr="006822CA">
              <w:rPr>
                <w:rFonts w:cs="Arial"/>
                <w:b/>
                <w:bCs/>
                <w:szCs w:val="24"/>
              </w:rPr>
              <w:t>(1,621)</w:t>
            </w:r>
          </w:p>
        </w:tc>
        <w:tc>
          <w:tcPr>
            <w:tcW w:w="426" w:type="pct"/>
            <w:vAlign w:val="center"/>
          </w:tcPr>
          <w:p w14:paraId="33AB6224" w14:textId="3AE4BF88" w:rsidR="00234FEF" w:rsidRPr="006822CA" w:rsidRDefault="00234FEF" w:rsidP="00234FEF">
            <w:pPr>
              <w:jc w:val="right"/>
              <w:rPr>
                <w:rFonts w:cs="Arial"/>
                <w:szCs w:val="24"/>
              </w:rPr>
            </w:pPr>
            <w:r w:rsidRPr="006822CA">
              <w:rPr>
                <w:rFonts w:cs="Arial"/>
                <w:b/>
                <w:bCs/>
                <w:szCs w:val="24"/>
              </w:rPr>
              <w:t>3,</w:t>
            </w:r>
            <w:r w:rsidR="00CD4851">
              <w:rPr>
                <w:rFonts w:cs="Arial"/>
                <w:b/>
                <w:bCs/>
                <w:szCs w:val="24"/>
              </w:rPr>
              <w:t>397</w:t>
            </w:r>
          </w:p>
        </w:tc>
        <w:tc>
          <w:tcPr>
            <w:tcW w:w="446" w:type="pct"/>
            <w:vAlign w:val="center"/>
          </w:tcPr>
          <w:p w14:paraId="50E0CD87" w14:textId="6F4FD524" w:rsidR="00234FEF" w:rsidRPr="006822CA" w:rsidRDefault="00234FEF" w:rsidP="00234FEF">
            <w:pPr>
              <w:jc w:val="right"/>
              <w:rPr>
                <w:rFonts w:cs="Arial"/>
                <w:szCs w:val="24"/>
              </w:rPr>
            </w:pPr>
            <w:r w:rsidRPr="006822CA">
              <w:rPr>
                <w:rFonts w:cs="Arial"/>
                <w:b/>
                <w:bCs/>
                <w:szCs w:val="24"/>
              </w:rPr>
              <w:t>(3,</w:t>
            </w:r>
            <w:r w:rsidR="00CD4851">
              <w:rPr>
                <w:rFonts w:cs="Arial"/>
                <w:b/>
                <w:bCs/>
                <w:szCs w:val="24"/>
              </w:rPr>
              <w:t>397</w:t>
            </w:r>
            <w:r w:rsidRPr="006822CA">
              <w:rPr>
                <w:rFonts w:cs="Arial"/>
                <w:b/>
                <w:bCs/>
                <w:szCs w:val="24"/>
              </w:rPr>
              <w:t>)</w:t>
            </w:r>
          </w:p>
        </w:tc>
        <w:tc>
          <w:tcPr>
            <w:tcW w:w="446" w:type="pct"/>
            <w:vAlign w:val="center"/>
          </w:tcPr>
          <w:p w14:paraId="5B3994B3" w14:textId="4AD0C03A" w:rsidR="00234FEF" w:rsidRPr="006822CA" w:rsidRDefault="00234FEF" w:rsidP="00234FEF">
            <w:pPr>
              <w:jc w:val="right"/>
              <w:rPr>
                <w:rFonts w:cs="Arial"/>
                <w:szCs w:val="24"/>
              </w:rPr>
            </w:pPr>
            <w:r w:rsidRPr="006822CA">
              <w:rPr>
                <w:rFonts w:cs="Arial"/>
                <w:b/>
                <w:bCs/>
                <w:szCs w:val="24"/>
              </w:rPr>
              <w:t>-</w:t>
            </w:r>
          </w:p>
        </w:tc>
      </w:tr>
      <w:tr w:rsidR="003A40B1" w:rsidRPr="00D948C1" w14:paraId="3BB46925" w14:textId="77777777" w:rsidTr="003A40B1">
        <w:tc>
          <w:tcPr>
            <w:tcW w:w="1448" w:type="pct"/>
            <w:vAlign w:val="center"/>
          </w:tcPr>
          <w:p w14:paraId="6C6A715E" w14:textId="42FA0931" w:rsidR="00234FEF" w:rsidRPr="00D948C1" w:rsidRDefault="00234FEF" w:rsidP="00234FEF">
            <w:pPr>
              <w:rPr>
                <w:rFonts w:cs="Arial"/>
                <w:szCs w:val="24"/>
              </w:rPr>
            </w:pPr>
            <w:r w:rsidRPr="00D948C1">
              <w:rPr>
                <w:rFonts w:cs="Arial"/>
                <w:b/>
                <w:bCs/>
                <w:szCs w:val="24"/>
              </w:rPr>
              <w:t>Net increase/decrease before transfers to earmarked reserves</w:t>
            </w:r>
          </w:p>
        </w:tc>
        <w:tc>
          <w:tcPr>
            <w:tcW w:w="426" w:type="pct"/>
            <w:vAlign w:val="center"/>
          </w:tcPr>
          <w:p w14:paraId="4A8C1377" w14:textId="3AB97AC4" w:rsidR="00234FEF" w:rsidRPr="006822CA" w:rsidRDefault="005B5472" w:rsidP="00234FEF">
            <w:pPr>
              <w:jc w:val="right"/>
              <w:rPr>
                <w:rFonts w:cs="Arial"/>
                <w:szCs w:val="24"/>
              </w:rPr>
            </w:pPr>
            <w:r>
              <w:rPr>
                <w:rFonts w:cs="Arial"/>
                <w:b/>
                <w:bCs/>
                <w:szCs w:val="24"/>
              </w:rPr>
              <w:t>(793)</w:t>
            </w:r>
          </w:p>
        </w:tc>
        <w:tc>
          <w:tcPr>
            <w:tcW w:w="488" w:type="pct"/>
            <w:vAlign w:val="center"/>
          </w:tcPr>
          <w:p w14:paraId="7AD3A0DB" w14:textId="704FB325" w:rsidR="00234FEF" w:rsidRPr="006822CA" w:rsidRDefault="00557F4A" w:rsidP="00234FEF">
            <w:pPr>
              <w:jc w:val="right"/>
              <w:rPr>
                <w:rFonts w:cs="Arial"/>
                <w:szCs w:val="24"/>
              </w:rPr>
            </w:pPr>
            <w:r>
              <w:rPr>
                <w:rFonts w:cs="Arial"/>
                <w:b/>
                <w:bCs/>
                <w:szCs w:val="24"/>
              </w:rPr>
              <w:t>-</w:t>
            </w:r>
          </w:p>
        </w:tc>
        <w:tc>
          <w:tcPr>
            <w:tcW w:w="446" w:type="pct"/>
            <w:vAlign w:val="center"/>
          </w:tcPr>
          <w:p w14:paraId="23CEEF97" w14:textId="0993C859" w:rsidR="00234FEF" w:rsidRPr="006822CA" w:rsidRDefault="00234FEF" w:rsidP="00234FEF">
            <w:pPr>
              <w:jc w:val="right"/>
              <w:rPr>
                <w:rFonts w:cs="Arial"/>
                <w:szCs w:val="24"/>
              </w:rPr>
            </w:pPr>
            <w:r w:rsidRPr="006822CA">
              <w:rPr>
                <w:rFonts w:cs="Arial"/>
                <w:b/>
                <w:bCs/>
                <w:szCs w:val="24"/>
              </w:rPr>
              <w:t>(</w:t>
            </w:r>
            <w:r w:rsidR="00557F4A">
              <w:rPr>
                <w:rFonts w:cs="Arial"/>
                <w:b/>
                <w:bCs/>
                <w:szCs w:val="24"/>
              </w:rPr>
              <w:t>793</w:t>
            </w:r>
            <w:r w:rsidRPr="006822CA">
              <w:rPr>
                <w:rFonts w:cs="Arial"/>
                <w:b/>
                <w:bCs/>
                <w:szCs w:val="24"/>
              </w:rPr>
              <w:t>)</w:t>
            </w:r>
          </w:p>
        </w:tc>
        <w:tc>
          <w:tcPr>
            <w:tcW w:w="448" w:type="pct"/>
            <w:vAlign w:val="center"/>
          </w:tcPr>
          <w:p w14:paraId="6D5616E4" w14:textId="65CB91ED" w:rsidR="00234FEF" w:rsidRPr="006822CA" w:rsidRDefault="00234FEF" w:rsidP="00234FEF">
            <w:pPr>
              <w:jc w:val="right"/>
              <w:rPr>
                <w:rFonts w:cs="Arial"/>
                <w:szCs w:val="24"/>
              </w:rPr>
            </w:pPr>
            <w:r w:rsidRPr="006822CA">
              <w:rPr>
                <w:rFonts w:cs="Arial"/>
                <w:b/>
                <w:bCs/>
                <w:szCs w:val="24"/>
              </w:rPr>
              <w:t>(27)</w:t>
            </w:r>
          </w:p>
        </w:tc>
        <w:tc>
          <w:tcPr>
            <w:tcW w:w="426" w:type="pct"/>
            <w:vAlign w:val="center"/>
          </w:tcPr>
          <w:p w14:paraId="1AB90A50" w14:textId="13497EA2" w:rsidR="00234FEF" w:rsidRPr="006822CA" w:rsidRDefault="00234FEF" w:rsidP="00234FEF">
            <w:pPr>
              <w:jc w:val="right"/>
              <w:rPr>
                <w:rFonts w:cs="Arial"/>
                <w:szCs w:val="24"/>
              </w:rPr>
            </w:pPr>
            <w:r w:rsidRPr="006822CA">
              <w:rPr>
                <w:rFonts w:cs="Arial"/>
                <w:b/>
                <w:bCs/>
                <w:szCs w:val="24"/>
              </w:rPr>
              <w:t>(1,621)</w:t>
            </w:r>
          </w:p>
        </w:tc>
        <w:tc>
          <w:tcPr>
            <w:tcW w:w="426" w:type="pct"/>
            <w:vAlign w:val="center"/>
          </w:tcPr>
          <w:p w14:paraId="47CD5EAD" w14:textId="4D53BB66" w:rsidR="00234FEF" w:rsidRPr="006822CA" w:rsidRDefault="00234FEF" w:rsidP="00234FEF">
            <w:pPr>
              <w:jc w:val="right"/>
              <w:rPr>
                <w:rFonts w:cs="Arial"/>
                <w:szCs w:val="24"/>
              </w:rPr>
            </w:pPr>
            <w:r w:rsidRPr="006822CA">
              <w:rPr>
                <w:rFonts w:cs="Arial"/>
                <w:b/>
                <w:bCs/>
                <w:szCs w:val="24"/>
              </w:rPr>
              <w:t>(2,4</w:t>
            </w:r>
            <w:r w:rsidR="00D53AC3">
              <w:rPr>
                <w:rFonts w:cs="Arial"/>
                <w:b/>
                <w:bCs/>
                <w:szCs w:val="24"/>
              </w:rPr>
              <w:t>40</w:t>
            </w:r>
            <w:r w:rsidRPr="006822CA">
              <w:rPr>
                <w:rFonts w:cs="Arial"/>
                <w:b/>
                <w:bCs/>
                <w:szCs w:val="24"/>
              </w:rPr>
              <w:t>)</w:t>
            </w:r>
          </w:p>
        </w:tc>
        <w:tc>
          <w:tcPr>
            <w:tcW w:w="446" w:type="pct"/>
            <w:vAlign w:val="center"/>
          </w:tcPr>
          <w:p w14:paraId="2CB5F4DB" w14:textId="0BD68693" w:rsidR="00234FEF" w:rsidRPr="006822CA" w:rsidRDefault="00234FEF" w:rsidP="00234FEF">
            <w:pPr>
              <w:jc w:val="right"/>
              <w:rPr>
                <w:rFonts w:cs="Arial"/>
                <w:szCs w:val="24"/>
              </w:rPr>
            </w:pPr>
            <w:r w:rsidRPr="006822CA">
              <w:rPr>
                <w:rFonts w:cs="Arial"/>
                <w:b/>
                <w:bCs/>
                <w:szCs w:val="24"/>
              </w:rPr>
              <w:t>1,97</w:t>
            </w:r>
            <w:r w:rsidR="00D53AC3">
              <w:rPr>
                <w:rFonts w:cs="Arial"/>
                <w:b/>
                <w:bCs/>
                <w:szCs w:val="24"/>
              </w:rPr>
              <w:t>9</w:t>
            </w:r>
          </w:p>
        </w:tc>
        <w:tc>
          <w:tcPr>
            <w:tcW w:w="446" w:type="pct"/>
            <w:vAlign w:val="center"/>
          </w:tcPr>
          <w:p w14:paraId="5B7F3F83" w14:textId="14975675" w:rsidR="00234FEF" w:rsidRPr="006822CA" w:rsidRDefault="00234FEF" w:rsidP="00234FEF">
            <w:pPr>
              <w:jc w:val="right"/>
              <w:rPr>
                <w:rFonts w:cs="Arial"/>
                <w:szCs w:val="24"/>
              </w:rPr>
            </w:pPr>
            <w:r w:rsidRPr="006822CA">
              <w:rPr>
                <w:rFonts w:cs="Arial"/>
                <w:b/>
                <w:bCs/>
                <w:szCs w:val="24"/>
              </w:rPr>
              <w:t>(461)</w:t>
            </w:r>
          </w:p>
        </w:tc>
      </w:tr>
      <w:tr w:rsidR="003A40B1" w:rsidRPr="00D948C1" w14:paraId="624E3286" w14:textId="77777777" w:rsidTr="003A40B1">
        <w:tc>
          <w:tcPr>
            <w:tcW w:w="1448" w:type="pct"/>
            <w:vAlign w:val="center"/>
          </w:tcPr>
          <w:p w14:paraId="13328124" w14:textId="020F5A8C" w:rsidR="00234FEF" w:rsidRPr="00D948C1" w:rsidRDefault="00234FEF" w:rsidP="00234FEF">
            <w:pPr>
              <w:rPr>
                <w:rFonts w:cs="Arial"/>
                <w:szCs w:val="24"/>
              </w:rPr>
            </w:pPr>
            <w:r w:rsidRPr="00D948C1">
              <w:rPr>
                <w:rFonts w:cs="Arial"/>
                <w:szCs w:val="24"/>
              </w:rPr>
              <w:t>Transfers (to)/from earmarked reserves</w:t>
            </w:r>
          </w:p>
        </w:tc>
        <w:tc>
          <w:tcPr>
            <w:tcW w:w="426" w:type="pct"/>
            <w:vAlign w:val="center"/>
          </w:tcPr>
          <w:p w14:paraId="13910D9C" w14:textId="30CD1EBB" w:rsidR="00234FEF" w:rsidRPr="006822CA" w:rsidRDefault="00713E1B" w:rsidP="00234FEF">
            <w:pPr>
              <w:jc w:val="right"/>
              <w:rPr>
                <w:rFonts w:cs="Arial"/>
                <w:szCs w:val="24"/>
              </w:rPr>
            </w:pPr>
            <w:r>
              <w:rPr>
                <w:rFonts w:cs="Arial"/>
                <w:szCs w:val="24"/>
              </w:rPr>
              <w:t>1,</w:t>
            </w:r>
            <w:r w:rsidR="00234FEF" w:rsidRPr="006822CA">
              <w:rPr>
                <w:rFonts w:cs="Arial"/>
                <w:szCs w:val="24"/>
              </w:rPr>
              <w:t>5</w:t>
            </w:r>
            <w:r>
              <w:rPr>
                <w:rFonts w:cs="Arial"/>
                <w:szCs w:val="24"/>
              </w:rPr>
              <w:t>68</w:t>
            </w:r>
          </w:p>
        </w:tc>
        <w:tc>
          <w:tcPr>
            <w:tcW w:w="488" w:type="pct"/>
            <w:vAlign w:val="center"/>
          </w:tcPr>
          <w:p w14:paraId="3EC3D0BF" w14:textId="0664E428" w:rsidR="00234FEF" w:rsidRPr="006822CA" w:rsidRDefault="00234FEF" w:rsidP="00234FEF">
            <w:pPr>
              <w:jc w:val="right"/>
              <w:rPr>
                <w:rFonts w:cs="Arial"/>
                <w:szCs w:val="24"/>
              </w:rPr>
            </w:pPr>
            <w:r w:rsidRPr="006822CA">
              <w:rPr>
                <w:rFonts w:cs="Arial"/>
                <w:szCs w:val="24"/>
              </w:rPr>
              <w:t>(</w:t>
            </w:r>
            <w:r w:rsidR="00713E1B">
              <w:rPr>
                <w:rFonts w:cs="Arial"/>
                <w:szCs w:val="24"/>
              </w:rPr>
              <w:t>1,</w:t>
            </w:r>
            <w:r w:rsidRPr="006822CA">
              <w:rPr>
                <w:rFonts w:cs="Arial"/>
                <w:szCs w:val="24"/>
              </w:rPr>
              <w:t>5</w:t>
            </w:r>
            <w:r w:rsidR="00713E1B">
              <w:rPr>
                <w:rFonts w:cs="Arial"/>
                <w:szCs w:val="24"/>
              </w:rPr>
              <w:t>68</w:t>
            </w:r>
            <w:r w:rsidRPr="006822CA">
              <w:rPr>
                <w:rFonts w:cs="Arial"/>
                <w:szCs w:val="24"/>
              </w:rPr>
              <w:t>)</w:t>
            </w:r>
          </w:p>
        </w:tc>
        <w:tc>
          <w:tcPr>
            <w:tcW w:w="446" w:type="pct"/>
            <w:vAlign w:val="center"/>
          </w:tcPr>
          <w:p w14:paraId="792BF644" w14:textId="331A5495" w:rsidR="00234FEF" w:rsidRPr="006822CA" w:rsidRDefault="00234FEF" w:rsidP="00234FEF">
            <w:pPr>
              <w:jc w:val="right"/>
              <w:rPr>
                <w:rFonts w:cs="Arial"/>
                <w:szCs w:val="24"/>
              </w:rPr>
            </w:pPr>
            <w:r w:rsidRPr="006822CA">
              <w:rPr>
                <w:rFonts w:cs="Arial"/>
                <w:szCs w:val="24"/>
              </w:rPr>
              <w:t>-</w:t>
            </w:r>
          </w:p>
        </w:tc>
        <w:tc>
          <w:tcPr>
            <w:tcW w:w="448" w:type="pct"/>
            <w:vAlign w:val="center"/>
          </w:tcPr>
          <w:p w14:paraId="04E6F727" w14:textId="2DCFE6C6" w:rsidR="00234FEF" w:rsidRPr="006822CA" w:rsidRDefault="00234FEF" w:rsidP="00234FEF">
            <w:pPr>
              <w:jc w:val="right"/>
              <w:rPr>
                <w:rFonts w:cs="Arial"/>
                <w:szCs w:val="24"/>
              </w:rPr>
            </w:pPr>
            <w:r w:rsidRPr="006822CA">
              <w:rPr>
                <w:rFonts w:cs="Arial"/>
                <w:szCs w:val="24"/>
              </w:rPr>
              <w:t>-</w:t>
            </w:r>
          </w:p>
        </w:tc>
        <w:tc>
          <w:tcPr>
            <w:tcW w:w="426" w:type="pct"/>
            <w:vAlign w:val="center"/>
          </w:tcPr>
          <w:p w14:paraId="2BA4564E" w14:textId="54146FE6" w:rsidR="00234FEF" w:rsidRPr="006822CA" w:rsidRDefault="00234FEF" w:rsidP="00234FEF">
            <w:pPr>
              <w:jc w:val="right"/>
              <w:rPr>
                <w:rFonts w:cs="Arial"/>
                <w:szCs w:val="24"/>
              </w:rPr>
            </w:pPr>
            <w:r w:rsidRPr="006822CA">
              <w:rPr>
                <w:rFonts w:cs="Arial"/>
                <w:szCs w:val="24"/>
              </w:rPr>
              <w:t>-</w:t>
            </w:r>
          </w:p>
        </w:tc>
        <w:tc>
          <w:tcPr>
            <w:tcW w:w="426" w:type="pct"/>
            <w:vAlign w:val="center"/>
          </w:tcPr>
          <w:p w14:paraId="5A8FBE95" w14:textId="6DAF3895" w:rsidR="00234FEF" w:rsidRPr="006822CA" w:rsidRDefault="00234FEF" w:rsidP="00234FEF">
            <w:pPr>
              <w:jc w:val="right"/>
              <w:rPr>
                <w:rFonts w:cs="Arial"/>
                <w:szCs w:val="24"/>
              </w:rPr>
            </w:pPr>
            <w:r w:rsidRPr="006822CA">
              <w:rPr>
                <w:rFonts w:cs="Arial"/>
                <w:szCs w:val="24"/>
              </w:rPr>
              <w:t>-</w:t>
            </w:r>
          </w:p>
        </w:tc>
        <w:tc>
          <w:tcPr>
            <w:tcW w:w="446" w:type="pct"/>
            <w:vAlign w:val="center"/>
          </w:tcPr>
          <w:p w14:paraId="578F4892" w14:textId="77A59262" w:rsidR="00234FEF" w:rsidRPr="006822CA" w:rsidRDefault="00234FEF" w:rsidP="00234FEF">
            <w:pPr>
              <w:jc w:val="right"/>
              <w:rPr>
                <w:rFonts w:cs="Arial"/>
                <w:szCs w:val="24"/>
              </w:rPr>
            </w:pPr>
            <w:r w:rsidRPr="006822CA">
              <w:rPr>
                <w:rFonts w:cs="Arial"/>
                <w:szCs w:val="24"/>
              </w:rPr>
              <w:t>-</w:t>
            </w:r>
          </w:p>
        </w:tc>
        <w:tc>
          <w:tcPr>
            <w:tcW w:w="446" w:type="pct"/>
            <w:vAlign w:val="center"/>
          </w:tcPr>
          <w:p w14:paraId="2EDFFF34" w14:textId="29CA7EEF" w:rsidR="00234FEF" w:rsidRPr="006822CA" w:rsidRDefault="00234FEF" w:rsidP="00234FEF">
            <w:pPr>
              <w:jc w:val="right"/>
              <w:rPr>
                <w:rFonts w:cs="Arial"/>
                <w:szCs w:val="24"/>
              </w:rPr>
            </w:pPr>
            <w:r w:rsidRPr="006822CA">
              <w:rPr>
                <w:rFonts w:cs="Arial"/>
                <w:szCs w:val="24"/>
              </w:rPr>
              <w:t>-</w:t>
            </w:r>
          </w:p>
        </w:tc>
      </w:tr>
      <w:tr w:rsidR="003A40B1" w:rsidRPr="00D948C1" w14:paraId="1F5AB8FA" w14:textId="77777777" w:rsidTr="003A40B1">
        <w:tc>
          <w:tcPr>
            <w:tcW w:w="1448" w:type="pct"/>
            <w:vAlign w:val="center"/>
          </w:tcPr>
          <w:p w14:paraId="61F7BA7C" w14:textId="5377FAD8" w:rsidR="00234FEF" w:rsidRPr="00D948C1" w:rsidRDefault="00234FEF" w:rsidP="00234FEF">
            <w:pPr>
              <w:rPr>
                <w:rFonts w:cs="Arial"/>
                <w:b/>
                <w:bCs/>
                <w:szCs w:val="24"/>
              </w:rPr>
            </w:pPr>
            <w:r w:rsidRPr="00D948C1">
              <w:rPr>
                <w:rFonts w:cs="Arial"/>
                <w:szCs w:val="24"/>
              </w:rPr>
              <w:t>Increase/(Decrease) in the year</w:t>
            </w:r>
          </w:p>
        </w:tc>
        <w:tc>
          <w:tcPr>
            <w:tcW w:w="426" w:type="pct"/>
            <w:vAlign w:val="center"/>
          </w:tcPr>
          <w:p w14:paraId="77BA1FC1" w14:textId="52A9D53C" w:rsidR="00234FEF" w:rsidRPr="006822CA" w:rsidRDefault="00234FEF" w:rsidP="00234FEF">
            <w:pPr>
              <w:jc w:val="right"/>
              <w:rPr>
                <w:rFonts w:cs="Arial"/>
                <w:b/>
                <w:bCs/>
                <w:szCs w:val="24"/>
              </w:rPr>
            </w:pPr>
            <w:r w:rsidRPr="006822CA">
              <w:rPr>
                <w:rFonts w:cs="Arial"/>
                <w:szCs w:val="24"/>
              </w:rPr>
              <w:t>775</w:t>
            </w:r>
          </w:p>
        </w:tc>
        <w:tc>
          <w:tcPr>
            <w:tcW w:w="488" w:type="pct"/>
            <w:vAlign w:val="center"/>
          </w:tcPr>
          <w:p w14:paraId="3A6120DB" w14:textId="103969B2" w:rsidR="00234FEF" w:rsidRPr="006822CA" w:rsidRDefault="00234FEF" w:rsidP="00234FEF">
            <w:pPr>
              <w:jc w:val="right"/>
              <w:rPr>
                <w:rFonts w:cs="Arial"/>
                <w:b/>
                <w:bCs/>
                <w:szCs w:val="24"/>
              </w:rPr>
            </w:pPr>
            <w:r w:rsidRPr="006822CA">
              <w:rPr>
                <w:rFonts w:cs="Arial"/>
                <w:szCs w:val="24"/>
              </w:rPr>
              <w:t>(</w:t>
            </w:r>
            <w:r w:rsidR="00C94863">
              <w:rPr>
                <w:rFonts w:cs="Arial"/>
                <w:szCs w:val="24"/>
              </w:rPr>
              <w:t>1,568</w:t>
            </w:r>
            <w:r w:rsidRPr="006822CA">
              <w:rPr>
                <w:rFonts w:cs="Arial"/>
                <w:szCs w:val="24"/>
              </w:rPr>
              <w:t>)</w:t>
            </w:r>
          </w:p>
        </w:tc>
        <w:tc>
          <w:tcPr>
            <w:tcW w:w="446" w:type="pct"/>
            <w:vAlign w:val="center"/>
          </w:tcPr>
          <w:p w14:paraId="3B364135" w14:textId="1DB548CF" w:rsidR="00234FEF" w:rsidRPr="006822CA" w:rsidRDefault="00234FEF" w:rsidP="00234FEF">
            <w:pPr>
              <w:jc w:val="right"/>
              <w:rPr>
                <w:rFonts w:cs="Arial"/>
                <w:b/>
                <w:bCs/>
                <w:szCs w:val="24"/>
              </w:rPr>
            </w:pPr>
            <w:r w:rsidRPr="006822CA">
              <w:rPr>
                <w:rFonts w:cs="Arial"/>
                <w:szCs w:val="24"/>
              </w:rPr>
              <w:t>(</w:t>
            </w:r>
            <w:r w:rsidR="00DE6095">
              <w:rPr>
                <w:rFonts w:cs="Arial"/>
                <w:szCs w:val="24"/>
              </w:rPr>
              <w:t>793</w:t>
            </w:r>
            <w:r w:rsidRPr="006822CA">
              <w:rPr>
                <w:rFonts w:cs="Arial"/>
                <w:szCs w:val="24"/>
              </w:rPr>
              <w:t>)</w:t>
            </w:r>
          </w:p>
        </w:tc>
        <w:tc>
          <w:tcPr>
            <w:tcW w:w="448" w:type="pct"/>
            <w:vAlign w:val="center"/>
          </w:tcPr>
          <w:p w14:paraId="12D1CCD5" w14:textId="54AB2D51" w:rsidR="00234FEF" w:rsidRPr="006822CA" w:rsidRDefault="00234FEF" w:rsidP="00234FEF">
            <w:pPr>
              <w:jc w:val="right"/>
              <w:rPr>
                <w:rFonts w:cs="Arial"/>
                <w:b/>
                <w:bCs/>
                <w:szCs w:val="24"/>
              </w:rPr>
            </w:pPr>
            <w:r w:rsidRPr="006822CA">
              <w:rPr>
                <w:rFonts w:cs="Arial"/>
                <w:szCs w:val="24"/>
              </w:rPr>
              <w:t>(27)</w:t>
            </w:r>
          </w:p>
        </w:tc>
        <w:tc>
          <w:tcPr>
            <w:tcW w:w="426" w:type="pct"/>
            <w:vAlign w:val="center"/>
          </w:tcPr>
          <w:p w14:paraId="15ABC905" w14:textId="15108F1F" w:rsidR="00234FEF" w:rsidRPr="006822CA" w:rsidRDefault="00234FEF" w:rsidP="00234FEF">
            <w:pPr>
              <w:jc w:val="right"/>
              <w:rPr>
                <w:rFonts w:cs="Arial"/>
                <w:b/>
                <w:bCs/>
                <w:szCs w:val="24"/>
              </w:rPr>
            </w:pPr>
            <w:r w:rsidRPr="006822CA">
              <w:rPr>
                <w:rFonts w:cs="Arial"/>
                <w:szCs w:val="24"/>
              </w:rPr>
              <w:t>(1,621)</w:t>
            </w:r>
          </w:p>
        </w:tc>
        <w:tc>
          <w:tcPr>
            <w:tcW w:w="426" w:type="pct"/>
            <w:vAlign w:val="center"/>
          </w:tcPr>
          <w:p w14:paraId="7A4B7CC9" w14:textId="797253CF" w:rsidR="00234FEF" w:rsidRPr="006822CA" w:rsidRDefault="00234FEF" w:rsidP="00234FEF">
            <w:pPr>
              <w:jc w:val="right"/>
              <w:rPr>
                <w:rFonts w:cs="Arial"/>
                <w:b/>
                <w:bCs/>
                <w:szCs w:val="24"/>
              </w:rPr>
            </w:pPr>
            <w:r w:rsidRPr="006822CA">
              <w:rPr>
                <w:rFonts w:cs="Arial"/>
                <w:szCs w:val="24"/>
              </w:rPr>
              <w:t>(2,440)</w:t>
            </w:r>
          </w:p>
        </w:tc>
        <w:tc>
          <w:tcPr>
            <w:tcW w:w="446" w:type="pct"/>
            <w:vAlign w:val="center"/>
          </w:tcPr>
          <w:p w14:paraId="3CFF1F29" w14:textId="59120326" w:rsidR="00234FEF" w:rsidRPr="006822CA" w:rsidRDefault="00234FEF" w:rsidP="00234FEF">
            <w:pPr>
              <w:jc w:val="right"/>
              <w:rPr>
                <w:rFonts w:cs="Arial"/>
                <w:b/>
                <w:bCs/>
                <w:szCs w:val="24"/>
              </w:rPr>
            </w:pPr>
            <w:r w:rsidRPr="006822CA">
              <w:rPr>
                <w:rFonts w:cs="Arial"/>
                <w:szCs w:val="24"/>
              </w:rPr>
              <w:t>1,979</w:t>
            </w:r>
          </w:p>
        </w:tc>
        <w:tc>
          <w:tcPr>
            <w:tcW w:w="446" w:type="pct"/>
            <w:vAlign w:val="center"/>
          </w:tcPr>
          <w:p w14:paraId="225B305A" w14:textId="354A9D0D" w:rsidR="00234FEF" w:rsidRPr="006822CA" w:rsidRDefault="00234FEF" w:rsidP="00234FEF">
            <w:pPr>
              <w:jc w:val="right"/>
              <w:rPr>
                <w:rFonts w:cs="Arial"/>
                <w:b/>
                <w:bCs/>
                <w:szCs w:val="24"/>
              </w:rPr>
            </w:pPr>
            <w:r w:rsidRPr="006822CA">
              <w:rPr>
                <w:rFonts w:cs="Arial"/>
                <w:szCs w:val="24"/>
              </w:rPr>
              <w:t>(461)</w:t>
            </w:r>
          </w:p>
        </w:tc>
      </w:tr>
      <w:tr w:rsidR="003A40B1" w:rsidRPr="00D948C1" w14:paraId="01E79886" w14:textId="77777777" w:rsidTr="003A40B1">
        <w:tc>
          <w:tcPr>
            <w:tcW w:w="1448" w:type="pct"/>
            <w:vAlign w:val="center"/>
          </w:tcPr>
          <w:p w14:paraId="711D8172" w14:textId="2CD2F1B2" w:rsidR="00234FEF" w:rsidRPr="00D948C1" w:rsidRDefault="00234FEF" w:rsidP="00234FEF">
            <w:pPr>
              <w:rPr>
                <w:rFonts w:cs="Arial"/>
                <w:szCs w:val="24"/>
              </w:rPr>
            </w:pPr>
            <w:r w:rsidRPr="00D948C1">
              <w:rPr>
                <w:rFonts w:cs="Arial"/>
                <w:b/>
                <w:bCs/>
                <w:szCs w:val="24"/>
              </w:rPr>
              <w:t xml:space="preserve">Balance </w:t>
            </w:r>
            <w:proofErr w:type="gramStart"/>
            <w:r w:rsidRPr="00D948C1">
              <w:rPr>
                <w:rFonts w:cs="Arial"/>
                <w:b/>
                <w:bCs/>
                <w:szCs w:val="24"/>
              </w:rPr>
              <w:t>at</w:t>
            </w:r>
            <w:proofErr w:type="gramEnd"/>
            <w:r w:rsidRPr="00D948C1">
              <w:rPr>
                <w:rFonts w:cs="Arial"/>
                <w:b/>
                <w:bCs/>
                <w:szCs w:val="24"/>
              </w:rPr>
              <w:t xml:space="preserve"> 31 March 2024 carried forwards</w:t>
            </w:r>
          </w:p>
        </w:tc>
        <w:tc>
          <w:tcPr>
            <w:tcW w:w="426" w:type="pct"/>
            <w:vAlign w:val="center"/>
          </w:tcPr>
          <w:p w14:paraId="13FBDB77" w14:textId="338F092B" w:rsidR="00234FEF" w:rsidRPr="006822CA" w:rsidRDefault="00234FEF" w:rsidP="00234FEF">
            <w:pPr>
              <w:jc w:val="right"/>
              <w:rPr>
                <w:rFonts w:cs="Arial"/>
                <w:szCs w:val="24"/>
              </w:rPr>
            </w:pPr>
            <w:r w:rsidRPr="006822CA">
              <w:rPr>
                <w:rFonts w:cs="Arial"/>
                <w:b/>
                <w:bCs/>
                <w:szCs w:val="24"/>
              </w:rPr>
              <w:t>5,662</w:t>
            </w:r>
          </w:p>
        </w:tc>
        <w:tc>
          <w:tcPr>
            <w:tcW w:w="488" w:type="pct"/>
            <w:vAlign w:val="center"/>
          </w:tcPr>
          <w:p w14:paraId="401F312F" w14:textId="65B17786" w:rsidR="00234FEF" w:rsidRPr="006822CA" w:rsidRDefault="00DE6095" w:rsidP="00234FEF">
            <w:pPr>
              <w:jc w:val="right"/>
              <w:rPr>
                <w:rFonts w:cs="Arial"/>
                <w:szCs w:val="24"/>
              </w:rPr>
            </w:pPr>
            <w:r>
              <w:rPr>
                <w:rFonts w:cs="Arial"/>
                <w:b/>
                <w:bCs/>
                <w:szCs w:val="24"/>
              </w:rPr>
              <w:t>28</w:t>
            </w:r>
            <w:r w:rsidR="00234FEF" w:rsidRPr="006822CA">
              <w:rPr>
                <w:rFonts w:cs="Arial"/>
                <w:b/>
                <w:bCs/>
                <w:szCs w:val="24"/>
              </w:rPr>
              <w:t>,</w:t>
            </w:r>
            <w:r>
              <w:rPr>
                <w:rFonts w:cs="Arial"/>
                <w:b/>
                <w:bCs/>
                <w:szCs w:val="24"/>
              </w:rPr>
              <w:t>034</w:t>
            </w:r>
          </w:p>
        </w:tc>
        <w:tc>
          <w:tcPr>
            <w:tcW w:w="446" w:type="pct"/>
            <w:vAlign w:val="center"/>
          </w:tcPr>
          <w:p w14:paraId="07AEA075" w14:textId="0EA15C30" w:rsidR="00234FEF" w:rsidRPr="006822CA" w:rsidRDefault="00592BD0" w:rsidP="00234FEF">
            <w:pPr>
              <w:jc w:val="right"/>
              <w:rPr>
                <w:rFonts w:cs="Arial"/>
                <w:szCs w:val="24"/>
              </w:rPr>
            </w:pPr>
            <w:r>
              <w:rPr>
                <w:rFonts w:cs="Arial"/>
                <w:b/>
                <w:bCs/>
                <w:szCs w:val="24"/>
              </w:rPr>
              <w:t>33</w:t>
            </w:r>
            <w:r w:rsidR="00234FEF" w:rsidRPr="006822CA">
              <w:rPr>
                <w:rFonts w:cs="Arial"/>
                <w:b/>
                <w:bCs/>
                <w:szCs w:val="24"/>
              </w:rPr>
              <w:t>,</w:t>
            </w:r>
            <w:r>
              <w:rPr>
                <w:rFonts w:cs="Arial"/>
                <w:b/>
                <w:bCs/>
                <w:szCs w:val="24"/>
              </w:rPr>
              <w:t>696</w:t>
            </w:r>
          </w:p>
        </w:tc>
        <w:tc>
          <w:tcPr>
            <w:tcW w:w="448" w:type="pct"/>
            <w:vAlign w:val="center"/>
          </w:tcPr>
          <w:p w14:paraId="48D79F13" w14:textId="1993F4A0" w:rsidR="00234FEF" w:rsidRPr="006822CA" w:rsidRDefault="00234FEF" w:rsidP="00234FEF">
            <w:pPr>
              <w:jc w:val="right"/>
              <w:rPr>
                <w:rFonts w:cs="Arial"/>
                <w:szCs w:val="24"/>
              </w:rPr>
            </w:pPr>
            <w:r w:rsidRPr="006822CA">
              <w:rPr>
                <w:rFonts w:cs="Arial"/>
                <w:b/>
                <w:bCs/>
                <w:szCs w:val="24"/>
              </w:rPr>
              <w:t>-</w:t>
            </w:r>
          </w:p>
        </w:tc>
        <w:tc>
          <w:tcPr>
            <w:tcW w:w="426" w:type="pct"/>
            <w:vAlign w:val="center"/>
          </w:tcPr>
          <w:p w14:paraId="12FE85EE" w14:textId="5C1C66E1" w:rsidR="00234FEF" w:rsidRPr="006822CA" w:rsidRDefault="00234FEF" w:rsidP="00234FEF">
            <w:pPr>
              <w:jc w:val="right"/>
              <w:rPr>
                <w:rFonts w:cs="Arial"/>
                <w:szCs w:val="24"/>
              </w:rPr>
            </w:pPr>
            <w:r w:rsidRPr="006822CA">
              <w:rPr>
                <w:rFonts w:cs="Arial"/>
                <w:b/>
                <w:bCs/>
                <w:szCs w:val="24"/>
              </w:rPr>
              <w:t>71</w:t>
            </w:r>
          </w:p>
        </w:tc>
        <w:tc>
          <w:tcPr>
            <w:tcW w:w="426" w:type="pct"/>
            <w:vAlign w:val="center"/>
          </w:tcPr>
          <w:p w14:paraId="4964AFC3" w14:textId="48A3ADE3" w:rsidR="00234FEF" w:rsidRPr="006822CA" w:rsidRDefault="00234FEF" w:rsidP="00234FEF">
            <w:pPr>
              <w:jc w:val="right"/>
              <w:rPr>
                <w:rFonts w:cs="Arial"/>
                <w:szCs w:val="24"/>
              </w:rPr>
            </w:pPr>
            <w:r w:rsidRPr="006822CA">
              <w:rPr>
                <w:rFonts w:cs="Arial"/>
                <w:b/>
                <w:bCs/>
                <w:szCs w:val="24"/>
              </w:rPr>
              <w:t>33,768</w:t>
            </w:r>
          </w:p>
        </w:tc>
        <w:tc>
          <w:tcPr>
            <w:tcW w:w="446" w:type="pct"/>
            <w:vAlign w:val="center"/>
          </w:tcPr>
          <w:p w14:paraId="36B79D70" w14:textId="65121D31" w:rsidR="00234FEF" w:rsidRPr="006822CA" w:rsidRDefault="00234FEF" w:rsidP="00234FEF">
            <w:pPr>
              <w:jc w:val="right"/>
              <w:rPr>
                <w:rFonts w:cs="Arial"/>
                <w:szCs w:val="24"/>
              </w:rPr>
            </w:pPr>
            <w:r w:rsidRPr="006822CA">
              <w:rPr>
                <w:rFonts w:cs="Arial"/>
                <w:b/>
                <w:bCs/>
                <w:szCs w:val="24"/>
              </w:rPr>
              <w:t>(536,720)</w:t>
            </w:r>
          </w:p>
        </w:tc>
        <w:tc>
          <w:tcPr>
            <w:tcW w:w="446" w:type="pct"/>
            <w:vAlign w:val="center"/>
          </w:tcPr>
          <w:p w14:paraId="3D1FA41C" w14:textId="519ED201" w:rsidR="00234FEF" w:rsidRPr="006822CA" w:rsidRDefault="00234FEF" w:rsidP="00234FEF">
            <w:pPr>
              <w:jc w:val="right"/>
              <w:rPr>
                <w:rFonts w:cs="Arial"/>
                <w:szCs w:val="24"/>
              </w:rPr>
            </w:pPr>
            <w:r w:rsidRPr="006822CA">
              <w:rPr>
                <w:rFonts w:cs="Arial"/>
                <w:b/>
                <w:bCs/>
                <w:szCs w:val="24"/>
              </w:rPr>
              <w:t>(502,953)</w:t>
            </w:r>
          </w:p>
        </w:tc>
      </w:tr>
    </w:tbl>
    <w:p w14:paraId="12FE9547" w14:textId="003193E8" w:rsidR="006967EB" w:rsidRPr="006967EB" w:rsidRDefault="006967EB" w:rsidP="006967EB">
      <w:pPr>
        <w:sectPr w:rsidR="006967EB" w:rsidRPr="006967EB" w:rsidSect="0050229D">
          <w:pgSz w:w="16840" w:h="11907" w:orient="landscape" w:code="9"/>
          <w:pgMar w:top="1134" w:right="851" w:bottom="851" w:left="737" w:header="720" w:footer="720" w:gutter="0"/>
          <w:cols w:space="720"/>
          <w:docGrid w:linePitch="326"/>
        </w:sectPr>
      </w:pPr>
      <w:r>
        <w:t>*</w:t>
      </w:r>
      <w:proofErr w:type="gramStart"/>
      <w:r w:rsidR="0002538D">
        <w:t>see</w:t>
      </w:r>
      <w:proofErr w:type="gramEnd"/>
      <w:r w:rsidR="0002538D">
        <w:t xml:space="preserve"> </w:t>
      </w:r>
      <w:hyperlink w:anchor="_31_Prior_Period" w:history="1">
        <w:r w:rsidR="0002538D" w:rsidRPr="00B33A0D">
          <w:rPr>
            <w:rStyle w:val="Hyperlink"/>
          </w:rPr>
          <w:t>Note 31</w:t>
        </w:r>
      </w:hyperlink>
      <w:r w:rsidR="006943DC">
        <w:t>, Prior Year Adjustments</w:t>
      </w:r>
      <w:r w:rsidR="0002538D">
        <w:t xml:space="preserve"> </w:t>
      </w:r>
      <w:r w:rsidR="00B33A0D">
        <w:t>for restatement details.</w:t>
      </w:r>
      <w:r w:rsidR="008D751A">
        <w:t xml:space="preserve"> </w:t>
      </w:r>
    </w:p>
    <w:p w14:paraId="19D662B0" w14:textId="1600BA80" w:rsidR="0058297D" w:rsidRPr="00D948C1" w:rsidRDefault="002618EE" w:rsidP="00490917">
      <w:pPr>
        <w:pStyle w:val="Heading1"/>
        <w:rPr>
          <w:szCs w:val="24"/>
        </w:rPr>
      </w:pPr>
      <w:bookmarkStart w:id="22" w:name="_Toc215593388"/>
      <w:r w:rsidRPr="00D948C1">
        <w:rPr>
          <w:szCs w:val="24"/>
        </w:rPr>
        <w:lastRenderedPageBreak/>
        <w:t>Balance Sheet</w:t>
      </w:r>
      <w:bookmarkEnd w:id="22"/>
    </w:p>
    <w:p w14:paraId="4DC6F97B" w14:textId="77777777" w:rsidR="00490917" w:rsidRPr="00D948C1" w:rsidRDefault="00490917" w:rsidP="00490917">
      <w:pPr>
        <w:rPr>
          <w:szCs w:val="24"/>
        </w:rPr>
      </w:pP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2"/>
        <w:gridCol w:w="1165"/>
        <w:gridCol w:w="1741"/>
        <w:gridCol w:w="1880"/>
      </w:tblGrid>
      <w:tr w:rsidR="00FA18E2" w:rsidRPr="00D948C1" w14:paraId="4FB80715" w14:textId="77777777" w:rsidTr="0078602B">
        <w:trPr>
          <w:cantSplit/>
          <w:tblHeader/>
        </w:trPr>
        <w:tc>
          <w:tcPr>
            <w:tcW w:w="2630" w:type="pct"/>
            <w:shd w:val="clear" w:color="auto" w:fill="BD2716"/>
          </w:tcPr>
          <w:p w14:paraId="760967EE" w14:textId="77777777" w:rsidR="00FA18E2" w:rsidRPr="00D948C1" w:rsidRDefault="00FA18E2" w:rsidP="00F238FE">
            <w:pPr>
              <w:jc w:val="center"/>
              <w:rPr>
                <w:color w:val="FFFFFF" w:themeColor="background1"/>
                <w:szCs w:val="24"/>
              </w:rPr>
            </w:pPr>
          </w:p>
        </w:tc>
        <w:tc>
          <w:tcPr>
            <w:tcW w:w="577" w:type="pct"/>
            <w:shd w:val="clear" w:color="auto" w:fill="BD2716"/>
            <w:vAlign w:val="center"/>
          </w:tcPr>
          <w:p w14:paraId="2F599137" w14:textId="254DD1F7" w:rsidR="00FA18E2" w:rsidRPr="00D948C1" w:rsidRDefault="00FA18E2" w:rsidP="00611673">
            <w:pPr>
              <w:rPr>
                <w:color w:val="FFFFFF" w:themeColor="background1"/>
                <w:szCs w:val="24"/>
              </w:rPr>
            </w:pPr>
            <w:r w:rsidRPr="00D948C1">
              <w:rPr>
                <w:color w:val="FFFFFF" w:themeColor="background1"/>
                <w:szCs w:val="24"/>
              </w:rPr>
              <w:t>Notes</w:t>
            </w:r>
          </w:p>
        </w:tc>
        <w:tc>
          <w:tcPr>
            <w:tcW w:w="862" w:type="pct"/>
            <w:shd w:val="clear" w:color="auto" w:fill="BD2716"/>
            <w:vAlign w:val="center"/>
          </w:tcPr>
          <w:p w14:paraId="25B8EB6A" w14:textId="626447F0" w:rsidR="00FA18E2" w:rsidRPr="00D948C1" w:rsidRDefault="00FA18E2" w:rsidP="00611673">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7742EF">
              <w:rPr>
                <w:color w:val="FFFFFF" w:themeColor="background1"/>
                <w:szCs w:val="24"/>
              </w:rPr>
              <w:t>5</w:t>
            </w:r>
          </w:p>
          <w:p w14:paraId="61E5179C" w14:textId="4C4D4D18" w:rsidR="00FA18E2" w:rsidRPr="00D948C1" w:rsidRDefault="00FA18E2" w:rsidP="00611673">
            <w:pPr>
              <w:jc w:val="right"/>
              <w:rPr>
                <w:color w:val="FFFFFF" w:themeColor="background1"/>
                <w:szCs w:val="24"/>
              </w:rPr>
            </w:pPr>
            <w:r w:rsidRPr="00D948C1">
              <w:rPr>
                <w:color w:val="FFFFFF" w:themeColor="background1"/>
                <w:szCs w:val="24"/>
              </w:rPr>
              <w:t>£000</w:t>
            </w:r>
          </w:p>
        </w:tc>
        <w:tc>
          <w:tcPr>
            <w:tcW w:w="931" w:type="pct"/>
            <w:shd w:val="clear" w:color="auto" w:fill="BD2716"/>
            <w:vAlign w:val="center"/>
          </w:tcPr>
          <w:p w14:paraId="4EB1BD33" w14:textId="7F8BAC77" w:rsidR="00FA18E2" w:rsidRPr="00D948C1" w:rsidRDefault="00FA18E2" w:rsidP="00611673">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7742EF">
              <w:rPr>
                <w:color w:val="FFFFFF" w:themeColor="background1"/>
                <w:szCs w:val="24"/>
              </w:rPr>
              <w:t>4</w:t>
            </w:r>
          </w:p>
          <w:p w14:paraId="7512E387" w14:textId="0B6A6C5E" w:rsidR="00FA18E2" w:rsidRPr="00D948C1" w:rsidRDefault="00FA18E2" w:rsidP="00611673">
            <w:pPr>
              <w:jc w:val="right"/>
              <w:rPr>
                <w:color w:val="FFFFFF" w:themeColor="background1"/>
                <w:szCs w:val="24"/>
              </w:rPr>
            </w:pPr>
            <w:r w:rsidRPr="00D948C1">
              <w:rPr>
                <w:color w:val="FFFFFF" w:themeColor="background1"/>
                <w:szCs w:val="24"/>
              </w:rPr>
              <w:t>£000</w:t>
            </w:r>
          </w:p>
        </w:tc>
      </w:tr>
      <w:tr w:rsidR="00233A66" w:rsidRPr="00D948C1" w14:paraId="335DBE40" w14:textId="77777777" w:rsidTr="00036C34">
        <w:tc>
          <w:tcPr>
            <w:tcW w:w="5000" w:type="pct"/>
            <w:gridSpan w:val="4"/>
            <w:shd w:val="clear" w:color="auto" w:fill="D9D9D9" w:themeFill="background1" w:themeFillShade="D9"/>
          </w:tcPr>
          <w:p w14:paraId="4B0383D7" w14:textId="028AFEFA" w:rsidR="00233A66" w:rsidRPr="00D948C1" w:rsidRDefault="00233A66" w:rsidP="00F238FE">
            <w:pPr>
              <w:pStyle w:val="CommentText"/>
              <w:tabs>
                <w:tab w:val="decimal" w:pos="601"/>
                <w:tab w:val="decimal" w:pos="723"/>
              </w:tabs>
              <w:rPr>
                <w:sz w:val="24"/>
                <w:szCs w:val="24"/>
              </w:rPr>
            </w:pPr>
            <w:r w:rsidRPr="00D948C1">
              <w:rPr>
                <w:b/>
                <w:sz w:val="24"/>
                <w:szCs w:val="24"/>
              </w:rPr>
              <w:t>Long-Term Assets</w:t>
            </w:r>
          </w:p>
        </w:tc>
      </w:tr>
      <w:tr w:rsidR="007742EF" w:rsidRPr="00D948C1" w14:paraId="2F6E96CD" w14:textId="77777777" w:rsidTr="0078602B">
        <w:tc>
          <w:tcPr>
            <w:tcW w:w="2630" w:type="pct"/>
          </w:tcPr>
          <w:p w14:paraId="111FF313" w14:textId="77777777" w:rsidR="007742EF" w:rsidRPr="00D948C1" w:rsidRDefault="007742EF" w:rsidP="007742EF">
            <w:pPr>
              <w:rPr>
                <w:szCs w:val="24"/>
              </w:rPr>
            </w:pPr>
            <w:r w:rsidRPr="00D948C1">
              <w:rPr>
                <w:szCs w:val="24"/>
              </w:rPr>
              <w:t>Property, Plant &amp; Equipment</w:t>
            </w:r>
          </w:p>
        </w:tc>
        <w:tc>
          <w:tcPr>
            <w:tcW w:w="577" w:type="pct"/>
            <w:vAlign w:val="bottom"/>
          </w:tcPr>
          <w:p w14:paraId="03643996" w14:textId="3AA53426" w:rsidR="007742EF" w:rsidRPr="00D948C1" w:rsidRDefault="007742EF" w:rsidP="007742EF">
            <w:pPr>
              <w:jc w:val="center"/>
              <w:rPr>
                <w:rStyle w:val="Hyperlink"/>
              </w:rPr>
            </w:pPr>
            <w:hyperlink w:anchor="N6" w:history="1">
              <w:r w:rsidRPr="00D948C1">
                <w:rPr>
                  <w:rStyle w:val="Hyperlink"/>
                  <w:szCs w:val="24"/>
                </w:rPr>
                <w:t>6</w:t>
              </w:r>
            </w:hyperlink>
          </w:p>
        </w:tc>
        <w:tc>
          <w:tcPr>
            <w:tcW w:w="862" w:type="pct"/>
            <w:vAlign w:val="center"/>
          </w:tcPr>
          <w:p w14:paraId="11BCEBE2" w14:textId="37AD96E4" w:rsidR="007742EF" w:rsidRPr="006D3B27" w:rsidRDefault="00BD12FB" w:rsidP="007742EF">
            <w:pPr>
              <w:pStyle w:val="CommentText"/>
              <w:tabs>
                <w:tab w:val="decimal" w:pos="1350"/>
              </w:tabs>
              <w:jc w:val="right"/>
              <w:rPr>
                <w:sz w:val="24"/>
                <w:szCs w:val="24"/>
              </w:rPr>
            </w:pPr>
            <w:r w:rsidRPr="006D3B27">
              <w:rPr>
                <w:sz w:val="24"/>
                <w:szCs w:val="24"/>
              </w:rPr>
              <w:t>129,576</w:t>
            </w:r>
          </w:p>
        </w:tc>
        <w:tc>
          <w:tcPr>
            <w:tcW w:w="931" w:type="pct"/>
            <w:vAlign w:val="center"/>
          </w:tcPr>
          <w:p w14:paraId="236C3432" w14:textId="474E9DDA" w:rsidR="007742EF" w:rsidRPr="006822CA" w:rsidRDefault="007742EF" w:rsidP="007742EF">
            <w:pPr>
              <w:pStyle w:val="CommentText"/>
              <w:tabs>
                <w:tab w:val="decimal" w:pos="1350"/>
              </w:tabs>
              <w:jc w:val="right"/>
              <w:rPr>
                <w:sz w:val="24"/>
                <w:szCs w:val="24"/>
              </w:rPr>
            </w:pPr>
            <w:r w:rsidRPr="006822CA">
              <w:rPr>
                <w:sz w:val="24"/>
                <w:szCs w:val="24"/>
              </w:rPr>
              <w:t>127,349</w:t>
            </w:r>
          </w:p>
        </w:tc>
      </w:tr>
      <w:tr w:rsidR="007742EF" w:rsidRPr="00D948C1" w14:paraId="7980527F" w14:textId="77777777" w:rsidTr="0078602B">
        <w:tc>
          <w:tcPr>
            <w:tcW w:w="2630" w:type="pct"/>
          </w:tcPr>
          <w:p w14:paraId="3BF45836" w14:textId="77777777" w:rsidR="007742EF" w:rsidRPr="00D948C1" w:rsidRDefault="007742EF" w:rsidP="007742EF">
            <w:pPr>
              <w:rPr>
                <w:szCs w:val="24"/>
              </w:rPr>
            </w:pPr>
            <w:r w:rsidRPr="00D948C1">
              <w:rPr>
                <w:szCs w:val="24"/>
              </w:rPr>
              <w:t>Intangible Assets</w:t>
            </w:r>
          </w:p>
        </w:tc>
        <w:tc>
          <w:tcPr>
            <w:tcW w:w="577" w:type="pct"/>
          </w:tcPr>
          <w:p w14:paraId="5E44D793" w14:textId="6ECE6E84" w:rsidR="007742EF" w:rsidRPr="00D948C1" w:rsidRDefault="007742EF" w:rsidP="007742EF">
            <w:pPr>
              <w:jc w:val="center"/>
              <w:rPr>
                <w:rStyle w:val="Hyperlink"/>
              </w:rPr>
            </w:pPr>
            <w:hyperlink w:anchor="N7" w:history="1">
              <w:r w:rsidRPr="00D948C1">
                <w:rPr>
                  <w:rStyle w:val="Hyperlink"/>
                  <w:szCs w:val="24"/>
                </w:rPr>
                <w:t>7</w:t>
              </w:r>
            </w:hyperlink>
          </w:p>
        </w:tc>
        <w:tc>
          <w:tcPr>
            <w:tcW w:w="862" w:type="pct"/>
            <w:vAlign w:val="center"/>
          </w:tcPr>
          <w:p w14:paraId="27E8EF3A" w14:textId="6085EBD3" w:rsidR="007742EF" w:rsidRPr="006D3B27" w:rsidRDefault="00BD12FB" w:rsidP="007742EF">
            <w:pPr>
              <w:pStyle w:val="CommentText"/>
              <w:tabs>
                <w:tab w:val="decimal" w:pos="1350"/>
              </w:tabs>
              <w:jc w:val="right"/>
              <w:rPr>
                <w:sz w:val="24"/>
                <w:szCs w:val="24"/>
              </w:rPr>
            </w:pPr>
            <w:r w:rsidRPr="006D3B27">
              <w:rPr>
                <w:sz w:val="24"/>
                <w:szCs w:val="24"/>
              </w:rPr>
              <w:t>467</w:t>
            </w:r>
          </w:p>
        </w:tc>
        <w:tc>
          <w:tcPr>
            <w:tcW w:w="931" w:type="pct"/>
            <w:vAlign w:val="center"/>
          </w:tcPr>
          <w:p w14:paraId="6F6A82A0" w14:textId="4145A325" w:rsidR="007742EF" w:rsidRPr="006822CA" w:rsidRDefault="007742EF" w:rsidP="007742EF">
            <w:pPr>
              <w:pStyle w:val="CommentText"/>
              <w:tabs>
                <w:tab w:val="decimal" w:pos="1350"/>
              </w:tabs>
              <w:jc w:val="right"/>
              <w:rPr>
                <w:sz w:val="24"/>
                <w:szCs w:val="24"/>
              </w:rPr>
            </w:pPr>
            <w:r w:rsidRPr="006822CA">
              <w:rPr>
                <w:sz w:val="24"/>
                <w:szCs w:val="24"/>
              </w:rPr>
              <w:t>453</w:t>
            </w:r>
          </w:p>
        </w:tc>
      </w:tr>
      <w:tr w:rsidR="007742EF" w:rsidRPr="00D948C1" w14:paraId="237B57EA" w14:textId="77777777" w:rsidTr="0078602B">
        <w:tc>
          <w:tcPr>
            <w:tcW w:w="2630" w:type="pct"/>
            <w:tcBorders>
              <w:top w:val="single" w:sz="4" w:space="0" w:color="auto"/>
              <w:left w:val="single" w:sz="4" w:space="0" w:color="auto"/>
              <w:bottom w:val="single" w:sz="4" w:space="0" w:color="auto"/>
              <w:right w:val="single" w:sz="4" w:space="0" w:color="auto"/>
            </w:tcBorders>
          </w:tcPr>
          <w:p w14:paraId="5EDFA5D7" w14:textId="50274D83" w:rsidR="007742EF" w:rsidRPr="00D948C1" w:rsidRDefault="007742EF" w:rsidP="007742EF">
            <w:pPr>
              <w:rPr>
                <w:bCs/>
                <w:szCs w:val="24"/>
              </w:rPr>
            </w:pPr>
            <w:r w:rsidRPr="00D948C1">
              <w:rPr>
                <w:bCs/>
                <w:szCs w:val="24"/>
              </w:rPr>
              <w:t>Long-Term Assets total</w:t>
            </w:r>
          </w:p>
        </w:tc>
        <w:tc>
          <w:tcPr>
            <w:tcW w:w="577" w:type="pct"/>
            <w:tcBorders>
              <w:top w:val="single" w:sz="4" w:space="0" w:color="auto"/>
              <w:left w:val="single" w:sz="4" w:space="0" w:color="auto"/>
              <w:bottom w:val="single" w:sz="4" w:space="0" w:color="auto"/>
              <w:right w:val="single" w:sz="4" w:space="0" w:color="auto"/>
            </w:tcBorders>
          </w:tcPr>
          <w:p w14:paraId="0B46DEE8" w14:textId="77777777" w:rsidR="007742EF" w:rsidRPr="00D948C1" w:rsidRDefault="007742EF" w:rsidP="007742EF">
            <w:pPr>
              <w:jc w:val="center"/>
              <w:rPr>
                <w:rStyle w:val="Hyperlink"/>
              </w:rPr>
            </w:pPr>
          </w:p>
        </w:tc>
        <w:tc>
          <w:tcPr>
            <w:tcW w:w="862" w:type="pct"/>
            <w:tcBorders>
              <w:top w:val="single" w:sz="4" w:space="0" w:color="auto"/>
              <w:left w:val="single" w:sz="4" w:space="0" w:color="auto"/>
              <w:bottom w:val="single" w:sz="4" w:space="0" w:color="auto"/>
              <w:right w:val="single" w:sz="4" w:space="0" w:color="auto"/>
            </w:tcBorders>
            <w:vAlign w:val="center"/>
          </w:tcPr>
          <w:p w14:paraId="44EA07F7" w14:textId="38DC6342" w:rsidR="007742EF" w:rsidRPr="006D3B27" w:rsidRDefault="00232F9D" w:rsidP="007742EF">
            <w:pPr>
              <w:pStyle w:val="CommentText"/>
              <w:tabs>
                <w:tab w:val="decimal" w:pos="1350"/>
              </w:tabs>
              <w:jc w:val="right"/>
              <w:rPr>
                <w:sz w:val="24"/>
                <w:szCs w:val="24"/>
              </w:rPr>
            </w:pPr>
            <w:r w:rsidRPr="006D3B27">
              <w:rPr>
                <w:sz w:val="24"/>
                <w:szCs w:val="24"/>
              </w:rPr>
              <w:t>130,043</w:t>
            </w:r>
          </w:p>
        </w:tc>
        <w:tc>
          <w:tcPr>
            <w:tcW w:w="931" w:type="pct"/>
            <w:tcBorders>
              <w:top w:val="single" w:sz="4" w:space="0" w:color="auto"/>
              <w:left w:val="single" w:sz="4" w:space="0" w:color="auto"/>
              <w:bottom w:val="single" w:sz="4" w:space="0" w:color="auto"/>
              <w:right w:val="single" w:sz="4" w:space="0" w:color="auto"/>
            </w:tcBorders>
            <w:vAlign w:val="center"/>
          </w:tcPr>
          <w:p w14:paraId="6241291A" w14:textId="0DB9E962" w:rsidR="007742EF" w:rsidRPr="006822CA" w:rsidRDefault="007742EF" w:rsidP="007742EF">
            <w:pPr>
              <w:pStyle w:val="CommentText"/>
              <w:tabs>
                <w:tab w:val="decimal" w:pos="1350"/>
              </w:tabs>
              <w:jc w:val="right"/>
              <w:rPr>
                <w:sz w:val="24"/>
                <w:szCs w:val="24"/>
              </w:rPr>
            </w:pPr>
            <w:r w:rsidRPr="006822CA">
              <w:rPr>
                <w:sz w:val="24"/>
                <w:szCs w:val="24"/>
              </w:rPr>
              <w:t>127,802</w:t>
            </w:r>
          </w:p>
        </w:tc>
      </w:tr>
    </w:tbl>
    <w:p w14:paraId="6F3A0AD9" w14:textId="77777777" w:rsidR="00FA18E2" w:rsidRPr="00D948C1" w:rsidRDefault="00FA18E2"/>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1095"/>
        <w:gridCol w:w="1707"/>
        <w:gridCol w:w="1880"/>
      </w:tblGrid>
      <w:tr w:rsidR="00233A66" w:rsidRPr="00D948C1" w14:paraId="28F43B9A" w14:textId="77777777" w:rsidTr="00036C34">
        <w:tc>
          <w:tcPr>
            <w:tcW w:w="5000" w:type="pct"/>
            <w:gridSpan w:val="4"/>
            <w:shd w:val="clear" w:color="auto" w:fill="D9D9D9" w:themeFill="background1" w:themeFillShade="D9"/>
          </w:tcPr>
          <w:p w14:paraId="72C5CA71" w14:textId="2EB7E633" w:rsidR="00233A66" w:rsidRPr="00D948C1" w:rsidRDefault="00233A66" w:rsidP="00F32423">
            <w:pPr>
              <w:tabs>
                <w:tab w:val="decimal" w:pos="601"/>
                <w:tab w:val="decimal" w:pos="1350"/>
              </w:tabs>
              <w:rPr>
                <w:szCs w:val="24"/>
              </w:rPr>
            </w:pPr>
            <w:r w:rsidRPr="00D948C1">
              <w:rPr>
                <w:b/>
                <w:szCs w:val="24"/>
              </w:rPr>
              <w:t>Current Assets</w:t>
            </w:r>
          </w:p>
        </w:tc>
      </w:tr>
      <w:tr w:rsidR="007742EF" w:rsidRPr="00D948C1" w14:paraId="4ED860C4" w14:textId="77777777" w:rsidTr="0078602B">
        <w:tc>
          <w:tcPr>
            <w:tcW w:w="2682" w:type="pct"/>
          </w:tcPr>
          <w:p w14:paraId="44AC8B40" w14:textId="77777777" w:rsidR="007742EF" w:rsidRPr="00D948C1" w:rsidRDefault="007742EF" w:rsidP="007742EF">
            <w:pPr>
              <w:rPr>
                <w:szCs w:val="24"/>
              </w:rPr>
            </w:pPr>
            <w:r w:rsidRPr="00D948C1">
              <w:rPr>
                <w:szCs w:val="24"/>
              </w:rPr>
              <w:t>Inventories</w:t>
            </w:r>
          </w:p>
        </w:tc>
        <w:tc>
          <w:tcPr>
            <w:tcW w:w="542" w:type="pct"/>
          </w:tcPr>
          <w:p w14:paraId="0B5C6E20" w14:textId="77777777" w:rsidR="007742EF" w:rsidRPr="00D948C1" w:rsidRDefault="007742EF" w:rsidP="007742EF">
            <w:pPr>
              <w:pStyle w:val="CommentText"/>
              <w:tabs>
                <w:tab w:val="decimal" w:pos="1350"/>
              </w:tabs>
              <w:jc w:val="right"/>
              <w:rPr>
                <w:sz w:val="24"/>
                <w:szCs w:val="24"/>
              </w:rPr>
            </w:pPr>
          </w:p>
        </w:tc>
        <w:tc>
          <w:tcPr>
            <w:tcW w:w="845" w:type="pct"/>
            <w:vAlign w:val="center"/>
          </w:tcPr>
          <w:p w14:paraId="2A66E30E" w14:textId="7E1C47EA" w:rsidR="007742EF" w:rsidRPr="006D3B27" w:rsidRDefault="00232F9D" w:rsidP="007742EF">
            <w:pPr>
              <w:pStyle w:val="CommentText"/>
              <w:tabs>
                <w:tab w:val="decimal" w:pos="1350"/>
              </w:tabs>
              <w:jc w:val="right"/>
              <w:rPr>
                <w:sz w:val="24"/>
                <w:szCs w:val="24"/>
              </w:rPr>
            </w:pPr>
            <w:r w:rsidRPr="006D3B27">
              <w:rPr>
                <w:sz w:val="24"/>
                <w:szCs w:val="24"/>
              </w:rPr>
              <w:t>318</w:t>
            </w:r>
          </w:p>
        </w:tc>
        <w:tc>
          <w:tcPr>
            <w:tcW w:w="931" w:type="pct"/>
            <w:vAlign w:val="center"/>
          </w:tcPr>
          <w:p w14:paraId="495F4317" w14:textId="0613C117" w:rsidR="007742EF" w:rsidRPr="006822CA" w:rsidRDefault="007742EF" w:rsidP="007742EF">
            <w:pPr>
              <w:pStyle w:val="CommentText"/>
              <w:tabs>
                <w:tab w:val="decimal" w:pos="1350"/>
              </w:tabs>
              <w:jc w:val="right"/>
              <w:rPr>
                <w:sz w:val="24"/>
                <w:szCs w:val="24"/>
              </w:rPr>
            </w:pPr>
            <w:r w:rsidRPr="006822CA">
              <w:rPr>
                <w:sz w:val="24"/>
                <w:szCs w:val="24"/>
              </w:rPr>
              <w:t>333</w:t>
            </w:r>
          </w:p>
        </w:tc>
      </w:tr>
      <w:tr w:rsidR="007742EF" w:rsidRPr="00D948C1" w14:paraId="22C73D30" w14:textId="77777777" w:rsidTr="0078602B">
        <w:tc>
          <w:tcPr>
            <w:tcW w:w="2682" w:type="pct"/>
          </w:tcPr>
          <w:p w14:paraId="0819A495" w14:textId="2B4A68D4" w:rsidR="007742EF" w:rsidRPr="00D948C1" w:rsidRDefault="007742EF" w:rsidP="007742EF">
            <w:pPr>
              <w:rPr>
                <w:szCs w:val="24"/>
              </w:rPr>
            </w:pPr>
            <w:r w:rsidRPr="00D948C1">
              <w:rPr>
                <w:szCs w:val="24"/>
              </w:rPr>
              <w:t>Short-Term Investments</w:t>
            </w:r>
          </w:p>
        </w:tc>
        <w:tc>
          <w:tcPr>
            <w:tcW w:w="542" w:type="pct"/>
          </w:tcPr>
          <w:p w14:paraId="44E5CE6B" w14:textId="0F3BB338" w:rsidR="007742EF" w:rsidRPr="00D948C1" w:rsidRDefault="007742EF" w:rsidP="007742EF">
            <w:pPr>
              <w:jc w:val="center"/>
              <w:rPr>
                <w:rStyle w:val="Hyperlink"/>
              </w:rPr>
            </w:pPr>
            <w:hyperlink w:anchor="N8" w:history="1">
              <w:r w:rsidRPr="00D948C1">
                <w:rPr>
                  <w:rStyle w:val="Hyperlink"/>
                  <w:szCs w:val="24"/>
                </w:rPr>
                <w:t>8</w:t>
              </w:r>
            </w:hyperlink>
          </w:p>
        </w:tc>
        <w:tc>
          <w:tcPr>
            <w:tcW w:w="845" w:type="pct"/>
            <w:vAlign w:val="center"/>
          </w:tcPr>
          <w:p w14:paraId="5ACB8F9D" w14:textId="7D7B8EC9" w:rsidR="007742EF" w:rsidRPr="006D3B27" w:rsidRDefault="00232F9D" w:rsidP="007742EF">
            <w:pPr>
              <w:pStyle w:val="CommentText"/>
              <w:tabs>
                <w:tab w:val="decimal" w:pos="1350"/>
              </w:tabs>
              <w:jc w:val="right"/>
              <w:rPr>
                <w:sz w:val="24"/>
                <w:szCs w:val="24"/>
              </w:rPr>
            </w:pPr>
            <w:r w:rsidRPr="006D3B27">
              <w:rPr>
                <w:sz w:val="24"/>
                <w:szCs w:val="24"/>
              </w:rPr>
              <w:t>49,540</w:t>
            </w:r>
          </w:p>
        </w:tc>
        <w:tc>
          <w:tcPr>
            <w:tcW w:w="931" w:type="pct"/>
            <w:vAlign w:val="center"/>
          </w:tcPr>
          <w:p w14:paraId="4992FAF0" w14:textId="2E3D25ED" w:rsidR="007742EF" w:rsidRPr="006822CA" w:rsidRDefault="007742EF" w:rsidP="007742EF">
            <w:pPr>
              <w:pStyle w:val="CommentText"/>
              <w:tabs>
                <w:tab w:val="decimal" w:pos="1350"/>
              </w:tabs>
              <w:jc w:val="right"/>
              <w:rPr>
                <w:sz w:val="24"/>
                <w:szCs w:val="24"/>
              </w:rPr>
            </w:pPr>
            <w:r w:rsidRPr="006822CA">
              <w:rPr>
                <w:sz w:val="24"/>
                <w:szCs w:val="24"/>
              </w:rPr>
              <w:t>23,500</w:t>
            </w:r>
          </w:p>
        </w:tc>
      </w:tr>
      <w:tr w:rsidR="007742EF" w:rsidRPr="00D948C1" w14:paraId="65768B4B" w14:textId="77777777" w:rsidTr="0078602B">
        <w:tc>
          <w:tcPr>
            <w:tcW w:w="2682" w:type="pct"/>
          </w:tcPr>
          <w:p w14:paraId="50910678" w14:textId="0ACDF279" w:rsidR="007742EF" w:rsidRPr="00D948C1" w:rsidRDefault="007742EF" w:rsidP="007742EF">
            <w:pPr>
              <w:rPr>
                <w:szCs w:val="24"/>
              </w:rPr>
            </w:pPr>
            <w:r w:rsidRPr="00D948C1">
              <w:rPr>
                <w:szCs w:val="24"/>
              </w:rPr>
              <w:t>Short-Term Debtors</w:t>
            </w:r>
          </w:p>
        </w:tc>
        <w:tc>
          <w:tcPr>
            <w:tcW w:w="542" w:type="pct"/>
          </w:tcPr>
          <w:p w14:paraId="31553430" w14:textId="00572797" w:rsidR="007742EF" w:rsidRPr="00D948C1" w:rsidRDefault="007742EF" w:rsidP="007742EF">
            <w:pPr>
              <w:jc w:val="center"/>
              <w:rPr>
                <w:rStyle w:val="Hyperlink"/>
              </w:rPr>
            </w:pPr>
            <w:hyperlink w:anchor="N9" w:history="1">
              <w:r w:rsidRPr="00D948C1">
                <w:rPr>
                  <w:rStyle w:val="Hyperlink"/>
                  <w:szCs w:val="24"/>
                </w:rPr>
                <w:t>9</w:t>
              </w:r>
            </w:hyperlink>
          </w:p>
        </w:tc>
        <w:tc>
          <w:tcPr>
            <w:tcW w:w="845" w:type="pct"/>
            <w:vAlign w:val="center"/>
          </w:tcPr>
          <w:p w14:paraId="66B211AB" w14:textId="73336E9D" w:rsidR="007742EF" w:rsidRPr="006D3B27" w:rsidRDefault="00232F9D" w:rsidP="007742EF">
            <w:pPr>
              <w:pStyle w:val="CommentText"/>
              <w:tabs>
                <w:tab w:val="decimal" w:pos="1350"/>
              </w:tabs>
              <w:jc w:val="right"/>
              <w:rPr>
                <w:sz w:val="24"/>
                <w:szCs w:val="24"/>
              </w:rPr>
            </w:pPr>
            <w:r w:rsidRPr="006D3B27">
              <w:rPr>
                <w:sz w:val="24"/>
                <w:szCs w:val="24"/>
              </w:rPr>
              <w:t>7,925</w:t>
            </w:r>
          </w:p>
        </w:tc>
        <w:tc>
          <w:tcPr>
            <w:tcW w:w="931" w:type="pct"/>
            <w:vAlign w:val="center"/>
          </w:tcPr>
          <w:p w14:paraId="08634E3C" w14:textId="331AEA71" w:rsidR="007742EF" w:rsidRPr="006822CA" w:rsidRDefault="007742EF" w:rsidP="007742EF">
            <w:pPr>
              <w:pStyle w:val="CommentText"/>
              <w:tabs>
                <w:tab w:val="decimal" w:pos="1350"/>
              </w:tabs>
              <w:jc w:val="right"/>
              <w:rPr>
                <w:sz w:val="24"/>
                <w:szCs w:val="24"/>
              </w:rPr>
            </w:pPr>
            <w:r w:rsidRPr="006822CA">
              <w:rPr>
                <w:sz w:val="24"/>
                <w:szCs w:val="24"/>
              </w:rPr>
              <w:t>18,604</w:t>
            </w:r>
          </w:p>
        </w:tc>
      </w:tr>
      <w:tr w:rsidR="007742EF" w:rsidRPr="00D948C1" w14:paraId="114D9BE9" w14:textId="77777777" w:rsidTr="0078602B">
        <w:tc>
          <w:tcPr>
            <w:tcW w:w="2682" w:type="pct"/>
          </w:tcPr>
          <w:p w14:paraId="6B0C0EBB" w14:textId="77777777" w:rsidR="007742EF" w:rsidRPr="00D948C1" w:rsidRDefault="007742EF" w:rsidP="007742EF">
            <w:pPr>
              <w:rPr>
                <w:szCs w:val="24"/>
              </w:rPr>
            </w:pPr>
            <w:r w:rsidRPr="00D948C1">
              <w:rPr>
                <w:szCs w:val="24"/>
              </w:rPr>
              <w:t>Cash &amp; Cash Equivalents</w:t>
            </w:r>
          </w:p>
        </w:tc>
        <w:tc>
          <w:tcPr>
            <w:tcW w:w="542" w:type="pct"/>
          </w:tcPr>
          <w:p w14:paraId="583A6042" w14:textId="2A9680D5" w:rsidR="007742EF" w:rsidRPr="00D948C1" w:rsidRDefault="007742EF" w:rsidP="007742EF">
            <w:pPr>
              <w:jc w:val="center"/>
              <w:rPr>
                <w:rStyle w:val="Hyperlink"/>
              </w:rPr>
            </w:pPr>
            <w:hyperlink w:anchor="N10" w:history="1">
              <w:r w:rsidRPr="00D948C1">
                <w:rPr>
                  <w:rStyle w:val="Hyperlink"/>
                  <w:szCs w:val="24"/>
                </w:rPr>
                <w:t>10</w:t>
              </w:r>
            </w:hyperlink>
          </w:p>
        </w:tc>
        <w:tc>
          <w:tcPr>
            <w:tcW w:w="845" w:type="pct"/>
            <w:vAlign w:val="center"/>
          </w:tcPr>
          <w:p w14:paraId="489DFF37" w14:textId="1D7678CD" w:rsidR="007742EF" w:rsidRPr="006D3B27" w:rsidRDefault="00232F9D" w:rsidP="007742EF">
            <w:pPr>
              <w:pStyle w:val="CommentText"/>
              <w:tabs>
                <w:tab w:val="decimal" w:pos="1350"/>
              </w:tabs>
              <w:jc w:val="right"/>
              <w:rPr>
                <w:sz w:val="24"/>
                <w:szCs w:val="24"/>
              </w:rPr>
            </w:pPr>
            <w:r w:rsidRPr="006D3B27">
              <w:rPr>
                <w:sz w:val="24"/>
                <w:szCs w:val="24"/>
              </w:rPr>
              <w:t>582</w:t>
            </w:r>
          </w:p>
        </w:tc>
        <w:tc>
          <w:tcPr>
            <w:tcW w:w="931" w:type="pct"/>
            <w:vAlign w:val="center"/>
          </w:tcPr>
          <w:p w14:paraId="43E0CDB0" w14:textId="76AE11D3" w:rsidR="007742EF" w:rsidRPr="006822CA" w:rsidRDefault="007742EF" w:rsidP="007742EF">
            <w:pPr>
              <w:tabs>
                <w:tab w:val="decimal" w:pos="1350"/>
              </w:tabs>
              <w:jc w:val="right"/>
              <w:rPr>
                <w:szCs w:val="24"/>
              </w:rPr>
            </w:pPr>
            <w:r w:rsidRPr="006822CA">
              <w:rPr>
                <w:szCs w:val="24"/>
              </w:rPr>
              <w:t>4,297</w:t>
            </w:r>
          </w:p>
        </w:tc>
      </w:tr>
      <w:tr w:rsidR="007742EF" w:rsidRPr="00D948C1" w14:paraId="6E20B2F6" w14:textId="77777777" w:rsidTr="0078602B">
        <w:trPr>
          <w:trHeight w:val="182"/>
        </w:trPr>
        <w:tc>
          <w:tcPr>
            <w:tcW w:w="2682" w:type="pct"/>
          </w:tcPr>
          <w:p w14:paraId="13A28AC3" w14:textId="54D5EB18" w:rsidR="007742EF" w:rsidRPr="00D948C1" w:rsidRDefault="007742EF" w:rsidP="007742EF">
            <w:pPr>
              <w:rPr>
                <w:szCs w:val="24"/>
              </w:rPr>
            </w:pPr>
            <w:r w:rsidRPr="00D948C1">
              <w:rPr>
                <w:szCs w:val="24"/>
              </w:rPr>
              <w:t>Current Assets total</w:t>
            </w:r>
          </w:p>
        </w:tc>
        <w:tc>
          <w:tcPr>
            <w:tcW w:w="542" w:type="pct"/>
          </w:tcPr>
          <w:p w14:paraId="5587BAAD" w14:textId="77777777" w:rsidR="007742EF" w:rsidRPr="00D948C1" w:rsidRDefault="007742EF" w:rsidP="007742EF">
            <w:pPr>
              <w:pStyle w:val="CommentText"/>
              <w:tabs>
                <w:tab w:val="decimal" w:pos="1350"/>
              </w:tabs>
              <w:jc w:val="right"/>
              <w:rPr>
                <w:sz w:val="24"/>
                <w:szCs w:val="24"/>
              </w:rPr>
            </w:pPr>
          </w:p>
        </w:tc>
        <w:tc>
          <w:tcPr>
            <w:tcW w:w="845" w:type="pct"/>
            <w:vAlign w:val="center"/>
          </w:tcPr>
          <w:p w14:paraId="5DB228D7" w14:textId="6B429BFC" w:rsidR="007742EF" w:rsidRPr="006D3B27" w:rsidRDefault="00232F9D" w:rsidP="007742EF">
            <w:pPr>
              <w:pStyle w:val="CommentText"/>
              <w:tabs>
                <w:tab w:val="decimal" w:pos="1350"/>
              </w:tabs>
              <w:jc w:val="right"/>
              <w:rPr>
                <w:sz w:val="24"/>
                <w:szCs w:val="24"/>
              </w:rPr>
            </w:pPr>
            <w:r w:rsidRPr="006D3B27">
              <w:rPr>
                <w:sz w:val="24"/>
                <w:szCs w:val="24"/>
              </w:rPr>
              <w:t>58,365</w:t>
            </w:r>
          </w:p>
        </w:tc>
        <w:tc>
          <w:tcPr>
            <w:tcW w:w="931" w:type="pct"/>
            <w:vAlign w:val="center"/>
          </w:tcPr>
          <w:p w14:paraId="7EDD236E" w14:textId="76F605FF" w:rsidR="007742EF" w:rsidRPr="006822CA" w:rsidRDefault="007742EF" w:rsidP="007742EF">
            <w:pPr>
              <w:pStyle w:val="CommentText"/>
              <w:tabs>
                <w:tab w:val="decimal" w:pos="1350"/>
              </w:tabs>
              <w:jc w:val="right"/>
              <w:rPr>
                <w:sz w:val="24"/>
                <w:szCs w:val="24"/>
              </w:rPr>
            </w:pPr>
            <w:r w:rsidRPr="006822CA">
              <w:rPr>
                <w:sz w:val="24"/>
                <w:szCs w:val="24"/>
              </w:rPr>
              <w:t>46,734</w:t>
            </w:r>
          </w:p>
        </w:tc>
      </w:tr>
    </w:tbl>
    <w:p w14:paraId="20BF2C6E" w14:textId="77777777" w:rsidR="00FA18E2" w:rsidRPr="00D948C1" w:rsidRDefault="00FA18E2"/>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1079"/>
        <w:gridCol w:w="1757"/>
        <w:gridCol w:w="1883"/>
      </w:tblGrid>
      <w:tr w:rsidR="00233A66" w:rsidRPr="00D948C1" w14:paraId="29A85218" w14:textId="77777777" w:rsidTr="00BC3251">
        <w:tc>
          <w:tcPr>
            <w:tcW w:w="5000" w:type="pct"/>
            <w:gridSpan w:val="4"/>
            <w:shd w:val="clear" w:color="auto" w:fill="D9D9D9" w:themeFill="background1" w:themeFillShade="D9"/>
          </w:tcPr>
          <w:p w14:paraId="4FA02FE7" w14:textId="53B47043" w:rsidR="00233A66" w:rsidRPr="00D948C1" w:rsidRDefault="00233A66" w:rsidP="00F32423">
            <w:pPr>
              <w:tabs>
                <w:tab w:val="decimal" w:pos="601"/>
                <w:tab w:val="decimal" w:pos="792"/>
                <w:tab w:val="decimal" w:pos="1350"/>
              </w:tabs>
              <w:rPr>
                <w:szCs w:val="24"/>
              </w:rPr>
            </w:pPr>
            <w:r w:rsidRPr="00D948C1">
              <w:rPr>
                <w:b/>
                <w:szCs w:val="24"/>
              </w:rPr>
              <w:t>Current Liabilities</w:t>
            </w:r>
          </w:p>
        </w:tc>
      </w:tr>
      <w:tr w:rsidR="008D004B" w:rsidRPr="00D948C1" w14:paraId="501D220B" w14:textId="77777777" w:rsidTr="0078602B">
        <w:tc>
          <w:tcPr>
            <w:tcW w:w="2664" w:type="pct"/>
          </w:tcPr>
          <w:p w14:paraId="2BE9D03D" w14:textId="41D5AB77" w:rsidR="008D004B" w:rsidRPr="00D948C1" w:rsidRDefault="008D004B" w:rsidP="007742EF">
            <w:pPr>
              <w:rPr>
                <w:szCs w:val="24"/>
              </w:rPr>
            </w:pPr>
            <w:r>
              <w:rPr>
                <w:szCs w:val="24"/>
              </w:rPr>
              <w:t>Grants Received in Advance</w:t>
            </w:r>
          </w:p>
        </w:tc>
        <w:tc>
          <w:tcPr>
            <w:tcW w:w="534" w:type="pct"/>
          </w:tcPr>
          <w:p w14:paraId="43E6824F" w14:textId="71C0EC7C" w:rsidR="008D004B" w:rsidRDefault="008B5A0C" w:rsidP="007742EF">
            <w:pPr>
              <w:jc w:val="center"/>
            </w:pPr>
            <w:hyperlink w:anchor="_12_Grants_Received" w:history="1">
              <w:r>
                <w:rPr>
                  <w:rStyle w:val="Hyperlink"/>
                </w:rPr>
                <w:t>12</w:t>
              </w:r>
            </w:hyperlink>
          </w:p>
        </w:tc>
        <w:tc>
          <w:tcPr>
            <w:tcW w:w="870" w:type="pct"/>
            <w:vAlign w:val="center"/>
          </w:tcPr>
          <w:p w14:paraId="7D21FBD8" w14:textId="2920D559" w:rsidR="008D004B" w:rsidRPr="006D3B27" w:rsidRDefault="00096C20" w:rsidP="007742EF">
            <w:pPr>
              <w:pStyle w:val="CommentText"/>
              <w:tabs>
                <w:tab w:val="decimal" w:pos="1350"/>
              </w:tabs>
              <w:jc w:val="right"/>
              <w:rPr>
                <w:sz w:val="24"/>
                <w:szCs w:val="24"/>
              </w:rPr>
            </w:pPr>
            <w:r>
              <w:rPr>
                <w:sz w:val="24"/>
                <w:szCs w:val="24"/>
              </w:rPr>
              <w:t>(4,581)</w:t>
            </w:r>
          </w:p>
        </w:tc>
        <w:tc>
          <w:tcPr>
            <w:tcW w:w="932" w:type="pct"/>
            <w:vAlign w:val="center"/>
          </w:tcPr>
          <w:p w14:paraId="1BC783EF" w14:textId="6BA57BBD" w:rsidR="008D004B" w:rsidRPr="006822CA" w:rsidRDefault="00096C20" w:rsidP="007742EF">
            <w:pPr>
              <w:tabs>
                <w:tab w:val="decimal" w:pos="1350"/>
              </w:tabs>
              <w:jc w:val="right"/>
              <w:rPr>
                <w:szCs w:val="24"/>
              </w:rPr>
            </w:pPr>
            <w:r>
              <w:rPr>
                <w:szCs w:val="24"/>
              </w:rPr>
              <w:t>-</w:t>
            </w:r>
          </w:p>
        </w:tc>
      </w:tr>
      <w:tr w:rsidR="007742EF" w:rsidRPr="00D948C1" w14:paraId="1743A6FC" w14:textId="77777777" w:rsidTr="0078602B">
        <w:tc>
          <w:tcPr>
            <w:tcW w:w="2664" w:type="pct"/>
          </w:tcPr>
          <w:p w14:paraId="0891E470" w14:textId="1BFCA8E6" w:rsidR="007742EF" w:rsidRPr="00D948C1" w:rsidRDefault="007742EF" w:rsidP="007742EF">
            <w:pPr>
              <w:rPr>
                <w:szCs w:val="24"/>
              </w:rPr>
            </w:pPr>
            <w:r w:rsidRPr="00D948C1">
              <w:rPr>
                <w:szCs w:val="24"/>
              </w:rPr>
              <w:t>Other Short-Term Liabilities</w:t>
            </w:r>
          </w:p>
        </w:tc>
        <w:tc>
          <w:tcPr>
            <w:tcW w:w="534" w:type="pct"/>
          </w:tcPr>
          <w:p w14:paraId="4FC16D61" w14:textId="11F40776" w:rsidR="007742EF" w:rsidRPr="00D948C1" w:rsidRDefault="007742EF" w:rsidP="007742EF">
            <w:pPr>
              <w:jc w:val="center"/>
              <w:rPr>
                <w:rStyle w:val="Hyperlink"/>
              </w:rPr>
            </w:pPr>
            <w:hyperlink w:anchor="N8" w:history="1">
              <w:r w:rsidRPr="00D948C1">
                <w:rPr>
                  <w:rStyle w:val="Hyperlink"/>
                  <w:szCs w:val="24"/>
                </w:rPr>
                <w:t>8</w:t>
              </w:r>
            </w:hyperlink>
          </w:p>
        </w:tc>
        <w:tc>
          <w:tcPr>
            <w:tcW w:w="870" w:type="pct"/>
            <w:vAlign w:val="center"/>
          </w:tcPr>
          <w:p w14:paraId="5FF559FA" w14:textId="2E158FA5" w:rsidR="007742EF" w:rsidRPr="006D3B27" w:rsidRDefault="00232F9D" w:rsidP="007742EF">
            <w:pPr>
              <w:pStyle w:val="CommentText"/>
              <w:tabs>
                <w:tab w:val="decimal" w:pos="1350"/>
              </w:tabs>
              <w:jc w:val="right"/>
              <w:rPr>
                <w:sz w:val="24"/>
                <w:szCs w:val="24"/>
              </w:rPr>
            </w:pPr>
            <w:r w:rsidRPr="006D3B27">
              <w:rPr>
                <w:sz w:val="24"/>
                <w:szCs w:val="24"/>
              </w:rPr>
              <w:t>(</w:t>
            </w:r>
            <w:r w:rsidR="00BA2A13">
              <w:rPr>
                <w:sz w:val="24"/>
                <w:szCs w:val="24"/>
              </w:rPr>
              <w:t>672</w:t>
            </w:r>
            <w:r w:rsidRPr="006D3B27">
              <w:rPr>
                <w:sz w:val="24"/>
                <w:szCs w:val="24"/>
              </w:rPr>
              <w:t>)</w:t>
            </w:r>
          </w:p>
        </w:tc>
        <w:tc>
          <w:tcPr>
            <w:tcW w:w="932" w:type="pct"/>
            <w:vAlign w:val="center"/>
          </w:tcPr>
          <w:p w14:paraId="5FD7A2A8" w14:textId="1D173ED6" w:rsidR="007742EF" w:rsidRPr="006822CA" w:rsidRDefault="007742EF" w:rsidP="007742EF">
            <w:pPr>
              <w:tabs>
                <w:tab w:val="decimal" w:pos="1350"/>
              </w:tabs>
              <w:jc w:val="right"/>
              <w:rPr>
                <w:szCs w:val="24"/>
              </w:rPr>
            </w:pPr>
            <w:r w:rsidRPr="006822CA">
              <w:rPr>
                <w:szCs w:val="24"/>
              </w:rPr>
              <w:t>(561)</w:t>
            </w:r>
          </w:p>
        </w:tc>
      </w:tr>
      <w:tr w:rsidR="007742EF" w:rsidRPr="00D948C1" w14:paraId="7549EB55" w14:textId="77777777" w:rsidTr="0078602B">
        <w:tc>
          <w:tcPr>
            <w:tcW w:w="2664" w:type="pct"/>
          </w:tcPr>
          <w:p w14:paraId="0D3640A2" w14:textId="1E90D3E5" w:rsidR="007742EF" w:rsidRPr="00D948C1" w:rsidRDefault="007742EF" w:rsidP="007742EF">
            <w:pPr>
              <w:rPr>
                <w:szCs w:val="24"/>
              </w:rPr>
            </w:pPr>
            <w:r w:rsidRPr="00D948C1">
              <w:rPr>
                <w:szCs w:val="24"/>
              </w:rPr>
              <w:t>Short-Term Creditors</w:t>
            </w:r>
          </w:p>
        </w:tc>
        <w:tc>
          <w:tcPr>
            <w:tcW w:w="534" w:type="pct"/>
          </w:tcPr>
          <w:p w14:paraId="443A5ADE" w14:textId="59CF02B2" w:rsidR="007742EF" w:rsidRPr="00D948C1" w:rsidRDefault="007742EF" w:rsidP="007742EF">
            <w:pPr>
              <w:jc w:val="center"/>
              <w:rPr>
                <w:rStyle w:val="Hyperlink"/>
              </w:rPr>
            </w:pPr>
            <w:hyperlink w:anchor="N11" w:history="1">
              <w:r w:rsidRPr="00D948C1">
                <w:rPr>
                  <w:rStyle w:val="Hyperlink"/>
                  <w:szCs w:val="24"/>
                </w:rPr>
                <w:t>11</w:t>
              </w:r>
            </w:hyperlink>
          </w:p>
        </w:tc>
        <w:tc>
          <w:tcPr>
            <w:tcW w:w="870" w:type="pct"/>
            <w:vAlign w:val="center"/>
          </w:tcPr>
          <w:p w14:paraId="755A5094" w14:textId="32BDF05F" w:rsidR="007742EF" w:rsidRPr="006D3B27" w:rsidRDefault="00232F9D" w:rsidP="007742EF">
            <w:pPr>
              <w:pStyle w:val="CommentText"/>
              <w:tabs>
                <w:tab w:val="decimal" w:pos="1350"/>
              </w:tabs>
              <w:jc w:val="right"/>
              <w:rPr>
                <w:sz w:val="24"/>
                <w:szCs w:val="24"/>
              </w:rPr>
            </w:pPr>
            <w:r w:rsidRPr="006D3B27">
              <w:rPr>
                <w:sz w:val="24"/>
                <w:szCs w:val="24"/>
              </w:rPr>
              <w:t>(14,732)</w:t>
            </w:r>
          </w:p>
        </w:tc>
        <w:tc>
          <w:tcPr>
            <w:tcW w:w="932" w:type="pct"/>
            <w:vAlign w:val="center"/>
          </w:tcPr>
          <w:p w14:paraId="6E4BF6DD" w14:textId="636E2010" w:rsidR="007742EF" w:rsidRPr="006822CA" w:rsidRDefault="007742EF" w:rsidP="007742EF">
            <w:pPr>
              <w:tabs>
                <w:tab w:val="decimal" w:pos="1350"/>
              </w:tabs>
              <w:jc w:val="right"/>
              <w:rPr>
                <w:szCs w:val="24"/>
              </w:rPr>
            </w:pPr>
            <w:r w:rsidRPr="006822CA">
              <w:rPr>
                <w:szCs w:val="24"/>
              </w:rPr>
              <w:t>(10,398)</w:t>
            </w:r>
          </w:p>
        </w:tc>
      </w:tr>
      <w:tr w:rsidR="007742EF" w:rsidRPr="00D948C1" w14:paraId="6E1B7B90" w14:textId="77777777" w:rsidTr="0078602B">
        <w:tc>
          <w:tcPr>
            <w:tcW w:w="2664" w:type="pct"/>
          </w:tcPr>
          <w:p w14:paraId="3FC19443" w14:textId="125D4B3A" w:rsidR="007742EF" w:rsidRPr="00D948C1" w:rsidRDefault="007742EF" w:rsidP="007742EF">
            <w:pPr>
              <w:rPr>
                <w:szCs w:val="24"/>
              </w:rPr>
            </w:pPr>
            <w:r w:rsidRPr="00D948C1">
              <w:rPr>
                <w:szCs w:val="24"/>
              </w:rPr>
              <w:t>Current Liabilities total</w:t>
            </w:r>
          </w:p>
        </w:tc>
        <w:tc>
          <w:tcPr>
            <w:tcW w:w="534" w:type="pct"/>
          </w:tcPr>
          <w:p w14:paraId="2123CB3D" w14:textId="77777777" w:rsidR="007742EF" w:rsidRPr="00D948C1" w:rsidRDefault="007742EF" w:rsidP="007742EF">
            <w:pPr>
              <w:pStyle w:val="CommentText"/>
              <w:tabs>
                <w:tab w:val="decimal" w:pos="1350"/>
              </w:tabs>
              <w:jc w:val="right"/>
              <w:rPr>
                <w:sz w:val="24"/>
                <w:szCs w:val="24"/>
              </w:rPr>
            </w:pPr>
          </w:p>
        </w:tc>
        <w:tc>
          <w:tcPr>
            <w:tcW w:w="870" w:type="pct"/>
            <w:vAlign w:val="center"/>
          </w:tcPr>
          <w:p w14:paraId="00619F91" w14:textId="15B34467" w:rsidR="007742EF" w:rsidRPr="006D3B27" w:rsidRDefault="00C22975" w:rsidP="007742EF">
            <w:pPr>
              <w:pStyle w:val="CommentText"/>
              <w:tabs>
                <w:tab w:val="decimal" w:pos="1350"/>
              </w:tabs>
              <w:jc w:val="right"/>
              <w:rPr>
                <w:sz w:val="24"/>
                <w:szCs w:val="24"/>
              </w:rPr>
            </w:pPr>
            <w:r w:rsidRPr="006D3B27">
              <w:rPr>
                <w:sz w:val="24"/>
                <w:szCs w:val="24"/>
              </w:rPr>
              <w:t>(19,984)</w:t>
            </w:r>
          </w:p>
        </w:tc>
        <w:tc>
          <w:tcPr>
            <w:tcW w:w="932" w:type="pct"/>
            <w:vAlign w:val="center"/>
          </w:tcPr>
          <w:p w14:paraId="06BCD108" w14:textId="757F348A" w:rsidR="007742EF" w:rsidRPr="006822CA" w:rsidRDefault="007742EF" w:rsidP="007742EF">
            <w:pPr>
              <w:tabs>
                <w:tab w:val="decimal" w:pos="1350"/>
              </w:tabs>
              <w:jc w:val="right"/>
              <w:rPr>
                <w:szCs w:val="24"/>
              </w:rPr>
            </w:pPr>
            <w:r w:rsidRPr="006822CA">
              <w:rPr>
                <w:szCs w:val="24"/>
              </w:rPr>
              <w:t>(10,959)</w:t>
            </w:r>
          </w:p>
        </w:tc>
      </w:tr>
    </w:tbl>
    <w:p w14:paraId="61184CB4" w14:textId="77777777" w:rsidR="00FA18E2" w:rsidRPr="00D948C1" w:rsidRDefault="00FA18E2"/>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1"/>
        <w:gridCol w:w="1066"/>
        <w:gridCol w:w="1759"/>
        <w:gridCol w:w="1882"/>
      </w:tblGrid>
      <w:tr w:rsidR="00233A66" w:rsidRPr="00D948C1" w14:paraId="27F6061F" w14:textId="77777777" w:rsidTr="00036C34">
        <w:tc>
          <w:tcPr>
            <w:tcW w:w="5000" w:type="pct"/>
            <w:gridSpan w:val="4"/>
            <w:shd w:val="clear" w:color="auto" w:fill="D9D9D9" w:themeFill="background1" w:themeFillShade="D9"/>
          </w:tcPr>
          <w:p w14:paraId="1C6C4436" w14:textId="16D6C305" w:rsidR="00233A66" w:rsidRPr="00D948C1" w:rsidRDefault="00233A66" w:rsidP="00F32423">
            <w:pPr>
              <w:tabs>
                <w:tab w:val="decimal" w:pos="601"/>
                <w:tab w:val="decimal" w:pos="703"/>
                <w:tab w:val="decimal" w:pos="1350"/>
              </w:tabs>
              <w:rPr>
                <w:szCs w:val="24"/>
              </w:rPr>
            </w:pPr>
            <w:r w:rsidRPr="00D948C1">
              <w:rPr>
                <w:b/>
                <w:szCs w:val="24"/>
              </w:rPr>
              <w:t>Long-Term Liabilities</w:t>
            </w:r>
          </w:p>
        </w:tc>
      </w:tr>
      <w:tr w:rsidR="007742EF" w:rsidRPr="00D948C1" w14:paraId="43ED1FCE" w14:textId="77777777" w:rsidTr="0078602B">
        <w:tc>
          <w:tcPr>
            <w:tcW w:w="2669" w:type="pct"/>
          </w:tcPr>
          <w:p w14:paraId="04B39D92" w14:textId="02A0F20D" w:rsidR="007742EF" w:rsidRPr="00D948C1" w:rsidRDefault="007742EF" w:rsidP="007742EF">
            <w:pPr>
              <w:tabs>
                <w:tab w:val="left" w:pos="3900"/>
              </w:tabs>
              <w:rPr>
                <w:szCs w:val="24"/>
              </w:rPr>
            </w:pPr>
            <w:r w:rsidRPr="00D948C1">
              <w:rPr>
                <w:szCs w:val="24"/>
              </w:rPr>
              <w:t>Provisions</w:t>
            </w:r>
            <w:r w:rsidRPr="00D948C1">
              <w:rPr>
                <w:szCs w:val="24"/>
              </w:rPr>
              <w:tab/>
            </w:r>
          </w:p>
        </w:tc>
        <w:tc>
          <w:tcPr>
            <w:tcW w:w="528" w:type="pct"/>
          </w:tcPr>
          <w:p w14:paraId="3760958F" w14:textId="68B39548" w:rsidR="007742EF" w:rsidRPr="00D948C1" w:rsidRDefault="008B5A0C" w:rsidP="007742EF">
            <w:pPr>
              <w:jc w:val="center"/>
              <w:rPr>
                <w:rStyle w:val="Hyperlink"/>
              </w:rPr>
            </w:pPr>
            <w:hyperlink w:anchor="_13_Provisions" w:history="1">
              <w:r>
                <w:rPr>
                  <w:rStyle w:val="Hyperlink"/>
                  <w:szCs w:val="24"/>
                </w:rPr>
                <w:t>13</w:t>
              </w:r>
            </w:hyperlink>
          </w:p>
        </w:tc>
        <w:tc>
          <w:tcPr>
            <w:tcW w:w="871" w:type="pct"/>
            <w:vAlign w:val="center"/>
          </w:tcPr>
          <w:p w14:paraId="79B0A3A8" w14:textId="2E843FC3" w:rsidR="007742EF" w:rsidRPr="006D3B27" w:rsidRDefault="00C22975" w:rsidP="007742EF">
            <w:pPr>
              <w:pStyle w:val="CommentText"/>
              <w:tabs>
                <w:tab w:val="decimal" w:pos="1350"/>
              </w:tabs>
              <w:jc w:val="right"/>
              <w:rPr>
                <w:sz w:val="24"/>
                <w:szCs w:val="24"/>
              </w:rPr>
            </w:pPr>
            <w:r w:rsidRPr="006D3B27">
              <w:rPr>
                <w:sz w:val="24"/>
                <w:szCs w:val="24"/>
              </w:rPr>
              <w:t>(1,246)</w:t>
            </w:r>
          </w:p>
        </w:tc>
        <w:tc>
          <w:tcPr>
            <w:tcW w:w="931" w:type="pct"/>
            <w:vAlign w:val="center"/>
          </w:tcPr>
          <w:p w14:paraId="040F40B8" w14:textId="21080A33" w:rsidR="007742EF" w:rsidRPr="006822CA" w:rsidRDefault="007742EF" w:rsidP="007742EF">
            <w:pPr>
              <w:pStyle w:val="CommentText"/>
              <w:tabs>
                <w:tab w:val="decimal" w:pos="1350"/>
              </w:tabs>
              <w:jc w:val="right"/>
              <w:rPr>
                <w:sz w:val="24"/>
                <w:szCs w:val="24"/>
              </w:rPr>
            </w:pPr>
            <w:r w:rsidRPr="006822CA">
              <w:rPr>
                <w:sz w:val="24"/>
                <w:szCs w:val="24"/>
              </w:rPr>
              <w:t>(1,229)</w:t>
            </w:r>
          </w:p>
        </w:tc>
      </w:tr>
      <w:tr w:rsidR="007742EF" w:rsidRPr="00D948C1" w14:paraId="2D3B9564" w14:textId="77777777" w:rsidTr="0078602B">
        <w:tc>
          <w:tcPr>
            <w:tcW w:w="2669" w:type="pct"/>
          </w:tcPr>
          <w:p w14:paraId="7E042688" w14:textId="58B200C5" w:rsidR="007742EF" w:rsidRPr="00D948C1" w:rsidRDefault="007742EF" w:rsidP="007742EF">
            <w:pPr>
              <w:rPr>
                <w:szCs w:val="24"/>
              </w:rPr>
            </w:pPr>
            <w:r w:rsidRPr="00D948C1">
              <w:rPr>
                <w:szCs w:val="24"/>
              </w:rPr>
              <w:t>Long-Term Borrowing</w:t>
            </w:r>
          </w:p>
        </w:tc>
        <w:tc>
          <w:tcPr>
            <w:tcW w:w="528" w:type="pct"/>
          </w:tcPr>
          <w:p w14:paraId="7F4FB273" w14:textId="4F5063AA" w:rsidR="007742EF" w:rsidRPr="00D948C1" w:rsidRDefault="007742EF" w:rsidP="007742EF">
            <w:pPr>
              <w:jc w:val="center"/>
              <w:rPr>
                <w:rStyle w:val="Hyperlink"/>
              </w:rPr>
            </w:pPr>
            <w:hyperlink w:anchor="N8" w:history="1">
              <w:r w:rsidRPr="00D948C1">
                <w:rPr>
                  <w:rStyle w:val="Hyperlink"/>
                  <w:szCs w:val="24"/>
                </w:rPr>
                <w:t>8</w:t>
              </w:r>
            </w:hyperlink>
          </w:p>
        </w:tc>
        <w:tc>
          <w:tcPr>
            <w:tcW w:w="871" w:type="pct"/>
            <w:vAlign w:val="center"/>
          </w:tcPr>
          <w:p w14:paraId="004736CE" w14:textId="0B490DCC" w:rsidR="007742EF" w:rsidRPr="006D3B27" w:rsidRDefault="00C22975" w:rsidP="007742EF">
            <w:pPr>
              <w:pStyle w:val="CommentText"/>
              <w:tabs>
                <w:tab w:val="decimal" w:pos="1350"/>
              </w:tabs>
              <w:jc w:val="right"/>
              <w:rPr>
                <w:sz w:val="24"/>
                <w:szCs w:val="24"/>
              </w:rPr>
            </w:pPr>
            <w:r w:rsidRPr="006D3B27">
              <w:rPr>
                <w:sz w:val="24"/>
                <w:szCs w:val="24"/>
              </w:rPr>
              <w:t>(2,000)</w:t>
            </w:r>
          </w:p>
        </w:tc>
        <w:tc>
          <w:tcPr>
            <w:tcW w:w="931" w:type="pct"/>
            <w:vAlign w:val="center"/>
          </w:tcPr>
          <w:p w14:paraId="27FE3670" w14:textId="506E4DC5" w:rsidR="007742EF" w:rsidRPr="006822CA" w:rsidRDefault="007742EF" w:rsidP="007742EF">
            <w:pPr>
              <w:pStyle w:val="CommentText"/>
              <w:tabs>
                <w:tab w:val="decimal" w:pos="1350"/>
              </w:tabs>
              <w:jc w:val="right"/>
              <w:rPr>
                <w:sz w:val="24"/>
                <w:szCs w:val="24"/>
              </w:rPr>
            </w:pPr>
            <w:r w:rsidRPr="006822CA">
              <w:rPr>
                <w:sz w:val="24"/>
                <w:szCs w:val="24"/>
              </w:rPr>
              <w:t>(2,000)</w:t>
            </w:r>
          </w:p>
        </w:tc>
      </w:tr>
      <w:tr w:rsidR="007742EF" w:rsidRPr="00D948C1" w14:paraId="6C35C4CF" w14:textId="77777777" w:rsidTr="0078602B">
        <w:tc>
          <w:tcPr>
            <w:tcW w:w="2669" w:type="pct"/>
            <w:vAlign w:val="center"/>
          </w:tcPr>
          <w:p w14:paraId="400AF1D2" w14:textId="53D82DDF" w:rsidR="007742EF" w:rsidRPr="00D948C1" w:rsidRDefault="007742EF" w:rsidP="007742EF">
            <w:pPr>
              <w:rPr>
                <w:szCs w:val="24"/>
              </w:rPr>
            </w:pPr>
            <w:r w:rsidRPr="00D948C1">
              <w:rPr>
                <w:szCs w:val="24"/>
              </w:rPr>
              <w:t>Other Long-Term Liabilities</w:t>
            </w:r>
          </w:p>
        </w:tc>
        <w:tc>
          <w:tcPr>
            <w:tcW w:w="528" w:type="pct"/>
          </w:tcPr>
          <w:p w14:paraId="0C821935" w14:textId="7407CC7A" w:rsidR="007742EF" w:rsidRPr="00D948C1" w:rsidRDefault="008B5A0C" w:rsidP="007742EF">
            <w:pPr>
              <w:jc w:val="center"/>
              <w:rPr>
                <w:rStyle w:val="Hyperlink"/>
              </w:rPr>
            </w:pPr>
            <w:hyperlink w:anchor="_14_Other_Long-Term" w:history="1">
              <w:r>
                <w:rPr>
                  <w:rStyle w:val="Hyperlink"/>
                  <w:szCs w:val="24"/>
                </w:rPr>
                <w:t>14</w:t>
              </w:r>
            </w:hyperlink>
          </w:p>
        </w:tc>
        <w:tc>
          <w:tcPr>
            <w:tcW w:w="871" w:type="pct"/>
            <w:vAlign w:val="center"/>
          </w:tcPr>
          <w:p w14:paraId="7EEBE724" w14:textId="5C220D75" w:rsidR="007742EF" w:rsidRPr="006D3B27" w:rsidRDefault="00C22975" w:rsidP="007742EF">
            <w:pPr>
              <w:pStyle w:val="CommentText"/>
              <w:tabs>
                <w:tab w:val="decimal" w:pos="1350"/>
              </w:tabs>
              <w:jc w:val="right"/>
              <w:rPr>
                <w:sz w:val="24"/>
                <w:szCs w:val="24"/>
              </w:rPr>
            </w:pPr>
            <w:r w:rsidRPr="006D3B27">
              <w:rPr>
                <w:sz w:val="24"/>
                <w:szCs w:val="24"/>
              </w:rPr>
              <w:t>(600,340)</w:t>
            </w:r>
          </w:p>
        </w:tc>
        <w:tc>
          <w:tcPr>
            <w:tcW w:w="931" w:type="pct"/>
            <w:vAlign w:val="center"/>
          </w:tcPr>
          <w:p w14:paraId="385ED89D" w14:textId="4BA6E41C" w:rsidR="007742EF" w:rsidRPr="006822CA" w:rsidRDefault="007742EF" w:rsidP="007742EF">
            <w:pPr>
              <w:tabs>
                <w:tab w:val="decimal" w:pos="1350"/>
              </w:tabs>
              <w:jc w:val="right"/>
              <w:rPr>
                <w:szCs w:val="24"/>
              </w:rPr>
            </w:pPr>
            <w:r w:rsidRPr="006822CA">
              <w:rPr>
                <w:szCs w:val="24"/>
              </w:rPr>
              <w:t>(663,299)</w:t>
            </w:r>
          </w:p>
        </w:tc>
      </w:tr>
      <w:tr w:rsidR="007742EF" w:rsidRPr="00D948C1" w14:paraId="4A7FDAF3" w14:textId="77777777" w:rsidTr="0078602B">
        <w:tc>
          <w:tcPr>
            <w:tcW w:w="2669" w:type="pct"/>
          </w:tcPr>
          <w:p w14:paraId="650E09D2" w14:textId="2BF5314C" w:rsidR="007742EF" w:rsidRPr="00D948C1" w:rsidRDefault="007742EF" w:rsidP="007742EF">
            <w:pPr>
              <w:pStyle w:val="CommentText"/>
              <w:rPr>
                <w:sz w:val="24"/>
                <w:szCs w:val="24"/>
              </w:rPr>
            </w:pPr>
            <w:r w:rsidRPr="00D948C1">
              <w:rPr>
                <w:sz w:val="24"/>
                <w:szCs w:val="24"/>
              </w:rPr>
              <w:t>Long-Term Liabilities total</w:t>
            </w:r>
          </w:p>
        </w:tc>
        <w:tc>
          <w:tcPr>
            <w:tcW w:w="528" w:type="pct"/>
          </w:tcPr>
          <w:p w14:paraId="0AF685F1" w14:textId="77777777" w:rsidR="007742EF" w:rsidRPr="00D948C1" w:rsidRDefault="007742EF" w:rsidP="007742EF">
            <w:pPr>
              <w:pStyle w:val="CommentText"/>
              <w:tabs>
                <w:tab w:val="decimal" w:pos="1350"/>
              </w:tabs>
              <w:jc w:val="right"/>
              <w:rPr>
                <w:sz w:val="24"/>
                <w:szCs w:val="24"/>
              </w:rPr>
            </w:pPr>
          </w:p>
        </w:tc>
        <w:tc>
          <w:tcPr>
            <w:tcW w:w="871" w:type="pct"/>
            <w:vAlign w:val="center"/>
          </w:tcPr>
          <w:p w14:paraId="669BAA3C" w14:textId="1D0F68FE" w:rsidR="007742EF" w:rsidRPr="006D3B27" w:rsidRDefault="006474B9" w:rsidP="007742EF">
            <w:pPr>
              <w:pStyle w:val="CommentText"/>
              <w:tabs>
                <w:tab w:val="decimal" w:pos="1350"/>
              </w:tabs>
              <w:jc w:val="right"/>
              <w:rPr>
                <w:sz w:val="24"/>
                <w:szCs w:val="24"/>
              </w:rPr>
            </w:pPr>
            <w:r w:rsidRPr="006D3B27">
              <w:rPr>
                <w:sz w:val="24"/>
                <w:szCs w:val="24"/>
              </w:rPr>
              <w:t>(603,586)</w:t>
            </w:r>
          </w:p>
        </w:tc>
        <w:tc>
          <w:tcPr>
            <w:tcW w:w="931" w:type="pct"/>
            <w:vAlign w:val="center"/>
          </w:tcPr>
          <w:p w14:paraId="4CD72395" w14:textId="2F8EEE55" w:rsidR="007742EF" w:rsidRPr="006822CA" w:rsidRDefault="007742EF" w:rsidP="007742EF">
            <w:pPr>
              <w:tabs>
                <w:tab w:val="decimal" w:pos="1350"/>
              </w:tabs>
              <w:jc w:val="right"/>
              <w:rPr>
                <w:szCs w:val="24"/>
              </w:rPr>
            </w:pPr>
            <w:r w:rsidRPr="006822CA">
              <w:rPr>
                <w:szCs w:val="24"/>
              </w:rPr>
              <w:t>(666,529)</w:t>
            </w:r>
          </w:p>
        </w:tc>
      </w:tr>
    </w:tbl>
    <w:p w14:paraId="165F26C0" w14:textId="77777777" w:rsidR="00F32423" w:rsidRPr="00D948C1"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1066"/>
        <w:gridCol w:w="1759"/>
        <w:gridCol w:w="1880"/>
      </w:tblGrid>
      <w:tr w:rsidR="00FA18E2" w:rsidRPr="00D948C1" w14:paraId="3907ADF3" w14:textId="77777777" w:rsidTr="006822CA">
        <w:tc>
          <w:tcPr>
            <w:tcW w:w="2669" w:type="pct"/>
          </w:tcPr>
          <w:p w14:paraId="7C453D70" w14:textId="77777777" w:rsidR="00FA18E2" w:rsidRPr="00D948C1" w:rsidRDefault="00FA18E2" w:rsidP="00FA18E2">
            <w:pPr>
              <w:rPr>
                <w:b/>
                <w:szCs w:val="24"/>
              </w:rPr>
            </w:pPr>
            <w:r w:rsidRPr="00D948C1">
              <w:rPr>
                <w:b/>
                <w:szCs w:val="24"/>
              </w:rPr>
              <w:t xml:space="preserve">Net Liabilities </w:t>
            </w:r>
          </w:p>
        </w:tc>
        <w:tc>
          <w:tcPr>
            <w:tcW w:w="528" w:type="pct"/>
          </w:tcPr>
          <w:p w14:paraId="10D180C1" w14:textId="77777777" w:rsidR="00FA18E2" w:rsidRPr="00D948C1" w:rsidRDefault="00FA18E2" w:rsidP="00FA18E2">
            <w:pPr>
              <w:pStyle w:val="CommentText"/>
              <w:tabs>
                <w:tab w:val="decimal" w:pos="1350"/>
              </w:tabs>
              <w:jc w:val="right"/>
              <w:rPr>
                <w:sz w:val="24"/>
                <w:szCs w:val="24"/>
              </w:rPr>
            </w:pPr>
          </w:p>
        </w:tc>
        <w:tc>
          <w:tcPr>
            <w:tcW w:w="871" w:type="pct"/>
            <w:vAlign w:val="center"/>
          </w:tcPr>
          <w:p w14:paraId="0752F770" w14:textId="029F8B6B" w:rsidR="00FA18E2" w:rsidRPr="006D3B27" w:rsidRDefault="004E5D3B" w:rsidP="00233A66">
            <w:pPr>
              <w:pStyle w:val="CommentText"/>
              <w:tabs>
                <w:tab w:val="decimal" w:pos="1350"/>
              </w:tabs>
              <w:jc w:val="right"/>
              <w:rPr>
                <w:b/>
                <w:bCs/>
                <w:sz w:val="24"/>
                <w:szCs w:val="24"/>
              </w:rPr>
            </w:pPr>
            <w:r w:rsidRPr="006D3B27">
              <w:rPr>
                <w:b/>
                <w:bCs/>
                <w:sz w:val="24"/>
                <w:szCs w:val="24"/>
              </w:rPr>
              <w:t>(435,162)</w:t>
            </w:r>
          </w:p>
        </w:tc>
        <w:tc>
          <w:tcPr>
            <w:tcW w:w="931" w:type="pct"/>
            <w:vAlign w:val="center"/>
          </w:tcPr>
          <w:p w14:paraId="0BD9BC60" w14:textId="60FD34B4" w:rsidR="00FA18E2" w:rsidRPr="006D3B27" w:rsidRDefault="007742EF" w:rsidP="00233A66">
            <w:pPr>
              <w:pStyle w:val="CommentText"/>
              <w:tabs>
                <w:tab w:val="decimal" w:pos="1350"/>
              </w:tabs>
              <w:jc w:val="right"/>
              <w:rPr>
                <w:b/>
                <w:bCs/>
                <w:sz w:val="24"/>
                <w:szCs w:val="24"/>
              </w:rPr>
            </w:pPr>
            <w:r w:rsidRPr="006822CA">
              <w:rPr>
                <w:b/>
                <w:bCs/>
                <w:sz w:val="24"/>
                <w:szCs w:val="24"/>
              </w:rPr>
              <w:t>(502,953)</w:t>
            </w:r>
          </w:p>
        </w:tc>
      </w:tr>
    </w:tbl>
    <w:p w14:paraId="5B5E4161" w14:textId="77777777" w:rsidR="00F32423" w:rsidRPr="00D948C1"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1232"/>
        <w:gridCol w:w="1703"/>
        <w:gridCol w:w="1781"/>
      </w:tblGrid>
      <w:tr w:rsidR="006F5D07" w:rsidRPr="00D948C1" w14:paraId="727AFFE7" w14:textId="77777777" w:rsidTr="006F5D07">
        <w:tc>
          <w:tcPr>
            <w:tcW w:w="2665" w:type="pct"/>
            <w:shd w:val="clear" w:color="auto" w:fill="BD2716"/>
            <w:vAlign w:val="center"/>
          </w:tcPr>
          <w:p w14:paraId="4740E046" w14:textId="77777777" w:rsidR="006F5D07" w:rsidRPr="006F5D07" w:rsidRDefault="006F5D07" w:rsidP="006F5D07">
            <w:pPr>
              <w:rPr>
                <w:color w:val="FFFFFF" w:themeColor="background1"/>
                <w:szCs w:val="24"/>
              </w:rPr>
            </w:pPr>
          </w:p>
        </w:tc>
        <w:tc>
          <w:tcPr>
            <w:tcW w:w="561" w:type="pct"/>
            <w:shd w:val="clear" w:color="auto" w:fill="BD2716"/>
            <w:vAlign w:val="center"/>
          </w:tcPr>
          <w:p w14:paraId="1EE8AE34" w14:textId="05C5634A" w:rsidR="006F5D07" w:rsidRPr="006F5D07" w:rsidRDefault="006F5D07" w:rsidP="006F5D07">
            <w:pPr>
              <w:rPr>
                <w:color w:val="FFFFFF" w:themeColor="background1"/>
                <w:szCs w:val="24"/>
              </w:rPr>
            </w:pPr>
            <w:r w:rsidRPr="00D948C1">
              <w:rPr>
                <w:color w:val="FFFFFF" w:themeColor="background1"/>
                <w:szCs w:val="24"/>
              </w:rPr>
              <w:t>Notes</w:t>
            </w:r>
          </w:p>
        </w:tc>
        <w:tc>
          <w:tcPr>
            <w:tcW w:w="843" w:type="pct"/>
            <w:shd w:val="clear" w:color="auto" w:fill="BD2716"/>
            <w:vAlign w:val="center"/>
          </w:tcPr>
          <w:p w14:paraId="007ECAE1" w14:textId="77777777" w:rsidR="006F5D07" w:rsidRPr="00D948C1" w:rsidRDefault="006F5D07" w:rsidP="006F5D07">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Pr>
                <w:color w:val="FFFFFF" w:themeColor="background1"/>
                <w:szCs w:val="24"/>
              </w:rPr>
              <w:t>5</w:t>
            </w:r>
          </w:p>
          <w:p w14:paraId="5F6FD363" w14:textId="1B39C7AC" w:rsidR="006F5D07" w:rsidRPr="006F5D07" w:rsidRDefault="006F5D07" w:rsidP="006F5D07">
            <w:pPr>
              <w:jc w:val="right"/>
              <w:rPr>
                <w:color w:val="FFFFFF" w:themeColor="background1"/>
                <w:szCs w:val="24"/>
              </w:rPr>
            </w:pPr>
            <w:r w:rsidRPr="00D948C1">
              <w:rPr>
                <w:color w:val="FFFFFF" w:themeColor="background1"/>
                <w:szCs w:val="24"/>
              </w:rPr>
              <w:t>£000</w:t>
            </w:r>
          </w:p>
        </w:tc>
        <w:tc>
          <w:tcPr>
            <w:tcW w:w="931" w:type="pct"/>
            <w:shd w:val="clear" w:color="auto" w:fill="BD2716"/>
            <w:vAlign w:val="center"/>
          </w:tcPr>
          <w:p w14:paraId="12ADD23A" w14:textId="37B0A221" w:rsidR="006F5D07" w:rsidRPr="00D948C1" w:rsidRDefault="006F5D07" w:rsidP="006F5D07">
            <w:pPr>
              <w:jc w:val="right"/>
              <w:rPr>
                <w:color w:val="FFFFFF" w:themeColor="background1"/>
                <w:szCs w:val="24"/>
              </w:rPr>
            </w:pPr>
            <w:r>
              <w:rPr>
                <w:color w:val="FFFFFF" w:themeColor="background1"/>
                <w:szCs w:val="24"/>
              </w:rPr>
              <w:t>Restated</w:t>
            </w:r>
            <w:r w:rsidR="00D00C96">
              <w:rPr>
                <w:color w:val="FFFFFF" w:themeColor="background1"/>
                <w:szCs w:val="24"/>
              </w:rPr>
              <w:t>*</w:t>
            </w:r>
            <w:r w:rsidR="00471E0C">
              <w:rPr>
                <w:color w:val="FFFFFF" w:themeColor="background1"/>
                <w:szCs w:val="24"/>
              </w:rPr>
              <w:br/>
            </w:r>
            <w:proofErr w:type="gramStart"/>
            <w:r w:rsidRPr="00D948C1">
              <w:rPr>
                <w:color w:val="FFFFFF" w:themeColor="background1"/>
                <w:szCs w:val="24"/>
              </w:rPr>
              <w:t>At</w:t>
            </w:r>
            <w:proofErr w:type="gramEnd"/>
            <w:r w:rsidRPr="00D948C1">
              <w:rPr>
                <w:color w:val="FFFFFF" w:themeColor="background1"/>
                <w:szCs w:val="24"/>
              </w:rPr>
              <w:t xml:space="preserve"> 31 March 202</w:t>
            </w:r>
            <w:r>
              <w:rPr>
                <w:color w:val="FFFFFF" w:themeColor="background1"/>
                <w:szCs w:val="24"/>
              </w:rPr>
              <w:t>4</w:t>
            </w:r>
          </w:p>
          <w:p w14:paraId="0E6276FA" w14:textId="13079D6F" w:rsidR="006F5D07" w:rsidRPr="006F5D07" w:rsidRDefault="006F5D07" w:rsidP="006F5D07">
            <w:pPr>
              <w:jc w:val="right"/>
              <w:rPr>
                <w:color w:val="FFFFFF" w:themeColor="background1"/>
                <w:szCs w:val="24"/>
              </w:rPr>
            </w:pPr>
            <w:r w:rsidRPr="00D948C1">
              <w:rPr>
                <w:color w:val="FFFFFF" w:themeColor="background1"/>
                <w:szCs w:val="24"/>
              </w:rPr>
              <w:t>£000</w:t>
            </w:r>
          </w:p>
        </w:tc>
      </w:tr>
      <w:tr w:rsidR="006F5D07" w:rsidRPr="00D948C1" w14:paraId="22B85105" w14:textId="77777777" w:rsidTr="00036C34">
        <w:tc>
          <w:tcPr>
            <w:tcW w:w="5000" w:type="pct"/>
            <w:gridSpan w:val="4"/>
            <w:shd w:val="clear" w:color="auto" w:fill="D9D9D9" w:themeFill="background1" w:themeFillShade="D9"/>
          </w:tcPr>
          <w:p w14:paraId="3D773EFD" w14:textId="5992B682" w:rsidR="006F5D07" w:rsidRPr="00D948C1" w:rsidRDefault="006F5D07" w:rsidP="006F5D07">
            <w:pPr>
              <w:pStyle w:val="CommentText"/>
              <w:tabs>
                <w:tab w:val="decimal" w:pos="1350"/>
              </w:tabs>
              <w:rPr>
                <w:sz w:val="24"/>
                <w:szCs w:val="24"/>
              </w:rPr>
            </w:pPr>
            <w:r w:rsidRPr="00D948C1">
              <w:rPr>
                <w:b/>
                <w:sz w:val="24"/>
                <w:szCs w:val="24"/>
              </w:rPr>
              <w:t>Usable Reserves</w:t>
            </w:r>
          </w:p>
        </w:tc>
      </w:tr>
      <w:tr w:rsidR="006F5D07" w:rsidRPr="00D948C1" w14:paraId="1A22FF8C" w14:textId="77777777" w:rsidTr="0078602B">
        <w:tc>
          <w:tcPr>
            <w:tcW w:w="2616" w:type="pct"/>
          </w:tcPr>
          <w:p w14:paraId="5780D26F" w14:textId="53BBC19F" w:rsidR="006F5D07" w:rsidRPr="00D948C1" w:rsidRDefault="00D50DA2" w:rsidP="006F5D07">
            <w:pPr>
              <w:rPr>
                <w:szCs w:val="24"/>
              </w:rPr>
            </w:pPr>
            <w:r>
              <w:rPr>
                <w:szCs w:val="24"/>
              </w:rPr>
              <w:t>General Fund</w:t>
            </w:r>
          </w:p>
        </w:tc>
        <w:tc>
          <w:tcPr>
            <w:tcW w:w="610" w:type="pct"/>
          </w:tcPr>
          <w:p w14:paraId="074CB05C" w14:textId="4633DAE9" w:rsidR="006F5D07" w:rsidRPr="00D948C1" w:rsidRDefault="006F5D07" w:rsidP="006F5D07">
            <w:pPr>
              <w:jc w:val="center"/>
              <w:rPr>
                <w:rStyle w:val="Hyperlink"/>
              </w:rPr>
            </w:pPr>
            <w:hyperlink w:anchor="_17_Usable_Reserves" w:history="1">
              <w:r>
                <w:rPr>
                  <w:rStyle w:val="Hyperlink"/>
                  <w:szCs w:val="24"/>
                </w:rPr>
                <w:t>17</w:t>
              </w:r>
            </w:hyperlink>
          </w:p>
        </w:tc>
        <w:tc>
          <w:tcPr>
            <w:tcW w:w="843" w:type="pct"/>
            <w:vAlign w:val="center"/>
          </w:tcPr>
          <w:p w14:paraId="0415D9CC" w14:textId="4A75619C" w:rsidR="006F5D07" w:rsidRPr="006D3B27" w:rsidRDefault="005851A8" w:rsidP="006F5D07">
            <w:pPr>
              <w:pStyle w:val="CommentText"/>
              <w:tabs>
                <w:tab w:val="decimal" w:pos="1350"/>
              </w:tabs>
              <w:jc w:val="right"/>
              <w:rPr>
                <w:sz w:val="24"/>
                <w:szCs w:val="24"/>
              </w:rPr>
            </w:pPr>
            <w:r>
              <w:rPr>
                <w:sz w:val="24"/>
                <w:szCs w:val="24"/>
              </w:rPr>
              <w:t>(</w:t>
            </w:r>
            <w:r w:rsidR="007C6320">
              <w:rPr>
                <w:sz w:val="24"/>
                <w:szCs w:val="24"/>
              </w:rPr>
              <w:t>6,564)</w:t>
            </w:r>
          </w:p>
        </w:tc>
        <w:tc>
          <w:tcPr>
            <w:tcW w:w="931" w:type="pct"/>
            <w:vAlign w:val="center"/>
          </w:tcPr>
          <w:p w14:paraId="78B7DFDA" w14:textId="1BC42A38" w:rsidR="006F5D07" w:rsidRPr="006822CA" w:rsidRDefault="007C6320" w:rsidP="006F5D07">
            <w:pPr>
              <w:pStyle w:val="CommentText"/>
              <w:tabs>
                <w:tab w:val="decimal" w:pos="1350"/>
              </w:tabs>
              <w:jc w:val="right"/>
              <w:rPr>
                <w:sz w:val="24"/>
                <w:szCs w:val="24"/>
              </w:rPr>
            </w:pPr>
            <w:r>
              <w:rPr>
                <w:sz w:val="24"/>
                <w:szCs w:val="24"/>
              </w:rPr>
              <w:t>(5,662)</w:t>
            </w:r>
          </w:p>
        </w:tc>
      </w:tr>
      <w:tr w:rsidR="006F5D07" w:rsidRPr="00D948C1" w14:paraId="4AAA4BBE" w14:textId="77777777" w:rsidTr="0078602B">
        <w:tc>
          <w:tcPr>
            <w:tcW w:w="2616" w:type="pct"/>
          </w:tcPr>
          <w:p w14:paraId="163FBB61" w14:textId="58931F9F" w:rsidR="006F5D07" w:rsidRPr="00D948C1" w:rsidRDefault="00D50DA2" w:rsidP="006F5D07">
            <w:pPr>
              <w:rPr>
                <w:szCs w:val="24"/>
              </w:rPr>
            </w:pPr>
            <w:r>
              <w:rPr>
                <w:szCs w:val="24"/>
              </w:rPr>
              <w:t>Earmarked Reserves</w:t>
            </w:r>
          </w:p>
        </w:tc>
        <w:tc>
          <w:tcPr>
            <w:tcW w:w="610" w:type="pct"/>
          </w:tcPr>
          <w:p w14:paraId="099659AA" w14:textId="5B1BBB4E" w:rsidR="006F5D07" w:rsidRPr="00D948C1" w:rsidRDefault="006F5D07" w:rsidP="006F5D07">
            <w:pPr>
              <w:jc w:val="center"/>
              <w:rPr>
                <w:rStyle w:val="Hyperlink"/>
              </w:rPr>
            </w:pPr>
            <w:hyperlink w:anchor="_17_Usable_Reserves" w:history="1">
              <w:r>
                <w:rPr>
                  <w:rStyle w:val="Hyperlink"/>
                  <w:szCs w:val="24"/>
                </w:rPr>
                <w:t>17</w:t>
              </w:r>
            </w:hyperlink>
          </w:p>
        </w:tc>
        <w:tc>
          <w:tcPr>
            <w:tcW w:w="843" w:type="pct"/>
            <w:vAlign w:val="center"/>
          </w:tcPr>
          <w:p w14:paraId="26042AD1" w14:textId="47E609AF" w:rsidR="006F5D07" w:rsidRPr="006D3B27" w:rsidRDefault="007C6320" w:rsidP="006F5D07">
            <w:pPr>
              <w:pStyle w:val="CommentText"/>
              <w:tabs>
                <w:tab w:val="decimal" w:pos="1350"/>
              </w:tabs>
              <w:jc w:val="right"/>
              <w:rPr>
                <w:sz w:val="24"/>
                <w:szCs w:val="24"/>
              </w:rPr>
            </w:pPr>
            <w:r>
              <w:rPr>
                <w:sz w:val="24"/>
                <w:szCs w:val="24"/>
              </w:rPr>
              <w:t>(29,012)</w:t>
            </w:r>
          </w:p>
        </w:tc>
        <w:tc>
          <w:tcPr>
            <w:tcW w:w="931" w:type="pct"/>
            <w:vAlign w:val="center"/>
          </w:tcPr>
          <w:p w14:paraId="2B416EF0" w14:textId="04DE19BC" w:rsidR="006F5D07" w:rsidRPr="006822CA" w:rsidRDefault="007C6320" w:rsidP="006F5D07">
            <w:pPr>
              <w:tabs>
                <w:tab w:val="decimal" w:pos="1350"/>
              </w:tabs>
              <w:jc w:val="right"/>
              <w:rPr>
                <w:szCs w:val="24"/>
              </w:rPr>
            </w:pPr>
            <w:r>
              <w:rPr>
                <w:szCs w:val="24"/>
              </w:rPr>
              <w:t>(28,034)</w:t>
            </w:r>
          </w:p>
        </w:tc>
      </w:tr>
      <w:tr w:rsidR="006F5D07" w:rsidRPr="00D948C1" w14:paraId="315CBBC3" w14:textId="77777777" w:rsidTr="0078602B">
        <w:tc>
          <w:tcPr>
            <w:tcW w:w="2616" w:type="pct"/>
          </w:tcPr>
          <w:p w14:paraId="67E9AE8B" w14:textId="77777777" w:rsidR="006F5D07" w:rsidRPr="00D948C1" w:rsidRDefault="006F5D07" w:rsidP="006F5D07">
            <w:pPr>
              <w:rPr>
                <w:szCs w:val="24"/>
              </w:rPr>
            </w:pPr>
            <w:r w:rsidRPr="00D948C1">
              <w:rPr>
                <w:szCs w:val="24"/>
              </w:rPr>
              <w:t>Capital Grants Unapplied Account</w:t>
            </w:r>
          </w:p>
        </w:tc>
        <w:tc>
          <w:tcPr>
            <w:tcW w:w="610" w:type="pct"/>
          </w:tcPr>
          <w:p w14:paraId="10298C0F" w14:textId="7F97EAB6" w:rsidR="006F5D07" w:rsidRPr="00D948C1" w:rsidRDefault="006F5D07" w:rsidP="006F5D07">
            <w:pPr>
              <w:jc w:val="center"/>
              <w:rPr>
                <w:rStyle w:val="Hyperlink"/>
              </w:rPr>
            </w:pPr>
            <w:hyperlink w:anchor="_17_Usable_Reserves" w:history="1">
              <w:r>
                <w:rPr>
                  <w:rStyle w:val="Hyperlink"/>
                  <w:szCs w:val="24"/>
                </w:rPr>
                <w:t>17</w:t>
              </w:r>
            </w:hyperlink>
          </w:p>
        </w:tc>
        <w:tc>
          <w:tcPr>
            <w:tcW w:w="843" w:type="pct"/>
            <w:vAlign w:val="center"/>
          </w:tcPr>
          <w:p w14:paraId="0AD9FB45" w14:textId="12149726" w:rsidR="006F5D07" w:rsidRPr="006D3B27" w:rsidRDefault="006F5D07" w:rsidP="006F5D07">
            <w:pPr>
              <w:pStyle w:val="CommentText"/>
              <w:tabs>
                <w:tab w:val="decimal" w:pos="1350"/>
              </w:tabs>
              <w:jc w:val="right"/>
              <w:rPr>
                <w:sz w:val="24"/>
                <w:szCs w:val="24"/>
              </w:rPr>
            </w:pPr>
            <w:r w:rsidRPr="006D3B27">
              <w:rPr>
                <w:sz w:val="24"/>
                <w:szCs w:val="24"/>
              </w:rPr>
              <w:t>-</w:t>
            </w:r>
          </w:p>
        </w:tc>
        <w:tc>
          <w:tcPr>
            <w:tcW w:w="931" w:type="pct"/>
            <w:vAlign w:val="center"/>
          </w:tcPr>
          <w:p w14:paraId="0FE6DA6B" w14:textId="3FAF16DA" w:rsidR="006F5D07" w:rsidRPr="006822CA" w:rsidRDefault="006F5D07" w:rsidP="006F5D07">
            <w:pPr>
              <w:tabs>
                <w:tab w:val="decimal" w:pos="1350"/>
              </w:tabs>
              <w:jc w:val="right"/>
              <w:rPr>
                <w:szCs w:val="24"/>
              </w:rPr>
            </w:pPr>
            <w:r w:rsidRPr="006822CA">
              <w:rPr>
                <w:szCs w:val="24"/>
              </w:rPr>
              <w:t>-</w:t>
            </w:r>
          </w:p>
        </w:tc>
      </w:tr>
      <w:tr w:rsidR="006F5D07" w:rsidRPr="00D948C1" w14:paraId="00F6B3DD" w14:textId="77777777" w:rsidTr="0078602B">
        <w:tc>
          <w:tcPr>
            <w:tcW w:w="2616" w:type="pct"/>
          </w:tcPr>
          <w:p w14:paraId="7255C046" w14:textId="77777777" w:rsidR="006F5D07" w:rsidRPr="00D948C1" w:rsidRDefault="006F5D07" w:rsidP="006F5D07">
            <w:pPr>
              <w:rPr>
                <w:szCs w:val="24"/>
              </w:rPr>
            </w:pPr>
            <w:r w:rsidRPr="00D948C1">
              <w:rPr>
                <w:szCs w:val="24"/>
              </w:rPr>
              <w:t>Usable Capital Receipts Reserve</w:t>
            </w:r>
          </w:p>
        </w:tc>
        <w:tc>
          <w:tcPr>
            <w:tcW w:w="610" w:type="pct"/>
          </w:tcPr>
          <w:p w14:paraId="794E62B7" w14:textId="48DF7621" w:rsidR="006F5D07" w:rsidRPr="00D948C1" w:rsidRDefault="006F5D07" w:rsidP="006F5D07">
            <w:pPr>
              <w:jc w:val="center"/>
              <w:rPr>
                <w:rStyle w:val="Hyperlink"/>
              </w:rPr>
            </w:pPr>
            <w:hyperlink w:anchor="_17_Usable_Reserves" w:history="1">
              <w:r>
                <w:rPr>
                  <w:rStyle w:val="Hyperlink"/>
                  <w:szCs w:val="24"/>
                </w:rPr>
                <w:t>17</w:t>
              </w:r>
            </w:hyperlink>
          </w:p>
        </w:tc>
        <w:tc>
          <w:tcPr>
            <w:tcW w:w="843" w:type="pct"/>
            <w:vAlign w:val="center"/>
          </w:tcPr>
          <w:p w14:paraId="5EBE202F" w14:textId="6860039B" w:rsidR="006F5D07" w:rsidRPr="006D3B27" w:rsidRDefault="006F5D07" w:rsidP="006F5D07">
            <w:pPr>
              <w:pStyle w:val="CommentText"/>
              <w:tabs>
                <w:tab w:val="decimal" w:pos="1350"/>
              </w:tabs>
              <w:jc w:val="right"/>
              <w:rPr>
                <w:sz w:val="24"/>
                <w:szCs w:val="24"/>
              </w:rPr>
            </w:pPr>
            <w:r w:rsidRPr="006D3B27">
              <w:rPr>
                <w:sz w:val="24"/>
                <w:szCs w:val="24"/>
              </w:rPr>
              <w:t>(194)</w:t>
            </w:r>
          </w:p>
        </w:tc>
        <w:tc>
          <w:tcPr>
            <w:tcW w:w="931" w:type="pct"/>
            <w:vAlign w:val="center"/>
          </w:tcPr>
          <w:p w14:paraId="4B3AEBC5" w14:textId="674B81A0" w:rsidR="006F5D07" w:rsidRPr="006822CA" w:rsidRDefault="006F5D07" w:rsidP="006F5D07">
            <w:pPr>
              <w:tabs>
                <w:tab w:val="decimal" w:pos="1350"/>
              </w:tabs>
              <w:jc w:val="right"/>
              <w:rPr>
                <w:szCs w:val="24"/>
              </w:rPr>
            </w:pPr>
            <w:r w:rsidRPr="006822CA">
              <w:rPr>
                <w:szCs w:val="24"/>
              </w:rPr>
              <w:t>(71)</w:t>
            </w:r>
          </w:p>
        </w:tc>
      </w:tr>
      <w:tr w:rsidR="006F5D07" w:rsidRPr="00D948C1" w14:paraId="7E7C63B6" w14:textId="77777777" w:rsidTr="0078602B">
        <w:tc>
          <w:tcPr>
            <w:tcW w:w="2616" w:type="pct"/>
          </w:tcPr>
          <w:p w14:paraId="371EF47D" w14:textId="5932F186" w:rsidR="006F5D07" w:rsidRPr="00D948C1" w:rsidRDefault="006F5D07" w:rsidP="006F5D07">
            <w:pPr>
              <w:rPr>
                <w:bCs/>
                <w:szCs w:val="24"/>
              </w:rPr>
            </w:pPr>
            <w:r w:rsidRPr="00D948C1">
              <w:rPr>
                <w:bCs/>
                <w:szCs w:val="24"/>
              </w:rPr>
              <w:t>Usable Reserves total</w:t>
            </w:r>
          </w:p>
        </w:tc>
        <w:tc>
          <w:tcPr>
            <w:tcW w:w="610" w:type="pct"/>
          </w:tcPr>
          <w:p w14:paraId="30B55C80" w14:textId="7E99BAFD" w:rsidR="006F5D07" w:rsidRPr="00D948C1" w:rsidRDefault="006F5D07" w:rsidP="006F5D07">
            <w:pPr>
              <w:jc w:val="center"/>
              <w:rPr>
                <w:rStyle w:val="Hyperlink"/>
              </w:rPr>
            </w:pPr>
            <w:hyperlink w:anchor="_17_Usable_Reserves" w:history="1">
              <w:r>
                <w:rPr>
                  <w:rStyle w:val="Hyperlink"/>
                  <w:szCs w:val="24"/>
                </w:rPr>
                <w:t>17</w:t>
              </w:r>
            </w:hyperlink>
          </w:p>
        </w:tc>
        <w:tc>
          <w:tcPr>
            <w:tcW w:w="843" w:type="pct"/>
            <w:vAlign w:val="center"/>
          </w:tcPr>
          <w:p w14:paraId="399641AE" w14:textId="1617DBE8" w:rsidR="006F5D07" w:rsidRPr="006D3B27" w:rsidRDefault="006F5D07" w:rsidP="006F5D07">
            <w:pPr>
              <w:pStyle w:val="CommentText"/>
              <w:tabs>
                <w:tab w:val="decimal" w:pos="1350"/>
              </w:tabs>
              <w:jc w:val="right"/>
              <w:rPr>
                <w:sz w:val="24"/>
                <w:szCs w:val="24"/>
              </w:rPr>
            </w:pPr>
            <w:r w:rsidRPr="006D3B27">
              <w:rPr>
                <w:sz w:val="24"/>
                <w:szCs w:val="24"/>
              </w:rPr>
              <w:t>(35,770)</w:t>
            </w:r>
          </w:p>
        </w:tc>
        <w:tc>
          <w:tcPr>
            <w:tcW w:w="931" w:type="pct"/>
            <w:vAlign w:val="center"/>
          </w:tcPr>
          <w:p w14:paraId="287397EE" w14:textId="082D111A" w:rsidR="006F5D07" w:rsidRPr="006822CA" w:rsidRDefault="006F5D07" w:rsidP="006F5D07">
            <w:pPr>
              <w:tabs>
                <w:tab w:val="decimal" w:pos="1350"/>
              </w:tabs>
              <w:jc w:val="right"/>
              <w:rPr>
                <w:szCs w:val="24"/>
              </w:rPr>
            </w:pPr>
            <w:r w:rsidRPr="006822CA">
              <w:rPr>
                <w:szCs w:val="24"/>
              </w:rPr>
              <w:t>(33,768)</w:t>
            </w:r>
          </w:p>
        </w:tc>
      </w:tr>
    </w:tbl>
    <w:p w14:paraId="49FF17D4" w14:textId="1ACDDED9" w:rsidR="00F32423" w:rsidRPr="00D948C1" w:rsidRDefault="00F32423"/>
    <w:p w14:paraId="66EAFC94" w14:textId="77777777" w:rsidR="00F32423" w:rsidRPr="00D948C1" w:rsidRDefault="00F32423">
      <w:r w:rsidRPr="00D948C1">
        <w:br w:type="page"/>
      </w:r>
    </w:p>
    <w:p w14:paraId="71CE84E9" w14:textId="77777777" w:rsidR="00F32423" w:rsidRPr="00D948C1"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1276"/>
        <w:gridCol w:w="1701"/>
        <w:gridCol w:w="1701"/>
      </w:tblGrid>
      <w:tr w:rsidR="00F32423" w:rsidRPr="00D948C1" w14:paraId="2DF7DF7F" w14:textId="77777777" w:rsidTr="00611673">
        <w:tc>
          <w:tcPr>
            <w:tcW w:w="2684" w:type="pct"/>
            <w:shd w:val="clear" w:color="auto" w:fill="BD2716"/>
          </w:tcPr>
          <w:p w14:paraId="0F56B118" w14:textId="77777777" w:rsidR="00F32423" w:rsidRPr="00D948C1" w:rsidRDefault="00F32423" w:rsidP="00FA18E2">
            <w:pPr>
              <w:spacing w:before="240"/>
              <w:rPr>
                <w:b/>
                <w:color w:val="FFFFFF" w:themeColor="background1"/>
                <w:szCs w:val="24"/>
              </w:rPr>
            </w:pPr>
          </w:p>
        </w:tc>
        <w:tc>
          <w:tcPr>
            <w:tcW w:w="632" w:type="pct"/>
            <w:shd w:val="clear" w:color="auto" w:fill="BD2716"/>
            <w:vAlign w:val="center"/>
          </w:tcPr>
          <w:p w14:paraId="0BD4A736" w14:textId="76458E58" w:rsidR="00F32423" w:rsidRPr="00D948C1" w:rsidRDefault="00F32423" w:rsidP="00611673">
            <w:pPr>
              <w:spacing w:before="240"/>
              <w:rPr>
                <w:rStyle w:val="Hyperlink"/>
                <w:color w:val="FFFFFF" w:themeColor="background1"/>
                <w:u w:val="none"/>
              </w:rPr>
            </w:pPr>
            <w:r w:rsidRPr="00D948C1">
              <w:rPr>
                <w:rStyle w:val="Hyperlink"/>
                <w:color w:val="FFFFFF" w:themeColor="background1"/>
                <w:u w:val="none"/>
              </w:rPr>
              <w:t>Notes</w:t>
            </w:r>
          </w:p>
        </w:tc>
        <w:tc>
          <w:tcPr>
            <w:tcW w:w="842" w:type="pct"/>
            <w:shd w:val="clear" w:color="auto" w:fill="BD2716"/>
            <w:vAlign w:val="center"/>
          </w:tcPr>
          <w:p w14:paraId="1C70B22D" w14:textId="0F543E49" w:rsidR="00F32423" w:rsidRPr="00D948C1" w:rsidRDefault="00F32423" w:rsidP="00611673">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7742EF">
              <w:rPr>
                <w:color w:val="FFFFFF" w:themeColor="background1"/>
                <w:szCs w:val="24"/>
              </w:rPr>
              <w:t>5</w:t>
            </w:r>
          </w:p>
          <w:p w14:paraId="781F6CA6" w14:textId="18D41D31" w:rsidR="00F32423" w:rsidRPr="00D948C1" w:rsidRDefault="00F32423" w:rsidP="00611673">
            <w:pPr>
              <w:jc w:val="right"/>
              <w:rPr>
                <w:color w:val="FFFFFF" w:themeColor="background1"/>
                <w:szCs w:val="24"/>
              </w:rPr>
            </w:pPr>
            <w:r w:rsidRPr="00D948C1">
              <w:rPr>
                <w:color w:val="FFFFFF" w:themeColor="background1"/>
                <w:szCs w:val="24"/>
              </w:rPr>
              <w:t>£000</w:t>
            </w:r>
          </w:p>
        </w:tc>
        <w:tc>
          <w:tcPr>
            <w:tcW w:w="842" w:type="pct"/>
            <w:shd w:val="clear" w:color="auto" w:fill="BD2716"/>
            <w:vAlign w:val="center"/>
          </w:tcPr>
          <w:p w14:paraId="2D5A661A" w14:textId="000BABCC" w:rsidR="007742EF" w:rsidRPr="00D948C1" w:rsidRDefault="00F32423" w:rsidP="007742EF">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7742EF">
              <w:rPr>
                <w:color w:val="FFFFFF" w:themeColor="background1"/>
                <w:szCs w:val="24"/>
              </w:rPr>
              <w:t>4</w:t>
            </w:r>
          </w:p>
          <w:p w14:paraId="689818AF" w14:textId="6CDCC48C" w:rsidR="00F32423" w:rsidRPr="00D948C1" w:rsidRDefault="00F32423" w:rsidP="00611673">
            <w:pPr>
              <w:jc w:val="right"/>
              <w:rPr>
                <w:color w:val="FFFFFF" w:themeColor="background1"/>
                <w:szCs w:val="24"/>
              </w:rPr>
            </w:pPr>
            <w:r w:rsidRPr="00D948C1">
              <w:rPr>
                <w:color w:val="FFFFFF" w:themeColor="background1"/>
                <w:szCs w:val="24"/>
              </w:rPr>
              <w:t>£000</w:t>
            </w:r>
          </w:p>
        </w:tc>
      </w:tr>
      <w:tr w:rsidR="00233A66" w:rsidRPr="00D948C1" w14:paraId="5F6CD18A" w14:textId="77777777" w:rsidTr="00036C34">
        <w:tc>
          <w:tcPr>
            <w:tcW w:w="5000" w:type="pct"/>
            <w:gridSpan w:val="4"/>
            <w:shd w:val="clear" w:color="auto" w:fill="D9D9D9" w:themeFill="background1" w:themeFillShade="D9"/>
          </w:tcPr>
          <w:p w14:paraId="611E3890" w14:textId="4B4838CA" w:rsidR="00233A66" w:rsidRPr="00D948C1" w:rsidRDefault="00233A66" w:rsidP="00233A66">
            <w:pPr>
              <w:tabs>
                <w:tab w:val="decimal" w:pos="1350"/>
              </w:tabs>
              <w:rPr>
                <w:szCs w:val="24"/>
              </w:rPr>
            </w:pPr>
            <w:r w:rsidRPr="00D948C1">
              <w:rPr>
                <w:b/>
                <w:szCs w:val="24"/>
              </w:rPr>
              <w:t>Unusable Reserves</w:t>
            </w:r>
          </w:p>
        </w:tc>
      </w:tr>
      <w:tr w:rsidR="007742EF" w:rsidRPr="00423935" w14:paraId="6A9F6680" w14:textId="77777777" w:rsidTr="00233A66">
        <w:tc>
          <w:tcPr>
            <w:tcW w:w="2684" w:type="pct"/>
          </w:tcPr>
          <w:p w14:paraId="5A364972" w14:textId="77777777" w:rsidR="007742EF" w:rsidRPr="00423935" w:rsidRDefault="007742EF" w:rsidP="007742EF">
            <w:pPr>
              <w:rPr>
                <w:szCs w:val="24"/>
              </w:rPr>
            </w:pPr>
            <w:r w:rsidRPr="00423935">
              <w:rPr>
                <w:szCs w:val="24"/>
              </w:rPr>
              <w:t>Revaluation Reserve</w:t>
            </w:r>
          </w:p>
        </w:tc>
        <w:tc>
          <w:tcPr>
            <w:tcW w:w="632" w:type="pct"/>
          </w:tcPr>
          <w:p w14:paraId="7ABA47C1" w14:textId="04664F51" w:rsidR="007742EF" w:rsidRPr="00423935" w:rsidRDefault="00B35C8E" w:rsidP="007742EF">
            <w:pPr>
              <w:jc w:val="center"/>
              <w:rPr>
                <w:rStyle w:val="Hyperlink"/>
              </w:rPr>
            </w:pPr>
            <w:hyperlink w:anchor="_19_Unusable_Reserves" w:history="1">
              <w:r>
                <w:rPr>
                  <w:rStyle w:val="Hyperlink"/>
                  <w:szCs w:val="24"/>
                </w:rPr>
                <w:t>19</w:t>
              </w:r>
            </w:hyperlink>
          </w:p>
        </w:tc>
        <w:tc>
          <w:tcPr>
            <w:tcW w:w="842" w:type="pct"/>
            <w:vAlign w:val="center"/>
          </w:tcPr>
          <w:p w14:paraId="6FAC6EC8" w14:textId="6F5B3CDD" w:rsidR="007742EF" w:rsidRPr="00423935" w:rsidRDefault="005A4331" w:rsidP="007742EF">
            <w:pPr>
              <w:pStyle w:val="CommentText"/>
              <w:tabs>
                <w:tab w:val="decimal" w:pos="1350"/>
              </w:tabs>
              <w:jc w:val="right"/>
              <w:rPr>
                <w:sz w:val="24"/>
                <w:szCs w:val="24"/>
              </w:rPr>
            </w:pPr>
            <w:r w:rsidRPr="00423935">
              <w:rPr>
                <w:sz w:val="24"/>
                <w:szCs w:val="24"/>
              </w:rPr>
              <w:t>(73,745)</w:t>
            </w:r>
          </w:p>
        </w:tc>
        <w:tc>
          <w:tcPr>
            <w:tcW w:w="842" w:type="pct"/>
            <w:vAlign w:val="center"/>
          </w:tcPr>
          <w:p w14:paraId="48AF4FCF" w14:textId="00BEF632" w:rsidR="007742EF" w:rsidRPr="006822CA" w:rsidRDefault="007742EF" w:rsidP="007742EF">
            <w:pPr>
              <w:tabs>
                <w:tab w:val="decimal" w:pos="1350"/>
              </w:tabs>
              <w:jc w:val="right"/>
              <w:rPr>
                <w:szCs w:val="24"/>
              </w:rPr>
            </w:pPr>
            <w:r w:rsidRPr="006822CA">
              <w:rPr>
                <w:szCs w:val="24"/>
              </w:rPr>
              <w:t>(73,418)</w:t>
            </w:r>
          </w:p>
        </w:tc>
      </w:tr>
      <w:tr w:rsidR="007742EF" w:rsidRPr="00423935" w14:paraId="756E60B9" w14:textId="77777777" w:rsidTr="00233A66">
        <w:tc>
          <w:tcPr>
            <w:tcW w:w="2684" w:type="pct"/>
          </w:tcPr>
          <w:p w14:paraId="384A834B" w14:textId="77777777" w:rsidR="007742EF" w:rsidRPr="00423935" w:rsidRDefault="007742EF" w:rsidP="007742EF">
            <w:pPr>
              <w:rPr>
                <w:szCs w:val="24"/>
              </w:rPr>
            </w:pPr>
            <w:r w:rsidRPr="00423935">
              <w:rPr>
                <w:szCs w:val="24"/>
              </w:rPr>
              <w:t>Capital Adjustment Account</w:t>
            </w:r>
          </w:p>
        </w:tc>
        <w:tc>
          <w:tcPr>
            <w:tcW w:w="632" w:type="pct"/>
          </w:tcPr>
          <w:p w14:paraId="0BCC69D6" w14:textId="5238A774" w:rsidR="007742EF" w:rsidRPr="00423935" w:rsidRDefault="007742EF" w:rsidP="007742EF">
            <w:pPr>
              <w:jc w:val="center"/>
              <w:rPr>
                <w:rStyle w:val="Hyperlink"/>
              </w:rPr>
            </w:pPr>
            <w:hyperlink w:anchor="_18_Transfers_(to)/from" w:history="1">
              <w:r w:rsidRPr="00423935">
                <w:rPr>
                  <w:rStyle w:val="Hyperlink"/>
                  <w:szCs w:val="24"/>
                </w:rPr>
                <w:t>18</w:t>
              </w:r>
            </w:hyperlink>
          </w:p>
        </w:tc>
        <w:tc>
          <w:tcPr>
            <w:tcW w:w="842" w:type="pct"/>
            <w:vAlign w:val="center"/>
          </w:tcPr>
          <w:p w14:paraId="1D9BA399" w14:textId="152A77FC" w:rsidR="007742EF" w:rsidRPr="00423935" w:rsidRDefault="005A4331" w:rsidP="007742EF">
            <w:pPr>
              <w:pStyle w:val="CommentText"/>
              <w:tabs>
                <w:tab w:val="decimal" w:pos="1350"/>
              </w:tabs>
              <w:jc w:val="right"/>
              <w:rPr>
                <w:sz w:val="24"/>
                <w:szCs w:val="24"/>
              </w:rPr>
            </w:pPr>
            <w:r w:rsidRPr="00423935">
              <w:rPr>
                <w:sz w:val="24"/>
                <w:szCs w:val="24"/>
              </w:rPr>
              <w:t>(43,858)</w:t>
            </w:r>
          </w:p>
        </w:tc>
        <w:tc>
          <w:tcPr>
            <w:tcW w:w="842" w:type="pct"/>
            <w:vAlign w:val="center"/>
          </w:tcPr>
          <w:p w14:paraId="6ECDE742" w14:textId="5FAB3093" w:rsidR="007742EF" w:rsidRPr="006822CA" w:rsidRDefault="007742EF" w:rsidP="007742EF">
            <w:pPr>
              <w:tabs>
                <w:tab w:val="decimal" w:pos="1350"/>
              </w:tabs>
              <w:jc w:val="right"/>
              <w:rPr>
                <w:szCs w:val="24"/>
              </w:rPr>
            </w:pPr>
            <w:r w:rsidRPr="006822CA">
              <w:rPr>
                <w:szCs w:val="24"/>
              </w:rPr>
              <w:t>(42,616)</w:t>
            </w:r>
          </w:p>
        </w:tc>
      </w:tr>
      <w:tr w:rsidR="007742EF" w:rsidRPr="00423935" w14:paraId="287EAC33" w14:textId="77777777" w:rsidTr="00233A66">
        <w:tc>
          <w:tcPr>
            <w:tcW w:w="2684" w:type="pct"/>
          </w:tcPr>
          <w:p w14:paraId="5243A135" w14:textId="77777777" w:rsidR="007742EF" w:rsidRPr="00423935" w:rsidRDefault="007742EF" w:rsidP="007742EF">
            <w:pPr>
              <w:rPr>
                <w:szCs w:val="24"/>
              </w:rPr>
            </w:pPr>
            <w:r w:rsidRPr="00423935">
              <w:rPr>
                <w:szCs w:val="24"/>
              </w:rPr>
              <w:t>Pension Reserve</w:t>
            </w:r>
          </w:p>
        </w:tc>
        <w:tc>
          <w:tcPr>
            <w:tcW w:w="632" w:type="pct"/>
          </w:tcPr>
          <w:p w14:paraId="25B3BFD5" w14:textId="094913B6" w:rsidR="007742EF" w:rsidRPr="00423935" w:rsidRDefault="00B35C8E" w:rsidP="007742EF">
            <w:pPr>
              <w:jc w:val="center"/>
              <w:rPr>
                <w:rStyle w:val="Hyperlink"/>
              </w:rPr>
            </w:pPr>
            <w:hyperlink w:anchor="_14_Other_Long-Term" w:history="1">
              <w:r>
                <w:rPr>
                  <w:rStyle w:val="Hyperlink"/>
                  <w:szCs w:val="24"/>
                </w:rPr>
                <w:t>14</w:t>
              </w:r>
            </w:hyperlink>
            <w:r w:rsidR="007742EF" w:rsidRPr="00423935">
              <w:rPr>
                <w:rStyle w:val="Hyperlink"/>
                <w:szCs w:val="24"/>
              </w:rPr>
              <w:t>/</w:t>
            </w:r>
            <w:hyperlink w:anchor="_16_Net_Liability" w:history="1">
              <w:r>
                <w:rPr>
                  <w:rStyle w:val="Hyperlink"/>
                  <w:szCs w:val="24"/>
                </w:rPr>
                <w:t>16</w:t>
              </w:r>
            </w:hyperlink>
            <w:r w:rsidR="007742EF" w:rsidRPr="00423935">
              <w:rPr>
                <w:rStyle w:val="Hyperlink"/>
                <w:szCs w:val="24"/>
              </w:rPr>
              <w:t>/</w:t>
            </w:r>
            <w:hyperlink w:anchor="_19_Unusable_Reserves" w:history="1">
              <w:r>
                <w:rPr>
                  <w:rStyle w:val="Hyperlink"/>
                  <w:szCs w:val="24"/>
                </w:rPr>
                <w:t>19</w:t>
              </w:r>
            </w:hyperlink>
          </w:p>
        </w:tc>
        <w:tc>
          <w:tcPr>
            <w:tcW w:w="842" w:type="pct"/>
            <w:vAlign w:val="center"/>
          </w:tcPr>
          <w:p w14:paraId="078C5103" w14:textId="37F817BC" w:rsidR="007742EF" w:rsidRPr="00423935" w:rsidRDefault="005A4331" w:rsidP="007742EF">
            <w:pPr>
              <w:pStyle w:val="CommentText"/>
              <w:tabs>
                <w:tab w:val="decimal" w:pos="1350"/>
              </w:tabs>
              <w:jc w:val="right"/>
              <w:rPr>
                <w:sz w:val="24"/>
                <w:szCs w:val="24"/>
              </w:rPr>
            </w:pPr>
            <w:r w:rsidRPr="00423935">
              <w:rPr>
                <w:sz w:val="24"/>
                <w:szCs w:val="24"/>
              </w:rPr>
              <w:t>588,430</w:t>
            </w:r>
          </w:p>
        </w:tc>
        <w:tc>
          <w:tcPr>
            <w:tcW w:w="842" w:type="pct"/>
            <w:vAlign w:val="center"/>
          </w:tcPr>
          <w:p w14:paraId="30A3753A" w14:textId="4ED56B92" w:rsidR="007742EF" w:rsidRPr="006822CA" w:rsidRDefault="007742EF" w:rsidP="007742EF">
            <w:pPr>
              <w:tabs>
                <w:tab w:val="decimal" w:pos="1350"/>
              </w:tabs>
              <w:jc w:val="right"/>
              <w:rPr>
                <w:szCs w:val="24"/>
              </w:rPr>
            </w:pPr>
            <w:r w:rsidRPr="006822CA">
              <w:rPr>
                <w:szCs w:val="24"/>
              </w:rPr>
              <w:t>651,920</w:t>
            </w:r>
          </w:p>
        </w:tc>
      </w:tr>
      <w:tr w:rsidR="007742EF" w:rsidRPr="00423935" w14:paraId="569FD4F8" w14:textId="77777777" w:rsidTr="00233A66">
        <w:tc>
          <w:tcPr>
            <w:tcW w:w="2684" w:type="pct"/>
          </w:tcPr>
          <w:p w14:paraId="1F056D18" w14:textId="77777777" w:rsidR="007742EF" w:rsidRPr="00423935" w:rsidRDefault="007742EF" w:rsidP="007742EF">
            <w:pPr>
              <w:rPr>
                <w:szCs w:val="24"/>
              </w:rPr>
            </w:pPr>
            <w:r w:rsidRPr="00423935">
              <w:rPr>
                <w:szCs w:val="24"/>
              </w:rPr>
              <w:t>Collection Fund Adjustment Account</w:t>
            </w:r>
          </w:p>
        </w:tc>
        <w:tc>
          <w:tcPr>
            <w:tcW w:w="632" w:type="pct"/>
          </w:tcPr>
          <w:p w14:paraId="6E28249C" w14:textId="7758C59A" w:rsidR="007742EF" w:rsidRPr="00423935" w:rsidRDefault="00B35C8E" w:rsidP="007742EF">
            <w:pPr>
              <w:jc w:val="center"/>
              <w:rPr>
                <w:rStyle w:val="Hyperlink"/>
              </w:rPr>
            </w:pPr>
            <w:hyperlink w:anchor="_19_Unusable_Reserves" w:history="1">
              <w:r>
                <w:rPr>
                  <w:rStyle w:val="Hyperlink"/>
                  <w:szCs w:val="24"/>
                </w:rPr>
                <w:t>19</w:t>
              </w:r>
            </w:hyperlink>
          </w:p>
        </w:tc>
        <w:tc>
          <w:tcPr>
            <w:tcW w:w="842" w:type="pct"/>
            <w:vAlign w:val="center"/>
          </w:tcPr>
          <w:p w14:paraId="2E36E4F9" w14:textId="37EF7667" w:rsidR="007742EF" w:rsidRPr="00423935" w:rsidRDefault="005A4331" w:rsidP="007742EF">
            <w:pPr>
              <w:pStyle w:val="CommentText"/>
              <w:tabs>
                <w:tab w:val="decimal" w:pos="1350"/>
              </w:tabs>
              <w:jc w:val="right"/>
              <w:rPr>
                <w:sz w:val="24"/>
                <w:szCs w:val="24"/>
              </w:rPr>
            </w:pPr>
            <w:r w:rsidRPr="00423935">
              <w:rPr>
                <w:sz w:val="24"/>
                <w:szCs w:val="24"/>
              </w:rPr>
              <w:t>(591)</w:t>
            </w:r>
          </w:p>
        </w:tc>
        <w:tc>
          <w:tcPr>
            <w:tcW w:w="842" w:type="pct"/>
            <w:vAlign w:val="center"/>
          </w:tcPr>
          <w:p w14:paraId="49CCE2A2" w14:textId="6965597E" w:rsidR="007742EF" w:rsidRPr="006822CA" w:rsidRDefault="007742EF" w:rsidP="007742EF">
            <w:pPr>
              <w:tabs>
                <w:tab w:val="decimal" w:pos="1350"/>
              </w:tabs>
              <w:jc w:val="right"/>
              <w:rPr>
                <w:szCs w:val="24"/>
              </w:rPr>
            </w:pPr>
            <w:r w:rsidRPr="006822CA">
              <w:rPr>
                <w:szCs w:val="24"/>
              </w:rPr>
              <w:t>(120)</w:t>
            </w:r>
          </w:p>
        </w:tc>
      </w:tr>
      <w:tr w:rsidR="007742EF" w:rsidRPr="00423935" w14:paraId="4C1488AA" w14:textId="77777777" w:rsidTr="00233A66">
        <w:trPr>
          <w:trHeight w:val="197"/>
        </w:trPr>
        <w:tc>
          <w:tcPr>
            <w:tcW w:w="2684" w:type="pct"/>
          </w:tcPr>
          <w:p w14:paraId="17481394" w14:textId="77777777" w:rsidR="007742EF" w:rsidRPr="00423935" w:rsidRDefault="007742EF" w:rsidP="007742EF">
            <w:pPr>
              <w:rPr>
                <w:szCs w:val="24"/>
              </w:rPr>
            </w:pPr>
            <w:r w:rsidRPr="00423935">
              <w:rPr>
                <w:szCs w:val="24"/>
              </w:rPr>
              <w:t>Accumulated Absences Adjustment Account</w:t>
            </w:r>
          </w:p>
        </w:tc>
        <w:tc>
          <w:tcPr>
            <w:tcW w:w="632" w:type="pct"/>
          </w:tcPr>
          <w:p w14:paraId="56AFAA4C" w14:textId="749B1FC1" w:rsidR="007742EF" w:rsidRPr="00423935" w:rsidRDefault="00B35C8E" w:rsidP="007742EF">
            <w:pPr>
              <w:jc w:val="center"/>
              <w:rPr>
                <w:rStyle w:val="Hyperlink"/>
              </w:rPr>
            </w:pPr>
            <w:hyperlink w:anchor="_19_Unusable_Reserves" w:history="1">
              <w:r>
                <w:rPr>
                  <w:rStyle w:val="Hyperlink"/>
                  <w:szCs w:val="24"/>
                </w:rPr>
                <w:t>19</w:t>
              </w:r>
            </w:hyperlink>
          </w:p>
        </w:tc>
        <w:tc>
          <w:tcPr>
            <w:tcW w:w="842" w:type="pct"/>
            <w:vAlign w:val="center"/>
          </w:tcPr>
          <w:p w14:paraId="4323C9AA" w14:textId="20DA83E0" w:rsidR="007742EF" w:rsidRPr="00423935" w:rsidRDefault="005A4331" w:rsidP="007742EF">
            <w:pPr>
              <w:pStyle w:val="CommentText"/>
              <w:tabs>
                <w:tab w:val="decimal" w:pos="1350"/>
              </w:tabs>
              <w:jc w:val="right"/>
              <w:rPr>
                <w:sz w:val="24"/>
                <w:szCs w:val="24"/>
              </w:rPr>
            </w:pPr>
            <w:r w:rsidRPr="00423935">
              <w:rPr>
                <w:sz w:val="24"/>
                <w:szCs w:val="24"/>
              </w:rPr>
              <w:t>696</w:t>
            </w:r>
          </w:p>
        </w:tc>
        <w:tc>
          <w:tcPr>
            <w:tcW w:w="842" w:type="pct"/>
            <w:vAlign w:val="center"/>
          </w:tcPr>
          <w:p w14:paraId="4B104182" w14:textId="2AEAECB4" w:rsidR="007742EF" w:rsidRPr="006822CA" w:rsidRDefault="007742EF" w:rsidP="007742EF">
            <w:pPr>
              <w:tabs>
                <w:tab w:val="decimal" w:pos="1350"/>
              </w:tabs>
              <w:jc w:val="right"/>
              <w:rPr>
                <w:szCs w:val="24"/>
              </w:rPr>
            </w:pPr>
            <w:r w:rsidRPr="006822CA">
              <w:rPr>
                <w:szCs w:val="24"/>
              </w:rPr>
              <w:t>954</w:t>
            </w:r>
          </w:p>
        </w:tc>
      </w:tr>
      <w:tr w:rsidR="007742EF" w:rsidRPr="00423935" w14:paraId="75F617FB" w14:textId="77777777" w:rsidTr="00233A66">
        <w:tc>
          <w:tcPr>
            <w:tcW w:w="2684" w:type="pct"/>
          </w:tcPr>
          <w:p w14:paraId="0444D5A1" w14:textId="205DD539" w:rsidR="007742EF" w:rsidRPr="00423935" w:rsidRDefault="007742EF" w:rsidP="007742EF">
            <w:pPr>
              <w:rPr>
                <w:bCs/>
                <w:szCs w:val="24"/>
              </w:rPr>
            </w:pPr>
            <w:r w:rsidRPr="00423935">
              <w:rPr>
                <w:bCs/>
                <w:szCs w:val="24"/>
              </w:rPr>
              <w:t>Unusable Reserves total</w:t>
            </w:r>
          </w:p>
        </w:tc>
        <w:tc>
          <w:tcPr>
            <w:tcW w:w="632" w:type="pct"/>
          </w:tcPr>
          <w:p w14:paraId="24A4B6B7" w14:textId="58785204" w:rsidR="007742EF" w:rsidRPr="00423935" w:rsidRDefault="00B35C8E" w:rsidP="007742EF">
            <w:pPr>
              <w:jc w:val="center"/>
              <w:rPr>
                <w:rStyle w:val="Hyperlink"/>
              </w:rPr>
            </w:pPr>
            <w:hyperlink w:anchor="_19_Unusable_Reserves" w:history="1">
              <w:r>
                <w:rPr>
                  <w:rStyle w:val="Hyperlink"/>
                  <w:szCs w:val="24"/>
                </w:rPr>
                <w:t>19</w:t>
              </w:r>
            </w:hyperlink>
          </w:p>
        </w:tc>
        <w:tc>
          <w:tcPr>
            <w:tcW w:w="842" w:type="pct"/>
            <w:vAlign w:val="center"/>
          </w:tcPr>
          <w:p w14:paraId="5FC4393C" w14:textId="47CBC10F" w:rsidR="007742EF" w:rsidRPr="00423935" w:rsidRDefault="005A4331" w:rsidP="007742EF">
            <w:pPr>
              <w:pStyle w:val="CommentText"/>
              <w:tabs>
                <w:tab w:val="decimal" w:pos="1350"/>
              </w:tabs>
              <w:jc w:val="right"/>
              <w:rPr>
                <w:sz w:val="24"/>
                <w:szCs w:val="24"/>
              </w:rPr>
            </w:pPr>
            <w:r w:rsidRPr="00423935">
              <w:rPr>
                <w:sz w:val="24"/>
                <w:szCs w:val="24"/>
              </w:rPr>
              <w:t>470,932</w:t>
            </w:r>
          </w:p>
        </w:tc>
        <w:tc>
          <w:tcPr>
            <w:tcW w:w="842" w:type="pct"/>
            <w:vAlign w:val="center"/>
          </w:tcPr>
          <w:p w14:paraId="3445A428" w14:textId="13A9547F" w:rsidR="007742EF" w:rsidRPr="006822CA" w:rsidRDefault="007742EF" w:rsidP="007742EF">
            <w:pPr>
              <w:tabs>
                <w:tab w:val="decimal" w:pos="1350"/>
              </w:tabs>
              <w:jc w:val="right"/>
              <w:rPr>
                <w:szCs w:val="24"/>
              </w:rPr>
            </w:pPr>
            <w:r w:rsidRPr="006822CA">
              <w:rPr>
                <w:szCs w:val="24"/>
              </w:rPr>
              <w:t>536,720</w:t>
            </w:r>
          </w:p>
        </w:tc>
      </w:tr>
    </w:tbl>
    <w:p w14:paraId="4AC9B057" w14:textId="77777777" w:rsidR="00F32423" w:rsidRPr="00423935"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1276"/>
        <w:gridCol w:w="1701"/>
        <w:gridCol w:w="1701"/>
      </w:tblGrid>
      <w:tr w:rsidR="00FA18E2" w:rsidRPr="00D948C1" w14:paraId="71CD8CCE" w14:textId="77777777" w:rsidTr="00233A66">
        <w:tc>
          <w:tcPr>
            <w:tcW w:w="2684" w:type="pct"/>
          </w:tcPr>
          <w:p w14:paraId="61024DB4" w14:textId="77777777" w:rsidR="00FA18E2" w:rsidRPr="00423935" w:rsidRDefault="00FA18E2" w:rsidP="00FA18E2">
            <w:pPr>
              <w:rPr>
                <w:b/>
                <w:szCs w:val="24"/>
              </w:rPr>
            </w:pPr>
            <w:r w:rsidRPr="00423935">
              <w:rPr>
                <w:b/>
                <w:szCs w:val="24"/>
              </w:rPr>
              <w:t>Total Reserves</w:t>
            </w:r>
          </w:p>
        </w:tc>
        <w:tc>
          <w:tcPr>
            <w:tcW w:w="632" w:type="pct"/>
          </w:tcPr>
          <w:p w14:paraId="1A936933" w14:textId="77777777" w:rsidR="00FA18E2" w:rsidRPr="00423935" w:rsidRDefault="00FA18E2" w:rsidP="00FA18E2">
            <w:pPr>
              <w:pStyle w:val="CommentText"/>
              <w:tabs>
                <w:tab w:val="decimal" w:pos="1350"/>
              </w:tabs>
              <w:jc w:val="right"/>
              <w:rPr>
                <w:sz w:val="24"/>
                <w:szCs w:val="24"/>
              </w:rPr>
            </w:pPr>
          </w:p>
        </w:tc>
        <w:tc>
          <w:tcPr>
            <w:tcW w:w="842" w:type="pct"/>
            <w:vAlign w:val="center"/>
          </w:tcPr>
          <w:p w14:paraId="306BEE40" w14:textId="709F27C9" w:rsidR="00FA18E2" w:rsidRPr="00423935" w:rsidRDefault="005A4331" w:rsidP="00233A66">
            <w:pPr>
              <w:pStyle w:val="CommentText"/>
              <w:tabs>
                <w:tab w:val="decimal" w:pos="1350"/>
              </w:tabs>
              <w:jc w:val="right"/>
              <w:rPr>
                <w:b/>
                <w:bCs/>
                <w:sz w:val="24"/>
                <w:szCs w:val="24"/>
              </w:rPr>
            </w:pPr>
            <w:r w:rsidRPr="00423935">
              <w:rPr>
                <w:b/>
                <w:bCs/>
                <w:sz w:val="24"/>
                <w:szCs w:val="24"/>
              </w:rPr>
              <w:t>435,162</w:t>
            </w:r>
          </w:p>
        </w:tc>
        <w:tc>
          <w:tcPr>
            <w:tcW w:w="842" w:type="pct"/>
            <w:vAlign w:val="center"/>
          </w:tcPr>
          <w:p w14:paraId="37F7ACEC" w14:textId="54BFB1AA" w:rsidR="00FA18E2" w:rsidRPr="00D948C1" w:rsidRDefault="007742EF" w:rsidP="00233A66">
            <w:pPr>
              <w:pStyle w:val="CommentText"/>
              <w:tabs>
                <w:tab w:val="decimal" w:pos="1350"/>
              </w:tabs>
              <w:jc w:val="right"/>
              <w:rPr>
                <w:b/>
                <w:bCs/>
                <w:sz w:val="24"/>
                <w:szCs w:val="24"/>
              </w:rPr>
            </w:pPr>
            <w:r w:rsidRPr="006822CA">
              <w:rPr>
                <w:b/>
                <w:bCs/>
                <w:sz w:val="24"/>
                <w:szCs w:val="24"/>
              </w:rPr>
              <w:t>502,953</w:t>
            </w:r>
          </w:p>
        </w:tc>
      </w:tr>
    </w:tbl>
    <w:p w14:paraId="1184E4EB" w14:textId="74350DC5" w:rsidR="00D00C96" w:rsidRDefault="00D00C96" w:rsidP="00FA71D8">
      <w:pPr>
        <w:rPr>
          <w:szCs w:val="24"/>
        </w:rPr>
      </w:pPr>
      <w:r>
        <w:rPr>
          <w:szCs w:val="24"/>
        </w:rPr>
        <w:t>*</w:t>
      </w:r>
      <w:proofErr w:type="gramStart"/>
      <w:r w:rsidR="008A52B6">
        <w:rPr>
          <w:szCs w:val="24"/>
        </w:rPr>
        <w:t>see</w:t>
      </w:r>
      <w:proofErr w:type="gramEnd"/>
      <w:r w:rsidR="008A52B6">
        <w:rPr>
          <w:szCs w:val="24"/>
        </w:rPr>
        <w:t xml:space="preserve"> </w:t>
      </w:r>
      <w:hyperlink w:anchor="_31_Prior_Period" w:history="1">
        <w:r w:rsidR="008A52B6" w:rsidRPr="008A52B6">
          <w:rPr>
            <w:rStyle w:val="Hyperlink"/>
            <w:szCs w:val="24"/>
          </w:rPr>
          <w:t>Note 31</w:t>
        </w:r>
      </w:hyperlink>
      <w:r w:rsidR="006943DC">
        <w:t>, Prior Year Adjustments</w:t>
      </w:r>
      <w:r w:rsidR="008A52B6">
        <w:rPr>
          <w:szCs w:val="24"/>
        </w:rPr>
        <w:t xml:space="preserve"> for restatement details</w:t>
      </w:r>
      <w:r w:rsidR="00B33A0D">
        <w:rPr>
          <w:szCs w:val="24"/>
        </w:rPr>
        <w:t>.</w:t>
      </w:r>
    </w:p>
    <w:p w14:paraId="754E968C" w14:textId="77777777" w:rsidR="008A52B6" w:rsidRDefault="008A52B6" w:rsidP="00FA71D8">
      <w:pPr>
        <w:rPr>
          <w:szCs w:val="24"/>
        </w:rPr>
      </w:pPr>
    </w:p>
    <w:p w14:paraId="33641819" w14:textId="0E4894E6" w:rsidR="00A32EA2" w:rsidRPr="00D948C1" w:rsidRDefault="00C37996" w:rsidP="00FA71D8">
      <w:pPr>
        <w:rPr>
          <w:szCs w:val="24"/>
        </w:rPr>
      </w:pPr>
      <w:r w:rsidRPr="00D948C1">
        <w:rPr>
          <w:szCs w:val="24"/>
        </w:rPr>
        <w:t xml:space="preserve">This Statement of Accounts is that upon which the Auditor should enter his certificate and opinion. It presents a true and fair view of the financial position of the Authority </w:t>
      </w:r>
      <w:proofErr w:type="gramStart"/>
      <w:r w:rsidRPr="00D948C1">
        <w:rPr>
          <w:szCs w:val="24"/>
        </w:rPr>
        <w:t>at</w:t>
      </w:r>
      <w:proofErr w:type="gramEnd"/>
      <w:r w:rsidRPr="00D948C1">
        <w:rPr>
          <w:szCs w:val="24"/>
        </w:rPr>
        <w:t xml:space="preserve"> 31 March </w:t>
      </w:r>
      <w:r w:rsidR="000870F3" w:rsidRPr="00D948C1">
        <w:rPr>
          <w:szCs w:val="24"/>
        </w:rPr>
        <w:t>202</w:t>
      </w:r>
      <w:r w:rsidR="005A4331">
        <w:rPr>
          <w:szCs w:val="24"/>
        </w:rPr>
        <w:t>5</w:t>
      </w:r>
      <w:r w:rsidR="000870F3" w:rsidRPr="00D948C1">
        <w:rPr>
          <w:szCs w:val="24"/>
        </w:rPr>
        <w:t xml:space="preserve"> </w:t>
      </w:r>
      <w:r w:rsidRPr="00D948C1">
        <w:rPr>
          <w:szCs w:val="24"/>
        </w:rPr>
        <w:t>and its income and expenditure for the year then ended.</w:t>
      </w:r>
    </w:p>
    <w:p w14:paraId="2139A82C" w14:textId="77777777" w:rsidR="000870F3" w:rsidRPr="00D948C1" w:rsidRDefault="000870F3" w:rsidP="00C37996">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1661"/>
        <w:gridCol w:w="4391"/>
      </w:tblGrid>
      <w:tr w:rsidR="00EB128F" w:rsidRPr="00D948C1" w14:paraId="39E4C1FB" w14:textId="77777777" w:rsidTr="00773567">
        <w:trPr>
          <w:trHeight w:val="729"/>
        </w:trPr>
        <w:tc>
          <w:tcPr>
            <w:tcW w:w="4415" w:type="dxa"/>
          </w:tcPr>
          <w:p w14:paraId="3B59139A" w14:textId="2B9783DF" w:rsidR="00EF1CEF" w:rsidRPr="00D948C1" w:rsidRDefault="00D062BC" w:rsidP="00EF1CEF">
            <w:pPr>
              <w:jc w:val="both"/>
              <w:rPr>
                <w:rFonts w:ascii="Brush Script MT" w:hAnsi="Brush Script MT"/>
                <w:sz w:val="48"/>
                <w:szCs w:val="48"/>
              </w:rPr>
            </w:pPr>
            <w:r w:rsidRPr="00D948C1">
              <w:rPr>
                <w:rFonts w:ascii="Brush Script MT" w:hAnsi="Brush Script MT"/>
                <w:sz w:val="48"/>
                <w:szCs w:val="48"/>
              </w:rPr>
              <w:t>Steven Brown</w:t>
            </w:r>
          </w:p>
          <w:p w14:paraId="21FD3FD7" w14:textId="4503BC3C" w:rsidR="00EB128F" w:rsidRPr="00D948C1" w:rsidRDefault="00EB128F" w:rsidP="00C37996">
            <w:pPr>
              <w:jc w:val="both"/>
              <w:rPr>
                <w:sz w:val="20"/>
              </w:rPr>
            </w:pPr>
          </w:p>
        </w:tc>
        <w:tc>
          <w:tcPr>
            <w:tcW w:w="1661" w:type="dxa"/>
          </w:tcPr>
          <w:p w14:paraId="0B86DCE5" w14:textId="77777777" w:rsidR="00EB128F" w:rsidRPr="00662729" w:rsidRDefault="00EB128F" w:rsidP="00C37996">
            <w:pPr>
              <w:jc w:val="both"/>
              <w:rPr>
                <w:sz w:val="20"/>
              </w:rPr>
            </w:pPr>
          </w:p>
        </w:tc>
        <w:tc>
          <w:tcPr>
            <w:tcW w:w="4391" w:type="dxa"/>
          </w:tcPr>
          <w:p w14:paraId="45334352" w14:textId="17E08629" w:rsidR="005138FC" w:rsidRPr="00662729" w:rsidRDefault="005138FC" w:rsidP="005138FC">
            <w:pPr>
              <w:jc w:val="both"/>
              <w:rPr>
                <w:rFonts w:ascii="Brush Script MT" w:hAnsi="Brush Script MT"/>
                <w:sz w:val="48"/>
                <w:szCs w:val="48"/>
              </w:rPr>
            </w:pPr>
            <w:r w:rsidRPr="00662729">
              <w:rPr>
                <w:rFonts w:ascii="Brush Script MT" w:hAnsi="Brush Script MT"/>
                <w:sz w:val="48"/>
                <w:szCs w:val="48"/>
              </w:rPr>
              <w:t>Mark Clifford</w:t>
            </w:r>
          </w:p>
          <w:p w14:paraId="4FD50319" w14:textId="54E15A40" w:rsidR="00EB128F" w:rsidRPr="00662729" w:rsidRDefault="00EB128F" w:rsidP="00E949AD">
            <w:pPr>
              <w:jc w:val="both"/>
              <w:rPr>
                <w:sz w:val="20"/>
              </w:rPr>
            </w:pPr>
          </w:p>
        </w:tc>
      </w:tr>
      <w:tr w:rsidR="00EB128F" w:rsidRPr="00D948C1" w14:paraId="77CCDD32" w14:textId="77777777" w:rsidTr="00773567">
        <w:tc>
          <w:tcPr>
            <w:tcW w:w="4415" w:type="dxa"/>
          </w:tcPr>
          <w:p w14:paraId="206052FB" w14:textId="5BE1CCDD" w:rsidR="00D062BC" w:rsidRPr="00D948C1" w:rsidRDefault="00D062BC" w:rsidP="00D062BC">
            <w:pPr>
              <w:jc w:val="both"/>
              <w:rPr>
                <w:szCs w:val="24"/>
              </w:rPr>
            </w:pPr>
            <w:r w:rsidRPr="00D948C1">
              <w:rPr>
                <w:szCs w:val="24"/>
              </w:rPr>
              <w:t>Steven Brown CGMA</w:t>
            </w:r>
          </w:p>
          <w:p w14:paraId="4DA198D2" w14:textId="77777777" w:rsidR="00EB128F" w:rsidRPr="00D948C1" w:rsidRDefault="00EB128F" w:rsidP="00EB128F">
            <w:pPr>
              <w:rPr>
                <w:szCs w:val="24"/>
              </w:rPr>
            </w:pPr>
            <w:r w:rsidRPr="00D948C1">
              <w:rPr>
                <w:szCs w:val="24"/>
              </w:rPr>
              <w:t>Treasurer to the Combined Fire Authority</w:t>
            </w:r>
          </w:p>
          <w:p w14:paraId="4B708C13" w14:textId="1F40DF58" w:rsidR="00EB128F" w:rsidRPr="00D948C1" w:rsidRDefault="00F36C55" w:rsidP="00EB128F">
            <w:pPr>
              <w:jc w:val="both"/>
              <w:rPr>
                <w:szCs w:val="24"/>
              </w:rPr>
            </w:pPr>
            <w:r>
              <w:t>17</w:t>
            </w:r>
            <w:r w:rsidRPr="0033612E">
              <w:rPr>
                <w:vertAlign w:val="superscript"/>
              </w:rPr>
              <w:t>th</w:t>
            </w:r>
            <w:r>
              <w:t xml:space="preserve"> December 2025</w:t>
            </w:r>
          </w:p>
        </w:tc>
        <w:tc>
          <w:tcPr>
            <w:tcW w:w="1661" w:type="dxa"/>
          </w:tcPr>
          <w:p w14:paraId="37BAA24C" w14:textId="77777777" w:rsidR="00EB128F" w:rsidRPr="00662729" w:rsidRDefault="00EB128F" w:rsidP="00C37996">
            <w:pPr>
              <w:jc w:val="both"/>
              <w:rPr>
                <w:szCs w:val="24"/>
              </w:rPr>
            </w:pPr>
          </w:p>
        </w:tc>
        <w:tc>
          <w:tcPr>
            <w:tcW w:w="4391" w:type="dxa"/>
          </w:tcPr>
          <w:p w14:paraId="0DF11EF2" w14:textId="18FAC066" w:rsidR="00EB128F" w:rsidRPr="00662729" w:rsidRDefault="00E949AD" w:rsidP="00EB128F">
            <w:pPr>
              <w:rPr>
                <w:szCs w:val="24"/>
              </w:rPr>
            </w:pPr>
            <w:r w:rsidRPr="00662729">
              <w:rPr>
                <w:szCs w:val="24"/>
              </w:rPr>
              <w:t>Mark Clifford</w:t>
            </w:r>
          </w:p>
          <w:p w14:paraId="763CDB83" w14:textId="77777777" w:rsidR="00EB128F" w:rsidRPr="00662729" w:rsidRDefault="00EB128F" w:rsidP="00EB128F">
            <w:pPr>
              <w:rPr>
                <w:szCs w:val="24"/>
              </w:rPr>
            </w:pPr>
            <w:r w:rsidRPr="00662729">
              <w:rPr>
                <w:szCs w:val="24"/>
              </w:rPr>
              <w:t>Chair of Audit Committee</w:t>
            </w:r>
          </w:p>
          <w:p w14:paraId="17BE3A3C" w14:textId="39ED0BA2" w:rsidR="00EB128F" w:rsidRPr="00662729" w:rsidRDefault="00F36C55" w:rsidP="00EB128F">
            <w:pPr>
              <w:jc w:val="both"/>
              <w:rPr>
                <w:szCs w:val="24"/>
              </w:rPr>
            </w:pPr>
            <w:r>
              <w:t>17</w:t>
            </w:r>
            <w:r w:rsidRPr="0033612E">
              <w:rPr>
                <w:vertAlign w:val="superscript"/>
              </w:rPr>
              <w:t>th</w:t>
            </w:r>
            <w:r>
              <w:t xml:space="preserve"> December 2025</w:t>
            </w:r>
          </w:p>
        </w:tc>
      </w:tr>
    </w:tbl>
    <w:p w14:paraId="2C29AB01" w14:textId="77777777" w:rsidR="00773567" w:rsidRPr="00D948C1" w:rsidRDefault="00773567" w:rsidP="00D90216">
      <w:pPr>
        <w:tabs>
          <w:tab w:val="left" w:pos="720"/>
          <w:tab w:val="right" w:pos="5760"/>
        </w:tabs>
        <w:jc w:val="center"/>
        <w:rPr>
          <w:b/>
          <w:sz w:val="22"/>
        </w:rPr>
      </w:pPr>
    </w:p>
    <w:p w14:paraId="5FBE98CF" w14:textId="77777777" w:rsidR="005D04CB" w:rsidRPr="00D948C1" w:rsidRDefault="005D04CB">
      <w:pPr>
        <w:rPr>
          <w:b/>
          <w:sz w:val="22"/>
          <w:szCs w:val="22"/>
        </w:rPr>
      </w:pPr>
      <w:bookmarkStart w:id="23" w:name="Cashflow"/>
      <w:bookmarkEnd w:id="23"/>
      <w:r w:rsidRPr="00D948C1">
        <w:rPr>
          <w:sz w:val="22"/>
          <w:szCs w:val="22"/>
        </w:rPr>
        <w:br w:type="page"/>
      </w:r>
    </w:p>
    <w:p w14:paraId="55922220" w14:textId="5FAFB1BC" w:rsidR="00D90216" w:rsidRPr="00D948C1" w:rsidRDefault="005C1944" w:rsidP="00FA71D8">
      <w:pPr>
        <w:pStyle w:val="Heading1"/>
        <w:rPr>
          <w:szCs w:val="24"/>
        </w:rPr>
      </w:pPr>
      <w:bookmarkStart w:id="24" w:name="_Toc215593389"/>
      <w:r w:rsidRPr="00D948C1">
        <w:rPr>
          <w:szCs w:val="24"/>
        </w:rPr>
        <w:lastRenderedPageBreak/>
        <w:t>Cash Flow Statement</w:t>
      </w:r>
      <w:bookmarkEnd w:id="24"/>
    </w:p>
    <w:p w14:paraId="6233FA84" w14:textId="77777777" w:rsidR="00D90216" w:rsidRPr="00D948C1" w:rsidRDefault="00D90216" w:rsidP="00FA71D8">
      <w:pPr>
        <w:ind w:left="540" w:hanging="540"/>
        <w:rPr>
          <w:szCs w:val="24"/>
          <w:u w:val="single"/>
        </w:rPr>
      </w:pPr>
    </w:p>
    <w:p w14:paraId="7F1E926F" w14:textId="6F07706C" w:rsidR="00D90216" w:rsidRPr="00D948C1" w:rsidRDefault="00D90216" w:rsidP="00FA71D8">
      <w:pPr>
        <w:rPr>
          <w:szCs w:val="24"/>
        </w:rPr>
      </w:pPr>
      <w:r w:rsidRPr="00D948C1">
        <w:rPr>
          <w:szCs w:val="24"/>
        </w:rPr>
        <w:t>The cash flow statement shows the changes in cash and cash equivalents of the Authority during the reporting period. The statement shows how the Authority generates and uses cash and cash equivalents by classifying cash flows as operating, investing and financing activities. The amounts of net cash flows arising from operating activities is an indicator of the extent to which the operations are funded by way of taxation and grant income or from the recipients of services provided by the Authority. Investing activities represent the extent to which cash outflows have been made for resources which are intended to contribute to the Author</w:t>
      </w:r>
      <w:r w:rsidR="00F73C99" w:rsidRPr="00D948C1">
        <w:rPr>
          <w:szCs w:val="24"/>
        </w:rPr>
        <w:t>ity’s future service delivery.</w:t>
      </w:r>
    </w:p>
    <w:p w14:paraId="52E4AF86" w14:textId="77777777" w:rsidR="00D90216" w:rsidRPr="00D948C1" w:rsidRDefault="00D90216" w:rsidP="00D90216">
      <w:pPr>
        <w:rPr>
          <w:sz w:val="22"/>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100"/>
        <w:gridCol w:w="1134"/>
        <w:gridCol w:w="1134"/>
        <w:gridCol w:w="1134"/>
        <w:gridCol w:w="1134"/>
      </w:tblGrid>
      <w:tr w:rsidR="001824D9" w:rsidRPr="00D948C1" w14:paraId="271FFD36" w14:textId="77777777" w:rsidTr="00611673">
        <w:trPr>
          <w:trHeight w:hRule="exact" w:val="578"/>
          <w:tblHeader/>
        </w:trPr>
        <w:tc>
          <w:tcPr>
            <w:tcW w:w="4927" w:type="dxa"/>
            <w:shd w:val="clear" w:color="auto" w:fill="BD2716"/>
          </w:tcPr>
          <w:p w14:paraId="60F71C1E" w14:textId="77777777" w:rsidR="001824D9" w:rsidRPr="00D948C1" w:rsidRDefault="001824D9" w:rsidP="001824D9">
            <w:pPr>
              <w:pStyle w:val="Footer"/>
              <w:tabs>
                <w:tab w:val="clear" w:pos="4153"/>
                <w:tab w:val="clear" w:pos="8306"/>
                <w:tab w:val="left" w:pos="284"/>
              </w:tabs>
              <w:rPr>
                <w:color w:val="FFFFFF" w:themeColor="background1"/>
                <w:szCs w:val="24"/>
              </w:rPr>
            </w:pPr>
          </w:p>
        </w:tc>
        <w:tc>
          <w:tcPr>
            <w:tcW w:w="1100" w:type="dxa"/>
            <w:shd w:val="clear" w:color="auto" w:fill="BD2716"/>
            <w:vAlign w:val="center"/>
          </w:tcPr>
          <w:p w14:paraId="54DAA8D4" w14:textId="2D96C9E8" w:rsidR="001824D9" w:rsidRPr="00D948C1" w:rsidRDefault="001824D9" w:rsidP="001824D9">
            <w:pPr>
              <w:pStyle w:val="Footer"/>
              <w:tabs>
                <w:tab w:val="clear" w:pos="4153"/>
                <w:tab w:val="clear" w:pos="8306"/>
                <w:tab w:val="left" w:pos="284"/>
              </w:tabs>
              <w:rPr>
                <w:color w:val="FFFFFF" w:themeColor="background1"/>
                <w:szCs w:val="24"/>
              </w:rPr>
            </w:pPr>
            <w:r w:rsidRPr="00D948C1">
              <w:rPr>
                <w:color w:val="FFFFFF" w:themeColor="background1"/>
                <w:szCs w:val="24"/>
              </w:rPr>
              <w:t>Notes</w:t>
            </w:r>
          </w:p>
        </w:tc>
        <w:tc>
          <w:tcPr>
            <w:tcW w:w="1134" w:type="dxa"/>
            <w:shd w:val="clear" w:color="auto" w:fill="BD2716"/>
            <w:vAlign w:val="center"/>
          </w:tcPr>
          <w:p w14:paraId="1DFB0FAE" w14:textId="64FA214F" w:rsidR="001824D9" w:rsidRPr="00D948C1" w:rsidRDefault="001824D9" w:rsidP="001824D9">
            <w:pPr>
              <w:tabs>
                <w:tab w:val="decimal" w:pos="743"/>
                <w:tab w:val="decimal" w:pos="882"/>
              </w:tabs>
              <w:jc w:val="right"/>
              <w:rPr>
                <w:color w:val="FFFFFF" w:themeColor="background1"/>
                <w:szCs w:val="24"/>
              </w:rPr>
            </w:pPr>
            <w:r w:rsidRPr="00D948C1">
              <w:rPr>
                <w:color w:val="FFFFFF" w:themeColor="background1"/>
                <w:szCs w:val="24"/>
              </w:rPr>
              <w:t>202</w:t>
            </w:r>
            <w:r w:rsidR="007742EF">
              <w:rPr>
                <w:color w:val="FFFFFF" w:themeColor="background1"/>
                <w:szCs w:val="24"/>
              </w:rPr>
              <w:t>4</w:t>
            </w:r>
            <w:r w:rsidRPr="00D948C1">
              <w:rPr>
                <w:color w:val="FFFFFF" w:themeColor="background1"/>
                <w:szCs w:val="24"/>
              </w:rPr>
              <w:t>/2</w:t>
            </w:r>
            <w:r w:rsidR="007742EF">
              <w:rPr>
                <w:color w:val="FFFFFF" w:themeColor="background1"/>
                <w:szCs w:val="24"/>
              </w:rPr>
              <w:t>5</w:t>
            </w:r>
          </w:p>
          <w:p w14:paraId="02FE9EBE" w14:textId="60D9A908" w:rsidR="001824D9" w:rsidRPr="00D948C1" w:rsidRDefault="001824D9" w:rsidP="001824D9">
            <w:pPr>
              <w:tabs>
                <w:tab w:val="decimal" w:pos="743"/>
                <w:tab w:val="decimal" w:pos="882"/>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014067F" w14:textId="282F22BA" w:rsidR="001824D9" w:rsidRPr="00D948C1" w:rsidRDefault="001824D9" w:rsidP="001824D9">
            <w:pPr>
              <w:tabs>
                <w:tab w:val="decimal" w:pos="743"/>
                <w:tab w:val="decimal" w:pos="882"/>
              </w:tabs>
              <w:jc w:val="right"/>
              <w:rPr>
                <w:color w:val="FFFFFF" w:themeColor="background1"/>
                <w:szCs w:val="24"/>
              </w:rPr>
            </w:pPr>
            <w:r w:rsidRPr="00D948C1">
              <w:rPr>
                <w:color w:val="FFFFFF" w:themeColor="background1"/>
                <w:szCs w:val="24"/>
              </w:rPr>
              <w:t>202</w:t>
            </w:r>
            <w:r w:rsidR="007742EF">
              <w:rPr>
                <w:color w:val="FFFFFF" w:themeColor="background1"/>
                <w:szCs w:val="24"/>
              </w:rPr>
              <w:t>4</w:t>
            </w:r>
            <w:r w:rsidRPr="00D948C1">
              <w:rPr>
                <w:color w:val="FFFFFF" w:themeColor="background1"/>
                <w:szCs w:val="24"/>
              </w:rPr>
              <w:t>/2</w:t>
            </w:r>
            <w:r w:rsidR="007742EF">
              <w:rPr>
                <w:color w:val="FFFFFF" w:themeColor="background1"/>
                <w:szCs w:val="24"/>
              </w:rPr>
              <w:t>5</w:t>
            </w:r>
          </w:p>
          <w:p w14:paraId="7D1C8B74" w14:textId="2A281E02" w:rsidR="001824D9" w:rsidRPr="00D948C1" w:rsidRDefault="001824D9" w:rsidP="001824D9">
            <w:pPr>
              <w:tabs>
                <w:tab w:val="decimal" w:pos="743"/>
                <w:tab w:val="decimal" w:pos="882"/>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5AEA2752" w14:textId="560EEBE0" w:rsidR="001824D9" w:rsidRPr="00D948C1" w:rsidRDefault="001824D9" w:rsidP="001824D9">
            <w:pPr>
              <w:tabs>
                <w:tab w:val="decimal" w:pos="743"/>
                <w:tab w:val="decimal" w:pos="882"/>
              </w:tabs>
              <w:jc w:val="right"/>
              <w:rPr>
                <w:color w:val="FFFFFF" w:themeColor="background1"/>
                <w:szCs w:val="24"/>
              </w:rPr>
            </w:pPr>
            <w:r w:rsidRPr="00D948C1">
              <w:rPr>
                <w:color w:val="FFFFFF" w:themeColor="background1"/>
                <w:szCs w:val="24"/>
              </w:rPr>
              <w:t>202</w:t>
            </w:r>
            <w:r w:rsidR="007742EF">
              <w:rPr>
                <w:color w:val="FFFFFF" w:themeColor="background1"/>
                <w:szCs w:val="24"/>
              </w:rPr>
              <w:t>3</w:t>
            </w:r>
            <w:r w:rsidRPr="00D948C1">
              <w:rPr>
                <w:color w:val="FFFFFF" w:themeColor="background1"/>
                <w:szCs w:val="24"/>
              </w:rPr>
              <w:t>/2</w:t>
            </w:r>
            <w:r w:rsidR="007742EF">
              <w:rPr>
                <w:color w:val="FFFFFF" w:themeColor="background1"/>
                <w:szCs w:val="24"/>
              </w:rPr>
              <w:t>4</w:t>
            </w:r>
          </w:p>
          <w:p w14:paraId="4B1ED655" w14:textId="63F355F8" w:rsidR="001824D9" w:rsidRPr="00D948C1" w:rsidRDefault="001824D9" w:rsidP="001824D9">
            <w:pPr>
              <w:tabs>
                <w:tab w:val="decimal" w:pos="742"/>
                <w:tab w:val="decimal" w:pos="882"/>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791148BA" w14:textId="430F9220" w:rsidR="001824D9" w:rsidRPr="00D948C1" w:rsidRDefault="001824D9" w:rsidP="001824D9">
            <w:pPr>
              <w:tabs>
                <w:tab w:val="decimal" w:pos="742"/>
                <w:tab w:val="decimal" w:pos="882"/>
              </w:tabs>
              <w:jc w:val="right"/>
              <w:rPr>
                <w:color w:val="FFFFFF" w:themeColor="background1"/>
                <w:szCs w:val="24"/>
              </w:rPr>
            </w:pPr>
            <w:r w:rsidRPr="00D948C1">
              <w:rPr>
                <w:color w:val="FFFFFF" w:themeColor="background1"/>
                <w:szCs w:val="24"/>
              </w:rPr>
              <w:t>202</w:t>
            </w:r>
            <w:r w:rsidR="007742EF">
              <w:rPr>
                <w:color w:val="FFFFFF" w:themeColor="background1"/>
                <w:szCs w:val="24"/>
              </w:rPr>
              <w:t>3</w:t>
            </w:r>
            <w:r w:rsidRPr="00D948C1">
              <w:rPr>
                <w:color w:val="FFFFFF" w:themeColor="background1"/>
                <w:szCs w:val="24"/>
              </w:rPr>
              <w:t>/2</w:t>
            </w:r>
            <w:r w:rsidR="000811CC">
              <w:rPr>
                <w:color w:val="FFFFFF" w:themeColor="background1"/>
                <w:szCs w:val="24"/>
              </w:rPr>
              <w:t>4</w:t>
            </w:r>
            <w:r w:rsidRPr="00D948C1">
              <w:rPr>
                <w:color w:val="FFFFFF" w:themeColor="background1"/>
                <w:szCs w:val="24"/>
              </w:rPr>
              <w:t>£000</w:t>
            </w:r>
          </w:p>
        </w:tc>
      </w:tr>
      <w:tr w:rsidR="003C60F9" w:rsidRPr="00D948C1" w14:paraId="1F9D3C7E" w14:textId="77777777" w:rsidTr="00036C34">
        <w:trPr>
          <w:trHeight w:hRule="exact" w:val="300"/>
        </w:trPr>
        <w:tc>
          <w:tcPr>
            <w:tcW w:w="4927" w:type="dxa"/>
          </w:tcPr>
          <w:p w14:paraId="0F641F65" w14:textId="21C3FC8A" w:rsidR="003C60F9" w:rsidRPr="00D948C1" w:rsidRDefault="003C60F9" w:rsidP="003C60F9">
            <w:pPr>
              <w:pStyle w:val="Footer"/>
              <w:tabs>
                <w:tab w:val="clear" w:pos="4153"/>
                <w:tab w:val="clear" w:pos="8306"/>
                <w:tab w:val="left" w:pos="284"/>
              </w:tabs>
              <w:rPr>
                <w:szCs w:val="24"/>
              </w:rPr>
            </w:pPr>
            <w:r w:rsidRPr="00D948C1">
              <w:rPr>
                <w:szCs w:val="24"/>
              </w:rPr>
              <w:t>Net deficit on the provision of services</w:t>
            </w:r>
          </w:p>
        </w:tc>
        <w:tc>
          <w:tcPr>
            <w:tcW w:w="1100" w:type="dxa"/>
            <w:vAlign w:val="center"/>
          </w:tcPr>
          <w:p w14:paraId="7F9870B6" w14:textId="77777777" w:rsidR="003C60F9" w:rsidRPr="00D948C1" w:rsidRDefault="003C60F9" w:rsidP="003C60F9">
            <w:pPr>
              <w:pStyle w:val="Footer"/>
              <w:tabs>
                <w:tab w:val="clear" w:pos="4153"/>
                <w:tab w:val="clear" w:pos="8306"/>
                <w:tab w:val="left" w:pos="284"/>
              </w:tabs>
              <w:jc w:val="center"/>
              <w:rPr>
                <w:szCs w:val="24"/>
              </w:rPr>
            </w:pPr>
          </w:p>
        </w:tc>
        <w:tc>
          <w:tcPr>
            <w:tcW w:w="1134" w:type="dxa"/>
            <w:vAlign w:val="center"/>
          </w:tcPr>
          <w:p w14:paraId="0F152037" w14:textId="0EB619A3" w:rsidR="003C60F9" w:rsidRPr="00543C89" w:rsidRDefault="003C60F9" w:rsidP="003C60F9">
            <w:pPr>
              <w:tabs>
                <w:tab w:val="decimal" w:pos="743"/>
                <w:tab w:val="decimal" w:pos="882"/>
              </w:tabs>
              <w:jc w:val="right"/>
              <w:rPr>
                <w:szCs w:val="24"/>
              </w:rPr>
            </w:pPr>
            <w:r w:rsidRPr="00543C89">
              <w:rPr>
                <w:szCs w:val="24"/>
              </w:rPr>
              <w:t>(3,054)</w:t>
            </w:r>
          </w:p>
        </w:tc>
        <w:tc>
          <w:tcPr>
            <w:tcW w:w="1134" w:type="dxa"/>
            <w:vAlign w:val="center"/>
          </w:tcPr>
          <w:p w14:paraId="38818C23" w14:textId="170DFF38" w:rsidR="003C60F9" w:rsidRPr="00543C89" w:rsidRDefault="003C60F9" w:rsidP="003C60F9">
            <w:pPr>
              <w:pStyle w:val="CommentText"/>
              <w:tabs>
                <w:tab w:val="decimal" w:pos="743"/>
              </w:tabs>
              <w:spacing w:after="240"/>
              <w:jc w:val="right"/>
              <w:rPr>
                <w:sz w:val="24"/>
                <w:szCs w:val="24"/>
              </w:rPr>
            </w:pPr>
          </w:p>
        </w:tc>
        <w:tc>
          <w:tcPr>
            <w:tcW w:w="1134" w:type="dxa"/>
            <w:vAlign w:val="center"/>
          </w:tcPr>
          <w:p w14:paraId="5CE9F05B" w14:textId="5E416909" w:rsidR="003C60F9" w:rsidRPr="00543C89" w:rsidRDefault="003C60F9" w:rsidP="003C60F9">
            <w:pPr>
              <w:tabs>
                <w:tab w:val="decimal" w:pos="742"/>
              </w:tabs>
              <w:jc w:val="right"/>
              <w:rPr>
                <w:szCs w:val="24"/>
              </w:rPr>
            </w:pPr>
            <w:r w:rsidRPr="00FB606A">
              <w:rPr>
                <w:szCs w:val="24"/>
              </w:rPr>
              <w:t>(5,838)</w:t>
            </w:r>
          </w:p>
        </w:tc>
        <w:tc>
          <w:tcPr>
            <w:tcW w:w="1134" w:type="dxa"/>
            <w:vAlign w:val="center"/>
          </w:tcPr>
          <w:p w14:paraId="15B6C481" w14:textId="0A1A5316" w:rsidR="003C60F9" w:rsidRPr="00FB606A" w:rsidRDefault="003C60F9" w:rsidP="003C60F9">
            <w:pPr>
              <w:pStyle w:val="CommentText"/>
              <w:tabs>
                <w:tab w:val="decimal" w:pos="743"/>
              </w:tabs>
              <w:spacing w:after="240"/>
              <w:jc w:val="right"/>
              <w:rPr>
                <w:sz w:val="24"/>
                <w:szCs w:val="24"/>
              </w:rPr>
            </w:pPr>
          </w:p>
        </w:tc>
      </w:tr>
      <w:tr w:rsidR="003C60F9" w:rsidRPr="00D948C1" w14:paraId="2806C46A" w14:textId="77777777" w:rsidTr="00A066AE">
        <w:trPr>
          <w:trHeight w:hRule="exact" w:val="587"/>
        </w:trPr>
        <w:tc>
          <w:tcPr>
            <w:tcW w:w="4927" w:type="dxa"/>
          </w:tcPr>
          <w:p w14:paraId="7481CC42" w14:textId="28516456" w:rsidR="003C60F9" w:rsidRPr="00D948C1" w:rsidRDefault="003C60F9" w:rsidP="003C60F9">
            <w:pPr>
              <w:tabs>
                <w:tab w:val="left" w:pos="284"/>
              </w:tabs>
              <w:rPr>
                <w:szCs w:val="24"/>
              </w:rPr>
            </w:pPr>
            <w:r w:rsidRPr="00D948C1">
              <w:rPr>
                <w:szCs w:val="24"/>
              </w:rPr>
              <w:t>Adjustments to net deficit on the provision of services for non-cash movements</w:t>
            </w:r>
          </w:p>
        </w:tc>
        <w:tc>
          <w:tcPr>
            <w:tcW w:w="1100" w:type="dxa"/>
            <w:vAlign w:val="center"/>
          </w:tcPr>
          <w:p w14:paraId="39F4D6C4" w14:textId="586C5D9B" w:rsidR="003C60F9" w:rsidRPr="00D948C1" w:rsidRDefault="0081600A" w:rsidP="003C60F9">
            <w:pPr>
              <w:tabs>
                <w:tab w:val="left" w:pos="284"/>
              </w:tabs>
              <w:jc w:val="center"/>
              <w:rPr>
                <w:rStyle w:val="Hyperlink"/>
              </w:rPr>
            </w:pPr>
            <w:hyperlink w:anchor="_24_Adjust_Net" w:history="1">
              <w:r>
                <w:rPr>
                  <w:rStyle w:val="Hyperlink"/>
                  <w:szCs w:val="24"/>
                </w:rPr>
                <w:t>24</w:t>
              </w:r>
            </w:hyperlink>
          </w:p>
        </w:tc>
        <w:tc>
          <w:tcPr>
            <w:tcW w:w="1134" w:type="dxa"/>
            <w:vAlign w:val="center"/>
          </w:tcPr>
          <w:p w14:paraId="3285FE88" w14:textId="7B0247AC" w:rsidR="003C60F9" w:rsidRPr="00543C89" w:rsidRDefault="003C60F9" w:rsidP="003C60F9">
            <w:pPr>
              <w:tabs>
                <w:tab w:val="decimal" w:pos="743"/>
              </w:tabs>
              <w:spacing w:after="120"/>
              <w:jc w:val="right"/>
              <w:rPr>
                <w:bCs/>
                <w:szCs w:val="24"/>
              </w:rPr>
            </w:pPr>
            <w:r w:rsidRPr="00543C89">
              <w:rPr>
                <w:bCs/>
                <w:szCs w:val="24"/>
              </w:rPr>
              <w:t>30,251</w:t>
            </w:r>
          </w:p>
        </w:tc>
        <w:tc>
          <w:tcPr>
            <w:tcW w:w="1134" w:type="dxa"/>
            <w:vAlign w:val="center"/>
          </w:tcPr>
          <w:p w14:paraId="5982794D" w14:textId="0F04BCFF" w:rsidR="003C60F9" w:rsidRPr="00543C89" w:rsidRDefault="003C60F9" w:rsidP="003C60F9">
            <w:pPr>
              <w:tabs>
                <w:tab w:val="decimal" w:pos="743"/>
              </w:tabs>
              <w:spacing w:after="120"/>
              <w:jc w:val="right"/>
              <w:rPr>
                <w:bCs/>
                <w:szCs w:val="24"/>
              </w:rPr>
            </w:pPr>
          </w:p>
        </w:tc>
        <w:tc>
          <w:tcPr>
            <w:tcW w:w="1134" w:type="dxa"/>
            <w:vAlign w:val="center"/>
          </w:tcPr>
          <w:p w14:paraId="7D746D44" w14:textId="0E675E1B" w:rsidR="003C60F9" w:rsidRPr="00543C89" w:rsidRDefault="003C60F9" w:rsidP="003C60F9">
            <w:pPr>
              <w:tabs>
                <w:tab w:val="decimal" w:pos="743"/>
              </w:tabs>
              <w:spacing w:after="120"/>
              <w:jc w:val="right"/>
              <w:rPr>
                <w:bCs/>
                <w:szCs w:val="24"/>
              </w:rPr>
            </w:pPr>
            <w:r w:rsidRPr="00FB606A">
              <w:rPr>
                <w:bCs/>
                <w:szCs w:val="24"/>
              </w:rPr>
              <w:t>8,914</w:t>
            </w:r>
          </w:p>
        </w:tc>
        <w:tc>
          <w:tcPr>
            <w:tcW w:w="1134" w:type="dxa"/>
            <w:vAlign w:val="center"/>
          </w:tcPr>
          <w:p w14:paraId="7690B1ED" w14:textId="2EF21D1A" w:rsidR="003C60F9" w:rsidRPr="00FB606A" w:rsidRDefault="003C60F9" w:rsidP="003C60F9">
            <w:pPr>
              <w:tabs>
                <w:tab w:val="decimal" w:pos="743"/>
              </w:tabs>
              <w:spacing w:after="120"/>
              <w:jc w:val="right"/>
              <w:rPr>
                <w:bCs/>
                <w:szCs w:val="24"/>
              </w:rPr>
            </w:pPr>
          </w:p>
        </w:tc>
      </w:tr>
      <w:tr w:rsidR="003C60F9" w:rsidRPr="00D948C1" w14:paraId="4522AD1A" w14:textId="77777777" w:rsidTr="00036C34">
        <w:trPr>
          <w:trHeight w:hRule="exact" w:val="820"/>
        </w:trPr>
        <w:tc>
          <w:tcPr>
            <w:tcW w:w="4927" w:type="dxa"/>
          </w:tcPr>
          <w:p w14:paraId="5DDB7602" w14:textId="77777777" w:rsidR="003C60F9" w:rsidRPr="00D948C1" w:rsidRDefault="003C60F9" w:rsidP="003C60F9">
            <w:pPr>
              <w:tabs>
                <w:tab w:val="left" w:pos="284"/>
              </w:tabs>
              <w:rPr>
                <w:szCs w:val="24"/>
              </w:rPr>
            </w:pPr>
            <w:r w:rsidRPr="00D948C1">
              <w:rPr>
                <w:szCs w:val="24"/>
              </w:rPr>
              <w:t>Adjustments for items included in the net (deficit) on the provision of services that are investing and financing activities</w:t>
            </w:r>
          </w:p>
        </w:tc>
        <w:tc>
          <w:tcPr>
            <w:tcW w:w="1100" w:type="dxa"/>
            <w:vAlign w:val="center"/>
          </w:tcPr>
          <w:p w14:paraId="27E7B745" w14:textId="77777777" w:rsidR="003C60F9" w:rsidRPr="00D948C1" w:rsidRDefault="003C60F9" w:rsidP="003C60F9">
            <w:pPr>
              <w:tabs>
                <w:tab w:val="left" w:pos="284"/>
              </w:tabs>
              <w:jc w:val="center"/>
              <w:rPr>
                <w:rStyle w:val="Hyperlink"/>
              </w:rPr>
            </w:pPr>
          </w:p>
        </w:tc>
        <w:tc>
          <w:tcPr>
            <w:tcW w:w="1134" w:type="dxa"/>
            <w:vAlign w:val="center"/>
          </w:tcPr>
          <w:p w14:paraId="474B011E" w14:textId="218479F0" w:rsidR="003C60F9" w:rsidRPr="00543C89" w:rsidRDefault="003C60F9" w:rsidP="003C60F9">
            <w:pPr>
              <w:tabs>
                <w:tab w:val="decimal" w:pos="743"/>
              </w:tabs>
              <w:spacing w:after="120"/>
              <w:jc w:val="right"/>
              <w:rPr>
                <w:bCs/>
                <w:szCs w:val="24"/>
              </w:rPr>
            </w:pPr>
            <w:r w:rsidRPr="00543C89">
              <w:rPr>
                <w:bCs/>
                <w:szCs w:val="24"/>
              </w:rPr>
              <w:t>(681)</w:t>
            </w:r>
          </w:p>
        </w:tc>
        <w:tc>
          <w:tcPr>
            <w:tcW w:w="1134" w:type="dxa"/>
            <w:vAlign w:val="center"/>
          </w:tcPr>
          <w:p w14:paraId="2376C64C" w14:textId="43D33836" w:rsidR="003C60F9" w:rsidRPr="00543C89" w:rsidRDefault="003C60F9" w:rsidP="003C60F9">
            <w:pPr>
              <w:pStyle w:val="CommentText"/>
              <w:tabs>
                <w:tab w:val="decimal" w:pos="743"/>
              </w:tabs>
              <w:spacing w:after="120"/>
              <w:jc w:val="right"/>
              <w:rPr>
                <w:bCs/>
                <w:sz w:val="24"/>
                <w:szCs w:val="24"/>
              </w:rPr>
            </w:pPr>
          </w:p>
        </w:tc>
        <w:tc>
          <w:tcPr>
            <w:tcW w:w="1134" w:type="dxa"/>
            <w:vAlign w:val="center"/>
          </w:tcPr>
          <w:p w14:paraId="1EA228C1" w14:textId="2E91F180" w:rsidR="003C60F9" w:rsidRPr="00543C89" w:rsidRDefault="003C60F9" w:rsidP="003C60F9">
            <w:pPr>
              <w:tabs>
                <w:tab w:val="decimal" w:pos="743"/>
              </w:tabs>
              <w:spacing w:after="120"/>
              <w:jc w:val="right"/>
              <w:rPr>
                <w:bCs/>
                <w:szCs w:val="24"/>
              </w:rPr>
            </w:pPr>
            <w:r w:rsidRPr="00FB606A">
              <w:rPr>
                <w:bCs/>
                <w:szCs w:val="24"/>
              </w:rPr>
              <w:t>578</w:t>
            </w:r>
          </w:p>
        </w:tc>
        <w:tc>
          <w:tcPr>
            <w:tcW w:w="1134" w:type="dxa"/>
            <w:vAlign w:val="center"/>
          </w:tcPr>
          <w:p w14:paraId="4E02311B" w14:textId="19534B6F" w:rsidR="003C60F9" w:rsidRPr="00FB606A" w:rsidRDefault="003C60F9" w:rsidP="003C60F9">
            <w:pPr>
              <w:pStyle w:val="CommentText"/>
              <w:tabs>
                <w:tab w:val="decimal" w:pos="743"/>
              </w:tabs>
              <w:spacing w:after="120"/>
              <w:jc w:val="right"/>
              <w:rPr>
                <w:bCs/>
                <w:sz w:val="24"/>
                <w:szCs w:val="24"/>
              </w:rPr>
            </w:pPr>
          </w:p>
        </w:tc>
      </w:tr>
      <w:tr w:rsidR="003C60F9" w:rsidRPr="00D948C1" w14:paraId="133A9507" w14:textId="77777777" w:rsidTr="00036C34">
        <w:trPr>
          <w:trHeight w:hRule="exact" w:val="300"/>
        </w:trPr>
        <w:tc>
          <w:tcPr>
            <w:tcW w:w="4927" w:type="dxa"/>
          </w:tcPr>
          <w:p w14:paraId="3A816E97" w14:textId="77777777" w:rsidR="003C60F9" w:rsidRPr="00D948C1" w:rsidRDefault="003C60F9" w:rsidP="003C60F9">
            <w:pPr>
              <w:tabs>
                <w:tab w:val="left" w:pos="284"/>
              </w:tabs>
              <w:rPr>
                <w:b/>
                <w:szCs w:val="24"/>
              </w:rPr>
            </w:pPr>
            <w:r w:rsidRPr="00D948C1">
              <w:rPr>
                <w:b/>
                <w:szCs w:val="24"/>
              </w:rPr>
              <w:t>Net cash flows from Operating Activities</w:t>
            </w:r>
          </w:p>
        </w:tc>
        <w:tc>
          <w:tcPr>
            <w:tcW w:w="1100" w:type="dxa"/>
            <w:vAlign w:val="center"/>
          </w:tcPr>
          <w:p w14:paraId="504208EF" w14:textId="77777777" w:rsidR="003C60F9" w:rsidRPr="00D948C1" w:rsidRDefault="003C60F9" w:rsidP="003C60F9">
            <w:pPr>
              <w:tabs>
                <w:tab w:val="left" w:pos="284"/>
              </w:tabs>
              <w:jc w:val="center"/>
              <w:rPr>
                <w:rStyle w:val="Hyperlink"/>
              </w:rPr>
            </w:pPr>
          </w:p>
        </w:tc>
        <w:tc>
          <w:tcPr>
            <w:tcW w:w="1134" w:type="dxa"/>
            <w:vAlign w:val="center"/>
          </w:tcPr>
          <w:p w14:paraId="127C786A" w14:textId="5FDD3370" w:rsidR="003C60F9" w:rsidRPr="00543C89" w:rsidRDefault="003C60F9" w:rsidP="003C60F9">
            <w:pPr>
              <w:tabs>
                <w:tab w:val="decimal" w:pos="743"/>
              </w:tabs>
              <w:jc w:val="right"/>
              <w:rPr>
                <w:b/>
                <w:szCs w:val="24"/>
              </w:rPr>
            </w:pPr>
          </w:p>
        </w:tc>
        <w:tc>
          <w:tcPr>
            <w:tcW w:w="1134" w:type="dxa"/>
            <w:vAlign w:val="center"/>
          </w:tcPr>
          <w:p w14:paraId="4C244104" w14:textId="00C7E247" w:rsidR="003C60F9" w:rsidRPr="00543C89" w:rsidRDefault="005B7CB2" w:rsidP="003C60F9">
            <w:pPr>
              <w:pStyle w:val="CommentText"/>
              <w:tabs>
                <w:tab w:val="decimal" w:pos="743"/>
              </w:tabs>
              <w:spacing w:after="240"/>
              <w:jc w:val="right"/>
              <w:rPr>
                <w:b/>
                <w:sz w:val="24"/>
                <w:szCs w:val="24"/>
              </w:rPr>
            </w:pPr>
            <w:r w:rsidRPr="00543C89">
              <w:rPr>
                <w:b/>
                <w:sz w:val="24"/>
                <w:szCs w:val="24"/>
              </w:rPr>
              <w:t>26,516</w:t>
            </w:r>
          </w:p>
        </w:tc>
        <w:tc>
          <w:tcPr>
            <w:tcW w:w="1134" w:type="dxa"/>
            <w:vAlign w:val="center"/>
          </w:tcPr>
          <w:p w14:paraId="25DF0D5F" w14:textId="77777777" w:rsidR="003C60F9" w:rsidRPr="00543C89" w:rsidRDefault="003C60F9" w:rsidP="003C60F9">
            <w:pPr>
              <w:tabs>
                <w:tab w:val="decimal" w:pos="743"/>
              </w:tabs>
              <w:jc w:val="right"/>
              <w:rPr>
                <w:b/>
                <w:szCs w:val="24"/>
              </w:rPr>
            </w:pPr>
          </w:p>
        </w:tc>
        <w:tc>
          <w:tcPr>
            <w:tcW w:w="1134" w:type="dxa"/>
            <w:vAlign w:val="center"/>
          </w:tcPr>
          <w:p w14:paraId="7910C3F5" w14:textId="4EF56CDB" w:rsidR="003C60F9" w:rsidRPr="00FB606A" w:rsidRDefault="003C60F9" w:rsidP="003C60F9">
            <w:pPr>
              <w:pStyle w:val="CommentText"/>
              <w:tabs>
                <w:tab w:val="decimal" w:pos="743"/>
              </w:tabs>
              <w:spacing w:after="240"/>
              <w:jc w:val="right"/>
              <w:rPr>
                <w:b/>
                <w:sz w:val="24"/>
                <w:szCs w:val="24"/>
              </w:rPr>
            </w:pPr>
            <w:r w:rsidRPr="00FB606A">
              <w:rPr>
                <w:b/>
                <w:sz w:val="24"/>
                <w:szCs w:val="24"/>
              </w:rPr>
              <w:t>3,654</w:t>
            </w:r>
          </w:p>
        </w:tc>
      </w:tr>
    </w:tbl>
    <w:p w14:paraId="7C0C084A" w14:textId="77777777" w:rsidR="00DD2894" w:rsidRPr="00D948C1" w:rsidRDefault="00DD2894"/>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100"/>
        <w:gridCol w:w="1134"/>
        <w:gridCol w:w="1134"/>
        <w:gridCol w:w="1134"/>
        <w:gridCol w:w="1134"/>
      </w:tblGrid>
      <w:tr w:rsidR="00DD2894" w:rsidRPr="00D948C1" w14:paraId="08E23E5D" w14:textId="77777777" w:rsidTr="00036C34">
        <w:trPr>
          <w:trHeight w:hRule="exact" w:val="334"/>
        </w:trPr>
        <w:tc>
          <w:tcPr>
            <w:tcW w:w="10563" w:type="dxa"/>
            <w:gridSpan w:val="6"/>
            <w:shd w:val="clear" w:color="auto" w:fill="D9D9D9" w:themeFill="background1" w:themeFillShade="D9"/>
          </w:tcPr>
          <w:p w14:paraId="2F0FB6BD" w14:textId="329F12A1" w:rsidR="00DD2894" w:rsidRPr="00D948C1" w:rsidRDefault="00DD2894" w:rsidP="00DD2894">
            <w:pPr>
              <w:pStyle w:val="Footer"/>
              <w:tabs>
                <w:tab w:val="clear" w:pos="4153"/>
                <w:tab w:val="clear" w:pos="8306"/>
                <w:tab w:val="left" w:pos="284"/>
              </w:tabs>
              <w:rPr>
                <w:b/>
                <w:bCs/>
                <w:szCs w:val="24"/>
              </w:rPr>
            </w:pPr>
            <w:r w:rsidRPr="00D948C1">
              <w:rPr>
                <w:b/>
                <w:bCs/>
                <w:szCs w:val="24"/>
              </w:rPr>
              <w:t>Investing activities</w:t>
            </w:r>
          </w:p>
        </w:tc>
      </w:tr>
      <w:tr w:rsidR="007742EF" w:rsidRPr="00D948C1" w14:paraId="29925C5D" w14:textId="77777777" w:rsidTr="0078602B">
        <w:trPr>
          <w:trHeight w:hRule="exact" w:val="582"/>
        </w:trPr>
        <w:tc>
          <w:tcPr>
            <w:tcW w:w="4927" w:type="dxa"/>
          </w:tcPr>
          <w:p w14:paraId="2D728916" w14:textId="77777777" w:rsidR="007742EF" w:rsidRPr="00D948C1" w:rsidRDefault="007742EF" w:rsidP="007742EF">
            <w:pPr>
              <w:tabs>
                <w:tab w:val="left" w:pos="284"/>
              </w:tabs>
              <w:rPr>
                <w:szCs w:val="24"/>
              </w:rPr>
            </w:pPr>
            <w:r w:rsidRPr="00D948C1">
              <w:rPr>
                <w:szCs w:val="24"/>
              </w:rPr>
              <w:t>Purchase of property plant and equipment &amp; other capital spend</w:t>
            </w:r>
          </w:p>
        </w:tc>
        <w:tc>
          <w:tcPr>
            <w:tcW w:w="1100" w:type="dxa"/>
            <w:vAlign w:val="center"/>
          </w:tcPr>
          <w:p w14:paraId="161B4898" w14:textId="30EDB517" w:rsidR="007742EF" w:rsidRPr="00D948C1" w:rsidRDefault="007742EF" w:rsidP="007742EF">
            <w:pPr>
              <w:tabs>
                <w:tab w:val="left" w:pos="284"/>
              </w:tabs>
              <w:jc w:val="center"/>
              <w:rPr>
                <w:rStyle w:val="Hyperlink"/>
              </w:rPr>
            </w:pPr>
            <w:hyperlink w:anchor="_6_Property,_Plant" w:history="1">
              <w:r w:rsidRPr="00D948C1">
                <w:rPr>
                  <w:rStyle w:val="Hyperlink"/>
                  <w:szCs w:val="24"/>
                </w:rPr>
                <w:t>6</w:t>
              </w:r>
            </w:hyperlink>
            <w:r w:rsidRPr="00D948C1">
              <w:rPr>
                <w:rStyle w:val="Hyperlink"/>
              </w:rPr>
              <w:t>/</w:t>
            </w:r>
            <w:hyperlink w:anchor="N7" w:history="1">
              <w:r w:rsidRPr="00D948C1">
                <w:rPr>
                  <w:rStyle w:val="Hyperlink"/>
                  <w:szCs w:val="24"/>
                </w:rPr>
                <w:t>7</w:t>
              </w:r>
            </w:hyperlink>
          </w:p>
        </w:tc>
        <w:tc>
          <w:tcPr>
            <w:tcW w:w="1134" w:type="dxa"/>
            <w:vAlign w:val="center"/>
          </w:tcPr>
          <w:p w14:paraId="1E01EF41" w14:textId="3C9E8661" w:rsidR="007742EF" w:rsidRPr="00543C89" w:rsidRDefault="005B7CB2" w:rsidP="00543C89">
            <w:pPr>
              <w:tabs>
                <w:tab w:val="decimal" w:pos="743"/>
              </w:tabs>
              <w:spacing w:after="120"/>
              <w:jc w:val="right"/>
              <w:rPr>
                <w:bCs/>
                <w:szCs w:val="24"/>
              </w:rPr>
            </w:pPr>
            <w:r w:rsidRPr="00543C89">
              <w:rPr>
                <w:bCs/>
                <w:szCs w:val="24"/>
              </w:rPr>
              <w:t>(4,261)</w:t>
            </w:r>
          </w:p>
        </w:tc>
        <w:tc>
          <w:tcPr>
            <w:tcW w:w="1134" w:type="dxa"/>
            <w:vAlign w:val="center"/>
          </w:tcPr>
          <w:p w14:paraId="4B44576C" w14:textId="77777777" w:rsidR="007742EF" w:rsidRPr="00543C89" w:rsidRDefault="007742EF" w:rsidP="00543C89">
            <w:pPr>
              <w:tabs>
                <w:tab w:val="decimal" w:pos="743"/>
              </w:tabs>
              <w:spacing w:after="120"/>
              <w:jc w:val="right"/>
              <w:rPr>
                <w:bCs/>
                <w:szCs w:val="24"/>
              </w:rPr>
            </w:pPr>
          </w:p>
        </w:tc>
        <w:tc>
          <w:tcPr>
            <w:tcW w:w="1134" w:type="dxa"/>
            <w:vAlign w:val="center"/>
          </w:tcPr>
          <w:p w14:paraId="17DA96AA" w14:textId="48E611F5" w:rsidR="007742EF" w:rsidRPr="00FB606A" w:rsidRDefault="007742EF" w:rsidP="00543C89">
            <w:pPr>
              <w:tabs>
                <w:tab w:val="decimal" w:pos="743"/>
              </w:tabs>
              <w:spacing w:after="120"/>
              <w:jc w:val="right"/>
              <w:rPr>
                <w:bCs/>
                <w:szCs w:val="24"/>
              </w:rPr>
            </w:pPr>
            <w:r w:rsidRPr="00FB606A">
              <w:rPr>
                <w:bCs/>
                <w:szCs w:val="24"/>
              </w:rPr>
              <w:t>(6,074)</w:t>
            </w:r>
          </w:p>
        </w:tc>
        <w:tc>
          <w:tcPr>
            <w:tcW w:w="1134" w:type="dxa"/>
            <w:vAlign w:val="center"/>
          </w:tcPr>
          <w:p w14:paraId="37D2B5B9" w14:textId="77777777" w:rsidR="007742EF" w:rsidRPr="00FB606A" w:rsidRDefault="007742EF" w:rsidP="00543C89">
            <w:pPr>
              <w:tabs>
                <w:tab w:val="decimal" w:pos="743"/>
              </w:tabs>
              <w:spacing w:after="120"/>
              <w:jc w:val="right"/>
              <w:rPr>
                <w:bCs/>
                <w:szCs w:val="24"/>
              </w:rPr>
            </w:pPr>
          </w:p>
        </w:tc>
      </w:tr>
      <w:tr w:rsidR="007742EF" w:rsidRPr="00D948C1" w14:paraId="68AFA0B9" w14:textId="77777777" w:rsidTr="0078602B">
        <w:trPr>
          <w:trHeight w:hRule="exact" w:val="300"/>
        </w:trPr>
        <w:tc>
          <w:tcPr>
            <w:tcW w:w="4927" w:type="dxa"/>
          </w:tcPr>
          <w:p w14:paraId="43415029" w14:textId="50AB35A2" w:rsidR="007742EF" w:rsidRPr="00D948C1" w:rsidRDefault="007742EF" w:rsidP="00543C89">
            <w:pPr>
              <w:pStyle w:val="Footer"/>
              <w:tabs>
                <w:tab w:val="clear" w:pos="4153"/>
                <w:tab w:val="clear" w:pos="8306"/>
                <w:tab w:val="left" w:pos="284"/>
              </w:tabs>
              <w:spacing w:after="240"/>
              <w:rPr>
                <w:szCs w:val="24"/>
              </w:rPr>
            </w:pPr>
            <w:r w:rsidRPr="00D948C1">
              <w:rPr>
                <w:szCs w:val="24"/>
              </w:rPr>
              <w:t>(Increase)/Decrease in short-term deposits</w:t>
            </w:r>
          </w:p>
        </w:tc>
        <w:tc>
          <w:tcPr>
            <w:tcW w:w="1100" w:type="dxa"/>
            <w:vAlign w:val="center"/>
          </w:tcPr>
          <w:p w14:paraId="116128E1" w14:textId="77777777" w:rsidR="007742EF" w:rsidRPr="00D948C1" w:rsidRDefault="007742EF" w:rsidP="007742EF">
            <w:pPr>
              <w:tabs>
                <w:tab w:val="left" w:pos="284"/>
              </w:tabs>
              <w:jc w:val="center"/>
              <w:rPr>
                <w:rStyle w:val="Hyperlink"/>
              </w:rPr>
            </w:pPr>
          </w:p>
        </w:tc>
        <w:tc>
          <w:tcPr>
            <w:tcW w:w="1134" w:type="dxa"/>
            <w:vAlign w:val="center"/>
          </w:tcPr>
          <w:p w14:paraId="3BAD0658" w14:textId="6AF83872" w:rsidR="007742EF" w:rsidRPr="00543C89" w:rsidRDefault="005B7CB2" w:rsidP="00543C89">
            <w:pPr>
              <w:tabs>
                <w:tab w:val="decimal" w:pos="743"/>
              </w:tabs>
              <w:spacing w:after="240"/>
              <w:jc w:val="right"/>
              <w:rPr>
                <w:szCs w:val="24"/>
              </w:rPr>
            </w:pPr>
            <w:r w:rsidRPr="00543C89">
              <w:rPr>
                <w:szCs w:val="24"/>
              </w:rPr>
              <w:t>(26,040)</w:t>
            </w:r>
          </w:p>
        </w:tc>
        <w:tc>
          <w:tcPr>
            <w:tcW w:w="1134" w:type="dxa"/>
            <w:vAlign w:val="center"/>
          </w:tcPr>
          <w:p w14:paraId="77D92273" w14:textId="77777777" w:rsidR="007742EF" w:rsidRPr="00543C89" w:rsidRDefault="007742EF" w:rsidP="00543C89">
            <w:pPr>
              <w:pStyle w:val="CommentText"/>
              <w:tabs>
                <w:tab w:val="decimal" w:pos="743"/>
              </w:tabs>
              <w:spacing w:after="240"/>
              <w:jc w:val="right"/>
              <w:rPr>
                <w:sz w:val="24"/>
                <w:szCs w:val="24"/>
              </w:rPr>
            </w:pPr>
          </w:p>
        </w:tc>
        <w:tc>
          <w:tcPr>
            <w:tcW w:w="1134" w:type="dxa"/>
            <w:vAlign w:val="center"/>
          </w:tcPr>
          <w:p w14:paraId="600B96BA" w14:textId="75693A96" w:rsidR="007742EF" w:rsidRPr="00FB606A" w:rsidRDefault="007742EF" w:rsidP="00543C89">
            <w:pPr>
              <w:tabs>
                <w:tab w:val="decimal" w:pos="743"/>
              </w:tabs>
              <w:spacing w:after="240"/>
              <w:jc w:val="right"/>
              <w:rPr>
                <w:szCs w:val="24"/>
              </w:rPr>
            </w:pPr>
            <w:r w:rsidRPr="00FB606A">
              <w:rPr>
                <w:szCs w:val="24"/>
              </w:rPr>
              <w:t>(8,500)</w:t>
            </w:r>
          </w:p>
        </w:tc>
        <w:tc>
          <w:tcPr>
            <w:tcW w:w="1134" w:type="dxa"/>
            <w:vAlign w:val="center"/>
          </w:tcPr>
          <w:p w14:paraId="37A24EA3" w14:textId="77777777" w:rsidR="007742EF" w:rsidRPr="00FB606A" w:rsidRDefault="007742EF" w:rsidP="00543C89">
            <w:pPr>
              <w:pStyle w:val="CommentText"/>
              <w:tabs>
                <w:tab w:val="decimal" w:pos="743"/>
              </w:tabs>
              <w:spacing w:after="240"/>
              <w:jc w:val="right"/>
              <w:rPr>
                <w:sz w:val="24"/>
                <w:szCs w:val="24"/>
              </w:rPr>
            </w:pPr>
          </w:p>
        </w:tc>
      </w:tr>
      <w:tr w:rsidR="007742EF" w:rsidRPr="00D948C1" w14:paraId="44D25AA8" w14:textId="77777777" w:rsidTr="0078602B">
        <w:trPr>
          <w:trHeight w:hRule="exact" w:val="300"/>
        </w:trPr>
        <w:tc>
          <w:tcPr>
            <w:tcW w:w="4927" w:type="dxa"/>
          </w:tcPr>
          <w:p w14:paraId="3D967782" w14:textId="77777777" w:rsidR="007742EF" w:rsidRPr="00D948C1" w:rsidRDefault="007742EF" w:rsidP="007742EF">
            <w:pPr>
              <w:pStyle w:val="Footer"/>
              <w:tabs>
                <w:tab w:val="clear" w:pos="4153"/>
                <w:tab w:val="clear" w:pos="8306"/>
                <w:tab w:val="left" w:pos="284"/>
              </w:tabs>
              <w:spacing w:after="240"/>
              <w:rPr>
                <w:szCs w:val="24"/>
              </w:rPr>
            </w:pPr>
            <w:r w:rsidRPr="00D948C1">
              <w:rPr>
                <w:szCs w:val="24"/>
              </w:rPr>
              <w:t>Receipts from investing activities</w:t>
            </w:r>
          </w:p>
        </w:tc>
        <w:tc>
          <w:tcPr>
            <w:tcW w:w="1100" w:type="dxa"/>
            <w:vAlign w:val="center"/>
          </w:tcPr>
          <w:p w14:paraId="150F08E4" w14:textId="515A915C" w:rsidR="007742EF" w:rsidRPr="00D948C1" w:rsidRDefault="0081600A" w:rsidP="007742EF">
            <w:pPr>
              <w:tabs>
                <w:tab w:val="left" w:pos="284"/>
              </w:tabs>
              <w:jc w:val="center"/>
              <w:rPr>
                <w:rStyle w:val="Hyperlink"/>
              </w:rPr>
            </w:pPr>
            <w:hyperlink w:anchor="_25_Adjust_for" w:history="1">
              <w:r>
                <w:rPr>
                  <w:rStyle w:val="Hyperlink"/>
                  <w:szCs w:val="24"/>
                </w:rPr>
                <w:t>25</w:t>
              </w:r>
            </w:hyperlink>
          </w:p>
        </w:tc>
        <w:tc>
          <w:tcPr>
            <w:tcW w:w="1134" w:type="dxa"/>
            <w:vAlign w:val="center"/>
          </w:tcPr>
          <w:p w14:paraId="507396CF" w14:textId="5488DB65" w:rsidR="007742EF" w:rsidRPr="00543C89" w:rsidRDefault="005B7CB2" w:rsidP="00543C89">
            <w:pPr>
              <w:tabs>
                <w:tab w:val="decimal" w:pos="743"/>
              </w:tabs>
              <w:spacing w:after="240"/>
              <w:jc w:val="right"/>
              <w:rPr>
                <w:szCs w:val="24"/>
              </w:rPr>
            </w:pPr>
            <w:r w:rsidRPr="00543C89">
              <w:rPr>
                <w:szCs w:val="24"/>
              </w:rPr>
              <w:t>1,931</w:t>
            </w:r>
          </w:p>
        </w:tc>
        <w:tc>
          <w:tcPr>
            <w:tcW w:w="1134" w:type="dxa"/>
            <w:vAlign w:val="center"/>
          </w:tcPr>
          <w:p w14:paraId="7D6D6234" w14:textId="77777777" w:rsidR="007742EF" w:rsidRPr="00543C89" w:rsidRDefault="007742EF" w:rsidP="00543C89">
            <w:pPr>
              <w:pStyle w:val="CommentText"/>
              <w:tabs>
                <w:tab w:val="decimal" w:pos="743"/>
              </w:tabs>
              <w:spacing w:after="240"/>
              <w:jc w:val="right"/>
              <w:rPr>
                <w:sz w:val="24"/>
                <w:szCs w:val="24"/>
              </w:rPr>
            </w:pPr>
          </w:p>
        </w:tc>
        <w:tc>
          <w:tcPr>
            <w:tcW w:w="1134" w:type="dxa"/>
            <w:vAlign w:val="center"/>
          </w:tcPr>
          <w:p w14:paraId="685D7161" w14:textId="5F04EC84" w:rsidR="007742EF" w:rsidRPr="00FB606A" w:rsidRDefault="007742EF" w:rsidP="00543C89">
            <w:pPr>
              <w:tabs>
                <w:tab w:val="decimal" w:pos="743"/>
              </w:tabs>
              <w:spacing w:after="240"/>
              <w:jc w:val="right"/>
              <w:rPr>
                <w:szCs w:val="24"/>
              </w:rPr>
            </w:pPr>
            <w:r w:rsidRPr="00FB606A">
              <w:rPr>
                <w:szCs w:val="24"/>
              </w:rPr>
              <w:t>763</w:t>
            </w:r>
          </w:p>
        </w:tc>
        <w:tc>
          <w:tcPr>
            <w:tcW w:w="1134" w:type="dxa"/>
            <w:vAlign w:val="center"/>
          </w:tcPr>
          <w:p w14:paraId="63D38641" w14:textId="77777777" w:rsidR="007742EF" w:rsidRPr="00FB606A" w:rsidRDefault="007742EF" w:rsidP="00543C89">
            <w:pPr>
              <w:pStyle w:val="CommentText"/>
              <w:tabs>
                <w:tab w:val="decimal" w:pos="743"/>
              </w:tabs>
              <w:spacing w:after="240"/>
              <w:jc w:val="right"/>
              <w:rPr>
                <w:sz w:val="24"/>
                <w:szCs w:val="24"/>
              </w:rPr>
            </w:pPr>
          </w:p>
        </w:tc>
      </w:tr>
      <w:tr w:rsidR="007742EF" w:rsidRPr="00D948C1" w14:paraId="2AF2D529" w14:textId="77777777" w:rsidTr="0078602B">
        <w:trPr>
          <w:trHeight w:hRule="exact" w:val="300"/>
        </w:trPr>
        <w:tc>
          <w:tcPr>
            <w:tcW w:w="4927" w:type="dxa"/>
          </w:tcPr>
          <w:p w14:paraId="1996C803" w14:textId="77777777" w:rsidR="007742EF" w:rsidRPr="00D948C1" w:rsidRDefault="007742EF" w:rsidP="007742EF">
            <w:pPr>
              <w:tabs>
                <w:tab w:val="left" w:pos="284"/>
              </w:tabs>
              <w:spacing w:after="240"/>
              <w:rPr>
                <w:szCs w:val="24"/>
              </w:rPr>
            </w:pPr>
            <w:r w:rsidRPr="00D948C1">
              <w:rPr>
                <w:szCs w:val="24"/>
              </w:rPr>
              <w:t>Net cash flows from investing activities</w:t>
            </w:r>
          </w:p>
        </w:tc>
        <w:tc>
          <w:tcPr>
            <w:tcW w:w="1100" w:type="dxa"/>
            <w:vAlign w:val="center"/>
          </w:tcPr>
          <w:p w14:paraId="0A8EC716" w14:textId="77777777" w:rsidR="007742EF" w:rsidRPr="00D948C1" w:rsidRDefault="007742EF" w:rsidP="007742EF">
            <w:pPr>
              <w:tabs>
                <w:tab w:val="left" w:pos="284"/>
              </w:tabs>
              <w:jc w:val="center"/>
              <w:rPr>
                <w:rStyle w:val="Hyperlink"/>
              </w:rPr>
            </w:pPr>
          </w:p>
        </w:tc>
        <w:tc>
          <w:tcPr>
            <w:tcW w:w="1134" w:type="dxa"/>
            <w:vAlign w:val="center"/>
          </w:tcPr>
          <w:p w14:paraId="4883E040" w14:textId="419A75ED" w:rsidR="007742EF" w:rsidRPr="00543C89" w:rsidRDefault="007742EF" w:rsidP="00543C89">
            <w:pPr>
              <w:tabs>
                <w:tab w:val="decimal" w:pos="743"/>
              </w:tabs>
              <w:spacing w:after="240"/>
              <w:jc w:val="right"/>
              <w:rPr>
                <w:szCs w:val="24"/>
              </w:rPr>
            </w:pPr>
          </w:p>
        </w:tc>
        <w:tc>
          <w:tcPr>
            <w:tcW w:w="1134" w:type="dxa"/>
            <w:vAlign w:val="center"/>
          </w:tcPr>
          <w:p w14:paraId="063EC3D5" w14:textId="691AF4C6" w:rsidR="007742EF" w:rsidRPr="00FB606A" w:rsidRDefault="00D87547" w:rsidP="00543C89">
            <w:pPr>
              <w:pStyle w:val="CommentText"/>
              <w:tabs>
                <w:tab w:val="decimal" w:pos="743"/>
              </w:tabs>
              <w:spacing w:after="240"/>
              <w:jc w:val="right"/>
              <w:rPr>
                <w:b/>
                <w:bCs/>
                <w:sz w:val="24"/>
                <w:szCs w:val="24"/>
              </w:rPr>
            </w:pPr>
            <w:r w:rsidRPr="00FB606A">
              <w:rPr>
                <w:b/>
                <w:bCs/>
                <w:sz w:val="24"/>
                <w:szCs w:val="24"/>
              </w:rPr>
              <w:t>(28,370)</w:t>
            </w:r>
          </w:p>
        </w:tc>
        <w:tc>
          <w:tcPr>
            <w:tcW w:w="1134" w:type="dxa"/>
            <w:vAlign w:val="center"/>
          </w:tcPr>
          <w:p w14:paraId="30EB67EB" w14:textId="77777777" w:rsidR="007742EF" w:rsidRPr="00FB606A" w:rsidRDefault="007742EF" w:rsidP="00543C89">
            <w:pPr>
              <w:tabs>
                <w:tab w:val="decimal" w:pos="743"/>
              </w:tabs>
              <w:spacing w:after="240"/>
              <w:jc w:val="right"/>
              <w:rPr>
                <w:szCs w:val="24"/>
              </w:rPr>
            </w:pPr>
          </w:p>
        </w:tc>
        <w:tc>
          <w:tcPr>
            <w:tcW w:w="1134" w:type="dxa"/>
            <w:vAlign w:val="center"/>
          </w:tcPr>
          <w:p w14:paraId="51FE7C49" w14:textId="20389895" w:rsidR="007742EF" w:rsidRPr="00FB606A" w:rsidRDefault="007742EF" w:rsidP="00543C89">
            <w:pPr>
              <w:pStyle w:val="CommentText"/>
              <w:tabs>
                <w:tab w:val="decimal" w:pos="743"/>
              </w:tabs>
              <w:spacing w:after="240"/>
              <w:jc w:val="right"/>
              <w:rPr>
                <w:b/>
                <w:bCs/>
                <w:sz w:val="24"/>
                <w:szCs w:val="24"/>
              </w:rPr>
            </w:pPr>
            <w:r w:rsidRPr="00FB606A">
              <w:rPr>
                <w:b/>
                <w:bCs/>
                <w:sz w:val="24"/>
                <w:szCs w:val="24"/>
              </w:rPr>
              <w:t>(13,810)</w:t>
            </w:r>
          </w:p>
        </w:tc>
      </w:tr>
    </w:tbl>
    <w:p w14:paraId="74A6F784" w14:textId="77777777" w:rsidR="00DD2894" w:rsidRPr="00D948C1" w:rsidRDefault="00DD2894"/>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100"/>
        <w:gridCol w:w="1134"/>
        <w:gridCol w:w="1134"/>
        <w:gridCol w:w="1134"/>
        <w:gridCol w:w="1134"/>
      </w:tblGrid>
      <w:tr w:rsidR="00DD2894" w:rsidRPr="00D948C1" w14:paraId="19434437" w14:textId="77777777" w:rsidTr="00036C34">
        <w:trPr>
          <w:trHeight w:hRule="exact" w:val="334"/>
        </w:trPr>
        <w:tc>
          <w:tcPr>
            <w:tcW w:w="10563" w:type="dxa"/>
            <w:gridSpan w:val="6"/>
            <w:shd w:val="clear" w:color="auto" w:fill="D9D9D9" w:themeFill="background1" w:themeFillShade="D9"/>
          </w:tcPr>
          <w:p w14:paraId="2D0AFAC6" w14:textId="0550FEBA" w:rsidR="00DD2894" w:rsidRPr="00D948C1" w:rsidRDefault="00DD2894" w:rsidP="00036C34">
            <w:pPr>
              <w:tabs>
                <w:tab w:val="decimal" w:pos="742"/>
              </w:tabs>
              <w:rPr>
                <w:b/>
                <w:bCs/>
                <w:szCs w:val="24"/>
              </w:rPr>
            </w:pPr>
            <w:r w:rsidRPr="00D948C1">
              <w:rPr>
                <w:b/>
                <w:bCs/>
                <w:szCs w:val="24"/>
              </w:rPr>
              <w:t>Financing activities</w:t>
            </w:r>
          </w:p>
        </w:tc>
      </w:tr>
      <w:tr w:rsidR="007742EF" w:rsidRPr="00D948C1" w14:paraId="1D10DEA3" w14:textId="77777777" w:rsidTr="0078602B">
        <w:trPr>
          <w:trHeight w:hRule="exact" w:val="902"/>
        </w:trPr>
        <w:tc>
          <w:tcPr>
            <w:tcW w:w="4927" w:type="dxa"/>
          </w:tcPr>
          <w:p w14:paraId="4AB1F216" w14:textId="77777777" w:rsidR="007742EF" w:rsidRPr="00D948C1" w:rsidRDefault="007742EF" w:rsidP="007742EF">
            <w:pPr>
              <w:pStyle w:val="Footer"/>
              <w:tabs>
                <w:tab w:val="clear" w:pos="4153"/>
                <w:tab w:val="clear" w:pos="8306"/>
                <w:tab w:val="left" w:pos="284"/>
              </w:tabs>
              <w:spacing w:after="240"/>
              <w:rPr>
                <w:szCs w:val="24"/>
              </w:rPr>
            </w:pPr>
            <w:r w:rsidRPr="00D948C1">
              <w:rPr>
                <w:szCs w:val="24"/>
              </w:rPr>
              <w:t>Cash payments for the reduction of the outstanding liabilities relating to finance leases and on-balance sheet PFI contracts</w:t>
            </w:r>
          </w:p>
        </w:tc>
        <w:tc>
          <w:tcPr>
            <w:tcW w:w="1100" w:type="dxa"/>
            <w:vAlign w:val="center"/>
          </w:tcPr>
          <w:p w14:paraId="4DD92C0A" w14:textId="77777777" w:rsidR="007742EF" w:rsidRPr="00D948C1" w:rsidRDefault="007742EF" w:rsidP="007742EF">
            <w:pPr>
              <w:tabs>
                <w:tab w:val="left" w:pos="284"/>
              </w:tabs>
              <w:jc w:val="center"/>
              <w:rPr>
                <w:rStyle w:val="Hyperlink"/>
              </w:rPr>
            </w:pPr>
          </w:p>
        </w:tc>
        <w:tc>
          <w:tcPr>
            <w:tcW w:w="1134" w:type="dxa"/>
            <w:vAlign w:val="center"/>
          </w:tcPr>
          <w:p w14:paraId="27A11587" w14:textId="3C2B96A8" w:rsidR="007742EF" w:rsidRPr="00543C89" w:rsidRDefault="00D87547" w:rsidP="00543C89">
            <w:pPr>
              <w:pStyle w:val="CommentText"/>
              <w:tabs>
                <w:tab w:val="decimal" w:pos="743"/>
              </w:tabs>
              <w:spacing w:after="240"/>
              <w:jc w:val="right"/>
              <w:rPr>
                <w:sz w:val="24"/>
                <w:szCs w:val="24"/>
              </w:rPr>
            </w:pPr>
            <w:r w:rsidRPr="00543C89">
              <w:rPr>
                <w:sz w:val="24"/>
                <w:szCs w:val="24"/>
              </w:rPr>
              <w:t>(611)</w:t>
            </w:r>
          </w:p>
        </w:tc>
        <w:tc>
          <w:tcPr>
            <w:tcW w:w="1134" w:type="dxa"/>
            <w:vAlign w:val="center"/>
          </w:tcPr>
          <w:p w14:paraId="69C3A638" w14:textId="77777777" w:rsidR="007742EF" w:rsidRPr="00543C89" w:rsidRDefault="007742EF" w:rsidP="00543C89">
            <w:pPr>
              <w:pStyle w:val="CommentText"/>
              <w:tabs>
                <w:tab w:val="decimal" w:pos="743"/>
              </w:tabs>
              <w:spacing w:after="240"/>
              <w:jc w:val="right"/>
              <w:rPr>
                <w:sz w:val="24"/>
                <w:szCs w:val="24"/>
              </w:rPr>
            </w:pPr>
          </w:p>
        </w:tc>
        <w:tc>
          <w:tcPr>
            <w:tcW w:w="1134" w:type="dxa"/>
            <w:vAlign w:val="center"/>
          </w:tcPr>
          <w:p w14:paraId="11CCABCE" w14:textId="2796AD00" w:rsidR="007742EF" w:rsidRPr="00FB606A" w:rsidRDefault="007742EF" w:rsidP="00543C89">
            <w:pPr>
              <w:pStyle w:val="CommentText"/>
              <w:tabs>
                <w:tab w:val="decimal" w:pos="743"/>
              </w:tabs>
              <w:spacing w:after="240"/>
              <w:jc w:val="right"/>
              <w:rPr>
                <w:sz w:val="24"/>
                <w:szCs w:val="24"/>
              </w:rPr>
            </w:pPr>
            <w:r w:rsidRPr="00FB606A">
              <w:rPr>
                <w:sz w:val="24"/>
                <w:szCs w:val="24"/>
              </w:rPr>
              <w:t>(522)</w:t>
            </w:r>
          </w:p>
        </w:tc>
        <w:tc>
          <w:tcPr>
            <w:tcW w:w="1134" w:type="dxa"/>
            <w:vAlign w:val="center"/>
          </w:tcPr>
          <w:p w14:paraId="73E7C22B" w14:textId="77777777" w:rsidR="007742EF" w:rsidRPr="00FB606A" w:rsidRDefault="007742EF" w:rsidP="00543C89">
            <w:pPr>
              <w:pStyle w:val="CommentText"/>
              <w:tabs>
                <w:tab w:val="decimal" w:pos="743"/>
              </w:tabs>
              <w:spacing w:after="240"/>
              <w:jc w:val="right"/>
              <w:rPr>
                <w:sz w:val="24"/>
                <w:szCs w:val="24"/>
              </w:rPr>
            </w:pPr>
          </w:p>
        </w:tc>
      </w:tr>
      <w:tr w:rsidR="007742EF" w:rsidRPr="00D948C1" w14:paraId="578916B7" w14:textId="77777777" w:rsidTr="0078602B">
        <w:trPr>
          <w:trHeight w:hRule="exact" w:val="361"/>
        </w:trPr>
        <w:tc>
          <w:tcPr>
            <w:tcW w:w="4927" w:type="dxa"/>
          </w:tcPr>
          <w:p w14:paraId="57F814D4" w14:textId="77777777" w:rsidR="007742EF" w:rsidRPr="00D948C1" w:rsidRDefault="007742EF" w:rsidP="00543C89">
            <w:pPr>
              <w:pStyle w:val="Footer"/>
              <w:tabs>
                <w:tab w:val="clear" w:pos="4153"/>
                <w:tab w:val="clear" w:pos="8306"/>
                <w:tab w:val="left" w:pos="284"/>
              </w:tabs>
              <w:spacing w:after="240"/>
              <w:rPr>
                <w:szCs w:val="24"/>
              </w:rPr>
            </w:pPr>
            <w:r w:rsidRPr="00D948C1">
              <w:rPr>
                <w:szCs w:val="24"/>
              </w:rPr>
              <w:t>Payments for financing activities</w:t>
            </w:r>
          </w:p>
        </w:tc>
        <w:tc>
          <w:tcPr>
            <w:tcW w:w="1100" w:type="dxa"/>
            <w:vAlign w:val="center"/>
          </w:tcPr>
          <w:p w14:paraId="118A19DC" w14:textId="5583DAD6" w:rsidR="007742EF" w:rsidRPr="00D948C1" w:rsidRDefault="0081600A" w:rsidP="007742EF">
            <w:pPr>
              <w:tabs>
                <w:tab w:val="left" w:pos="284"/>
              </w:tabs>
              <w:jc w:val="center"/>
              <w:rPr>
                <w:rStyle w:val="Hyperlink"/>
              </w:rPr>
            </w:pPr>
            <w:hyperlink w:anchor="_25_Adjust_for" w:history="1">
              <w:r>
                <w:rPr>
                  <w:rStyle w:val="Hyperlink"/>
                  <w:szCs w:val="24"/>
                </w:rPr>
                <w:t>25</w:t>
              </w:r>
            </w:hyperlink>
          </w:p>
        </w:tc>
        <w:tc>
          <w:tcPr>
            <w:tcW w:w="1134" w:type="dxa"/>
            <w:vAlign w:val="center"/>
          </w:tcPr>
          <w:p w14:paraId="6343E8C6" w14:textId="311B181E" w:rsidR="007742EF" w:rsidRPr="00543C89" w:rsidRDefault="00EB7CCB" w:rsidP="00543C89">
            <w:pPr>
              <w:pStyle w:val="CommentText"/>
              <w:tabs>
                <w:tab w:val="decimal" w:pos="743"/>
              </w:tabs>
              <w:spacing w:after="240"/>
              <w:jc w:val="right"/>
              <w:rPr>
                <w:sz w:val="24"/>
                <w:szCs w:val="24"/>
              </w:rPr>
            </w:pPr>
            <w:r w:rsidRPr="00543C89">
              <w:rPr>
                <w:sz w:val="24"/>
                <w:szCs w:val="24"/>
              </w:rPr>
              <w:t>(1,249)</w:t>
            </w:r>
          </w:p>
        </w:tc>
        <w:tc>
          <w:tcPr>
            <w:tcW w:w="1134" w:type="dxa"/>
            <w:vAlign w:val="center"/>
          </w:tcPr>
          <w:p w14:paraId="3F45D304" w14:textId="77777777" w:rsidR="007742EF" w:rsidRPr="00543C89" w:rsidRDefault="007742EF" w:rsidP="00543C89">
            <w:pPr>
              <w:pStyle w:val="CommentText"/>
              <w:tabs>
                <w:tab w:val="decimal" w:pos="743"/>
              </w:tabs>
              <w:spacing w:after="240"/>
              <w:jc w:val="right"/>
              <w:rPr>
                <w:sz w:val="24"/>
                <w:szCs w:val="24"/>
              </w:rPr>
            </w:pPr>
          </w:p>
        </w:tc>
        <w:tc>
          <w:tcPr>
            <w:tcW w:w="1134" w:type="dxa"/>
            <w:vAlign w:val="center"/>
          </w:tcPr>
          <w:p w14:paraId="74BD072F" w14:textId="509806C2" w:rsidR="007742EF" w:rsidRPr="00FB606A" w:rsidRDefault="007742EF" w:rsidP="00543C89">
            <w:pPr>
              <w:pStyle w:val="CommentText"/>
              <w:tabs>
                <w:tab w:val="decimal" w:pos="743"/>
              </w:tabs>
              <w:spacing w:after="240"/>
              <w:jc w:val="right"/>
              <w:rPr>
                <w:sz w:val="24"/>
                <w:szCs w:val="24"/>
              </w:rPr>
            </w:pPr>
            <w:r w:rsidRPr="00FB606A">
              <w:rPr>
                <w:sz w:val="24"/>
                <w:szCs w:val="24"/>
              </w:rPr>
              <w:t>(1,341)</w:t>
            </w:r>
          </w:p>
        </w:tc>
        <w:tc>
          <w:tcPr>
            <w:tcW w:w="1134" w:type="dxa"/>
            <w:vAlign w:val="center"/>
          </w:tcPr>
          <w:p w14:paraId="12C981E6" w14:textId="77777777" w:rsidR="007742EF" w:rsidRPr="00FB606A" w:rsidRDefault="007742EF" w:rsidP="00543C89">
            <w:pPr>
              <w:pStyle w:val="CommentText"/>
              <w:tabs>
                <w:tab w:val="decimal" w:pos="743"/>
              </w:tabs>
              <w:spacing w:after="240"/>
              <w:jc w:val="right"/>
              <w:rPr>
                <w:sz w:val="24"/>
                <w:szCs w:val="24"/>
              </w:rPr>
            </w:pPr>
          </w:p>
        </w:tc>
      </w:tr>
      <w:tr w:rsidR="007742EF" w:rsidRPr="00D948C1" w14:paraId="15A8B311" w14:textId="77777777" w:rsidTr="0078602B">
        <w:trPr>
          <w:trHeight w:hRule="exact" w:val="374"/>
        </w:trPr>
        <w:tc>
          <w:tcPr>
            <w:tcW w:w="4927" w:type="dxa"/>
          </w:tcPr>
          <w:p w14:paraId="4F3AD5B9" w14:textId="77777777" w:rsidR="007742EF" w:rsidRPr="00D948C1" w:rsidRDefault="007742EF" w:rsidP="007742EF">
            <w:pPr>
              <w:tabs>
                <w:tab w:val="left" w:pos="284"/>
              </w:tabs>
              <w:rPr>
                <w:szCs w:val="24"/>
              </w:rPr>
            </w:pPr>
            <w:r w:rsidRPr="00D948C1">
              <w:rPr>
                <w:szCs w:val="24"/>
              </w:rPr>
              <w:t>Net cash flows from financing activities</w:t>
            </w:r>
          </w:p>
        </w:tc>
        <w:tc>
          <w:tcPr>
            <w:tcW w:w="1100" w:type="dxa"/>
            <w:vAlign w:val="center"/>
          </w:tcPr>
          <w:p w14:paraId="25731E26" w14:textId="77777777" w:rsidR="007742EF" w:rsidRPr="00D948C1" w:rsidRDefault="007742EF" w:rsidP="007742EF">
            <w:pPr>
              <w:tabs>
                <w:tab w:val="left" w:pos="284"/>
              </w:tabs>
              <w:jc w:val="center"/>
              <w:rPr>
                <w:rStyle w:val="Hyperlink"/>
              </w:rPr>
            </w:pPr>
          </w:p>
        </w:tc>
        <w:tc>
          <w:tcPr>
            <w:tcW w:w="1134" w:type="dxa"/>
            <w:vAlign w:val="center"/>
          </w:tcPr>
          <w:p w14:paraId="1F260B80" w14:textId="260697EA" w:rsidR="007742EF" w:rsidRPr="00543C89" w:rsidRDefault="007742EF" w:rsidP="00543C89">
            <w:pPr>
              <w:tabs>
                <w:tab w:val="left" w:pos="284"/>
                <w:tab w:val="decimal" w:pos="743"/>
              </w:tabs>
              <w:jc w:val="right"/>
              <w:rPr>
                <w:szCs w:val="24"/>
              </w:rPr>
            </w:pPr>
          </w:p>
        </w:tc>
        <w:tc>
          <w:tcPr>
            <w:tcW w:w="1134" w:type="dxa"/>
            <w:vAlign w:val="center"/>
          </w:tcPr>
          <w:p w14:paraId="1193F98E" w14:textId="45846284" w:rsidR="007742EF" w:rsidRPr="00FB606A" w:rsidRDefault="00EB7CCB" w:rsidP="00543C89">
            <w:pPr>
              <w:tabs>
                <w:tab w:val="decimal" w:pos="743"/>
              </w:tabs>
              <w:spacing w:after="120"/>
              <w:jc w:val="right"/>
              <w:rPr>
                <w:b/>
                <w:szCs w:val="24"/>
              </w:rPr>
            </w:pPr>
            <w:r w:rsidRPr="00FB606A">
              <w:rPr>
                <w:b/>
                <w:szCs w:val="24"/>
              </w:rPr>
              <w:t>(1,861)</w:t>
            </w:r>
          </w:p>
        </w:tc>
        <w:tc>
          <w:tcPr>
            <w:tcW w:w="1134" w:type="dxa"/>
            <w:vAlign w:val="center"/>
          </w:tcPr>
          <w:p w14:paraId="74D97E12" w14:textId="77777777" w:rsidR="007742EF" w:rsidRPr="00FB606A" w:rsidRDefault="007742EF" w:rsidP="00543C89">
            <w:pPr>
              <w:tabs>
                <w:tab w:val="decimal" w:pos="743"/>
              </w:tabs>
              <w:spacing w:after="120"/>
              <w:jc w:val="right"/>
              <w:rPr>
                <w:bCs/>
                <w:szCs w:val="24"/>
              </w:rPr>
            </w:pPr>
          </w:p>
        </w:tc>
        <w:tc>
          <w:tcPr>
            <w:tcW w:w="1134" w:type="dxa"/>
            <w:vAlign w:val="center"/>
          </w:tcPr>
          <w:p w14:paraId="56C66F4D" w14:textId="2F4BF0EE" w:rsidR="007742EF" w:rsidRPr="00FB606A" w:rsidRDefault="007742EF" w:rsidP="00543C89">
            <w:pPr>
              <w:pStyle w:val="CommentText"/>
              <w:tabs>
                <w:tab w:val="decimal" w:pos="743"/>
              </w:tabs>
              <w:spacing w:after="240"/>
              <w:jc w:val="right"/>
              <w:rPr>
                <w:b/>
                <w:sz w:val="24"/>
                <w:szCs w:val="24"/>
              </w:rPr>
            </w:pPr>
            <w:r w:rsidRPr="00FB606A">
              <w:rPr>
                <w:b/>
                <w:sz w:val="24"/>
                <w:szCs w:val="24"/>
              </w:rPr>
              <w:t>(1,863)</w:t>
            </w:r>
          </w:p>
        </w:tc>
      </w:tr>
      <w:tr w:rsidR="007742EF" w:rsidRPr="00D948C1" w14:paraId="40219650" w14:textId="77777777" w:rsidTr="0078602B">
        <w:trPr>
          <w:trHeight w:val="177"/>
        </w:trPr>
        <w:tc>
          <w:tcPr>
            <w:tcW w:w="4927" w:type="dxa"/>
          </w:tcPr>
          <w:p w14:paraId="51B2F7A7" w14:textId="77777777" w:rsidR="007742EF" w:rsidRPr="00D948C1" w:rsidRDefault="007742EF" w:rsidP="007742EF">
            <w:pPr>
              <w:pStyle w:val="Footer"/>
              <w:tabs>
                <w:tab w:val="clear" w:pos="4153"/>
                <w:tab w:val="clear" w:pos="8306"/>
                <w:tab w:val="left" w:pos="284"/>
              </w:tabs>
              <w:spacing w:after="120"/>
              <w:rPr>
                <w:szCs w:val="24"/>
              </w:rPr>
            </w:pPr>
            <w:r w:rsidRPr="00D948C1">
              <w:rPr>
                <w:b/>
                <w:szCs w:val="24"/>
              </w:rPr>
              <w:t>Net increase/(decrease) in cash and cash equivalents</w:t>
            </w:r>
          </w:p>
        </w:tc>
        <w:tc>
          <w:tcPr>
            <w:tcW w:w="1100" w:type="dxa"/>
            <w:vAlign w:val="center"/>
          </w:tcPr>
          <w:p w14:paraId="73BCCA46" w14:textId="77777777" w:rsidR="007742EF" w:rsidRPr="00D948C1" w:rsidRDefault="007742EF" w:rsidP="007742EF">
            <w:pPr>
              <w:tabs>
                <w:tab w:val="left" w:pos="284"/>
              </w:tabs>
              <w:jc w:val="center"/>
              <w:rPr>
                <w:rStyle w:val="Hyperlink"/>
              </w:rPr>
            </w:pPr>
          </w:p>
        </w:tc>
        <w:tc>
          <w:tcPr>
            <w:tcW w:w="1134" w:type="dxa"/>
            <w:vAlign w:val="center"/>
          </w:tcPr>
          <w:p w14:paraId="59D3A386" w14:textId="745BA82A" w:rsidR="007742EF" w:rsidRPr="00543C89" w:rsidRDefault="007742EF" w:rsidP="00543C89">
            <w:pPr>
              <w:tabs>
                <w:tab w:val="decimal" w:pos="743"/>
                <w:tab w:val="decimal" w:pos="882"/>
              </w:tabs>
              <w:spacing w:after="120"/>
              <w:jc w:val="right"/>
              <w:rPr>
                <w:szCs w:val="24"/>
              </w:rPr>
            </w:pPr>
          </w:p>
        </w:tc>
        <w:tc>
          <w:tcPr>
            <w:tcW w:w="1134" w:type="dxa"/>
            <w:vAlign w:val="center"/>
          </w:tcPr>
          <w:p w14:paraId="27352E10" w14:textId="6AF966B4" w:rsidR="007742EF" w:rsidRPr="00543C89" w:rsidRDefault="00EB7CCB" w:rsidP="00543C89">
            <w:pPr>
              <w:tabs>
                <w:tab w:val="decimal" w:pos="742"/>
              </w:tabs>
              <w:spacing w:after="120"/>
              <w:jc w:val="right"/>
              <w:rPr>
                <w:b/>
                <w:szCs w:val="24"/>
              </w:rPr>
            </w:pPr>
            <w:r w:rsidRPr="00543C89">
              <w:rPr>
                <w:b/>
                <w:szCs w:val="24"/>
              </w:rPr>
              <w:t>(3,715)</w:t>
            </w:r>
          </w:p>
        </w:tc>
        <w:tc>
          <w:tcPr>
            <w:tcW w:w="1134" w:type="dxa"/>
            <w:vAlign w:val="center"/>
          </w:tcPr>
          <w:p w14:paraId="3E34E23F" w14:textId="77777777" w:rsidR="007742EF" w:rsidRPr="00FB606A" w:rsidRDefault="007742EF" w:rsidP="00543C89">
            <w:pPr>
              <w:tabs>
                <w:tab w:val="decimal" w:pos="743"/>
                <w:tab w:val="decimal" w:pos="882"/>
              </w:tabs>
              <w:spacing w:after="120"/>
              <w:jc w:val="right"/>
              <w:rPr>
                <w:szCs w:val="24"/>
              </w:rPr>
            </w:pPr>
          </w:p>
        </w:tc>
        <w:tc>
          <w:tcPr>
            <w:tcW w:w="1134" w:type="dxa"/>
            <w:vAlign w:val="center"/>
          </w:tcPr>
          <w:p w14:paraId="0DD85AD7" w14:textId="6D45F783" w:rsidR="007742EF" w:rsidRPr="00FB606A" w:rsidRDefault="007742EF" w:rsidP="00543C89">
            <w:pPr>
              <w:tabs>
                <w:tab w:val="decimal" w:pos="742"/>
              </w:tabs>
              <w:spacing w:after="120"/>
              <w:jc w:val="right"/>
              <w:rPr>
                <w:b/>
                <w:szCs w:val="24"/>
              </w:rPr>
            </w:pPr>
            <w:r w:rsidRPr="00FB606A">
              <w:rPr>
                <w:b/>
                <w:szCs w:val="24"/>
              </w:rPr>
              <w:t>(12,020)</w:t>
            </w:r>
          </w:p>
        </w:tc>
      </w:tr>
      <w:tr w:rsidR="007742EF" w:rsidRPr="00D948C1" w14:paraId="42182475" w14:textId="77777777" w:rsidTr="0078602B">
        <w:trPr>
          <w:trHeight w:hRule="exact" w:val="575"/>
        </w:trPr>
        <w:tc>
          <w:tcPr>
            <w:tcW w:w="4927" w:type="dxa"/>
          </w:tcPr>
          <w:p w14:paraId="7ECBAD25" w14:textId="77777777" w:rsidR="007742EF" w:rsidRPr="00D948C1" w:rsidRDefault="007742EF" w:rsidP="007742EF">
            <w:pPr>
              <w:pStyle w:val="CommentText"/>
              <w:tabs>
                <w:tab w:val="left" w:pos="284"/>
              </w:tabs>
              <w:spacing w:after="240"/>
              <w:rPr>
                <w:sz w:val="24"/>
                <w:szCs w:val="24"/>
              </w:rPr>
            </w:pPr>
            <w:r w:rsidRPr="00D948C1">
              <w:rPr>
                <w:sz w:val="24"/>
                <w:szCs w:val="24"/>
              </w:rPr>
              <w:t>Cash and cash equivalents at the beginning of the reporting period</w:t>
            </w:r>
          </w:p>
        </w:tc>
        <w:tc>
          <w:tcPr>
            <w:tcW w:w="1100" w:type="dxa"/>
            <w:vAlign w:val="center"/>
          </w:tcPr>
          <w:p w14:paraId="61370E09" w14:textId="12EB809D" w:rsidR="007742EF" w:rsidRPr="00D948C1" w:rsidRDefault="007742EF" w:rsidP="007742EF">
            <w:pPr>
              <w:tabs>
                <w:tab w:val="left" w:pos="284"/>
              </w:tabs>
              <w:jc w:val="center"/>
              <w:rPr>
                <w:rStyle w:val="Hyperlink"/>
              </w:rPr>
            </w:pPr>
            <w:hyperlink w:anchor="N10" w:history="1">
              <w:r w:rsidRPr="00D948C1">
                <w:rPr>
                  <w:rStyle w:val="Hyperlink"/>
                  <w:szCs w:val="24"/>
                </w:rPr>
                <w:t>10</w:t>
              </w:r>
            </w:hyperlink>
          </w:p>
        </w:tc>
        <w:tc>
          <w:tcPr>
            <w:tcW w:w="1134" w:type="dxa"/>
            <w:vAlign w:val="center"/>
          </w:tcPr>
          <w:p w14:paraId="66BE4FBD" w14:textId="2B86FB88" w:rsidR="007742EF" w:rsidRPr="00543C89" w:rsidRDefault="007742EF" w:rsidP="00543C89">
            <w:pPr>
              <w:tabs>
                <w:tab w:val="decimal" w:pos="743"/>
              </w:tabs>
              <w:spacing w:after="120"/>
              <w:jc w:val="right"/>
              <w:rPr>
                <w:bCs/>
                <w:szCs w:val="24"/>
              </w:rPr>
            </w:pPr>
          </w:p>
        </w:tc>
        <w:tc>
          <w:tcPr>
            <w:tcW w:w="1134" w:type="dxa"/>
            <w:vAlign w:val="center"/>
          </w:tcPr>
          <w:p w14:paraId="2E05E3B2" w14:textId="214FD112" w:rsidR="007742EF" w:rsidRPr="00543C89" w:rsidRDefault="000811CC" w:rsidP="00543C89">
            <w:pPr>
              <w:tabs>
                <w:tab w:val="decimal" w:pos="743"/>
              </w:tabs>
              <w:spacing w:after="120"/>
              <w:jc w:val="right"/>
              <w:rPr>
                <w:bCs/>
                <w:szCs w:val="24"/>
              </w:rPr>
            </w:pPr>
            <w:r w:rsidRPr="00FB606A">
              <w:rPr>
                <w:bCs/>
                <w:szCs w:val="24"/>
              </w:rPr>
              <w:t>4,297</w:t>
            </w:r>
          </w:p>
        </w:tc>
        <w:tc>
          <w:tcPr>
            <w:tcW w:w="1134" w:type="dxa"/>
            <w:vAlign w:val="center"/>
          </w:tcPr>
          <w:p w14:paraId="32FCFBEE" w14:textId="77777777" w:rsidR="007742EF" w:rsidRPr="00FB606A" w:rsidRDefault="007742EF" w:rsidP="00543C89">
            <w:pPr>
              <w:tabs>
                <w:tab w:val="decimal" w:pos="743"/>
              </w:tabs>
              <w:spacing w:after="120"/>
              <w:jc w:val="right"/>
              <w:rPr>
                <w:bCs/>
                <w:szCs w:val="24"/>
              </w:rPr>
            </w:pPr>
          </w:p>
        </w:tc>
        <w:tc>
          <w:tcPr>
            <w:tcW w:w="1134" w:type="dxa"/>
            <w:vAlign w:val="center"/>
          </w:tcPr>
          <w:p w14:paraId="2E59B241" w14:textId="06BA9196" w:rsidR="007742EF" w:rsidRPr="00FB606A" w:rsidRDefault="007742EF" w:rsidP="00543C89">
            <w:pPr>
              <w:tabs>
                <w:tab w:val="decimal" w:pos="743"/>
              </w:tabs>
              <w:spacing w:after="120"/>
              <w:jc w:val="right"/>
              <w:rPr>
                <w:bCs/>
                <w:szCs w:val="24"/>
              </w:rPr>
            </w:pPr>
            <w:r w:rsidRPr="00FB606A">
              <w:rPr>
                <w:bCs/>
                <w:szCs w:val="24"/>
              </w:rPr>
              <w:t>16,317</w:t>
            </w:r>
          </w:p>
        </w:tc>
      </w:tr>
      <w:tr w:rsidR="007742EF" w:rsidRPr="00D948C1" w14:paraId="6542EB7B" w14:textId="77777777" w:rsidTr="0078602B">
        <w:tc>
          <w:tcPr>
            <w:tcW w:w="4927" w:type="dxa"/>
          </w:tcPr>
          <w:p w14:paraId="60890E55" w14:textId="77777777" w:rsidR="007742EF" w:rsidRPr="00D948C1" w:rsidRDefault="007742EF" w:rsidP="007742EF">
            <w:pPr>
              <w:pStyle w:val="CommentText"/>
              <w:tabs>
                <w:tab w:val="left" w:pos="284"/>
              </w:tabs>
              <w:spacing w:after="240"/>
              <w:rPr>
                <w:b/>
                <w:sz w:val="24"/>
                <w:szCs w:val="24"/>
              </w:rPr>
            </w:pPr>
            <w:r w:rsidRPr="00D948C1">
              <w:rPr>
                <w:b/>
                <w:sz w:val="24"/>
                <w:szCs w:val="24"/>
              </w:rPr>
              <w:t>Cash and cash equivalents at the end of the reporting period</w:t>
            </w:r>
          </w:p>
        </w:tc>
        <w:tc>
          <w:tcPr>
            <w:tcW w:w="1100" w:type="dxa"/>
            <w:vAlign w:val="center"/>
          </w:tcPr>
          <w:p w14:paraId="76BA6493" w14:textId="6FB1CC57" w:rsidR="007742EF" w:rsidRPr="00D948C1" w:rsidRDefault="007742EF" w:rsidP="007742EF">
            <w:pPr>
              <w:tabs>
                <w:tab w:val="left" w:pos="284"/>
              </w:tabs>
              <w:jc w:val="center"/>
              <w:rPr>
                <w:rStyle w:val="Hyperlink"/>
              </w:rPr>
            </w:pPr>
            <w:hyperlink w:anchor="N10" w:history="1">
              <w:r w:rsidRPr="00D948C1">
                <w:rPr>
                  <w:rStyle w:val="Hyperlink"/>
                  <w:szCs w:val="24"/>
                </w:rPr>
                <w:t>10</w:t>
              </w:r>
            </w:hyperlink>
          </w:p>
        </w:tc>
        <w:tc>
          <w:tcPr>
            <w:tcW w:w="1134" w:type="dxa"/>
            <w:vAlign w:val="center"/>
          </w:tcPr>
          <w:p w14:paraId="04F7B21E" w14:textId="7C911770" w:rsidR="007742EF" w:rsidRPr="00543C89" w:rsidRDefault="007742EF" w:rsidP="00543C89">
            <w:pPr>
              <w:pStyle w:val="Footer"/>
              <w:tabs>
                <w:tab w:val="clear" w:pos="4153"/>
                <w:tab w:val="clear" w:pos="8306"/>
                <w:tab w:val="decimal" w:pos="743"/>
                <w:tab w:val="decimal" w:pos="882"/>
              </w:tabs>
              <w:spacing w:after="120"/>
              <w:jc w:val="right"/>
              <w:rPr>
                <w:b/>
                <w:szCs w:val="24"/>
              </w:rPr>
            </w:pPr>
          </w:p>
        </w:tc>
        <w:tc>
          <w:tcPr>
            <w:tcW w:w="1134" w:type="dxa"/>
            <w:vAlign w:val="center"/>
          </w:tcPr>
          <w:p w14:paraId="2D78D735" w14:textId="153E2074" w:rsidR="007742EF" w:rsidRPr="00543C89" w:rsidRDefault="003B476F" w:rsidP="00543C89">
            <w:pPr>
              <w:pStyle w:val="Footer"/>
              <w:tabs>
                <w:tab w:val="clear" w:pos="4153"/>
                <w:tab w:val="clear" w:pos="8306"/>
                <w:tab w:val="decimal" w:pos="742"/>
              </w:tabs>
              <w:spacing w:after="120"/>
              <w:jc w:val="right"/>
              <w:rPr>
                <w:b/>
                <w:szCs w:val="24"/>
              </w:rPr>
            </w:pPr>
            <w:r w:rsidRPr="00543C89">
              <w:rPr>
                <w:b/>
                <w:szCs w:val="24"/>
              </w:rPr>
              <w:t>582</w:t>
            </w:r>
          </w:p>
        </w:tc>
        <w:tc>
          <w:tcPr>
            <w:tcW w:w="1134" w:type="dxa"/>
            <w:vAlign w:val="center"/>
          </w:tcPr>
          <w:p w14:paraId="0FE4C979" w14:textId="77777777" w:rsidR="007742EF" w:rsidRPr="00FB606A" w:rsidRDefault="007742EF" w:rsidP="00543C89">
            <w:pPr>
              <w:pStyle w:val="Footer"/>
              <w:tabs>
                <w:tab w:val="clear" w:pos="4153"/>
                <w:tab w:val="clear" w:pos="8306"/>
                <w:tab w:val="decimal" w:pos="743"/>
                <w:tab w:val="decimal" w:pos="882"/>
              </w:tabs>
              <w:spacing w:after="120"/>
              <w:jc w:val="right"/>
              <w:rPr>
                <w:b/>
                <w:szCs w:val="24"/>
              </w:rPr>
            </w:pPr>
          </w:p>
        </w:tc>
        <w:tc>
          <w:tcPr>
            <w:tcW w:w="1134" w:type="dxa"/>
            <w:vAlign w:val="center"/>
          </w:tcPr>
          <w:p w14:paraId="5711E9CB" w14:textId="66E4EE99" w:rsidR="007742EF" w:rsidRPr="00FB606A" w:rsidRDefault="007742EF" w:rsidP="00543C89">
            <w:pPr>
              <w:pStyle w:val="Footer"/>
              <w:tabs>
                <w:tab w:val="clear" w:pos="4153"/>
                <w:tab w:val="clear" w:pos="8306"/>
                <w:tab w:val="decimal" w:pos="742"/>
              </w:tabs>
              <w:spacing w:after="120"/>
              <w:jc w:val="right"/>
              <w:rPr>
                <w:b/>
                <w:szCs w:val="24"/>
              </w:rPr>
            </w:pPr>
            <w:r w:rsidRPr="00FB606A">
              <w:rPr>
                <w:b/>
                <w:szCs w:val="24"/>
              </w:rPr>
              <w:t>4,297</w:t>
            </w:r>
          </w:p>
        </w:tc>
      </w:tr>
    </w:tbl>
    <w:p w14:paraId="20F6C2F7" w14:textId="77777777" w:rsidR="00EE5263" w:rsidRPr="00D948C1" w:rsidRDefault="003105BA" w:rsidP="00887207">
      <w:pPr>
        <w:rPr>
          <w:sz w:val="22"/>
        </w:rPr>
      </w:pPr>
      <w:r w:rsidRPr="00D948C1">
        <w:rPr>
          <w:b/>
          <w:sz w:val="22"/>
        </w:rPr>
        <w:tab/>
      </w:r>
    </w:p>
    <w:p w14:paraId="0AAD779D" w14:textId="77777777" w:rsidR="009F51E5" w:rsidRPr="00D948C1" w:rsidRDefault="009F51E5" w:rsidP="005A3C76">
      <w:pPr>
        <w:pStyle w:val="Heading1"/>
        <w:jc w:val="center"/>
        <w:rPr>
          <w:sz w:val="22"/>
          <w:szCs w:val="22"/>
        </w:rPr>
        <w:sectPr w:rsidR="009F51E5" w:rsidRPr="00D948C1" w:rsidSect="0050229D">
          <w:pgSz w:w="11907" w:h="16840" w:code="9"/>
          <w:pgMar w:top="454" w:right="567" w:bottom="397" w:left="567" w:header="720" w:footer="720" w:gutter="0"/>
          <w:cols w:space="720"/>
          <w:docGrid w:linePitch="326"/>
        </w:sectPr>
      </w:pPr>
    </w:p>
    <w:p w14:paraId="2D546CC0" w14:textId="51AD5412" w:rsidR="003F061A" w:rsidRPr="00D948C1" w:rsidRDefault="003278CF" w:rsidP="00FA71D8">
      <w:pPr>
        <w:pStyle w:val="Heading1"/>
        <w:rPr>
          <w:szCs w:val="24"/>
        </w:rPr>
      </w:pPr>
      <w:bookmarkStart w:id="25" w:name="_Toc215593390"/>
      <w:r w:rsidRPr="00D948C1">
        <w:rPr>
          <w:szCs w:val="24"/>
        </w:rPr>
        <w:lastRenderedPageBreak/>
        <w:t>Notes to the Core Financial Statements</w:t>
      </w:r>
      <w:bookmarkEnd w:id="25"/>
    </w:p>
    <w:p w14:paraId="1ADCD2C0" w14:textId="77777777" w:rsidR="00EE5263" w:rsidRPr="00D948C1" w:rsidRDefault="00EE5263" w:rsidP="007F15C1">
      <w:pPr>
        <w:ind w:left="720"/>
        <w:jc w:val="both"/>
        <w:rPr>
          <w:sz w:val="22"/>
        </w:rPr>
      </w:pPr>
    </w:p>
    <w:p w14:paraId="248DD0CA" w14:textId="77777777" w:rsidR="009B6F2A" w:rsidRPr="00D948C1" w:rsidRDefault="003F061A" w:rsidP="002A04B9">
      <w:pPr>
        <w:pStyle w:val="Heading2"/>
        <w:numPr>
          <w:ilvl w:val="0"/>
          <w:numId w:val="40"/>
        </w:numPr>
        <w:jc w:val="left"/>
        <w:rPr>
          <w:sz w:val="24"/>
          <w:szCs w:val="24"/>
        </w:rPr>
      </w:pPr>
      <w:bookmarkStart w:id="26" w:name="Notes"/>
      <w:bookmarkStart w:id="27" w:name="_Toc215593391"/>
      <w:bookmarkEnd w:id="26"/>
      <w:r w:rsidRPr="00D948C1">
        <w:rPr>
          <w:sz w:val="24"/>
          <w:szCs w:val="24"/>
        </w:rPr>
        <w:t>E</w:t>
      </w:r>
      <w:r w:rsidR="009B6F2A" w:rsidRPr="00D948C1">
        <w:rPr>
          <w:sz w:val="24"/>
          <w:szCs w:val="24"/>
        </w:rPr>
        <w:t>xpenditure and Funding Analysis</w:t>
      </w:r>
      <w:bookmarkEnd w:id="27"/>
    </w:p>
    <w:p w14:paraId="6F8FA255" w14:textId="60FCEAF1" w:rsidR="005722FC" w:rsidRPr="00D948C1" w:rsidRDefault="005722FC" w:rsidP="006943DC">
      <w:pPr>
        <w:ind w:left="720"/>
        <w:rPr>
          <w:sz w:val="22"/>
          <w:szCs w:val="22"/>
        </w:rPr>
      </w:pPr>
    </w:p>
    <w:p w14:paraId="7453859F" w14:textId="3B676BF9" w:rsidR="00A50011" w:rsidRPr="00D948C1" w:rsidRDefault="00C975EA" w:rsidP="00FA71D8">
      <w:pPr>
        <w:ind w:left="720"/>
        <w:rPr>
          <w:szCs w:val="24"/>
        </w:rPr>
      </w:pPr>
      <w:r w:rsidRPr="00D948C1">
        <w:rPr>
          <w:szCs w:val="24"/>
        </w:rPr>
        <w:t xml:space="preserve">The objective of the Expenditure and Funding Analysis is to demonstrate to council </w:t>
      </w:r>
      <w:r w:rsidR="009F51E5" w:rsidRPr="00D948C1">
        <w:rPr>
          <w:szCs w:val="24"/>
        </w:rPr>
        <w:t>taxpayers</w:t>
      </w:r>
      <w:r w:rsidRPr="00D948C1">
        <w:rPr>
          <w:szCs w:val="24"/>
        </w:rPr>
        <w:t xml:space="preserve"> how the funding available to the Authority (Government grants, council tax and business rates) for the year has been used in providing services in comparison with those resources consumed or earned by the Authority in accordance with generally accepted accounting practices. The Expenditure and Funding Analysis also shows how this expenditure is allocated for decision making purposes between the Authority’s directorates. Income and expenditure accounted for under generally accepted accounting practices </w:t>
      </w:r>
      <w:r w:rsidR="00A50011" w:rsidRPr="00D948C1">
        <w:rPr>
          <w:szCs w:val="24"/>
        </w:rPr>
        <w:t>is presented more fully in the Comprehensive Income and Expenditure Statement.</w:t>
      </w:r>
    </w:p>
    <w:p w14:paraId="433A1095" w14:textId="77777777" w:rsidR="00296A09" w:rsidRPr="00D948C1" w:rsidRDefault="00296A09" w:rsidP="001E612D">
      <w:pPr>
        <w:ind w:left="720"/>
        <w:jc w:val="both"/>
        <w:rPr>
          <w:sz w:val="22"/>
        </w:rPr>
      </w:pPr>
    </w:p>
    <w:tbl>
      <w:tblPr>
        <w:tblStyle w:val="TableGrid"/>
        <w:tblW w:w="14698" w:type="dxa"/>
        <w:tblInd w:w="720" w:type="dxa"/>
        <w:tblLayout w:type="fixed"/>
        <w:tblLook w:val="04A0" w:firstRow="1" w:lastRow="0" w:firstColumn="1" w:lastColumn="0" w:noHBand="0" w:noVBand="1"/>
      </w:tblPr>
      <w:tblGrid>
        <w:gridCol w:w="3641"/>
        <w:gridCol w:w="1735"/>
        <w:gridCol w:w="2376"/>
        <w:gridCol w:w="1701"/>
        <w:gridCol w:w="2551"/>
        <w:gridCol w:w="2694"/>
      </w:tblGrid>
      <w:tr w:rsidR="000D5389" w:rsidRPr="00D948C1" w14:paraId="140A73BE" w14:textId="77777777" w:rsidTr="00611673">
        <w:trPr>
          <w:tblHeader/>
        </w:trPr>
        <w:tc>
          <w:tcPr>
            <w:tcW w:w="3641" w:type="dxa"/>
            <w:tcBorders>
              <w:top w:val="single" w:sz="4" w:space="0" w:color="auto"/>
              <w:left w:val="single" w:sz="4" w:space="0" w:color="auto"/>
              <w:bottom w:val="single" w:sz="4" w:space="0" w:color="auto"/>
              <w:right w:val="single" w:sz="4" w:space="0" w:color="auto"/>
            </w:tcBorders>
            <w:shd w:val="clear" w:color="auto" w:fill="BD2716"/>
            <w:vAlign w:val="center"/>
          </w:tcPr>
          <w:p w14:paraId="259B0CA8" w14:textId="66D3B43D" w:rsidR="000D5389" w:rsidRPr="00D948C1" w:rsidRDefault="000D5389" w:rsidP="00611673">
            <w:pPr>
              <w:rPr>
                <w:rFonts w:cs="Arial"/>
                <w:bCs/>
                <w:color w:val="FFFFFF" w:themeColor="background1"/>
                <w:szCs w:val="24"/>
              </w:rPr>
            </w:pPr>
            <w:r w:rsidRPr="00D948C1">
              <w:rPr>
                <w:rFonts w:cs="Arial"/>
                <w:color w:val="FFFFFF" w:themeColor="background1"/>
                <w:szCs w:val="24"/>
              </w:rPr>
              <w:br w:type="page"/>
            </w:r>
            <w:r w:rsidRPr="00D948C1">
              <w:rPr>
                <w:rFonts w:cs="Arial"/>
                <w:bCs/>
                <w:color w:val="FFFFFF" w:themeColor="background1"/>
                <w:szCs w:val="24"/>
              </w:rPr>
              <w:t>20</w:t>
            </w:r>
            <w:r w:rsidR="00FF3D02" w:rsidRPr="00D948C1">
              <w:rPr>
                <w:rFonts w:cs="Arial"/>
                <w:bCs/>
                <w:color w:val="FFFFFF" w:themeColor="background1"/>
                <w:szCs w:val="24"/>
              </w:rPr>
              <w:t>2</w:t>
            </w:r>
            <w:r w:rsidR="007742EF">
              <w:rPr>
                <w:rFonts w:cs="Arial"/>
                <w:bCs/>
                <w:color w:val="FFFFFF" w:themeColor="background1"/>
                <w:szCs w:val="24"/>
              </w:rPr>
              <w:t>4</w:t>
            </w:r>
            <w:r w:rsidR="00A864CD" w:rsidRPr="00D948C1">
              <w:rPr>
                <w:rFonts w:cs="Arial"/>
                <w:bCs/>
                <w:color w:val="FFFFFF" w:themeColor="background1"/>
                <w:szCs w:val="24"/>
              </w:rPr>
              <w:t>/2</w:t>
            </w:r>
            <w:r w:rsidR="007742EF">
              <w:rPr>
                <w:rFonts w:cs="Arial"/>
                <w:bCs/>
                <w:color w:val="FFFFFF" w:themeColor="background1"/>
                <w:szCs w:val="24"/>
              </w:rPr>
              <w:t>5</w:t>
            </w:r>
          </w:p>
        </w:tc>
        <w:tc>
          <w:tcPr>
            <w:tcW w:w="1735" w:type="dxa"/>
            <w:tcBorders>
              <w:top w:val="single" w:sz="4" w:space="0" w:color="auto"/>
              <w:left w:val="single" w:sz="4" w:space="0" w:color="auto"/>
              <w:bottom w:val="single" w:sz="4" w:space="0" w:color="auto"/>
              <w:right w:val="single" w:sz="4" w:space="0" w:color="auto"/>
            </w:tcBorders>
            <w:shd w:val="clear" w:color="auto" w:fill="BD2716"/>
            <w:vAlign w:val="center"/>
          </w:tcPr>
          <w:p w14:paraId="50CEB729"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As reported for resource management</w:t>
            </w:r>
          </w:p>
          <w:p w14:paraId="48414B6B" w14:textId="163E1D83"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2376" w:type="dxa"/>
            <w:tcBorders>
              <w:top w:val="single" w:sz="4" w:space="0" w:color="auto"/>
              <w:left w:val="single" w:sz="4" w:space="0" w:color="auto"/>
              <w:bottom w:val="single" w:sz="4" w:space="0" w:color="auto"/>
              <w:right w:val="single" w:sz="4" w:space="0" w:color="auto"/>
            </w:tcBorders>
            <w:shd w:val="clear" w:color="auto" w:fill="BD2716"/>
            <w:vAlign w:val="center"/>
          </w:tcPr>
          <w:p w14:paraId="369FEF1A"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Adjustment to arrive at the amount chargeable to the General Fund (</w:t>
            </w:r>
            <w:r w:rsidR="00676AE5" w:rsidRPr="00D948C1">
              <w:rPr>
                <w:rFonts w:cs="Arial"/>
                <w:color w:val="FFFFFF" w:themeColor="background1"/>
                <w:szCs w:val="24"/>
              </w:rPr>
              <w:t>N</w:t>
            </w:r>
            <w:r w:rsidRPr="00D948C1">
              <w:rPr>
                <w:rFonts w:cs="Arial"/>
                <w:color w:val="FFFFFF" w:themeColor="background1"/>
                <w:szCs w:val="24"/>
              </w:rPr>
              <w:t xml:space="preserve">ote </w:t>
            </w:r>
            <w:r w:rsidR="00CF7F0B" w:rsidRPr="00D948C1">
              <w:rPr>
                <w:rFonts w:cs="Arial"/>
                <w:color w:val="FFFFFF" w:themeColor="background1"/>
                <w:szCs w:val="24"/>
              </w:rPr>
              <w:t>1</w:t>
            </w:r>
            <w:r w:rsidRPr="00D948C1">
              <w:rPr>
                <w:rFonts w:cs="Arial"/>
                <w:color w:val="FFFFFF" w:themeColor="background1"/>
                <w:szCs w:val="24"/>
              </w:rPr>
              <w:t>a)</w:t>
            </w:r>
          </w:p>
          <w:p w14:paraId="0BF71F2B" w14:textId="753149E1"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BD2716"/>
            <w:vAlign w:val="center"/>
          </w:tcPr>
          <w:p w14:paraId="478BDFA4"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Net chargeable to the General Fund</w:t>
            </w:r>
          </w:p>
          <w:p w14:paraId="22735930" w14:textId="32FEBB26"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2551" w:type="dxa"/>
            <w:tcBorders>
              <w:top w:val="single" w:sz="4" w:space="0" w:color="auto"/>
              <w:left w:val="single" w:sz="4" w:space="0" w:color="auto"/>
              <w:bottom w:val="single" w:sz="4" w:space="0" w:color="auto"/>
              <w:right w:val="single" w:sz="4" w:space="0" w:color="auto"/>
            </w:tcBorders>
            <w:shd w:val="clear" w:color="auto" w:fill="BD2716"/>
            <w:vAlign w:val="center"/>
          </w:tcPr>
          <w:p w14:paraId="4D2A04EE"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Adjustments between the Funding and Accounting basis (</w:t>
            </w:r>
            <w:r w:rsidR="00676AE5" w:rsidRPr="00D948C1">
              <w:rPr>
                <w:rFonts w:cs="Arial"/>
                <w:color w:val="FFFFFF" w:themeColor="background1"/>
                <w:szCs w:val="24"/>
              </w:rPr>
              <w:t>N</w:t>
            </w:r>
            <w:r w:rsidRPr="00D948C1">
              <w:rPr>
                <w:rFonts w:cs="Arial"/>
                <w:color w:val="FFFFFF" w:themeColor="background1"/>
                <w:szCs w:val="24"/>
              </w:rPr>
              <w:t xml:space="preserve">ote </w:t>
            </w:r>
            <w:r w:rsidR="00CF7F0B" w:rsidRPr="00D948C1">
              <w:rPr>
                <w:rFonts w:cs="Arial"/>
                <w:color w:val="FFFFFF" w:themeColor="background1"/>
                <w:szCs w:val="24"/>
              </w:rPr>
              <w:t>1</w:t>
            </w:r>
            <w:r w:rsidRPr="00D948C1">
              <w:rPr>
                <w:rFonts w:cs="Arial"/>
                <w:color w:val="FFFFFF" w:themeColor="background1"/>
                <w:szCs w:val="24"/>
              </w:rPr>
              <w:t>a)</w:t>
            </w:r>
          </w:p>
          <w:p w14:paraId="3E31527D" w14:textId="0233D89C"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2694" w:type="dxa"/>
            <w:tcBorders>
              <w:top w:val="single" w:sz="4" w:space="0" w:color="auto"/>
              <w:left w:val="single" w:sz="4" w:space="0" w:color="auto"/>
              <w:bottom w:val="single" w:sz="4" w:space="0" w:color="auto"/>
              <w:right w:val="single" w:sz="4" w:space="0" w:color="auto"/>
            </w:tcBorders>
            <w:shd w:val="clear" w:color="auto" w:fill="BD2716"/>
            <w:vAlign w:val="center"/>
          </w:tcPr>
          <w:p w14:paraId="7C385521"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Net Expenditure in the Comprehensive Income and Expenditure Statement</w:t>
            </w:r>
          </w:p>
          <w:p w14:paraId="05366D44" w14:textId="776BB2F2"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r>
      <w:tr w:rsidR="00D45179" w:rsidRPr="00543C89" w14:paraId="0616B1E3" w14:textId="77777777" w:rsidTr="00233A66">
        <w:tc>
          <w:tcPr>
            <w:tcW w:w="3641" w:type="dxa"/>
            <w:tcBorders>
              <w:top w:val="single" w:sz="4" w:space="0" w:color="auto"/>
              <w:left w:val="single" w:sz="4" w:space="0" w:color="auto"/>
              <w:bottom w:val="single" w:sz="4" w:space="0" w:color="auto"/>
              <w:right w:val="single" w:sz="4" w:space="0" w:color="auto"/>
            </w:tcBorders>
          </w:tcPr>
          <w:p w14:paraId="3233E0A0" w14:textId="77777777" w:rsidR="00D45179" w:rsidRPr="00543C89" w:rsidRDefault="00D45179" w:rsidP="00D45179">
            <w:pPr>
              <w:rPr>
                <w:rFonts w:cs="Arial"/>
                <w:szCs w:val="24"/>
              </w:rPr>
            </w:pPr>
            <w:r w:rsidRPr="00543C89">
              <w:rPr>
                <w:rFonts w:cs="Arial"/>
                <w:szCs w:val="24"/>
              </w:rPr>
              <w:t>Service Delivery</w:t>
            </w:r>
          </w:p>
        </w:tc>
        <w:tc>
          <w:tcPr>
            <w:tcW w:w="1735" w:type="dxa"/>
            <w:tcBorders>
              <w:top w:val="single" w:sz="4" w:space="0" w:color="auto"/>
              <w:left w:val="single" w:sz="4" w:space="0" w:color="auto"/>
              <w:bottom w:val="single" w:sz="4" w:space="0" w:color="auto"/>
              <w:right w:val="single" w:sz="4" w:space="0" w:color="auto"/>
            </w:tcBorders>
            <w:vAlign w:val="center"/>
          </w:tcPr>
          <w:p w14:paraId="0B3D3099" w14:textId="43D61772" w:rsidR="00D45179" w:rsidRPr="00543C89" w:rsidRDefault="00974186" w:rsidP="00D45179">
            <w:pPr>
              <w:jc w:val="right"/>
              <w:rPr>
                <w:rFonts w:cs="Arial"/>
                <w:szCs w:val="24"/>
              </w:rPr>
            </w:pPr>
            <w:r w:rsidRPr="00543C89">
              <w:rPr>
                <w:rFonts w:cs="Arial"/>
                <w:szCs w:val="24"/>
              </w:rPr>
              <w:t>48,599</w:t>
            </w:r>
          </w:p>
        </w:tc>
        <w:tc>
          <w:tcPr>
            <w:tcW w:w="2376" w:type="dxa"/>
            <w:tcBorders>
              <w:top w:val="single" w:sz="4" w:space="0" w:color="auto"/>
              <w:left w:val="single" w:sz="4" w:space="0" w:color="auto"/>
              <w:bottom w:val="single" w:sz="4" w:space="0" w:color="auto"/>
              <w:right w:val="single" w:sz="4" w:space="0" w:color="auto"/>
            </w:tcBorders>
            <w:vAlign w:val="center"/>
          </w:tcPr>
          <w:p w14:paraId="457E0239" w14:textId="6013BA2E" w:rsidR="00D45179" w:rsidRPr="00543C89" w:rsidRDefault="00B965C3" w:rsidP="00D45179">
            <w:pPr>
              <w:jc w:val="right"/>
              <w:rPr>
                <w:rFonts w:cs="Arial"/>
                <w:szCs w:val="24"/>
              </w:rPr>
            </w:pPr>
            <w:r>
              <w:rPr>
                <w:rFonts w:cs="Arial"/>
                <w:szCs w:val="24"/>
              </w:rPr>
              <w:t>(</w:t>
            </w:r>
            <w:r w:rsidR="00D74B14">
              <w:rPr>
                <w:rFonts w:cs="Arial"/>
                <w:szCs w:val="24"/>
              </w:rPr>
              <w:t>539</w:t>
            </w: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E2817BB" w14:textId="41FFC887" w:rsidR="00D45179" w:rsidRPr="00543C89" w:rsidRDefault="00D96FF4" w:rsidP="00D45179">
            <w:pPr>
              <w:jc w:val="right"/>
              <w:rPr>
                <w:rFonts w:cs="Arial"/>
                <w:szCs w:val="24"/>
              </w:rPr>
            </w:pPr>
            <w:r w:rsidRPr="00543C89">
              <w:rPr>
                <w:rFonts w:cs="Arial"/>
                <w:szCs w:val="24"/>
              </w:rPr>
              <w:t>48,</w:t>
            </w:r>
            <w:r w:rsidR="00A2439D">
              <w:rPr>
                <w:rFonts w:cs="Arial"/>
                <w:szCs w:val="24"/>
              </w:rPr>
              <w:t>060</w:t>
            </w:r>
          </w:p>
        </w:tc>
        <w:tc>
          <w:tcPr>
            <w:tcW w:w="2551" w:type="dxa"/>
            <w:tcBorders>
              <w:top w:val="single" w:sz="4" w:space="0" w:color="auto"/>
              <w:left w:val="single" w:sz="4" w:space="0" w:color="auto"/>
              <w:bottom w:val="single" w:sz="4" w:space="0" w:color="auto"/>
              <w:right w:val="single" w:sz="4" w:space="0" w:color="auto"/>
            </w:tcBorders>
            <w:vAlign w:val="center"/>
          </w:tcPr>
          <w:p w14:paraId="33231E4D" w14:textId="0717C718" w:rsidR="00D45179" w:rsidRPr="00543C89" w:rsidRDefault="00D96FF4" w:rsidP="00D45179">
            <w:pPr>
              <w:jc w:val="right"/>
              <w:rPr>
                <w:rFonts w:cs="Arial"/>
                <w:szCs w:val="24"/>
              </w:rPr>
            </w:pPr>
            <w:r w:rsidRPr="00543C89">
              <w:rPr>
                <w:rFonts w:cs="Arial"/>
                <w:szCs w:val="24"/>
              </w:rPr>
              <w:t>(2</w:t>
            </w:r>
            <w:r w:rsidR="002C7F94">
              <w:rPr>
                <w:rFonts w:cs="Arial"/>
                <w:szCs w:val="24"/>
              </w:rPr>
              <w:t>4</w:t>
            </w:r>
            <w:r w:rsidRPr="00543C89">
              <w:rPr>
                <w:rFonts w:cs="Arial"/>
                <w:szCs w:val="24"/>
              </w:rPr>
              <w:t>,</w:t>
            </w:r>
            <w:r w:rsidR="002C7F94">
              <w:rPr>
                <w:rFonts w:cs="Arial"/>
                <w:szCs w:val="24"/>
              </w:rPr>
              <w:t>587</w:t>
            </w:r>
            <w:r w:rsidRPr="00543C89">
              <w:rPr>
                <w:rFonts w:cs="Arial"/>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654E40BE" w14:textId="283B83F0" w:rsidR="00D45179" w:rsidRPr="00543C89" w:rsidRDefault="00D96FF4" w:rsidP="00D45179">
            <w:pPr>
              <w:jc w:val="right"/>
              <w:rPr>
                <w:rFonts w:cs="Arial"/>
                <w:szCs w:val="24"/>
              </w:rPr>
            </w:pPr>
            <w:r w:rsidRPr="00543C89">
              <w:rPr>
                <w:rFonts w:cs="Arial"/>
                <w:szCs w:val="24"/>
              </w:rPr>
              <w:t>23,473</w:t>
            </w:r>
          </w:p>
        </w:tc>
      </w:tr>
      <w:tr w:rsidR="00D45179" w:rsidRPr="00543C89" w14:paraId="46670F22" w14:textId="77777777" w:rsidTr="00233A66">
        <w:tc>
          <w:tcPr>
            <w:tcW w:w="3641" w:type="dxa"/>
            <w:tcBorders>
              <w:top w:val="single" w:sz="4" w:space="0" w:color="auto"/>
              <w:left w:val="single" w:sz="4" w:space="0" w:color="auto"/>
              <w:bottom w:val="single" w:sz="4" w:space="0" w:color="auto"/>
              <w:right w:val="single" w:sz="4" w:space="0" w:color="auto"/>
            </w:tcBorders>
          </w:tcPr>
          <w:p w14:paraId="2FB3046B" w14:textId="77777777" w:rsidR="00D45179" w:rsidRPr="00543C89" w:rsidRDefault="00D45179" w:rsidP="00D45179">
            <w:pPr>
              <w:rPr>
                <w:rFonts w:cs="Arial"/>
                <w:szCs w:val="24"/>
              </w:rPr>
            </w:pPr>
            <w:r w:rsidRPr="00543C89">
              <w:rPr>
                <w:rFonts w:cs="Arial"/>
                <w:szCs w:val="24"/>
              </w:rPr>
              <w:t>Strategy and Planning</w:t>
            </w:r>
          </w:p>
        </w:tc>
        <w:tc>
          <w:tcPr>
            <w:tcW w:w="1735" w:type="dxa"/>
            <w:tcBorders>
              <w:top w:val="single" w:sz="4" w:space="0" w:color="auto"/>
              <w:left w:val="single" w:sz="4" w:space="0" w:color="auto"/>
              <w:bottom w:val="single" w:sz="4" w:space="0" w:color="auto"/>
              <w:right w:val="single" w:sz="4" w:space="0" w:color="auto"/>
            </w:tcBorders>
            <w:vAlign w:val="center"/>
          </w:tcPr>
          <w:p w14:paraId="01BD4422" w14:textId="34CFCFD3" w:rsidR="00D45179" w:rsidRPr="00543C89" w:rsidRDefault="00D96FF4" w:rsidP="00D45179">
            <w:pPr>
              <w:jc w:val="right"/>
              <w:rPr>
                <w:rFonts w:cs="Arial"/>
                <w:szCs w:val="24"/>
              </w:rPr>
            </w:pPr>
            <w:r w:rsidRPr="00543C89">
              <w:rPr>
                <w:rFonts w:cs="Arial"/>
                <w:szCs w:val="24"/>
              </w:rPr>
              <w:t>14,257</w:t>
            </w:r>
          </w:p>
        </w:tc>
        <w:tc>
          <w:tcPr>
            <w:tcW w:w="2376" w:type="dxa"/>
            <w:tcBorders>
              <w:top w:val="single" w:sz="4" w:space="0" w:color="auto"/>
              <w:left w:val="single" w:sz="4" w:space="0" w:color="auto"/>
              <w:bottom w:val="single" w:sz="4" w:space="0" w:color="auto"/>
              <w:right w:val="single" w:sz="4" w:space="0" w:color="auto"/>
            </w:tcBorders>
            <w:vAlign w:val="center"/>
          </w:tcPr>
          <w:p w14:paraId="54EB75DC" w14:textId="1764A5D6" w:rsidR="00D45179" w:rsidRPr="00543C89" w:rsidRDefault="00B965C3" w:rsidP="00D45179">
            <w:pPr>
              <w:jc w:val="right"/>
              <w:rPr>
                <w:rFonts w:cs="Arial"/>
                <w:szCs w:val="24"/>
              </w:rPr>
            </w:pPr>
            <w:r>
              <w:rPr>
                <w:rFonts w:cs="Arial"/>
                <w:szCs w:val="24"/>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8156AE3" w14:textId="38869959" w:rsidR="00D45179" w:rsidRPr="00543C89" w:rsidRDefault="00D96FF4" w:rsidP="00D45179">
            <w:pPr>
              <w:jc w:val="right"/>
              <w:rPr>
                <w:rFonts w:cs="Arial"/>
                <w:szCs w:val="24"/>
              </w:rPr>
            </w:pPr>
            <w:r w:rsidRPr="00543C89">
              <w:rPr>
                <w:rFonts w:cs="Arial"/>
                <w:szCs w:val="24"/>
              </w:rPr>
              <w:t>14,</w:t>
            </w:r>
            <w:r w:rsidR="00A2439D">
              <w:rPr>
                <w:rFonts w:cs="Arial"/>
                <w:szCs w:val="24"/>
              </w:rPr>
              <w:t>058</w:t>
            </w:r>
          </w:p>
        </w:tc>
        <w:tc>
          <w:tcPr>
            <w:tcW w:w="2551" w:type="dxa"/>
            <w:tcBorders>
              <w:top w:val="single" w:sz="4" w:space="0" w:color="auto"/>
              <w:left w:val="single" w:sz="4" w:space="0" w:color="auto"/>
              <w:bottom w:val="single" w:sz="4" w:space="0" w:color="auto"/>
              <w:right w:val="single" w:sz="4" w:space="0" w:color="auto"/>
            </w:tcBorders>
            <w:vAlign w:val="center"/>
          </w:tcPr>
          <w:p w14:paraId="18B281E0" w14:textId="203C9220" w:rsidR="00D45179" w:rsidRPr="00543C89" w:rsidRDefault="00D96FF4" w:rsidP="00D45179">
            <w:pPr>
              <w:jc w:val="right"/>
              <w:rPr>
                <w:rFonts w:cs="Arial"/>
                <w:szCs w:val="24"/>
              </w:rPr>
            </w:pPr>
            <w:r w:rsidRPr="00543C89">
              <w:rPr>
                <w:rFonts w:cs="Arial"/>
                <w:szCs w:val="24"/>
              </w:rPr>
              <w:t>(</w:t>
            </w:r>
            <w:r w:rsidR="002C7F94">
              <w:rPr>
                <w:rFonts w:cs="Arial"/>
                <w:szCs w:val="24"/>
              </w:rPr>
              <w:t>1</w:t>
            </w:r>
            <w:r w:rsidRPr="00543C89">
              <w:rPr>
                <w:rFonts w:cs="Arial"/>
                <w:szCs w:val="24"/>
              </w:rPr>
              <w:t>,</w:t>
            </w:r>
            <w:r w:rsidR="002C7F94">
              <w:rPr>
                <w:rFonts w:cs="Arial"/>
                <w:szCs w:val="24"/>
              </w:rPr>
              <w:t>8</w:t>
            </w:r>
            <w:r w:rsidRPr="00543C89">
              <w:rPr>
                <w:rFonts w:cs="Arial"/>
                <w:szCs w:val="24"/>
              </w:rPr>
              <w:t>99)</w:t>
            </w:r>
          </w:p>
        </w:tc>
        <w:tc>
          <w:tcPr>
            <w:tcW w:w="2694" w:type="dxa"/>
            <w:tcBorders>
              <w:top w:val="single" w:sz="4" w:space="0" w:color="auto"/>
              <w:left w:val="single" w:sz="4" w:space="0" w:color="auto"/>
              <w:bottom w:val="single" w:sz="4" w:space="0" w:color="auto"/>
              <w:right w:val="single" w:sz="4" w:space="0" w:color="auto"/>
            </w:tcBorders>
            <w:vAlign w:val="center"/>
          </w:tcPr>
          <w:p w14:paraId="132D2813" w14:textId="47406899" w:rsidR="00D45179" w:rsidRPr="00543C89" w:rsidRDefault="00D96FF4" w:rsidP="00D45179">
            <w:pPr>
              <w:jc w:val="right"/>
              <w:rPr>
                <w:rFonts w:cs="Arial"/>
                <w:szCs w:val="24"/>
              </w:rPr>
            </w:pPr>
            <w:r w:rsidRPr="00543C89">
              <w:rPr>
                <w:rFonts w:cs="Arial"/>
                <w:szCs w:val="24"/>
              </w:rPr>
              <w:t>12,159</w:t>
            </w:r>
          </w:p>
        </w:tc>
      </w:tr>
      <w:tr w:rsidR="00D45179" w:rsidRPr="00543C89" w14:paraId="2986571E" w14:textId="77777777" w:rsidTr="00233A66">
        <w:tc>
          <w:tcPr>
            <w:tcW w:w="3641" w:type="dxa"/>
            <w:tcBorders>
              <w:top w:val="single" w:sz="4" w:space="0" w:color="auto"/>
              <w:left w:val="single" w:sz="4" w:space="0" w:color="auto"/>
              <w:bottom w:val="single" w:sz="4" w:space="0" w:color="auto"/>
              <w:right w:val="single" w:sz="4" w:space="0" w:color="auto"/>
            </w:tcBorders>
          </w:tcPr>
          <w:p w14:paraId="7ABC67F6" w14:textId="77777777" w:rsidR="00D45179" w:rsidRPr="00543C89" w:rsidRDefault="00D45179" w:rsidP="00D45179">
            <w:pPr>
              <w:rPr>
                <w:rFonts w:cs="Arial"/>
                <w:szCs w:val="24"/>
              </w:rPr>
            </w:pPr>
            <w:r w:rsidRPr="00543C89">
              <w:rPr>
                <w:rFonts w:cs="Arial"/>
                <w:szCs w:val="24"/>
              </w:rPr>
              <w:t>People and Development</w:t>
            </w:r>
          </w:p>
        </w:tc>
        <w:tc>
          <w:tcPr>
            <w:tcW w:w="1735" w:type="dxa"/>
            <w:tcBorders>
              <w:top w:val="single" w:sz="4" w:space="0" w:color="auto"/>
              <w:left w:val="single" w:sz="4" w:space="0" w:color="auto"/>
              <w:bottom w:val="single" w:sz="4" w:space="0" w:color="auto"/>
              <w:right w:val="single" w:sz="4" w:space="0" w:color="auto"/>
            </w:tcBorders>
            <w:vAlign w:val="center"/>
          </w:tcPr>
          <w:p w14:paraId="28ED35B0" w14:textId="060A99D8" w:rsidR="00D45179" w:rsidRPr="00543C89" w:rsidRDefault="00D96FF4" w:rsidP="00D45179">
            <w:pPr>
              <w:jc w:val="right"/>
              <w:rPr>
                <w:rFonts w:cs="Arial"/>
                <w:szCs w:val="24"/>
              </w:rPr>
            </w:pPr>
            <w:r w:rsidRPr="00543C89">
              <w:rPr>
                <w:rFonts w:cs="Arial"/>
                <w:szCs w:val="24"/>
              </w:rPr>
              <w:t>2,093</w:t>
            </w:r>
          </w:p>
        </w:tc>
        <w:tc>
          <w:tcPr>
            <w:tcW w:w="2376" w:type="dxa"/>
            <w:tcBorders>
              <w:top w:val="single" w:sz="4" w:space="0" w:color="auto"/>
              <w:left w:val="single" w:sz="4" w:space="0" w:color="auto"/>
              <w:bottom w:val="single" w:sz="4" w:space="0" w:color="auto"/>
              <w:right w:val="single" w:sz="4" w:space="0" w:color="auto"/>
            </w:tcBorders>
            <w:vAlign w:val="center"/>
          </w:tcPr>
          <w:p w14:paraId="2F317B61" w14:textId="260322F9" w:rsidR="00D45179" w:rsidRPr="00543C89" w:rsidRDefault="00B965C3" w:rsidP="00D45179">
            <w:pPr>
              <w:jc w:val="right"/>
              <w:rPr>
                <w:rFonts w:cs="Arial"/>
                <w:szCs w:val="24"/>
              </w:rPr>
            </w:pPr>
            <w:r>
              <w:rPr>
                <w:rFonts w:cs="Arial"/>
                <w:szCs w:val="24"/>
              </w:rPr>
              <w:t>(39)</w:t>
            </w:r>
          </w:p>
        </w:tc>
        <w:tc>
          <w:tcPr>
            <w:tcW w:w="1701" w:type="dxa"/>
            <w:tcBorders>
              <w:top w:val="single" w:sz="4" w:space="0" w:color="auto"/>
              <w:left w:val="single" w:sz="4" w:space="0" w:color="auto"/>
              <w:bottom w:val="single" w:sz="4" w:space="0" w:color="auto"/>
              <w:right w:val="single" w:sz="4" w:space="0" w:color="auto"/>
            </w:tcBorders>
            <w:vAlign w:val="center"/>
          </w:tcPr>
          <w:p w14:paraId="1856F4EF" w14:textId="720A04D0" w:rsidR="00D45179" w:rsidRPr="00543C89" w:rsidRDefault="00D96FF4" w:rsidP="00D45179">
            <w:pPr>
              <w:jc w:val="right"/>
              <w:rPr>
                <w:rFonts w:cs="Arial"/>
                <w:szCs w:val="24"/>
              </w:rPr>
            </w:pPr>
            <w:r w:rsidRPr="00543C89">
              <w:rPr>
                <w:rFonts w:cs="Arial"/>
                <w:szCs w:val="24"/>
              </w:rPr>
              <w:t>2,0</w:t>
            </w:r>
            <w:r w:rsidR="00A2439D">
              <w:rPr>
                <w:rFonts w:cs="Arial"/>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5AFF2D3E" w14:textId="5750D2B7" w:rsidR="00D45179" w:rsidRPr="00543C89" w:rsidRDefault="00D96FF4" w:rsidP="00D45179">
            <w:pPr>
              <w:jc w:val="right"/>
              <w:rPr>
                <w:rFonts w:cs="Arial"/>
                <w:szCs w:val="24"/>
              </w:rPr>
            </w:pPr>
            <w:r w:rsidRPr="00543C89">
              <w:rPr>
                <w:rFonts w:cs="Arial"/>
                <w:szCs w:val="24"/>
              </w:rPr>
              <w:t>1</w:t>
            </w:r>
            <w:r w:rsidR="00721F4E">
              <w:rPr>
                <w:rFonts w:cs="Arial"/>
                <w:szCs w:val="24"/>
              </w:rPr>
              <w:t>77</w:t>
            </w:r>
          </w:p>
        </w:tc>
        <w:tc>
          <w:tcPr>
            <w:tcW w:w="2694" w:type="dxa"/>
            <w:tcBorders>
              <w:top w:val="single" w:sz="4" w:space="0" w:color="auto"/>
              <w:left w:val="single" w:sz="4" w:space="0" w:color="auto"/>
              <w:bottom w:val="single" w:sz="4" w:space="0" w:color="auto"/>
              <w:right w:val="single" w:sz="4" w:space="0" w:color="auto"/>
            </w:tcBorders>
            <w:vAlign w:val="center"/>
          </w:tcPr>
          <w:p w14:paraId="0A779B1D" w14:textId="29BCD438" w:rsidR="00D45179" w:rsidRPr="00543C89" w:rsidRDefault="00D96FF4" w:rsidP="00D45179">
            <w:pPr>
              <w:jc w:val="right"/>
              <w:rPr>
                <w:rFonts w:cs="Arial"/>
                <w:szCs w:val="24"/>
              </w:rPr>
            </w:pPr>
            <w:r w:rsidRPr="00543C89">
              <w:rPr>
                <w:rFonts w:cs="Arial"/>
                <w:szCs w:val="24"/>
              </w:rPr>
              <w:t>2,231</w:t>
            </w:r>
          </w:p>
        </w:tc>
      </w:tr>
      <w:tr w:rsidR="001B7AF5" w:rsidRPr="00543C89" w14:paraId="755C71A6" w14:textId="77777777" w:rsidTr="00233A66">
        <w:tc>
          <w:tcPr>
            <w:tcW w:w="3641" w:type="dxa"/>
            <w:tcBorders>
              <w:top w:val="single" w:sz="4" w:space="0" w:color="auto"/>
              <w:left w:val="single" w:sz="4" w:space="0" w:color="auto"/>
              <w:bottom w:val="single" w:sz="4" w:space="0" w:color="auto"/>
              <w:right w:val="single" w:sz="4" w:space="0" w:color="auto"/>
            </w:tcBorders>
          </w:tcPr>
          <w:p w14:paraId="21C8DA7D" w14:textId="77777777" w:rsidR="001B7AF5" w:rsidRPr="00543C89" w:rsidRDefault="001B7AF5" w:rsidP="001B7AF5">
            <w:pPr>
              <w:rPr>
                <w:rFonts w:cs="Arial"/>
                <w:szCs w:val="24"/>
              </w:rPr>
            </w:pPr>
            <w:r w:rsidRPr="00543C89">
              <w:rPr>
                <w:rFonts w:cs="Arial"/>
                <w:szCs w:val="24"/>
              </w:rPr>
              <w:t>Corporate Services</w:t>
            </w:r>
          </w:p>
        </w:tc>
        <w:tc>
          <w:tcPr>
            <w:tcW w:w="1735" w:type="dxa"/>
            <w:tcBorders>
              <w:top w:val="single" w:sz="4" w:space="0" w:color="auto"/>
              <w:left w:val="single" w:sz="4" w:space="0" w:color="auto"/>
              <w:bottom w:val="single" w:sz="4" w:space="0" w:color="auto"/>
              <w:right w:val="single" w:sz="4" w:space="0" w:color="auto"/>
            </w:tcBorders>
            <w:vAlign w:val="center"/>
          </w:tcPr>
          <w:p w14:paraId="3172B6EB" w14:textId="34D37FB2" w:rsidR="001B7AF5" w:rsidRPr="00543C89" w:rsidRDefault="001B7AF5" w:rsidP="001B7AF5">
            <w:pPr>
              <w:jc w:val="right"/>
              <w:rPr>
                <w:rFonts w:cs="Arial"/>
                <w:szCs w:val="24"/>
              </w:rPr>
            </w:pPr>
            <w:r w:rsidRPr="00543C89">
              <w:rPr>
                <w:rFonts w:cs="Arial"/>
                <w:szCs w:val="24"/>
              </w:rPr>
              <w:t>7,118</w:t>
            </w:r>
          </w:p>
        </w:tc>
        <w:tc>
          <w:tcPr>
            <w:tcW w:w="2376" w:type="dxa"/>
            <w:tcBorders>
              <w:top w:val="single" w:sz="4" w:space="0" w:color="auto"/>
              <w:left w:val="single" w:sz="4" w:space="0" w:color="auto"/>
              <w:bottom w:val="single" w:sz="4" w:space="0" w:color="auto"/>
              <w:right w:val="single" w:sz="4" w:space="0" w:color="auto"/>
            </w:tcBorders>
            <w:vAlign w:val="center"/>
          </w:tcPr>
          <w:p w14:paraId="18E0101E" w14:textId="6FB045A9" w:rsidR="001B7AF5" w:rsidRPr="00543C89" w:rsidRDefault="00B965C3" w:rsidP="001B7AF5">
            <w:pPr>
              <w:jc w:val="right"/>
              <w:rPr>
                <w:rFonts w:cs="Arial"/>
                <w:szCs w:val="24"/>
              </w:rPr>
            </w:pPr>
            <w:r>
              <w:rPr>
                <w:rFonts w:cs="Arial"/>
                <w:szCs w:val="24"/>
              </w:rPr>
              <w:t>(1,270)</w:t>
            </w:r>
          </w:p>
        </w:tc>
        <w:tc>
          <w:tcPr>
            <w:tcW w:w="1701" w:type="dxa"/>
            <w:tcBorders>
              <w:top w:val="single" w:sz="4" w:space="0" w:color="auto"/>
              <w:left w:val="single" w:sz="4" w:space="0" w:color="auto"/>
              <w:bottom w:val="single" w:sz="4" w:space="0" w:color="auto"/>
              <w:right w:val="single" w:sz="4" w:space="0" w:color="auto"/>
            </w:tcBorders>
            <w:vAlign w:val="center"/>
          </w:tcPr>
          <w:p w14:paraId="66D711F5" w14:textId="5106F1E1" w:rsidR="001B7AF5" w:rsidRPr="00543C89" w:rsidRDefault="00A2439D" w:rsidP="001B7AF5">
            <w:pPr>
              <w:jc w:val="right"/>
              <w:rPr>
                <w:rFonts w:cs="Arial"/>
                <w:szCs w:val="24"/>
              </w:rPr>
            </w:pPr>
            <w:r>
              <w:rPr>
                <w:rFonts w:cs="Arial"/>
                <w:szCs w:val="24"/>
              </w:rPr>
              <w:t>5</w:t>
            </w:r>
            <w:r w:rsidR="001B7AF5" w:rsidRPr="00543C89">
              <w:rPr>
                <w:rFonts w:cs="Arial"/>
                <w:szCs w:val="24"/>
              </w:rPr>
              <w:t>,</w:t>
            </w:r>
            <w:r>
              <w:rPr>
                <w:rFonts w:cs="Arial"/>
                <w:szCs w:val="24"/>
              </w:rPr>
              <w:t>84</w:t>
            </w:r>
            <w:r w:rsidR="001B7AF5" w:rsidRPr="00543C89">
              <w:rPr>
                <w:rFonts w:cs="Arial"/>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14:paraId="63D8D3A5" w14:textId="4F054AC0" w:rsidR="001B7AF5" w:rsidRPr="00543C89" w:rsidRDefault="001B7AF5" w:rsidP="001B7AF5">
            <w:pPr>
              <w:jc w:val="right"/>
              <w:rPr>
                <w:rFonts w:cs="Arial"/>
                <w:szCs w:val="24"/>
              </w:rPr>
            </w:pPr>
            <w:r w:rsidRPr="00543C89">
              <w:rPr>
                <w:rFonts w:cs="Arial"/>
                <w:szCs w:val="24"/>
              </w:rPr>
              <w:t>(</w:t>
            </w:r>
            <w:r w:rsidR="00721F4E">
              <w:rPr>
                <w:rFonts w:cs="Arial"/>
                <w:szCs w:val="24"/>
              </w:rPr>
              <w:t>238</w:t>
            </w:r>
            <w:r w:rsidRPr="00543C89">
              <w:rPr>
                <w:rFonts w:cs="Arial"/>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103C5383" w14:textId="6F394599" w:rsidR="001B7AF5" w:rsidRPr="00543C89" w:rsidRDefault="001B7AF5" w:rsidP="001B7AF5">
            <w:pPr>
              <w:jc w:val="right"/>
              <w:rPr>
                <w:rFonts w:cs="Arial"/>
                <w:szCs w:val="24"/>
              </w:rPr>
            </w:pPr>
            <w:r w:rsidRPr="00543C89">
              <w:rPr>
                <w:rFonts w:cs="Arial"/>
                <w:szCs w:val="24"/>
              </w:rPr>
              <w:t>5,610</w:t>
            </w:r>
          </w:p>
        </w:tc>
      </w:tr>
      <w:tr w:rsidR="001B7AF5" w:rsidRPr="00543C89" w14:paraId="53D3CFC3" w14:textId="77777777" w:rsidTr="00233A66">
        <w:tc>
          <w:tcPr>
            <w:tcW w:w="3641" w:type="dxa"/>
            <w:tcBorders>
              <w:top w:val="single" w:sz="4" w:space="0" w:color="auto"/>
              <w:left w:val="single" w:sz="4" w:space="0" w:color="auto"/>
              <w:bottom w:val="single" w:sz="4" w:space="0" w:color="auto"/>
              <w:right w:val="single" w:sz="4" w:space="0" w:color="auto"/>
            </w:tcBorders>
          </w:tcPr>
          <w:p w14:paraId="7680DBD2" w14:textId="77777777" w:rsidR="001B7AF5" w:rsidRPr="00543C89" w:rsidRDefault="001B7AF5" w:rsidP="001B7AF5">
            <w:pPr>
              <w:rPr>
                <w:rFonts w:cs="Arial"/>
                <w:szCs w:val="24"/>
              </w:rPr>
            </w:pPr>
            <w:r w:rsidRPr="00543C89">
              <w:rPr>
                <w:rFonts w:cs="Arial"/>
                <w:szCs w:val="24"/>
              </w:rPr>
              <w:t>Firefighters Pensions</w:t>
            </w:r>
          </w:p>
        </w:tc>
        <w:tc>
          <w:tcPr>
            <w:tcW w:w="1735" w:type="dxa"/>
            <w:tcBorders>
              <w:top w:val="single" w:sz="4" w:space="0" w:color="auto"/>
              <w:left w:val="single" w:sz="4" w:space="0" w:color="auto"/>
              <w:bottom w:val="single" w:sz="4" w:space="0" w:color="auto"/>
              <w:right w:val="single" w:sz="4" w:space="0" w:color="auto"/>
            </w:tcBorders>
            <w:vAlign w:val="center"/>
          </w:tcPr>
          <w:p w14:paraId="487E047E" w14:textId="23F25E45" w:rsidR="001B7AF5" w:rsidRPr="00543C89" w:rsidRDefault="001B7AF5" w:rsidP="001B7AF5">
            <w:pPr>
              <w:jc w:val="right"/>
              <w:rPr>
                <w:rFonts w:cs="Arial"/>
                <w:szCs w:val="24"/>
              </w:rPr>
            </w:pPr>
            <w:r w:rsidRPr="00543C89">
              <w:rPr>
                <w:rFonts w:cs="Arial"/>
                <w:szCs w:val="24"/>
              </w:rPr>
              <w:t>1,412</w:t>
            </w:r>
          </w:p>
        </w:tc>
        <w:tc>
          <w:tcPr>
            <w:tcW w:w="2376" w:type="dxa"/>
            <w:tcBorders>
              <w:top w:val="single" w:sz="4" w:space="0" w:color="auto"/>
              <w:left w:val="single" w:sz="4" w:space="0" w:color="auto"/>
              <w:bottom w:val="single" w:sz="4" w:space="0" w:color="auto"/>
              <w:right w:val="single" w:sz="4" w:space="0" w:color="auto"/>
            </w:tcBorders>
            <w:vAlign w:val="center"/>
          </w:tcPr>
          <w:p w14:paraId="257F43B2" w14:textId="3715BB05" w:rsidR="001B7AF5" w:rsidRPr="00543C89" w:rsidRDefault="001B7AF5" w:rsidP="001B7AF5">
            <w:pPr>
              <w:jc w:val="right"/>
              <w:rPr>
                <w:rFonts w:cs="Arial"/>
                <w:szCs w:val="24"/>
              </w:rPr>
            </w:pPr>
            <w:r w:rsidRPr="00543C89">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1E54C90D" w14:textId="1BC5D443" w:rsidR="001B7AF5" w:rsidRPr="00543C89" w:rsidRDefault="001B7AF5" w:rsidP="001B7AF5">
            <w:pPr>
              <w:jc w:val="right"/>
              <w:rPr>
                <w:rFonts w:cs="Arial"/>
                <w:szCs w:val="24"/>
              </w:rPr>
            </w:pPr>
            <w:r w:rsidRPr="00543C89">
              <w:rPr>
                <w:rFonts w:cs="Arial"/>
                <w:szCs w:val="24"/>
              </w:rPr>
              <w:t>1,412</w:t>
            </w:r>
          </w:p>
        </w:tc>
        <w:tc>
          <w:tcPr>
            <w:tcW w:w="2551" w:type="dxa"/>
            <w:tcBorders>
              <w:top w:val="single" w:sz="4" w:space="0" w:color="auto"/>
              <w:left w:val="single" w:sz="4" w:space="0" w:color="auto"/>
              <w:bottom w:val="single" w:sz="4" w:space="0" w:color="auto"/>
              <w:right w:val="single" w:sz="4" w:space="0" w:color="auto"/>
            </w:tcBorders>
            <w:vAlign w:val="center"/>
          </w:tcPr>
          <w:p w14:paraId="35B1B2D8" w14:textId="78EE6E0D" w:rsidR="001B7AF5" w:rsidRPr="00543C89" w:rsidRDefault="001B7AF5" w:rsidP="001B7AF5">
            <w:pPr>
              <w:jc w:val="right"/>
              <w:rPr>
                <w:rFonts w:cs="Arial"/>
                <w:szCs w:val="24"/>
              </w:rPr>
            </w:pPr>
            <w:r w:rsidRPr="00543C89">
              <w:rPr>
                <w:rFonts w:cs="Arial"/>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7D26C801" w14:textId="43FC288A" w:rsidR="001B7AF5" w:rsidRPr="00543C89" w:rsidRDefault="001B7AF5" w:rsidP="001B7AF5">
            <w:pPr>
              <w:jc w:val="right"/>
              <w:rPr>
                <w:rFonts w:cs="Arial"/>
                <w:szCs w:val="24"/>
              </w:rPr>
            </w:pPr>
            <w:r w:rsidRPr="00543C89">
              <w:rPr>
                <w:rFonts w:cs="Arial"/>
                <w:szCs w:val="24"/>
              </w:rPr>
              <w:t>1,412</w:t>
            </w:r>
          </w:p>
        </w:tc>
      </w:tr>
      <w:tr w:rsidR="001B7AF5" w:rsidRPr="00543C89" w14:paraId="51E01BF6" w14:textId="77777777" w:rsidTr="00233A66">
        <w:tc>
          <w:tcPr>
            <w:tcW w:w="3641" w:type="dxa"/>
            <w:tcBorders>
              <w:top w:val="single" w:sz="4" w:space="0" w:color="auto"/>
              <w:left w:val="single" w:sz="4" w:space="0" w:color="auto"/>
              <w:bottom w:val="single" w:sz="4" w:space="0" w:color="auto"/>
              <w:right w:val="single" w:sz="4" w:space="0" w:color="auto"/>
            </w:tcBorders>
          </w:tcPr>
          <w:p w14:paraId="7FD6605A" w14:textId="77777777" w:rsidR="001B7AF5" w:rsidRPr="00543C89" w:rsidRDefault="001B7AF5" w:rsidP="001B7AF5">
            <w:pPr>
              <w:rPr>
                <w:rFonts w:cs="Arial"/>
                <w:szCs w:val="24"/>
              </w:rPr>
            </w:pPr>
            <w:r w:rsidRPr="00543C89">
              <w:rPr>
                <w:rFonts w:cs="Arial"/>
                <w:szCs w:val="24"/>
              </w:rPr>
              <w:t>Overheads</w:t>
            </w:r>
          </w:p>
        </w:tc>
        <w:tc>
          <w:tcPr>
            <w:tcW w:w="1735" w:type="dxa"/>
            <w:tcBorders>
              <w:top w:val="single" w:sz="4" w:space="0" w:color="auto"/>
              <w:left w:val="single" w:sz="4" w:space="0" w:color="auto"/>
              <w:bottom w:val="single" w:sz="4" w:space="0" w:color="auto"/>
              <w:right w:val="single" w:sz="4" w:space="0" w:color="auto"/>
            </w:tcBorders>
            <w:vAlign w:val="center"/>
          </w:tcPr>
          <w:p w14:paraId="5E3B47D7" w14:textId="18D399A3" w:rsidR="001B7AF5" w:rsidRPr="00543C89" w:rsidRDefault="001B7AF5" w:rsidP="001B7AF5">
            <w:pPr>
              <w:jc w:val="right"/>
              <w:rPr>
                <w:rFonts w:cs="Arial"/>
                <w:szCs w:val="24"/>
              </w:rPr>
            </w:pPr>
            <w:r w:rsidRPr="00543C89">
              <w:rPr>
                <w:rFonts w:cs="Arial"/>
                <w:szCs w:val="24"/>
              </w:rPr>
              <w:t>1,109</w:t>
            </w:r>
          </w:p>
        </w:tc>
        <w:tc>
          <w:tcPr>
            <w:tcW w:w="2376" w:type="dxa"/>
            <w:tcBorders>
              <w:top w:val="single" w:sz="4" w:space="0" w:color="auto"/>
              <w:left w:val="single" w:sz="4" w:space="0" w:color="auto"/>
              <w:bottom w:val="single" w:sz="4" w:space="0" w:color="auto"/>
              <w:right w:val="single" w:sz="4" w:space="0" w:color="auto"/>
            </w:tcBorders>
            <w:vAlign w:val="center"/>
          </w:tcPr>
          <w:p w14:paraId="233FF9B8" w14:textId="391D9239" w:rsidR="001B7AF5" w:rsidRPr="00543C89" w:rsidRDefault="00B965C3" w:rsidP="001B7AF5">
            <w:pPr>
              <w:jc w:val="right"/>
              <w:rPr>
                <w:rFonts w:cs="Arial"/>
                <w:szCs w:val="24"/>
              </w:rPr>
            </w:pPr>
            <w:r>
              <w:rPr>
                <w:rFonts w:cs="Arial"/>
                <w:szCs w:val="24"/>
              </w:rPr>
              <w:t>902</w:t>
            </w:r>
          </w:p>
        </w:tc>
        <w:tc>
          <w:tcPr>
            <w:tcW w:w="1701" w:type="dxa"/>
            <w:tcBorders>
              <w:top w:val="single" w:sz="4" w:space="0" w:color="auto"/>
              <w:left w:val="single" w:sz="4" w:space="0" w:color="auto"/>
              <w:bottom w:val="single" w:sz="4" w:space="0" w:color="auto"/>
              <w:right w:val="single" w:sz="4" w:space="0" w:color="auto"/>
            </w:tcBorders>
            <w:vAlign w:val="center"/>
          </w:tcPr>
          <w:p w14:paraId="685BCFEC" w14:textId="11B2466E" w:rsidR="001B7AF5" w:rsidRPr="00543C89" w:rsidRDefault="00A2439D" w:rsidP="001B7AF5">
            <w:pPr>
              <w:jc w:val="right"/>
              <w:rPr>
                <w:rFonts w:cs="Arial"/>
                <w:szCs w:val="24"/>
              </w:rPr>
            </w:pPr>
            <w:r>
              <w:rPr>
                <w:rFonts w:cs="Arial"/>
                <w:szCs w:val="24"/>
              </w:rPr>
              <w:t>2</w:t>
            </w:r>
            <w:r w:rsidR="001B7AF5" w:rsidRPr="00543C89">
              <w:rPr>
                <w:rFonts w:cs="Arial"/>
                <w:szCs w:val="24"/>
              </w:rPr>
              <w:t>,</w:t>
            </w:r>
            <w:r>
              <w:rPr>
                <w:rFonts w:cs="Arial"/>
                <w:szCs w:val="24"/>
              </w:rPr>
              <w:t>01</w:t>
            </w:r>
            <w:r w:rsidR="001B7AF5" w:rsidRPr="00543C89">
              <w:rPr>
                <w:rFonts w:cs="Arial"/>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254486E6" w14:textId="6E216519" w:rsidR="001B7AF5" w:rsidRPr="00543C89" w:rsidRDefault="00721F4E" w:rsidP="001B7AF5">
            <w:pPr>
              <w:jc w:val="right"/>
              <w:rPr>
                <w:rFonts w:cs="Arial"/>
                <w:szCs w:val="24"/>
              </w:rPr>
            </w:pPr>
            <w:r>
              <w:rPr>
                <w:rFonts w:cs="Arial"/>
                <w:szCs w:val="24"/>
              </w:rPr>
              <w:t>3</w:t>
            </w:r>
            <w:r w:rsidR="001B7AF5" w:rsidRPr="00543C89">
              <w:rPr>
                <w:rFonts w:cs="Arial"/>
                <w:szCs w:val="24"/>
              </w:rPr>
              <w:t>,</w:t>
            </w:r>
            <w:r>
              <w:rPr>
                <w:rFonts w:cs="Arial"/>
                <w:szCs w:val="24"/>
              </w:rPr>
              <w:t>960</w:t>
            </w:r>
          </w:p>
        </w:tc>
        <w:tc>
          <w:tcPr>
            <w:tcW w:w="2694" w:type="dxa"/>
            <w:tcBorders>
              <w:top w:val="single" w:sz="4" w:space="0" w:color="auto"/>
              <w:left w:val="single" w:sz="4" w:space="0" w:color="auto"/>
              <w:bottom w:val="single" w:sz="4" w:space="0" w:color="auto"/>
              <w:right w:val="single" w:sz="4" w:space="0" w:color="auto"/>
            </w:tcBorders>
            <w:vAlign w:val="center"/>
          </w:tcPr>
          <w:p w14:paraId="50F7EA30" w14:textId="5E029424" w:rsidR="001B7AF5" w:rsidRPr="00543C89" w:rsidRDefault="001B7AF5" w:rsidP="001B7AF5">
            <w:pPr>
              <w:jc w:val="right"/>
              <w:rPr>
                <w:rFonts w:cs="Arial"/>
                <w:szCs w:val="24"/>
              </w:rPr>
            </w:pPr>
            <w:r w:rsidRPr="00543C89">
              <w:rPr>
                <w:rFonts w:cs="Arial"/>
                <w:szCs w:val="24"/>
              </w:rPr>
              <w:t>5,971</w:t>
            </w:r>
          </w:p>
        </w:tc>
      </w:tr>
      <w:tr w:rsidR="001B7AF5" w:rsidRPr="00543C89" w14:paraId="6C23CD1E" w14:textId="77777777" w:rsidTr="00233A66">
        <w:tc>
          <w:tcPr>
            <w:tcW w:w="3641" w:type="dxa"/>
            <w:tcBorders>
              <w:top w:val="single" w:sz="4" w:space="0" w:color="auto"/>
              <w:left w:val="single" w:sz="4" w:space="0" w:color="auto"/>
              <w:bottom w:val="single" w:sz="4" w:space="0" w:color="auto"/>
              <w:right w:val="single" w:sz="4" w:space="0" w:color="auto"/>
            </w:tcBorders>
          </w:tcPr>
          <w:p w14:paraId="54F5F673" w14:textId="77777777" w:rsidR="001B7AF5" w:rsidRPr="00543C89" w:rsidRDefault="001B7AF5" w:rsidP="001B7AF5">
            <w:pPr>
              <w:rPr>
                <w:rFonts w:cs="Arial"/>
                <w:b/>
                <w:szCs w:val="24"/>
              </w:rPr>
            </w:pPr>
            <w:r w:rsidRPr="00543C89">
              <w:rPr>
                <w:rFonts w:cs="Arial"/>
                <w:b/>
                <w:szCs w:val="24"/>
              </w:rPr>
              <w:t>Net cost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7AFC8585" w14:textId="15DF7832" w:rsidR="001B7AF5" w:rsidRPr="00543C89" w:rsidRDefault="00F2720F" w:rsidP="001B7AF5">
            <w:pPr>
              <w:jc w:val="right"/>
              <w:rPr>
                <w:rFonts w:cs="Arial"/>
                <w:b/>
                <w:bCs/>
                <w:szCs w:val="24"/>
              </w:rPr>
            </w:pPr>
            <w:r w:rsidRPr="00543C89">
              <w:rPr>
                <w:rFonts w:cs="Arial"/>
                <w:b/>
                <w:bCs/>
                <w:szCs w:val="24"/>
              </w:rPr>
              <w:t>74,588</w:t>
            </w:r>
          </w:p>
        </w:tc>
        <w:tc>
          <w:tcPr>
            <w:tcW w:w="2376" w:type="dxa"/>
            <w:tcBorders>
              <w:top w:val="single" w:sz="4" w:space="0" w:color="auto"/>
              <w:left w:val="single" w:sz="4" w:space="0" w:color="auto"/>
              <w:bottom w:val="single" w:sz="4" w:space="0" w:color="auto"/>
              <w:right w:val="single" w:sz="4" w:space="0" w:color="auto"/>
            </w:tcBorders>
            <w:vAlign w:val="center"/>
          </w:tcPr>
          <w:p w14:paraId="449B4729" w14:textId="493CA705" w:rsidR="001B7AF5" w:rsidRPr="00543C89" w:rsidRDefault="00B965C3" w:rsidP="001B7AF5">
            <w:pPr>
              <w:jc w:val="right"/>
              <w:rPr>
                <w:rFonts w:cs="Arial"/>
                <w:b/>
                <w:bCs/>
                <w:szCs w:val="24"/>
              </w:rPr>
            </w:pPr>
            <w:r>
              <w:rPr>
                <w:rFonts w:cs="Arial"/>
                <w:b/>
                <w:bCs/>
                <w:szCs w:val="24"/>
              </w:rPr>
              <w:t>(</w:t>
            </w:r>
            <w:r w:rsidR="00D74B14">
              <w:rPr>
                <w:rFonts w:cs="Arial"/>
                <w:b/>
                <w:bCs/>
                <w:szCs w:val="24"/>
              </w:rPr>
              <w:t>1,145</w:t>
            </w:r>
            <w:r>
              <w:rPr>
                <w:rFonts w:cs="Arial"/>
                <w:b/>
                <w:bCs/>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1405D5E0" w14:textId="37674F99" w:rsidR="001B7AF5" w:rsidRPr="00543C89" w:rsidRDefault="00F2720F" w:rsidP="001B7AF5">
            <w:pPr>
              <w:jc w:val="right"/>
              <w:rPr>
                <w:rFonts w:cs="Arial"/>
                <w:b/>
                <w:bCs/>
                <w:szCs w:val="24"/>
              </w:rPr>
            </w:pPr>
            <w:r w:rsidRPr="00543C89">
              <w:rPr>
                <w:rFonts w:cs="Arial"/>
                <w:b/>
                <w:bCs/>
                <w:szCs w:val="24"/>
              </w:rPr>
              <w:t>7</w:t>
            </w:r>
            <w:r w:rsidR="00EE27ED">
              <w:rPr>
                <w:rFonts w:cs="Arial"/>
                <w:b/>
                <w:bCs/>
                <w:szCs w:val="24"/>
              </w:rPr>
              <w:t>3</w:t>
            </w:r>
            <w:r w:rsidRPr="00543C89">
              <w:rPr>
                <w:rFonts w:cs="Arial"/>
                <w:b/>
                <w:bCs/>
                <w:szCs w:val="24"/>
              </w:rPr>
              <w:t>,</w:t>
            </w:r>
            <w:r w:rsidR="00EE27ED">
              <w:rPr>
                <w:rFonts w:cs="Arial"/>
                <w:b/>
                <w:bCs/>
                <w:szCs w:val="24"/>
              </w:rPr>
              <w:t>443</w:t>
            </w:r>
          </w:p>
        </w:tc>
        <w:tc>
          <w:tcPr>
            <w:tcW w:w="2551" w:type="dxa"/>
            <w:tcBorders>
              <w:top w:val="single" w:sz="4" w:space="0" w:color="auto"/>
              <w:left w:val="single" w:sz="4" w:space="0" w:color="auto"/>
              <w:bottom w:val="single" w:sz="4" w:space="0" w:color="auto"/>
              <w:right w:val="single" w:sz="4" w:space="0" w:color="auto"/>
            </w:tcBorders>
            <w:vAlign w:val="center"/>
          </w:tcPr>
          <w:p w14:paraId="3EEAAE05" w14:textId="56B68FED" w:rsidR="001B7AF5" w:rsidRPr="00543C89" w:rsidRDefault="00545140" w:rsidP="001B7AF5">
            <w:pPr>
              <w:jc w:val="right"/>
              <w:rPr>
                <w:rFonts w:cs="Arial"/>
                <w:b/>
                <w:bCs/>
                <w:szCs w:val="24"/>
              </w:rPr>
            </w:pPr>
            <w:r w:rsidRPr="00543C89">
              <w:rPr>
                <w:rFonts w:cs="Arial"/>
                <w:b/>
                <w:bCs/>
                <w:szCs w:val="24"/>
              </w:rPr>
              <w:t>(2</w:t>
            </w:r>
            <w:r w:rsidR="00721F4E">
              <w:rPr>
                <w:rFonts w:cs="Arial"/>
                <w:b/>
                <w:bCs/>
                <w:szCs w:val="24"/>
              </w:rPr>
              <w:t>2</w:t>
            </w:r>
            <w:r w:rsidRPr="00543C89">
              <w:rPr>
                <w:rFonts w:cs="Arial"/>
                <w:b/>
                <w:bCs/>
                <w:szCs w:val="24"/>
              </w:rPr>
              <w:t>,</w:t>
            </w:r>
            <w:r w:rsidR="00721F4E">
              <w:rPr>
                <w:rFonts w:cs="Arial"/>
                <w:b/>
                <w:bCs/>
                <w:szCs w:val="24"/>
              </w:rPr>
              <w:t>586</w:t>
            </w:r>
            <w:r w:rsidRPr="00543C89">
              <w:rPr>
                <w:rFonts w:cs="Arial"/>
                <w:b/>
                <w:bCs/>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4C22BFC5" w14:textId="637220C3" w:rsidR="001B7AF5" w:rsidRPr="00543C89" w:rsidRDefault="00545140" w:rsidP="001B7AF5">
            <w:pPr>
              <w:jc w:val="right"/>
              <w:rPr>
                <w:rFonts w:cs="Arial"/>
                <w:b/>
                <w:szCs w:val="24"/>
              </w:rPr>
            </w:pPr>
            <w:r w:rsidRPr="00543C89">
              <w:rPr>
                <w:rFonts w:cs="Arial"/>
                <w:b/>
                <w:szCs w:val="24"/>
              </w:rPr>
              <w:t>50,856</w:t>
            </w:r>
          </w:p>
        </w:tc>
      </w:tr>
      <w:tr w:rsidR="001B7AF5" w:rsidRPr="00543C89" w14:paraId="509D79A1" w14:textId="77777777" w:rsidTr="00233A66">
        <w:tc>
          <w:tcPr>
            <w:tcW w:w="3641" w:type="dxa"/>
            <w:tcBorders>
              <w:top w:val="single" w:sz="4" w:space="0" w:color="auto"/>
              <w:left w:val="single" w:sz="4" w:space="0" w:color="auto"/>
              <w:bottom w:val="single" w:sz="4" w:space="0" w:color="auto"/>
              <w:right w:val="single" w:sz="4" w:space="0" w:color="auto"/>
            </w:tcBorders>
          </w:tcPr>
          <w:p w14:paraId="61B0E513" w14:textId="77777777" w:rsidR="001B7AF5" w:rsidRPr="00543C89" w:rsidRDefault="001B7AF5" w:rsidP="001B7AF5">
            <w:pPr>
              <w:rPr>
                <w:rFonts w:cs="Arial"/>
                <w:szCs w:val="24"/>
              </w:rPr>
            </w:pPr>
            <w:r w:rsidRPr="00543C89">
              <w:rPr>
                <w:rFonts w:cs="Arial"/>
                <w:szCs w:val="24"/>
              </w:rPr>
              <w:t>Other income and expenditure</w:t>
            </w:r>
          </w:p>
        </w:tc>
        <w:tc>
          <w:tcPr>
            <w:tcW w:w="1735" w:type="dxa"/>
            <w:tcBorders>
              <w:top w:val="single" w:sz="4" w:space="0" w:color="auto"/>
              <w:left w:val="single" w:sz="4" w:space="0" w:color="auto"/>
              <w:bottom w:val="single" w:sz="4" w:space="0" w:color="auto"/>
              <w:right w:val="single" w:sz="4" w:space="0" w:color="auto"/>
            </w:tcBorders>
            <w:vAlign w:val="center"/>
          </w:tcPr>
          <w:p w14:paraId="5A50E65D" w14:textId="6A511039" w:rsidR="001B7AF5" w:rsidRPr="00543C89" w:rsidRDefault="00545140" w:rsidP="001B7AF5">
            <w:pPr>
              <w:jc w:val="right"/>
              <w:rPr>
                <w:rFonts w:cs="Arial"/>
                <w:szCs w:val="24"/>
              </w:rPr>
            </w:pPr>
            <w:r w:rsidRPr="00543C89">
              <w:rPr>
                <w:rFonts w:cs="Arial"/>
                <w:szCs w:val="24"/>
              </w:rPr>
              <w:t>(75,323)</w:t>
            </w:r>
          </w:p>
        </w:tc>
        <w:tc>
          <w:tcPr>
            <w:tcW w:w="2376" w:type="dxa"/>
            <w:tcBorders>
              <w:top w:val="single" w:sz="4" w:space="0" w:color="auto"/>
              <w:left w:val="single" w:sz="4" w:space="0" w:color="auto"/>
              <w:bottom w:val="single" w:sz="4" w:space="0" w:color="auto"/>
              <w:right w:val="single" w:sz="4" w:space="0" w:color="auto"/>
            </w:tcBorders>
            <w:vAlign w:val="center"/>
          </w:tcPr>
          <w:p w14:paraId="6CA25D2B" w14:textId="09B521F8" w:rsidR="001B7AF5" w:rsidRPr="00543C89" w:rsidRDefault="001B7AF5" w:rsidP="001B7AF5">
            <w:pPr>
              <w:jc w:val="right"/>
              <w:rPr>
                <w:rFonts w:cs="Arial"/>
                <w:szCs w:val="24"/>
              </w:rPr>
            </w:pPr>
            <w:r w:rsidRPr="00543C89">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BDD1D3A" w14:textId="068E851D" w:rsidR="001B7AF5" w:rsidRPr="00543C89" w:rsidRDefault="00545140" w:rsidP="001B7AF5">
            <w:pPr>
              <w:jc w:val="right"/>
              <w:rPr>
                <w:rFonts w:cs="Arial"/>
                <w:szCs w:val="24"/>
              </w:rPr>
            </w:pPr>
            <w:r w:rsidRPr="00543C89">
              <w:rPr>
                <w:rFonts w:cs="Arial"/>
                <w:szCs w:val="24"/>
              </w:rPr>
              <w:t>(75,323)</w:t>
            </w:r>
          </w:p>
        </w:tc>
        <w:tc>
          <w:tcPr>
            <w:tcW w:w="2551" w:type="dxa"/>
            <w:tcBorders>
              <w:top w:val="single" w:sz="4" w:space="0" w:color="auto"/>
              <w:left w:val="single" w:sz="4" w:space="0" w:color="auto"/>
              <w:bottom w:val="single" w:sz="4" w:space="0" w:color="auto"/>
              <w:right w:val="single" w:sz="4" w:space="0" w:color="auto"/>
            </w:tcBorders>
            <w:vAlign w:val="center"/>
          </w:tcPr>
          <w:p w14:paraId="5CB71568" w14:textId="559A224B" w:rsidR="001B7AF5" w:rsidRPr="00543C89" w:rsidRDefault="00EB07CD" w:rsidP="001B7AF5">
            <w:pPr>
              <w:jc w:val="right"/>
              <w:rPr>
                <w:rFonts w:cs="Arial"/>
                <w:szCs w:val="24"/>
              </w:rPr>
            </w:pPr>
            <w:r w:rsidRPr="00543C89">
              <w:rPr>
                <w:rFonts w:cs="Arial"/>
                <w:szCs w:val="24"/>
              </w:rPr>
              <w:t>27,520</w:t>
            </w:r>
          </w:p>
        </w:tc>
        <w:tc>
          <w:tcPr>
            <w:tcW w:w="2694" w:type="dxa"/>
            <w:tcBorders>
              <w:top w:val="single" w:sz="4" w:space="0" w:color="auto"/>
              <w:left w:val="single" w:sz="4" w:space="0" w:color="auto"/>
              <w:bottom w:val="single" w:sz="4" w:space="0" w:color="auto"/>
              <w:right w:val="single" w:sz="4" w:space="0" w:color="auto"/>
            </w:tcBorders>
            <w:vAlign w:val="center"/>
          </w:tcPr>
          <w:p w14:paraId="76BD20BA" w14:textId="6CB74D14" w:rsidR="001B7AF5" w:rsidRPr="00543C89" w:rsidRDefault="00EB07CD" w:rsidP="001B7AF5">
            <w:pPr>
              <w:jc w:val="right"/>
              <w:rPr>
                <w:rFonts w:cs="Arial"/>
                <w:szCs w:val="24"/>
              </w:rPr>
            </w:pPr>
            <w:r w:rsidRPr="00543C89">
              <w:rPr>
                <w:rFonts w:cs="Arial"/>
                <w:szCs w:val="24"/>
              </w:rPr>
              <w:t>(47,802)</w:t>
            </w:r>
          </w:p>
        </w:tc>
      </w:tr>
      <w:tr w:rsidR="001B7AF5" w:rsidRPr="00543C89" w14:paraId="1AE897AF" w14:textId="77777777" w:rsidTr="00233A66">
        <w:tc>
          <w:tcPr>
            <w:tcW w:w="3641" w:type="dxa"/>
            <w:tcBorders>
              <w:top w:val="single" w:sz="4" w:space="0" w:color="auto"/>
              <w:left w:val="single" w:sz="4" w:space="0" w:color="auto"/>
              <w:bottom w:val="single" w:sz="4" w:space="0" w:color="auto"/>
              <w:right w:val="single" w:sz="4" w:space="0" w:color="auto"/>
            </w:tcBorders>
          </w:tcPr>
          <w:p w14:paraId="6EA3E1DA" w14:textId="63B8FEEF" w:rsidR="001B7AF5" w:rsidRPr="00543C89" w:rsidRDefault="001B7AF5" w:rsidP="001B7AF5">
            <w:pPr>
              <w:rPr>
                <w:rFonts w:cs="Arial"/>
                <w:b/>
                <w:szCs w:val="24"/>
              </w:rPr>
            </w:pPr>
            <w:r w:rsidRPr="00543C89">
              <w:rPr>
                <w:rFonts w:cs="Arial"/>
                <w:b/>
                <w:szCs w:val="24"/>
              </w:rPr>
              <w:t>(Surplus)/Deficit on provision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201C5DE9" w14:textId="5C0C39F3" w:rsidR="001B7AF5" w:rsidRPr="00543C89" w:rsidRDefault="00EB07CD" w:rsidP="001B7AF5">
            <w:pPr>
              <w:jc w:val="right"/>
              <w:rPr>
                <w:rFonts w:cs="Arial"/>
                <w:b/>
                <w:bCs/>
                <w:szCs w:val="24"/>
              </w:rPr>
            </w:pPr>
            <w:r w:rsidRPr="00543C89">
              <w:rPr>
                <w:rFonts w:cs="Arial"/>
                <w:b/>
                <w:bCs/>
                <w:szCs w:val="24"/>
              </w:rPr>
              <w:t>(735)</w:t>
            </w:r>
          </w:p>
        </w:tc>
        <w:tc>
          <w:tcPr>
            <w:tcW w:w="2376" w:type="dxa"/>
            <w:tcBorders>
              <w:top w:val="single" w:sz="4" w:space="0" w:color="auto"/>
              <w:left w:val="single" w:sz="4" w:space="0" w:color="auto"/>
              <w:bottom w:val="single" w:sz="4" w:space="0" w:color="auto"/>
              <w:right w:val="single" w:sz="4" w:space="0" w:color="auto"/>
            </w:tcBorders>
            <w:vAlign w:val="center"/>
          </w:tcPr>
          <w:p w14:paraId="7B4B74E7" w14:textId="683BEDAF" w:rsidR="001B7AF5" w:rsidRPr="00543C89" w:rsidRDefault="00B965C3" w:rsidP="001B7AF5">
            <w:pPr>
              <w:jc w:val="right"/>
              <w:rPr>
                <w:rFonts w:cs="Arial"/>
                <w:b/>
                <w:bCs/>
                <w:szCs w:val="24"/>
              </w:rPr>
            </w:pPr>
            <w:r>
              <w:rPr>
                <w:rFonts w:cs="Arial"/>
                <w:b/>
                <w:bCs/>
                <w:szCs w:val="24"/>
              </w:rPr>
              <w:t>(</w:t>
            </w:r>
            <w:r w:rsidR="00D74B14">
              <w:rPr>
                <w:rFonts w:cs="Arial"/>
                <w:b/>
                <w:bCs/>
                <w:szCs w:val="24"/>
              </w:rPr>
              <w:t>1,145</w:t>
            </w:r>
            <w:r>
              <w:rPr>
                <w:rFonts w:cs="Arial"/>
                <w:b/>
                <w:bCs/>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18D0CA24" w14:textId="5AE155BD" w:rsidR="001B7AF5" w:rsidRPr="00543C89" w:rsidRDefault="00EB07CD" w:rsidP="001B7AF5">
            <w:pPr>
              <w:jc w:val="right"/>
              <w:rPr>
                <w:rFonts w:cs="Arial"/>
                <w:b/>
                <w:bCs/>
                <w:szCs w:val="24"/>
              </w:rPr>
            </w:pPr>
            <w:r w:rsidRPr="00543C89">
              <w:rPr>
                <w:rFonts w:cs="Arial"/>
                <w:b/>
                <w:bCs/>
                <w:szCs w:val="24"/>
              </w:rPr>
              <w:t>(</w:t>
            </w:r>
            <w:r w:rsidR="00EE27ED">
              <w:rPr>
                <w:rFonts w:cs="Arial"/>
                <w:b/>
                <w:bCs/>
                <w:szCs w:val="24"/>
              </w:rPr>
              <w:t>1,880</w:t>
            </w:r>
            <w:r w:rsidRPr="00543C89">
              <w:rPr>
                <w:rFonts w:cs="Arial"/>
                <w:b/>
                <w:bCs/>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CE7833F" w14:textId="3DBA6201" w:rsidR="001B7AF5" w:rsidRPr="00543C89" w:rsidRDefault="00721F4E" w:rsidP="001B7AF5">
            <w:pPr>
              <w:jc w:val="right"/>
              <w:rPr>
                <w:rFonts w:cs="Arial"/>
                <w:b/>
                <w:bCs/>
                <w:szCs w:val="24"/>
              </w:rPr>
            </w:pPr>
            <w:r>
              <w:rPr>
                <w:rFonts w:cs="Arial"/>
                <w:b/>
                <w:bCs/>
                <w:szCs w:val="24"/>
              </w:rPr>
              <w:t>4</w:t>
            </w:r>
            <w:r w:rsidR="00293A84" w:rsidRPr="00543C89">
              <w:rPr>
                <w:rFonts w:cs="Arial"/>
                <w:b/>
                <w:bCs/>
                <w:szCs w:val="24"/>
              </w:rPr>
              <w:t>,</w:t>
            </w:r>
            <w:r>
              <w:rPr>
                <w:rFonts w:cs="Arial"/>
                <w:b/>
                <w:bCs/>
                <w:szCs w:val="24"/>
              </w:rPr>
              <w:t>934</w:t>
            </w:r>
          </w:p>
        </w:tc>
        <w:tc>
          <w:tcPr>
            <w:tcW w:w="2694" w:type="dxa"/>
            <w:tcBorders>
              <w:top w:val="single" w:sz="4" w:space="0" w:color="auto"/>
              <w:left w:val="single" w:sz="4" w:space="0" w:color="auto"/>
              <w:bottom w:val="single" w:sz="4" w:space="0" w:color="auto"/>
              <w:right w:val="single" w:sz="4" w:space="0" w:color="auto"/>
            </w:tcBorders>
            <w:vAlign w:val="center"/>
          </w:tcPr>
          <w:p w14:paraId="78A2DC41" w14:textId="3FACC539" w:rsidR="001B7AF5" w:rsidRPr="00543C89" w:rsidRDefault="00293A84" w:rsidP="001B7AF5">
            <w:pPr>
              <w:jc w:val="right"/>
              <w:rPr>
                <w:rFonts w:cs="Arial"/>
                <w:b/>
                <w:szCs w:val="24"/>
              </w:rPr>
            </w:pPr>
            <w:r w:rsidRPr="00543C89">
              <w:rPr>
                <w:rFonts w:cs="Arial"/>
                <w:b/>
                <w:szCs w:val="24"/>
              </w:rPr>
              <w:t>3,054</w:t>
            </w:r>
          </w:p>
        </w:tc>
      </w:tr>
    </w:tbl>
    <w:p w14:paraId="5E8A772F" w14:textId="77777777" w:rsidR="00DD2894" w:rsidRPr="00543C89" w:rsidRDefault="00DD2894"/>
    <w:tbl>
      <w:tblPr>
        <w:tblStyle w:val="TableGrid"/>
        <w:tblW w:w="9497" w:type="dxa"/>
        <w:tblInd w:w="704" w:type="dxa"/>
        <w:tblLayout w:type="fixed"/>
        <w:tblLook w:val="04A0" w:firstRow="1" w:lastRow="0" w:firstColumn="1" w:lastColumn="0" w:noHBand="0" w:noVBand="1"/>
      </w:tblPr>
      <w:tblGrid>
        <w:gridCol w:w="7796"/>
        <w:gridCol w:w="1701"/>
      </w:tblGrid>
      <w:tr w:rsidR="0005100D" w:rsidRPr="00543C89" w14:paraId="2563BCB2" w14:textId="77777777" w:rsidTr="00233A66">
        <w:tc>
          <w:tcPr>
            <w:tcW w:w="7796" w:type="dxa"/>
            <w:tcBorders>
              <w:top w:val="single" w:sz="4" w:space="0" w:color="auto"/>
              <w:left w:val="single" w:sz="4" w:space="0" w:color="auto"/>
              <w:bottom w:val="single" w:sz="4" w:space="0" w:color="auto"/>
              <w:right w:val="single" w:sz="4" w:space="0" w:color="auto"/>
            </w:tcBorders>
          </w:tcPr>
          <w:p w14:paraId="45ECB2EE" w14:textId="520BFDDC" w:rsidR="0005100D" w:rsidRPr="00543C89" w:rsidRDefault="00A13728">
            <w:pPr>
              <w:rPr>
                <w:rFonts w:cs="Arial"/>
                <w:b/>
                <w:bCs/>
                <w:szCs w:val="24"/>
              </w:rPr>
            </w:pPr>
            <w:r w:rsidRPr="00543C89">
              <w:rPr>
                <w:rFonts w:cs="Arial"/>
                <w:b/>
                <w:bCs/>
                <w:szCs w:val="24"/>
              </w:rPr>
              <w:t>Opening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24993A71" w14:textId="328063C8" w:rsidR="0005100D" w:rsidRPr="00543C89" w:rsidRDefault="000811CC" w:rsidP="00A066AE">
            <w:pPr>
              <w:jc w:val="right"/>
              <w:rPr>
                <w:rFonts w:cs="Arial"/>
                <w:b/>
                <w:bCs/>
                <w:szCs w:val="24"/>
              </w:rPr>
            </w:pPr>
            <w:r w:rsidRPr="00FB606A">
              <w:rPr>
                <w:rFonts w:cs="Arial"/>
                <w:b/>
                <w:bCs/>
                <w:szCs w:val="24"/>
              </w:rPr>
              <w:t>(</w:t>
            </w:r>
            <w:r w:rsidR="00E17202">
              <w:rPr>
                <w:rFonts w:cs="Arial"/>
                <w:b/>
                <w:bCs/>
                <w:szCs w:val="24"/>
              </w:rPr>
              <w:t>33</w:t>
            </w:r>
            <w:r w:rsidRPr="00FB606A">
              <w:rPr>
                <w:rFonts w:cs="Arial"/>
                <w:b/>
                <w:bCs/>
                <w:szCs w:val="24"/>
              </w:rPr>
              <w:t>,6</w:t>
            </w:r>
            <w:r w:rsidR="00E17202">
              <w:rPr>
                <w:rFonts w:cs="Arial"/>
                <w:b/>
                <w:bCs/>
                <w:szCs w:val="24"/>
              </w:rPr>
              <w:t>96</w:t>
            </w:r>
            <w:r w:rsidRPr="00FB606A">
              <w:rPr>
                <w:rFonts w:cs="Arial"/>
                <w:b/>
                <w:bCs/>
                <w:szCs w:val="24"/>
              </w:rPr>
              <w:t>)</w:t>
            </w:r>
            <w:r w:rsidR="00A13728" w:rsidRPr="00543C89">
              <w:rPr>
                <w:rFonts w:cs="Arial"/>
                <w:b/>
                <w:bCs/>
                <w:szCs w:val="24"/>
              </w:rPr>
              <w:t xml:space="preserve"> </w:t>
            </w:r>
          </w:p>
        </w:tc>
      </w:tr>
      <w:tr w:rsidR="0005100D" w:rsidRPr="00543C89" w14:paraId="7CEC607C" w14:textId="77777777" w:rsidTr="00233A66">
        <w:tc>
          <w:tcPr>
            <w:tcW w:w="7796" w:type="dxa"/>
            <w:tcBorders>
              <w:top w:val="single" w:sz="4" w:space="0" w:color="auto"/>
              <w:left w:val="single" w:sz="4" w:space="0" w:color="auto"/>
              <w:bottom w:val="single" w:sz="4" w:space="0" w:color="auto"/>
              <w:right w:val="single" w:sz="4" w:space="0" w:color="auto"/>
            </w:tcBorders>
          </w:tcPr>
          <w:p w14:paraId="7E4AC29D" w14:textId="2C33210D" w:rsidR="0005100D" w:rsidRPr="00543C89" w:rsidRDefault="0053650A">
            <w:pPr>
              <w:rPr>
                <w:rFonts w:cs="Arial"/>
                <w:szCs w:val="24"/>
              </w:rPr>
            </w:pPr>
            <w:r>
              <w:rPr>
                <w:rFonts w:cs="Arial"/>
                <w:szCs w:val="24"/>
              </w:rPr>
              <w:t>(</w:t>
            </w:r>
            <w:r w:rsidR="00A13728" w:rsidRPr="00543C89">
              <w:rPr>
                <w:rFonts w:cs="Arial"/>
                <w:szCs w:val="24"/>
              </w:rPr>
              <w:t>Surplus</w:t>
            </w:r>
            <w:r>
              <w:rPr>
                <w:rFonts w:cs="Arial"/>
                <w:szCs w:val="24"/>
              </w:rPr>
              <w:t>)/Deficit</w:t>
            </w:r>
            <w:r w:rsidR="00A13728" w:rsidRPr="00543C89">
              <w:rPr>
                <w:rFonts w:cs="Arial"/>
                <w:szCs w:val="24"/>
              </w:rPr>
              <w:t xml:space="preserve"> on provision of services</w:t>
            </w:r>
          </w:p>
        </w:tc>
        <w:tc>
          <w:tcPr>
            <w:tcW w:w="1701" w:type="dxa"/>
            <w:tcBorders>
              <w:top w:val="single" w:sz="4" w:space="0" w:color="auto"/>
              <w:left w:val="single" w:sz="4" w:space="0" w:color="auto"/>
              <w:bottom w:val="single" w:sz="4" w:space="0" w:color="auto"/>
              <w:right w:val="single" w:sz="4" w:space="0" w:color="auto"/>
            </w:tcBorders>
            <w:vAlign w:val="center"/>
          </w:tcPr>
          <w:p w14:paraId="15190BF5" w14:textId="5DEDE93D" w:rsidR="0005100D" w:rsidRPr="00543C89" w:rsidRDefault="00293A84" w:rsidP="00A066AE">
            <w:pPr>
              <w:jc w:val="right"/>
              <w:rPr>
                <w:rFonts w:cs="Arial"/>
                <w:szCs w:val="24"/>
              </w:rPr>
            </w:pPr>
            <w:r w:rsidRPr="00543C89">
              <w:rPr>
                <w:rFonts w:cs="Arial"/>
                <w:szCs w:val="24"/>
              </w:rPr>
              <w:t>(</w:t>
            </w:r>
            <w:r w:rsidR="000B4121">
              <w:rPr>
                <w:rFonts w:cs="Arial"/>
                <w:szCs w:val="24"/>
              </w:rPr>
              <w:t>1,880</w:t>
            </w:r>
            <w:r w:rsidRPr="00543C89">
              <w:rPr>
                <w:rFonts w:cs="Arial"/>
                <w:szCs w:val="24"/>
              </w:rPr>
              <w:t>)</w:t>
            </w:r>
          </w:p>
        </w:tc>
      </w:tr>
      <w:tr w:rsidR="0005100D" w:rsidRPr="00D948C1" w14:paraId="210BE176" w14:textId="77777777" w:rsidTr="00233A66">
        <w:tc>
          <w:tcPr>
            <w:tcW w:w="7796" w:type="dxa"/>
            <w:tcBorders>
              <w:top w:val="single" w:sz="4" w:space="0" w:color="auto"/>
              <w:left w:val="single" w:sz="4" w:space="0" w:color="auto"/>
              <w:bottom w:val="single" w:sz="4" w:space="0" w:color="auto"/>
              <w:right w:val="single" w:sz="4" w:space="0" w:color="auto"/>
            </w:tcBorders>
          </w:tcPr>
          <w:p w14:paraId="71CEC89D" w14:textId="183CD82A" w:rsidR="0005100D" w:rsidRPr="00543C89" w:rsidRDefault="00A13728">
            <w:pPr>
              <w:rPr>
                <w:rFonts w:cs="Arial"/>
                <w:b/>
                <w:bCs/>
                <w:szCs w:val="24"/>
              </w:rPr>
            </w:pPr>
            <w:r w:rsidRPr="00543C89">
              <w:rPr>
                <w:rFonts w:cs="Arial"/>
                <w:b/>
                <w:bCs/>
                <w:szCs w:val="24"/>
              </w:rPr>
              <w:t>Closing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24F33383" w14:textId="008DF639" w:rsidR="0005100D" w:rsidRPr="00543C89" w:rsidRDefault="00293A84" w:rsidP="00A066AE">
            <w:pPr>
              <w:jc w:val="right"/>
              <w:rPr>
                <w:rFonts w:cs="Arial"/>
                <w:b/>
                <w:bCs/>
                <w:szCs w:val="24"/>
              </w:rPr>
            </w:pPr>
            <w:r w:rsidRPr="00543C89">
              <w:rPr>
                <w:rFonts w:cs="Arial"/>
                <w:b/>
                <w:bCs/>
                <w:szCs w:val="24"/>
              </w:rPr>
              <w:t>(</w:t>
            </w:r>
            <w:r w:rsidR="00CE337E">
              <w:rPr>
                <w:rFonts w:cs="Arial"/>
                <w:b/>
                <w:bCs/>
                <w:szCs w:val="24"/>
              </w:rPr>
              <w:t>35</w:t>
            </w:r>
            <w:r w:rsidRPr="00543C89">
              <w:rPr>
                <w:rFonts w:cs="Arial"/>
                <w:b/>
                <w:bCs/>
                <w:szCs w:val="24"/>
              </w:rPr>
              <w:t>,5</w:t>
            </w:r>
            <w:r w:rsidR="00CE337E">
              <w:rPr>
                <w:rFonts w:cs="Arial"/>
                <w:b/>
                <w:bCs/>
                <w:szCs w:val="24"/>
              </w:rPr>
              <w:t>7</w:t>
            </w:r>
            <w:r w:rsidRPr="00543C89">
              <w:rPr>
                <w:rFonts w:cs="Arial"/>
                <w:b/>
                <w:bCs/>
                <w:szCs w:val="24"/>
              </w:rPr>
              <w:t>6)</w:t>
            </w:r>
          </w:p>
        </w:tc>
      </w:tr>
    </w:tbl>
    <w:p w14:paraId="6B65521D" w14:textId="6B838D54" w:rsidR="00296A09" w:rsidRPr="00D948C1" w:rsidRDefault="00296A09">
      <w:pPr>
        <w:rPr>
          <w:sz w:val="22"/>
        </w:rPr>
      </w:pPr>
      <w:r w:rsidRPr="00D948C1">
        <w:rPr>
          <w:sz w:val="22"/>
        </w:rPr>
        <w:br w:type="page"/>
      </w:r>
    </w:p>
    <w:p w14:paraId="290C20DE" w14:textId="77777777" w:rsidR="00EB122C" w:rsidRPr="00D948C1" w:rsidRDefault="00EB122C" w:rsidP="001E612D">
      <w:pPr>
        <w:ind w:left="720"/>
        <w:jc w:val="both"/>
        <w:rPr>
          <w:sz w:val="22"/>
        </w:rPr>
      </w:pPr>
    </w:p>
    <w:tbl>
      <w:tblPr>
        <w:tblStyle w:val="TableGrid"/>
        <w:tblW w:w="1473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1"/>
        <w:gridCol w:w="1735"/>
        <w:gridCol w:w="2376"/>
        <w:gridCol w:w="1701"/>
        <w:gridCol w:w="2551"/>
        <w:gridCol w:w="2727"/>
      </w:tblGrid>
      <w:tr w:rsidR="00E16D4F" w:rsidRPr="00D948C1" w14:paraId="3BC8F724" w14:textId="77777777" w:rsidTr="00611673">
        <w:trPr>
          <w:tblHeader/>
        </w:trPr>
        <w:tc>
          <w:tcPr>
            <w:tcW w:w="3641" w:type="dxa"/>
            <w:tcBorders>
              <w:top w:val="single" w:sz="4" w:space="0" w:color="auto"/>
              <w:left w:val="single" w:sz="4" w:space="0" w:color="auto"/>
              <w:bottom w:val="single" w:sz="4" w:space="0" w:color="auto"/>
              <w:right w:val="single" w:sz="4" w:space="0" w:color="auto"/>
            </w:tcBorders>
            <w:shd w:val="clear" w:color="auto" w:fill="BD2716"/>
            <w:vAlign w:val="center"/>
          </w:tcPr>
          <w:p w14:paraId="5155A1B7" w14:textId="1BA57E52" w:rsidR="00E16D4F" w:rsidRPr="00D948C1" w:rsidRDefault="00E16D4F" w:rsidP="00611673">
            <w:pPr>
              <w:rPr>
                <w:bCs/>
                <w:color w:val="FFFFFF" w:themeColor="background1"/>
                <w:szCs w:val="24"/>
              </w:rPr>
            </w:pPr>
            <w:r w:rsidRPr="00D948C1">
              <w:rPr>
                <w:color w:val="FFFFFF" w:themeColor="background1"/>
                <w:szCs w:val="24"/>
              </w:rPr>
              <w:br w:type="page"/>
            </w:r>
            <w:r w:rsidR="00C7098F" w:rsidRPr="00D948C1">
              <w:rPr>
                <w:rFonts w:cs="Arial"/>
                <w:bCs/>
                <w:color w:val="FFFFFF" w:themeColor="background1"/>
                <w:szCs w:val="24"/>
              </w:rPr>
              <w:t>202</w:t>
            </w:r>
            <w:r w:rsidR="007742EF">
              <w:rPr>
                <w:rFonts w:cs="Arial"/>
                <w:bCs/>
                <w:color w:val="FFFFFF" w:themeColor="background1"/>
                <w:szCs w:val="24"/>
              </w:rPr>
              <w:t>3</w:t>
            </w:r>
            <w:r w:rsidR="00C7098F" w:rsidRPr="00D948C1">
              <w:rPr>
                <w:rFonts w:cs="Arial"/>
                <w:bCs/>
                <w:color w:val="FFFFFF" w:themeColor="background1"/>
                <w:szCs w:val="24"/>
              </w:rPr>
              <w:t>/2</w:t>
            </w:r>
            <w:r w:rsidR="007742EF">
              <w:rPr>
                <w:rFonts w:cs="Arial"/>
                <w:bCs/>
                <w:color w:val="FFFFFF" w:themeColor="background1"/>
                <w:szCs w:val="24"/>
              </w:rPr>
              <w:t>4</w:t>
            </w:r>
            <w:r w:rsidR="00E669B4">
              <w:rPr>
                <w:rFonts w:cs="Arial"/>
                <w:bCs/>
                <w:color w:val="FFFFFF" w:themeColor="background1"/>
                <w:szCs w:val="24"/>
              </w:rPr>
              <w:t xml:space="preserve"> Restated*</w:t>
            </w:r>
          </w:p>
        </w:tc>
        <w:tc>
          <w:tcPr>
            <w:tcW w:w="1735" w:type="dxa"/>
            <w:tcBorders>
              <w:top w:val="single" w:sz="4" w:space="0" w:color="auto"/>
              <w:left w:val="single" w:sz="4" w:space="0" w:color="auto"/>
              <w:bottom w:val="single" w:sz="4" w:space="0" w:color="auto"/>
              <w:right w:val="single" w:sz="4" w:space="0" w:color="auto"/>
            </w:tcBorders>
            <w:shd w:val="clear" w:color="auto" w:fill="BD2716"/>
            <w:vAlign w:val="center"/>
          </w:tcPr>
          <w:p w14:paraId="758903A8" w14:textId="77777777" w:rsidR="00E16D4F" w:rsidRPr="00D948C1" w:rsidRDefault="00E16D4F" w:rsidP="00611673">
            <w:pPr>
              <w:jc w:val="right"/>
              <w:rPr>
                <w:color w:val="FFFFFF" w:themeColor="background1"/>
                <w:szCs w:val="24"/>
              </w:rPr>
            </w:pPr>
            <w:r w:rsidRPr="00D948C1">
              <w:rPr>
                <w:color w:val="FFFFFF" w:themeColor="background1"/>
                <w:szCs w:val="24"/>
              </w:rPr>
              <w:t>As reported for resource management</w:t>
            </w:r>
          </w:p>
          <w:p w14:paraId="5D29C4BE" w14:textId="50B97FB4" w:rsidR="00AE0F22" w:rsidRPr="00D948C1" w:rsidRDefault="00AE0F22" w:rsidP="00611673">
            <w:pPr>
              <w:jc w:val="right"/>
              <w:rPr>
                <w:color w:val="FFFFFF" w:themeColor="background1"/>
                <w:szCs w:val="24"/>
              </w:rPr>
            </w:pPr>
            <w:r w:rsidRPr="00D948C1">
              <w:rPr>
                <w:color w:val="FFFFFF" w:themeColor="background1"/>
                <w:szCs w:val="24"/>
              </w:rPr>
              <w:t>£000</w:t>
            </w:r>
          </w:p>
        </w:tc>
        <w:tc>
          <w:tcPr>
            <w:tcW w:w="2376" w:type="dxa"/>
            <w:tcBorders>
              <w:top w:val="single" w:sz="4" w:space="0" w:color="auto"/>
              <w:left w:val="single" w:sz="4" w:space="0" w:color="auto"/>
              <w:bottom w:val="single" w:sz="4" w:space="0" w:color="auto"/>
              <w:right w:val="single" w:sz="4" w:space="0" w:color="auto"/>
            </w:tcBorders>
            <w:shd w:val="clear" w:color="auto" w:fill="BD2716"/>
            <w:vAlign w:val="center"/>
          </w:tcPr>
          <w:p w14:paraId="15E6407E" w14:textId="77777777" w:rsidR="00AE0F22" w:rsidRPr="00D948C1" w:rsidRDefault="00E16D4F" w:rsidP="00611673">
            <w:pPr>
              <w:jc w:val="right"/>
              <w:rPr>
                <w:color w:val="FFFFFF" w:themeColor="background1"/>
                <w:szCs w:val="24"/>
              </w:rPr>
            </w:pPr>
            <w:r w:rsidRPr="00D948C1">
              <w:rPr>
                <w:color w:val="FFFFFF" w:themeColor="background1"/>
                <w:szCs w:val="24"/>
              </w:rPr>
              <w:t>Adjustment to arrive at the amount chargeable to the General Fund (Note 1a)</w:t>
            </w:r>
          </w:p>
          <w:p w14:paraId="266D9001" w14:textId="36C2B9CF" w:rsidR="00E16D4F" w:rsidRPr="00D948C1" w:rsidRDefault="00AE0F22" w:rsidP="00611673">
            <w:pPr>
              <w:jc w:val="right"/>
              <w:rPr>
                <w:color w:val="FFFFFF" w:themeColor="background1"/>
                <w:szCs w:val="24"/>
              </w:rPr>
            </w:pPr>
            <w:r w:rsidRPr="00D948C1">
              <w:rPr>
                <w:color w:val="FFFFFF" w:themeColor="background1"/>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BD2716"/>
            <w:vAlign w:val="center"/>
          </w:tcPr>
          <w:p w14:paraId="46A768C3" w14:textId="77777777" w:rsidR="00E16D4F" w:rsidRPr="00D948C1" w:rsidRDefault="00E16D4F" w:rsidP="00611673">
            <w:pPr>
              <w:jc w:val="right"/>
              <w:rPr>
                <w:color w:val="FFFFFF" w:themeColor="background1"/>
                <w:szCs w:val="24"/>
              </w:rPr>
            </w:pPr>
            <w:r w:rsidRPr="00D948C1">
              <w:rPr>
                <w:color w:val="FFFFFF" w:themeColor="background1"/>
                <w:szCs w:val="24"/>
              </w:rPr>
              <w:t>Net chargeable to the General Fund</w:t>
            </w:r>
          </w:p>
          <w:p w14:paraId="543A4E2E" w14:textId="7AA4342F" w:rsidR="00AE0F22" w:rsidRPr="00D948C1" w:rsidRDefault="00AE0F22" w:rsidP="00611673">
            <w:pPr>
              <w:jc w:val="right"/>
              <w:rPr>
                <w:color w:val="FFFFFF" w:themeColor="background1"/>
                <w:szCs w:val="24"/>
              </w:rPr>
            </w:pPr>
            <w:r w:rsidRPr="00D948C1">
              <w:rPr>
                <w:color w:val="FFFFFF" w:themeColor="background1"/>
                <w:szCs w:val="24"/>
              </w:rPr>
              <w:t>£000</w:t>
            </w:r>
          </w:p>
        </w:tc>
        <w:tc>
          <w:tcPr>
            <w:tcW w:w="2551" w:type="dxa"/>
            <w:tcBorders>
              <w:top w:val="single" w:sz="4" w:space="0" w:color="auto"/>
              <w:left w:val="single" w:sz="4" w:space="0" w:color="auto"/>
              <w:bottom w:val="single" w:sz="4" w:space="0" w:color="auto"/>
              <w:right w:val="single" w:sz="4" w:space="0" w:color="auto"/>
            </w:tcBorders>
            <w:shd w:val="clear" w:color="auto" w:fill="BD2716"/>
            <w:vAlign w:val="center"/>
          </w:tcPr>
          <w:p w14:paraId="3BDC6DEB" w14:textId="77777777" w:rsidR="00E16D4F" w:rsidRPr="00D948C1" w:rsidRDefault="00E16D4F" w:rsidP="00611673">
            <w:pPr>
              <w:jc w:val="right"/>
              <w:rPr>
                <w:color w:val="FFFFFF" w:themeColor="background1"/>
                <w:szCs w:val="24"/>
              </w:rPr>
            </w:pPr>
            <w:r w:rsidRPr="00D948C1">
              <w:rPr>
                <w:color w:val="FFFFFF" w:themeColor="background1"/>
                <w:szCs w:val="24"/>
              </w:rPr>
              <w:t>Adjustments between the Funding and Accounting basis (Note 1a)</w:t>
            </w:r>
          </w:p>
          <w:p w14:paraId="5BD6100E" w14:textId="359E954F" w:rsidR="00AE0F22" w:rsidRPr="00D948C1" w:rsidRDefault="00AE0F22" w:rsidP="00611673">
            <w:pPr>
              <w:jc w:val="right"/>
              <w:rPr>
                <w:color w:val="FFFFFF" w:themeColor="background1"/>
                <w:szCs w:val="24"/>
              </w:rPr>
            </w:pPr>
            <w:r w:rsidRPr="00D948C1">
              <w:rPr>
                <w:color w:val="FFFFFF" w:themeColor="background1"/>
                <w:szCs w:val="24"/>
              </w:rPr>
              <w:t>£000</w:t>
            </w:r>
          </w:p>
        </w:tc>
        <w:tc>
          <w:tcPr>
            <w:tcW w:w="2727" w:type="dxa"/>
            <w:tcBorders>
              <w:top w:val="single" w:sz="4" w:space="0" w:color="auto"/>
              <w:left w:val="single" w:sz="4" w:space="0" w:color="auto"/>
              <w:bottom w:val="single" w:sz="4" w:space="0" w:color="auto"/>
              <w:right w:val="single" w:sz="4" w:space="0" w:color="auto"/>
            </w:tcBorders>
            <w:shd w:val="clear" w:color="auto" w:fill="BD2716"/>
            <w:vAlign w:val="center"/>
          </w:tcPr>
          <w:p w14:paraId="765E658F" w14:textId="77777777" w:rsidR="00E16D4F" w:rsidRPr="00D948C1" w:rsidRDefault="00E16D4F" w:rsidP="00611673">
            <w:pPr>
              <w:jc w:val="right"/>
              <w:rPr>
                <w:color w:val="FFFFFF" w:themeColor="background1"/>
                <w:szCs w:val="24"/>
              </w:rPr>
            </w:pPr>
            <w:r w:rsidRPr="00D948C1">
              <w:rPr>
                <w:color w:val="FFFFFF" w:themeColor="background1"/>
                <w:szCs w:val="24"/>
              </w:rPr>
              <w:t>Net Expenditure in the Comprehensive Income and Expenditure Statement</w:t>
            </w:r>
          </w:p>
          <w:p w14:paraId="3E32BEA8" w14:textId="5FDA566A" w:rsidR="00AE0F22" w:rsidRPr="00D948C1" w:rsidRDefault="00AE0F22" w:rsidP="00611673">
            <w:pPr>
              <w:jc w:val="right"/>
              <w:rPr>
                <w:color w:val="FFFFFF" w:themeColor="background1"/>
                <w:szCs w:val="24"/>
              </w:rPr>
            </w:pPr>
            <w:r w:rsidRPr="00D948C1">
              <w:rPr>
                <w:color w:val="FFFFFF" w:themeColor="background1"/>
                <w:szCs w:val="24"/>
              </w:rPr>
              <w:t>£000</w:t>
            </w:r>
          </w:p>
        </w:tc>
      </w:tr>
      <w:tr w:rsidR="007742EF" w:rsidRPr="00D948C1" w14:paraId="4164065D" w14:textId="77777777" w:rsidTr="00233A66">
        <w:tc>
          <w:tcPr>
            <w:tcW w:w="3641" w:type="dxa"/>
            <w:tcBorders>
              <w:top w:val="single" w:sz="4" w:space="0" w:color="auto"/>
              <w:left w:val="single" w:sz="4" w:space="0" w:color="auto"/>
              <w:bottom w:val="single" w:sz="4" w:space="0" w:color="auto"/>
              <w:right w:val="single" w:sz="4" w:space="0" w:color="auto"/>
            </w:tcBorders>
          </w:tcPr>
          <w:p w14:paraId="0BA2B34E" w14:textId="450739CE" w:rsidR="007742EF" w:rsidRPr="00D948C1" w:rsidRDefault="007742EF" w:rsidP="007742EF">
            <w:pPr>
              <w:rPr>
                <w:szCs w:val="24"/>
              </w:rPr>
            </w:pPr>
            <w:r w:rsidRPr="00D948C1">
              <w:rPr>
                <w:szCs w:val="24"/>
              </w:rPr>
              <w:t>Service Delivery</w:t>
            </w:r>
          </w:p>
        </w:tc>
        <w:tc>
          <w:tcPr>
            <w:tcW w:w="1735" w:type="dxa"/>
            <w:tcBorders>
              <w:top w:val="single" w:sz="4" w:space="0" w:color="auto"/>
              <w:left w:val="single" w:sz="4" w:space="0" w:color="auto"/>
              <w:bottom w:val="single" w:sz="4" w:space="0" w:color="auto"/>
              <w:right w:val="single" w:sz="4" w:space="0" w:color="auto"/>
            </w:tcBorders>
            <w:vAlign w:val="center"/>
          </w:tcPr>
          <w:p w14:paraId="7BC563C4" w14:textId="46539019" w:rsidR="007742EF" w:rsidRPr="00FB606A" w:rsidRDefault="007742EF" w:rsidP="007742EF">
            <w:pPr>
              <w:jc w:val="right"/>
              <w:rPr>
                <w:rFonts w:cs="Arial"/>
                <w:szCs w:val="24"/>
              </w:rPr>
            </w:pPr>
            <w:r w:rsidRPr="00FB606A">
              <w:rPr>
                <w:rFonts w:cs="Arial"/>
                <w:szCs w:val="24"/>
              </w:rPr>
              <w:t>43,207</w:t>
            </w:r>
          </w:p>
        </w:tc>
        <w:tc>
          <w:tcPr>
            <w:tcW w:w="2376" w:type="dxa"/>
            <w:tcBorders>
              <w:top w:val="single" w:sz="4" w:space="0" w:color="auto"/>
              <w:left w:val="single" w:sz="4" w:space="0" w:color="auto"/>
              <w:bottom w:val="single" w:sz="4" w:space="0" w:color="auto"/>
              <w:right w:val="single" w:sz="4" w:space="0" w:color="auto"/>
            </w:tcBorders>
            <w:vAlign w:val="center"/>
          </w:tcPr>
          <w:p w14:paraId="5E914B64" w14:textId="4C4B555D" w:rsidR="007742EF" w:rsidRPr="00FB606A" w:rsidRDefault="00145D6A" w:rsidP="007742EF">
            <w:pPr>
              <w:jc w:val="right"/>
              <w:rPr>
                <w:rFonts w:cs="Arial"/>
                <w:szCs w:val="24"/>
              </w:rPr>
            </w:pPr>
            <w:r>
              <w:rPr>
                <w:rFonts w:cs="Arial"/>
                <w:szCs w:val="24"/>
              </w:rPr>
              <w:t>137</w:t>
            </w:r>
          </w:p>
        </w:tc>
        <w:tc>
          <w:tcPr>
            <w:tcW w:w="1701" w:type="dxa"/>
            <w:tcBorders>
              <w:top w:val="single" w:sz="4" w:space="0" w:color="auto"/>
              <w:left w:val="single" w:sz="4" w:space="0" w:color="auto"/>
              <w:bottom w:val="single" w:sz="4" w:space="0" w:color="auto"/>
              <w:right w:val="single" w:sz="4" w:space="0" w:color="auto"/>
            </w:tcBorders>
            <w:vAlign w:val="center"/>
          </w:tcPr>
          <w:p w14:paraId="07061878" w14:textId="7D870A61" w:rsidR="007742EF" w:rsidRPr="00FB606A" w:rsidRDefault="007742EF" w:rsidP="007742EF">
            <w:pPr>
              <w:jc w:val="right"/>
              <w:rPr>
                <w:rFonts w:cs="Arial"/>
                <w:szCs w:val="24"/>
              </w:rPr>
            </w:pPr>
            <w:r w:rsidRPr="00FB606A">
              <w:rPr>
                <w:rFonts w:cs="Arial"/>
                <w:szCs w:val="24"/>
              </w:rPr>
              <w:t>43,</w:t>
            </w:r>
            <w:r w:rsidR="000B78AD">
              <w:rPr>
                <w:rFonts w:cs="Arial"/>
                <w:szCs w:val="24"/>
              </w:rPr>
              <w:t>344</w:t>
            </w:r>
          </w:p>
        </w:tc>
        <w:tc>
          <w:tcPr>
            <w:tcW w:w="2551" w:type="dxa"/>
            <w:tcBorders>
              <w:top w:val="single" w:sz="4" w:space="0" w:color="auto"/>
              <w:left w:val="single" w:sz="4" w:space="0" w:color="auto"/>
              <w:bottom w:val="single" w:sz="4" w:space="0" w:color="auto"/>
              <w:right w:val="single" w:sz="4" w:space="0" w:color="auto"/>
            </w:tcBorders>
            <w:vAlign w:val="center"/>
          </w:tcPr>
          <w:p w14:paraId="0FE55E9B" w14:textId="05702111" w:rsidR="007742EF" w:rsidRPr="00FB606A" w:rsidRDefault="007742EF" w:rsidP="007742EF">
            <w:pPr>
              <w:jc w:val="right"/>
              <w:rPr>
                <w:rFonts w:cs="Arial"/>
                <w:szCs w:val="24"/>
              </w:rPr>
            </w:pPr>
            <w:r w:rsidRPr="00FB606A">
              <w:rPr>
                <w:rFonts w:cs="Arial"/>
                <w:szCs w:val="24"/>
              </w:rPr>
              <w:t>(22,</w:t>
            </w:r>
            <w:r w:rsidR="00F00A14">
              <w:rPr>
                <w:rFonts w:cs="Arial"/>
                <w:szCs w:val="24"/>
              </w:rPr>
              <w:t>351</w:t>
            </w:r>
            <w:r w:rsidRPr="00FB606A">
              <w:rPr>
                <w:rFonts w:cs="Arial"/>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6D6B1DD3" w14:textId="015F8A57" w:rsidR="007742EF" w:rsidRPr="00FB606A" w:rsidRDefault="007742EF" w:rsidP="007742EF">
            <w:pPr>
              <w:jc w:val="right"/>
              <w:rPr>
                <w:rFonts w:cs="Arial"/>
                <w:szCs w:val="24"/>
              </w:rPr>
            </w:pPr>
            <w:r w:rsidRPr="00FB606A">
              <w:rPr>
                <w:rFonts w:cs="Arial"/>
                <w:szCs w:val="24"/>
              </w:rPr>
              <w:t>20,993</w:t>
            </w:r>
          </w:p>
        </w:tc>
      </w:tr>
      <w:tr w:rsidR="007742EF" w:rsidRPr="00D948C1" w14:paraId="0F9516BF" w14:textId="77777777" w:rsidTr="00233A66">
        <w:tc>
          <w:tcPr>
            <w:tcW w:w="3641" w:type="dxa"/>
            <w:tcBorders>
              <w:top w:val="single" w:sz="4" w:space="0" w:color="auto"/>
              <w:left w:val="single" w:sz="4" w:space="0" w:color="auto"/>
              <w:bottom w:val="single" w:sz="4" w:space="0" w:color="auto"/>
              <w:right w:val="single" w:sz="4" w:space="0" w:color="auto"/>
            </w:tcBorders>
          </w:tcPr>
          <w:p w14:paraId="3554E80A" w14:textId="6195A40E" w:rsidR="007742EF" w:rsidRPr="00D948C1" w:rsidRDefault="007742EF" w:rsidP="007742EF">
            <w:pPr>
              <w:rPr>
                <w:szCs w:val="24"/>
              </w:rPr>
            </w:pPr>
            <w:r w:rsidRPr="00D948C1">
              <w:rPr>
                <w:szCs w:val="24"/>
              </w:rPr>
              <w:t>Strategy and Planning</w:t>
            </w:r>
          </w:p>
        </w:tc>
        <w:tc>
          <w:tcPr>
            <w:tcW w:w="1735" w:type="dxa"/>
            <w:tcBorders>
              <w:top w:val="single" w:sz="4" w:space="0" w:color="auto"/>
              <w:left w:val="single" w:sz="4" w:space="0" w:color="auto"/>
              <w:bottom w:val="single" w:sz="4" w:space="0" w:color="auto"/>
              <w:right w:val="single" w:sz="4" w:space="0" w:color="auto"/>
            </w:tcBorders>
            <w:vAlign w:val="center"/>
          </w:tcPr>
          <w:p w14:paraId="1556A1B3" w14:textId="3DD08D22" w:rsidR="007742EF" w:rsidRPr="00FB606A" w:rsidRDefault="007742EF" w:rsidP="007742EF">
            <w:pPr>
              <w:jc w:val="right"/>
              <w:rPr>
                <w:rFonts w:cs="Arial"/>
                <w:szCs w:val="24"/>
              </w:rPr>
            </w:pPr>
            <w:r w:rsidRPr="00FB606A">
              <w:rPr>
                <w:rFonts w:cs="Arial"/>
                <w:szCs w:val="24"/>
              </w:rPr>
              <w:t>13,810</w:t>
            </w:r>
          </w:p>
        </w:tc>
        <w:tc>
          <w:tcPr>
            <w:tcW w:w="2376" w:type="dxa"/>
            <w:tcBorders>
              <w:top w:val="single" w:sz="4" w:space="0" w:color="auto"/>
              <w:left w:val="single" w:sz="4" w:space="0" w:color="auto"/>
              <w:bottom w:val="single" w:sz="4" w:space="0" w:color="auto"/>
              <w:right w:val="single" w:sz="4" w:space="0" w:color="auto"/>
            </w:tcBorders>
            <w:vAlign w:val="center"/>
          </w:tcPr>
          <w:p w14:paraId="3786103E" w14:textId="602C8E74" w:rsidR="007742EF" w:rsidRPr="00FB606A" w:rsidRDefault="00145D6A" w:rsidP="007742EF">
            <w:pPr>
              <w:jc w:val="right"/>
              <w:rPr>
                <w:rFonts w:cs="Arial"/>
                <w:szCs w:val="24"/>
              </w:rPr>
            </w:pPr>
            <w:r>
              <w:rPr>
                <w:rFonts w:cs="Arial"/>
                <w:szCs w:val="24"/>
              </w:rPr>
              <w:t>235</w:t>
            </w:r>
          </w:p>
        </w:tc>
        <w:tc>
          <w:tcPr>
            <w:tcW w:w="1701" w:type="dxa"/>
            <w:tcBorders>
              <w:top w:val="single" w:sz="4" w:space="0" w:color="auto"/>
              <w:left w:val="single" w:sz="4" w:space="0" w:color="auto"/>
              <w:bottom w:val="single" w:sz="4" w:space="0" w:color="auto"/>
              <w:right w:val="single" w:sz="4" w:space="0" w:color="auto"/>
            </w:tcBorders>
            <w:vAlign w:val="center"/>
          </w:tcPr>
          <w:p w14:paraId="2D29E78D" w14:textId="09C511D5" w:rsidR="007742EF" w:rsidRPr="00FB606A" w:rsidRDefault="007742EF" w:rsidP="007742EF">
            <w:pPr>
              <w:jc w:val="right"/>
              <w:rPr>
                <w:rFonts w:cs="Arial"/>
                <w:szCs w:val="24"/>
              </w:rPr>
            </w:pPr>
            <w:r w:rsidRPr="00FB606A">
              <w:rPr>
                <w:rFonts w:cs="Arial"/>
                <w:szCs w:val="24"/>
              </w:rPr>
              <w:t>1</w:t>
            </w:r>
            <w:r w:rsidR="00972A73">
              <w:rPr>
                <w:rFonts w:cs="Arial"/>
                <w:szCs w:val="24"/>
              </w:rPr>
              <w:t>4</w:t>
            </w:r>
            <w:r w:rsidRPr="00FB606A">
              <w:rPr>
                <w:rFonts w:cs="Arial"/>
                <w:szCs w:val="24"/>
              </w:rPr>
              <w:t>,</w:t>
            </w:r>
            <w:r w:rsidR="00972A73">
              <w:rPr>
                <w:rFonts w:cs="Arial"/>
                <w:szCs w:val="24"/>
              </w:rPr>
              <w:t>045</w:t>
            </w:r>
          </w:p>
        </w:tc>
        <w:tc>
          <w:tcPr>
            <w:tcW w:w="2551" w:type="dxa"/>
            <w:tcBorders>
              <w:top w:val="single" w:sz="4" w:space="0" w:color="auto"/>
              <w:left w:val="single" w:sz="4" w:space="0" w:color="auto"/>
              <w:bottom w:val="single" w:sz="4" w:space="0" w:color="auto"/>
              <w:right w:val="single" w:sz="4" w:space="0" w:color="auto"/>
            </w:tcBorders>
            <w:vAlign w:val="center"/>
          </w:tcPr>
          <w:p w14:paraId="3BA4DB93" w14:textId="26F31061" w:rsidR="007742EF" w:rsidRPr="00FB606A" w:rsidRDefault="007742EF" w:rsidP="007742EF">
            <w:pPr>
              <w:jc w:val="right"/>
              <w:rPr>
                <w:rFonts w:cs="Arial"/>
                <w:szCs w:val="24"/>
              </w:rPr>
            </w:pPr>
            <w:r w:rsidRPr="00FB606A">
              <w:rPr>
                <w:rFonts w:cs="Arial"/>
                <w:szCs w:val="24"/>
              </w:rPr>
              <w:t>(1,</w:t>
            </w:r>
            <w:r w:rsidR="002353AD">
              <w:rPr>
                <w:rFonts w:cs="Arial"/>
                <w:szCs w:val="24"/>
              </w:rPr>
              <w:t>978</w:t>
            </w:r>
            <w:r w:rsidRPr="00FB606A">
              <w:rPr>
                <w:rFonts w:cs="Arial"/>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3E885797" w14:textId="59850CFB" w:rsidR="007742EF" w:rsidRPr="00FB606A" w:rsidRDefault="007742EF" w:rsidP="007742EF">
            <w:pPr>
              <w:jc w:val="right"/>
              <w:rPr>
                <w:rFonts w:cs="Arial"/>
                <w:szCs w:val="24"/>
              </w:rPr>
            </w:pPr>
            <w:r w:rsidRPr="00FB606A">
              <w:rPr>
                <w:rFonts w:cs="Arial"/>
                <w:szCs w:val="24"/>
              </w:rPr>
              <w:t>12,066</w:t>
            </w:r>
          </w:p>
        </w:tc>
      </w:tr>
      <w:tr w:rsidR="007742EF" w:rsidRPr="00D948C1" w14:paraId="18B857EF" w14:textId="77777777" w:rsidTr="00233A66">
        <w:tc>
          <w:tcPr>
            <w:tcW w:w="3641" w:type="dxa"/>
            <w:tcBorders>
              <w:top w:val="single" w:sz="4" w:space="0" w:color="auto"/>
              <w:left w:val="single" w:sz="4" w:space="0" w:color="auto"/>
              <w:bottom w:val="single" w:sz="4" w:space="0" w:color="auto"/>
              <w:right w:val="single" w:sz="4" w:space="0" w:color="auto"/>
            </w:tcBorders>
          </w:tcPr>
          <w:p w14:paraId="65965D86" w14:textId="6FFFF079" w:rsidR="007742EF" w:rsidRPr="00D948C1" w:rsidRDefault="007742EF" w:rsidP="007742EF">
            <w:pPr>
              <w:rPr>
                <w:szCs w:val="24"/>
              </w:rPr>
            </w:pPr>
            <w:r w:rsidRPr="00D948C1">
              <w:rPr>
                <w:szCs w:val="24"/>
              </w:rPr>
              <w:t>People and Development</w:t>
            </w:r>
          </w:p>
        </w:tc>
        <w:tc>
          <w:tcPr>
            <w:tcW w:w="1735" w:type="dxa"/>
            <w:tcBorders>
              <w:top w:val="single" w:sz="4" w:space="0" w:color="auto"/>
              <w:left w:val="single" w:sz="4" w:space="0" w:color="auto"/>
              <w:bottom w:val="single" w:sz="4" w:space="0" w:color="auto"/>
              <w:right w:val="single" w:sz="4" w:space="0" w:color="auto"/>
            </w:tcBorders>
            <w:vAlign w:val="center"/>
          </w:tcPr>
          <w:p w14:paraId="548ECA1A" w14:textId="4E908625" w:rsidR="007742EF" w:rsidRPr="00FB606A" w:rsidRDefault="007742EF" w:rsidP="007742EF">
            <w:pPr>
              <w:jc w:val="right"/>
              <w:rPr>
                <w:rFonts w:cs="Arial"/>
                <w:szCs w:val="24"/>
              </w:rPr>
            </w:pPr>
            <w:r w:rsidRPr="00FB606A">
              <w:rPr>
                <w:rFonts w:cs="Arial"/>
                <w:szCs w:val="24"/>
              </w:rPr>
              <w:t>1,939</w:t>
            </w:r>
          </w:p>
        </w:tc>
        <w:tc>
          <w:tcPr>
            <w:tcW w:w="2376" w:type="dxa"/>
            <w:tcBorders>
              <w:top w:val="single" w:sz="4" w:space="0" w:color="auto"/>
              <w:left w:val="single" w:sz="4" w:space="0" w:color="auto"/>
              <w:bottom w:val="single" w:sz="4" w:space="0" w:color="auto"/>
              <w:right w:val="single" w:sz="4" w:space="0" w:color="auto"/>
            </w:tcBorders>
            <w:vAlign w:val="center"/>
          </w:tcPr>
          <w:p w14:paraId="04EC1AEB" w14:textId="6B5FDA9C" w:rsidR="007742EF" w:rsidRPr="00FB606A" w:rsidRDefault="007742EF" w:rsidP="007742EF">
            <w:pPr>
              <w:jc w:val="right"/>
              <w:rPr>
                <w:rFonts w:cs="Arial"/>
                <w:szCs w:val="24"/>
              </w:rPr>
            </w:pPr>
            <w:r w:rsidRPr="00FB606A">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0D16A2E" w14:textId="38093227" w:rsidR="007742EF" w:rsidRPr="00FB606A" w:rsidRDefault="007742EF" w:rsidP="007742EF">
            <w:pPr>
              <w:jc w:val="right"/>
              <w:rPr>
                <w:rFonts w:cs="Arial"/>
                <w:szCs w:val="24"/>
              </w:rPr>
            </w:pPr>
            <w:r w:rsidRPr="00FB606A">
              <w:rPr>
                <w:rFonts w:cs="Arial"/>
                <w:szCs w:val="24"/>
              </w:rPr>
              <w:t>1,939</w:t>
            </w:r>
          </w:p>
        </w:tc>
        <w:tc>
          <w:tcPr>
            <w:tcW w:w="2551" w:type="dxa"/>
            <w:tcBorders>
              <w:top w:val="single" w:sz="4" w:space="0" w:color="auto"/>
              <w:left w:val="single" w:sz="4" w:space="0" w:color="auto"/>
              <w:bottom w:val="single" w:sz="4" w:space="0" w:color="auto"/>
              <w:right w:val="single" w:sz="4" w:space="0" w:color="auto"/>
            </w:tcBorders>
            <w:vAlign w:val="center"/>
          </w:tcPr>
          <w:p w14:paraId="2CE36B7C" w14:textId="62482830" w:rsidR="007742EF" w:rsidRPr="00FB606A" w:rsidRDefault="007742EF" w:rsidP="007742EF">
            <w:pPr>
              <w:jc w:val="right"/>
              <w:rPr>
                <w:rFonts w:cs="Arial"/>
                <w:szCs w:val="24"/>
              </w:rPr>
            </w:pPr>
            <w:r w:rsidRPr="00FB606A">
              <w:rPr>
                <w:rFonts w:cs="Arial"/>
                <w:szCs w:val="24"/>
              </w:rPr>
              <w:t xml:space="preserve">142 </w:t>
            </w:r>
          </w:p>
        </w:tc>
        <w:tc>
          <w:tcPr>
            <w:tcW w:w="2727" w:type="dxa"/>
            <w:tcBorders>
              <w:top w:val="single" w:sz="4" w:space="0" w:color="auto"/>
              <w:left w:val="single" w:sz="4" w:space="0" w:color="auto"/>
              <w:bottom w:val="single" w:sz="4" w:space="0" w:color="auto"/>
              <w:right w:val="single" w:sz="4" w:space="0" w:color="auto"/>
            </w:tcBorders>
            <w:vAlign w:val="center"/>
          </w:tcPr>
          <w:p w14:paraId="2B9F48CB" w14:textId="72A7101B" w:rsidR="007742EF" w:rsidRPr="00FB606A" w:rsidRDefault="007742EF" w:rsidP="007742EF">
            <w:pPr>
              <w:jc w:val="right"/>
              <w:rPr>
                <w:rFonts w:cs="Arial"/>
                <w:szCs w:val="24"/>
              </w:rPr>
            </w:pPr>
            <w:r w:rsidRPr="00FB606A">
              <w:rPr>
                <w:rFonts w:cs="Arial"/>
                <w:szCs w:val="24"/>
              </w:rPr>
              <w:t>2,081</w:t>
            </w:r>
          </w:p>
        </w:tc>
      </w:tr>
      <w:tr w:rsidR="007742EF" w:rsidRPr="00D948C1" w14:paraId="5F303DEF" w14:textId="77777777" w:rsidTr="00233A66">
        <w:tc>
          <w:tcPr>
            <w:tcW w:w="3641" w:type="dxa"/>
            <w:tcBorders>
              <w:top w:val="single" w:sz="4" w:space="0" w:color="auto"/>
              <w:left w:val="single" w:sz="4" w:space="0" w:color="auto"/>
              <w:bottom w:val="single" w:sz="4" w:space="0" w:color="auto"/>
              <w:right w:val="single" w:sz="4" w:space="0" w:color="auto"/>
            </w:tcBorders>
          </w:tcPr>
          <w:p w14:paraId="73122A89" w14:textId="37DE7A9B" w:rsidR="007742EF" w:rsidRPr="00D948C1" w:rsidRDefault="007742EF" w:rsidP="007742EF">
            <w:pPr>
              <w:rPr>
                <w:szCs w:val="24"/>
              </w:rPr>
            </w:pPr>
            <w:r w:rsidRPr="00D948C1">
              <w:rPr>
                <w:szCs w:val="24"/>
              </w:rPr>
              <w:t>Corporate Services</w:t>
            </w:r>
          </w:p>
        </w:tc>
        <w:tc>
          <w:tcPr>
            <w:tcW w:w="1735" w:type="dxa"/>
            <w:tcBorders>
              <w:top w:val="single" w:sz="4" w:space="0" w:color="auto"/>
              <w:left w:val="single" w:sz="4" w:space="0" w:color="auto"/>
              <w:bottom w:val="single" w:sz="4" w:space="0" w:color="auto"/>
              <w:right w:val="single" w:sz="4" w:space="0" w:color="auto"/>
            </w:tcBorders>
            <w:vAlign w:val="center"/>
          </w:tcPr>
          <w:p w14:paraId="1AF6CB40" w14:textId="087BFF36" w:rsidR="007742EF" w:rsidRPr="00FB606A" w:rsidRDefault="007742EF" w:rsidP="007742EF">
            <w:pPr>
              <w:jc w:val="right"/>
              <w:rPr>
                <w:rFonts w:cs="Arial"/>
                <w:szCs w:val="24"/>
              </w:rPr>
            </w:pPr>
            <w:r w:rsidRPr="00FB606A">
              <w:rPr>
                <w:rFonts w:cs="Arial"/>
                <w:szCs w:val="24"/>
              </w:rPr>
              <w:t>6,678</w:t>
            </w:r>
          </w:p>
        </w:tc>
        <w:tc>
          <w:tcPr>
            <w:tcW w:w="2376" w:type="dxa"/>
            <w:tcBorders>
              <w:top w:val="single" w:sz="4" w:space="0" w:color="auto"/>
              <w:left w:val="single" w:sz="4" w:space="0" w:color="auto"/>
              <w:bottom w:val="single" w:sz="4" w:space="0" w:color="auto"/>
              <w:right w:val="single" w:sz="4" w:space="0" w:color="auto"/>
            </w:tcBorders>
            <w:vAlign w:val="center"/>
          </w:tcPr>
          <w:p w14:paraId="08E004EF" w14:textId="53DF78C7" w:rsidR="007742EF" w:rsidRPr="00FB606A" w:rsidRDefault="00145D6A" w:rsidP="007742EF">
            <w:pPr>
              <w:jc w:val="right"/>
              <w:rPr>
                <w:rFonts w:cs="Arial"/>
                <w:szCs w:val="24"/>
              </w:rPr>
            </w:pPr>
            <w:r>
              <w:rPr>
                <w:rFonts w:cs="Arial"/>
                <w:szCs w:val="24"/>
              </w:rPr>
              <w:t>(268)</w:t>
            </w:r>
          </w:p>
        </w:tc>
        <w:tc>
          <w:tcPr>
            <w:tcW w:w="1701" w:type="dxa"/>
            <w:tcBorders>
              <w:top w:val="single" w:sz="4" w:space="0" w:color="auto"/>
              <w:left w:val="single" w:sz="4" w:space="0" w:color="auto"/>
              <w:bottom w:val="single" w:sz="4" w:space="0" w:color="auto"/>
              <w:right w:val="single" w:sz="4" w:space="0" w:color="auto"/>
            </w:tcBorders>
            <w:vAlign w:val="center"/>
          </w:tcPr>
          <w:p w14:paraId="1529FE86" w14:textId="3802E55B" w:rsidR="007742EF" w:rsidRPr="00FB606A" w:rsidRDefault="007742EF" w:rsidP="007742EF">
            <w:pPr>
              <w:jc w:val="right"/>
              <w:rPr>
                <w:rFonts w:cs="Arial"/>
                <w:szCs w:val="24"/>
              </w:rPr>
            </w:pPr>
            <w:r w:rsidRPr="00FB606A">
              <w:rPr>
                <w:rFonts w:cs="Arial"/>
                <w:szCs w:val="24"/>
              </w:rPr>
              <w:t>6,</w:t>
            </w:r>
            <w:r w:rsidR="00972A73">
              <w:rPr>
                <w:rFonts w:cs="Arial"/>
                <w:szCs w:val="24"/>
              </w:rPr>
              <w:t>410</w:t>
            </w:r>
          </w:p>
        </w:tc>
        <w:tc>
          <w:tcPr>
            <w:tcW w:w="2551" w:type="dxa"/>
            <w:tcBorders>
              <w:top w:val="single" w:sz="4" w:space="0" w:color="auto"/>
              <w:left w:val="single" w:sz="4" w:space="0" w:color="auto"/>
              <w:bottom w:val="single" w:sz="4" w:space="0" w:color="auto"/>
              <w:right w:val="single" w:sz="4" w:space="0" w:color="auto"/>
            </w:tcBorders>
            <w:vAlign w:val="center"/>
          </w:tcPr>
          <w:p w14:paraId="071608EA" w14:textId="6B9522CE" w:rsidR="007742EF" w:rsidRPr="00FB606A" w:rsidRDefault="007742EF" w:rsidP="007742EF">
            <w:pPr>
              <w:jc w:val="right"/>
              <w:rPr>
                <w:rFonts w:cs="Arial"/>
                <w:szCs w:val="24"/>
              </w:rPr>
            </w:pPr>
            <w:r w:rsidRPr="00FB606A">
              <w:rPr>
                <w:rFonts w:cs="Arial"/>
                <w:szCs w:val="24"/>
              </w:rPr>
              <w:t>(</w:t>
            </w:r>
            <w:r w:rsidR="009D082D">
              <w:rPr>
                <w:rFonts w:cs="Arial"/>
                <w:szCs w:val="24"/>
              </w:rPr>
              <w:t>223</w:t>
            </w:r>
            <w:r w:rsidRPr="00FB606A">
              <w:rPr>
                <w:rFonts w:cs="Arial"/>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7360AF41" w14:textId="4286C1E8" w:rsidR="007742EF" w:rsidRPr="00FB606A" w:rsidRDefault="007742EF" w:rsidP="007742EF">
            <w:pPr>
              <w:jc w:val="right"/>
              <w:rPr>
                <w:rFonts w:cs="Arial"/>
                <w:szCs w:val="24"/>
              </w:rPr>
            </w:pPr>
            <w:r w:rsidRPr="00FB606A">
              <w:rPr>
                <w:rFonts w:cs="Arial"/>
                <w:szCs w:val="24"/>
              </w:rPr>
              <w:t>6,187</w:t>
            </w:r>
          </w:p>
        </w:tc>
      </w:tr>
      <w:tr w:rsidR="007742EF" w:rsidRPr="00D948C1" w14:paraId="0AFDD516" w14:textId="77777777" w:rsidTr="00233A66">
        <w:tc>
          <w:tcPr>
            <w:tcW w:w="3641" w:type="dxa"/>
            <w:tcBorders>
              <w:top w:val="single" w:sz="4" w:space="0" w:color="auto"/>
              <w:left w:val="single" w:sz="4" w:space="0" w:color="auto"/>
              <w:bottom w:val="single" w:sz="4" w:space="0" w:color="auto"/>
              <w:right w:val="single" w:sz="4" w:space="0" w:color="auto"/>
            </w:tcBorders>
          </w:tcPr>
          <w:p w14:paraId="58C4D443" w14:textId="533FF155" w:rsidR="007742EF" w:rsidRPr="00D948C1" w:rsidRDefault="007742EF" w:rsidP="007742EF">
            <w:pPr>
              <w:rPr>
                <w:szCs w:val="24"/>
              </w:rPr>
            </w:pPr>
            <w:r w:rsidRPr="00D948C1">
              <w:rPr>
                <w:szCs w:val="24"/>
              </w:rPr>
              <w:t>Firefighters Pensions</w:t>
            </w:r>
          </w:p>
        </w:tc>
        <w:tc>
          <w:tcPr>
            <w:tcW w:w="1735" w:type="dxa"/>
            <w:tcBorders>
              <w:top w:val="single" w:sz="4" w:space="0" w:color="auto"/>
              <w:left w:val="single" w:sz="4" w:space="0" w:color="auto"/>
              <w:bottom w:val="single" w:sz="4" w:space="0" w:color="auto"/>
              <w:right w:val="single" w:sz="4" w:space="0" w:color="auto"/>
            </w:tcBorders>
            <w:vAlign w:val="center"/>
          </w:tcPr>
          <w:p w14:paraId="120FF166" w14:textId="7D41A1AE" w:rsidR="007742EF" w:rsidRPr="00FB606A" w:rsidRDefault="007742EF" w:rsidP="007742EF">
            <w:pPr>
              <w:jc w:val="right"/>
              <w:rPr>
                <w:rFonts w:cs="Arial"/>
                <w:szCs w:val="24"/>
              </w:rPr>
            </w:pPr>
            <w:r w:rsidRPr="00FB606A">
              <w:rPr>
                <w:rFonts w:cs="Arial"/>
                <w:szCs w:val="24"/>
              </w:rPr>
              <w:t>1,271</w:t>
            </w:r>
          </w:p>
        </w:tc>
        <w:tc>
          <w:tcPr>
            <w:tcW w:w="2376" w:type="dxa"/>
            <w:tcBorders>
              <w:top w:val="single" w:sz="4" w:space="0" w:color="auto"/>
              <w:left w:val="single" w:sz="4" w:space="0" w:color="auto"/>
              <w:bottom w:val="single" w:sz="4" w:space="0" w:color="auto"/>
              <w:right w:val="single" w:sz="4" w:space="0" w:color="auto"/>
            </w:tcBorders>
            <w:vAlign w:val="center"/>
          </w:tcPr>
          <w:p w14:paraId="08AC8E7B" w14:textId="75FFB5F4" w:rsidR="007742EF" w:rsidRPr="00FB606A" w:rsidRDefault="007742EF" w:rsidP="007742EF">
            <w:pPr>
              <w:jc w:val="right"/>
              <w:rPr>
                <w:rFonts w:cs="Arial"/>
                <w:szCs w:val="24"/>
              </w:rPr>
            </w:pPr>
            <w:r w:rsidRPr="00FB606A">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EE2AF8B" w14:textId="268D9AD9" w:rsidR="007742EF" w:rsidRPr="00FB606A" w:rsidRDefault="007742EF" w:rsidP="007742EF">
            <w:pPr>
              <w:jc w:val="right"/>
              <w:rPr>
                <w:rFonts w:cs="Arial"/>
                <w:szCs w:val="24"/>
              </w:rPr>
            </w:pPr>
            <w:r w:rsidRPr="00FB606A">
              <w:rPr>
                <w:rFonts w:cs="Arial"/>
                <w:szCs w:val="24"/>
              </w:rPr>
              <w:t>1,271</w:t>
            </w:r>
          </w:p>
        </w:tc>
        <w:tc>
          <w:tcPr>
            <w:tcW w:w="2551" w:type="dxa"/>
            <w:tcBorders>
              <w:top w:val="single" w:sz="4" w:space="0" w:color="auto"/>
              <w:left w:val="single" w:sz="4" w:space="0" w:color="auto"/>
              <w:bottom w:val="single" w:sz="4" w:space="0" w:color="auto"/>
              <w:right w:val="single" w:sz="4" w:space="0" w:color="auto"/>
            </w:tcBorders>
            <w:vAlign w:val="center"/>
          </w:tcPr>
          <w:p w14:paraId="39753D71" w14:textId="48F4C8B9" w:rsidR="007742EF" w:rsidRPr="00FB606A" w:rsidRDefault="007742EF" w:rsidP="007742EF">
            <w:pPr>
              <w:jc w:val="right"/>
              <w:rPr>
                <w:rFonts w:cs="Arial"/>
                <w:szCs w:val="24"/>
              </w:rPr>
            </w:pPr>
            <w:r w:rsidRPr="00FB606A">
              <w:rPr>
                <w:rFonts w:cs="Arial"/>
                <w:szCs w:val="24"/>
              </w:rPr>
              <w:t xml:space="preserve">- </w:t>
            </w:r>
          </w:p>
        </w:tc>
        <w:tc>
          <w:tcPr>
            <w:tcW w:w="2727" w:type="dxa"/>
            <w:tcBorders>
              <w:top w:val="single" w:sz="4" w:space="0" w:color="auto"/>
              <w:left w:val="single" w:sz="4" w:space="0" w:color="auto"/>
              <w:bottom w:val="single" w:sz="4" w:space="0" w:color="auto"/>
              <w:right w:val="single" w:sz="4" w:space="0" w:color="auto"/>
            </w:tcBorders>
            <w:vAlign w:val="center"/>
          </w:tcPr>
          <w:p w14:paraId="61C2D8A3" w14:textId="461EEEC9" w:rsidR="007742EF" w:rsidRPr="00FB606A" w:rsidRDefault="007742EF" w:rsidP="007742EF">
            <w:pPr>
              <w:jc w:val="right"/>
              <w:rPr>
                <w:rFonts w:cs="Arial"/>
                <w:szCs w:val="24"/>
              </w:rPr>
            </w:pPr>
            <w:r w:rsidRPr="00FB606A">
              <w:rPr>
                <w:rFonts w:cs="Arial"/>
                <w:szCs w:val="24"/>
              </w:rPr>
              <w:t>1,271</w:t>
            </w:r>
          </w:p>
        </w:tc>
      </w:tr>
      <w:tr w:rsidR="007742EF" w:rsidRPr="00D948C1" w14:paraId="07B6C306" w14:textId="77777777" w:rsidTr="00233A66">
        <w:tc>
          <w:tcPr>
            <w:tcW w:w="3641" w:type="dxa"/>
            <w:tcBorders>
              <w:top w:val="single" w:sz="4" w:space="0" w:color="auto"/>
              <w:left w:val="single" w:sz="4" w:space="0" w:color="auto"/>
              <w:bottom w:val="single" w:sz="4" w:space="0" w:color="auto"/>
              <w:right w:val="single" w:sz="4" w:space="0" w:color="auto"/>
            </w:tcBorders>
          </w:tcPr>
          <w:p w14:paraId="46E467BC" w14:textId="58807D32" w:rsidR="007742EF" w:rsidRPr="00D948C1" w:rsidRDefault="007742EF" w:rsidP="007742EF">
            <w:pPr>
              <w:rPr>
                <w:szCs w:val="24"/>
              </w:rPr>
            </w:pPr>
            <w:r w:rsidRPr="00D948C1">
              <w:rPr>
                <w:szCs w:val="24"/>
              </w:rPr>
              <w:t>Overheads</w:t>
            </w:r>
          </w:p>
        </w:tc>
        <w:tc>
          <w:tcPr>
            <w:tcW w:w="1735" w:type="dxa"/>
            <w:tcBorders>
              <w:top w:val="single" w:sz="4" w:space="0" w:color="auto"/>
              <w:left w:val="single" w:sz="4" w:space="0" w:color="auto"/>
              <w:bottom w:val="single" w:sz="4" w:space="0" w:color="auto"/>
              <w:right w:val="single" w:sz="4" w:space="0" w:color="auto"/>
            </w:tcBorders>
            <w:vAlign w:val="center"/>
          </w:tcPr>
          <w:p w14:paraId="436C80B9" w14:textId="30E1001E" w:rsidR="007742EF" w:rsidRPr="00FB606A" w:rsidRDefault="007742EF" w:rsidP="007742EF">
            <w:pPr>
              <w:jc w:val="right"/>
              <w:rPr>
                <w:rFonts w:cs="Arial"/>
                <w:szCs w:val="24"/>
              </w:rPr>
            </w:pPr>
            <w:r w:rsidRPr="00FB606A">
              <w:rPr>
                <w:rFonts w:cs="Arial"/>
                <w:szCs w:val="24"/>
              </w:rPr>
              <w:t>1,661</w:t>
            </w:r>
          </w:p>
        </w:tc>
        <w:tc>
          <w:tcPr>
            <w:tcW w:w="2376" w:type="dxa"/>
            <w:tcBorders>
              <w:top w:val="single" w:sz="4" w:space="0" w:color="auto"/>
              <w:left w:val="single" w:sz="4" w:space="0" w:color="auto"/>
              <w:bottom w:val="single" w:sz="4" w:space="0" w:color="auto"/>
              <w:right w:val="single" w:sz="4" w:space="0" w:color="auto"/>
            </w:tcBorders>
            <w:vAlign w:val="center"/>
          </w:tcPr>
          <w:p w14:paraId="3493027D" w14:textId="08ECA37B" w:rsidR="007742EF" w:rsidRPr="00FB606A" w:rsidRDefault="00145D6A" w:rsidP="007742EF">
            <w:pPr>
              <w:jc w:val="right"/>
              <w:rPr>
                <w:rFonts w:cs="Arial"/>
                <w:szCs w:val="24"/>
              </w:rPr>
            </w:pPr>
            <w:r>
              <w:rPr>
                <w:rFonts w:cs="Arial"/>
                <w:szCs w:val="24"/>
              </w:rPr>
              <w:t>1,161</w:t>
            </w:r>
          </w:p>
        </w:tc>
        <w:tc>
          <w:tcPr>
            <w:tcW w:w="1701" w:type="dxa"/>
            <w:tcBorders>
              <w:top w:val="single" w:sz="4" w:space="0" w:color="auto"/>
              <w:left w:val="single" w:sz="4" w:space="0" w:color="auto"/>
              <w:bottom w:val="single" w:sz="4" w:space="0" w:color="auto"/>
              <w:right w:val="single" w:sz="4" w:space="0" w:color="auto"/>
            </w:tcBorders>
            <w:vAlign w:val="center"/>
          </w:tcPr>
          <w:p w14:paraId="06D3419E" w14:textId="7FE6AFA6" w:rsidR="007742EF" w:rsidRPr="00FB606A" w:rsidRDefault="00972A73" w:rsidP="007742EF">
            <w:pPr>
              <w:jc w:val="right"/>
              <w:rPr>
                <w:rFonts w:cs="Arial"/>
                <w:szCs w:val="24"/>
              </w:rPr>
            </w:pPr>
            <w:r>
              <w:rPr>
                <w:rFonts w:cs="Arial"/>
                <w:szCs w:val="24"/>
              </w:rPr>
              <w:t>2,822</w:t>
            </w:r>
          </w:p>
        </w:tc>
        <w:tc>
          <w:tcPr>
            <w:tcW w:w="2551" w:type="dxa"/>
            <w:tcBorders>
              <w:top w:val="single" w:sz="4" w:space="0" w:color="auto"/>
              <w:left w:val="single" w:sz="4" w:space="0" w:color="auto"/>
              <w:bottom w:val="single" w:sz="4" w:space="0" w:color="auto"/>
              <w:right w:val="single" w:sz="4" w:space="0" w:color="auto"/>
            </w:tcBorders>
            <w:vAlign w:val="center"/>
          </w:tcPr>
          <w:p w14:paraId="7188F375" w14:textId="4B3EFC94" w:rsidR="007742EF" w:rsidRPr="00FB606A" w:rsidRDefault="009D082D" w:rsidP="007742EF">
            <w:pPr>
              <w:jc w:val="right"/>
              <w:rPr>
                <w:rFonts w:cs="Arial"/>
                <w:szCs w:val="24"/>
              </w:rPr>
            </w:pPr>
            <w:r>
              <w:rPr>
                <w:rFonts w:cs="Arial"/>
                <w:szCs w:val="24"/>
              </w:rPr>
              <w:t>626</w:t>
            </w:r>
          </w:p>
        </w:tc>
        <w:tc>
          <w:tcPr>
            <w:tcW w:w="2727" w:type="dxa"/>
            <w:tcBorders>
              <w:top w:val="single" w:sz="4" w:space="0" w:color="auto"/>
              <w:left w:val="single" w:sz="4" w:space="0" w:color="auto"/>
              <w:bottom w:val="single" w:sz="4" w:space="0" w:color="auto"/>
              <w:right w:val="single" w:sz="4" w:space="0" w:color="auto"/>
            </w:tcBorders>
            <w:vAlign w:val="center"/>
          </w:tcPr>
          <w:p w14:paraId="2DF0BE06" w14:textId="4F372F80" w:rsidR="007742EF" w:rsidRPr="00FB606A" w:rsidRDefault="007742EF" w:rsidP="007742EF">
            <w:pPr>
              <w:jc w:val="right"/>
              <w:rPr>
                <w:rFonts w:cs="Arial"/>
                <w:szCs w:val="24"/>
              </w:rPr>
            </w:pPr>
            <w:r w:rsidRPr="00FB606A">
              <w:rPr>
                <w:rFonts w:cs="Arial"/>
                <w:szCs w:val="24"/>
              </w:rPr>
              <w:t>3,448</w:t>
            </w:r>
          </w:p>
        </w:tc>
      </w:tr>
      <w:tr w:rsidR="007742EF" w:rsidRPr="00D948C1" w14:paraId="7AE29BD8" w14:textId="77777777" w:rsidTr="00233A66">
        <w:tc>
          <w:tcPr>
            <w:tcW w:w="3641" w:type="dxa"/>
            <w:tcBorders>
              <w:top w:val="single" w:sz="4" w:space="0" w:color="auto"/>
              <w:left w:val="single" w:sz="4" w:space="0" w:color="auto"/>
              <w:bottom w:val="single" w:sz="4" w:space="0" w:color="auto"/>
              <w:right w:val="single" w:sz="4" w:space="0" w:color="auto"/>
            </w:tcBorders>
          </w:tcPr>
          <w:p w14:paraId="234A9DA8" w14:textId="5AF3EE37" w:rsidR="007742EF" w:rsidRPr="00D948C1" w:rsidRDefault="007742EF" w:rsidP="007742EF">
            <w:pPr>
              <w:rPr>
                <w:b/>
                <w:szCs w:val="24"/>
              </w:rPr>
            </w:pPr>
            <w:r w:rsidRPr="00D948C1">
              <w:rPr>
                <w:b/>
                <w:szCs w:val="24"/>
              </w:rPr>
              <w:t>Net cost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008F0A2E" w14:textId="7FA54E0C" w:rsidR="007742EF" w:rsidRPr="00FB606A" w:rsidRDefault="007742EF" w:rsidP="007742EF">
            <w:pPr>
              <w:jc w:val="right"/>
              <w:rPr>
                <w:rFonts w:cs="Arial"/>
                <w:b/>
                <w:bCs/>
                <w:szCs w:val="24"/>
              </w:rPr>
            </w:pPr>
            <w:r w:rsidRPr="00FB606A">
              <w:rPr>
                <w:rFonts w:cs="Arial"/>
                <w:b/>
                <w:bCs/>
                <w:szCs w:val="24"/>
              </w:rPr>
              <w:t>68,566</w:t>
            </w:r>
          </w:p>
        </w:tc>
        <w:tc>
          <w:tcPr>
            <w:tcW w:w="2376" w:type="dxa"/>
            <w:tcBorders>
              <w:top w:val="single" w:sz="4" w:space="0" w:color="auto"/>
              <w:left w:val="single" w:sz="4" w:space="0" w:color="auto"/>
              <w:bottom w:val="single" w:sz="4" w:space="0" w:color="auto"/>
              <w:right w:val="single" w:sz="4" w:space="0" w:color="auto"/>
            </w:tcBorders>
            <w:vAlign w:val="center"/>
          </w:tcPr>
          <w:p w14:paraId="0A863984" w14:textId="38CD779B" w:rsidR="007742EF" w:rsidRPr="00FB606A" w:rsidRDefault="00145D6A" w:rsidP="007742EF">
            <w:pPr>
              <w:jc w:val="right"/>
              <w:rPr>
                <w:rFonts w:cs="Arial"/>
                <w:b/>
                <w:bCs/>
                <w:szCs w:val="24"/>
              </w:rPr>
            </w:pPr>
            <w:r>
              <w:rPr>
                <w:rFonts w:cs="Arial"/>
                <w:b/>
                <w:bCs/>
                <w:szCs w:val="24"/>
              </w:rPr>
              <w:t>1,265</w:t>
            </w:r>
          </w:p>
        </w:tc>
        <w:tc>
          <w:tcPr>
            <w:tcW w:w="1701" w:type="dxa"/>
            <w:tcBorders>
              <w:top w:val="single" w:sz="4" w:space="0" w:color="auto"/>
              <w:left w:val="single" w:sz="4" w:space="0" w:color="auto"/>
              <w:bottom w:val="single" w:sz="4" w:space="0" w:color="auto"/>
              <w:right w:val="single" w:sz="4" w:space="0" w:color="auto"/>
            </w:tcBorders>
            <w:vAlign w:val="center"/>
          </w:tcPr>
          <w:p w14:paraId="5A593646" w14:textId="0138E539" w:rsidR="007742EF" w:rsidRPr="00FB606A" w:rsidRDefault="007742EF" w:rsidP="007742EF">
            <w:pPr>
              <w:jc w:val="right"/>
              <w:rPr>
                <w:rFonts w:cs="Arial"/>
                <w:b/>
                <w:bCs/>
                <w:szCs w:val="24"/>
              </w:rPr>
            </w:pPr>
            <w:r w:rsidRPr="00FB606A">
              <w:rPr>
                <w:rFonts w:cs="Arial"/>
                <w:b/>
                <w:bCs/>
                <w:szCs w:val="24"/>
              </w:rPr>
              <w:t>6</w:t>
            </w:r>
            <w:r w:rsidR="00972A73">
              <w:rPr>
                <w:rFonts w:cs="Arial"/>
                <w:b/>
                <w:bCs/>
                <w:szCs w:val="24"/>
              </w:rPr>
              <w:t>9</w:t>
            </w:r>
            <w:r w:rsidRPr="00FB606A">
              <w:rPr>
                <w:rFonts w:cs="Arial"/>
                <w:b/>
                <w:bCs/>
                <w:szCs w:val="24"/>
              </w:rPr>
              <w:t>,</w:t>
            </w:r>
            <w:r w:rsidR="00972A73">
              <w:rPr>
                <w:rFonts w:cs="Arial"/>
                <w:b/>
                <w:bCs/>
                <w:szCs w:val="24"/>
              </w:rPr>
              <w:t>830</w:t>
            </w:r>
          </w:p>
        </w:tc>
        <w:tc>
          <w:tcPr>
            <w:tcW w:w="2551" w:type="dxa"/>
            <w:tcBorders>
              <w:top w:val="single" w:sz="4" w:space="0" w:color="auto"/>
              <w:left w:val="single" w:sz="4" w:space="0" w:color="auto"/>
              <w:bottom w:val="single" w:sz="4" w:space="0" w:color="auto"/>
              <w:right w:val="single" w:sz="4" w:space="0" w:color="auto"/>
            </w:tcBorders>
            <w:vAlign w:val="center"/>
          </w:tcPr>
          <w:p w14:paraId="2B83FF0C" w14:textId="3CB16448" w:rsidR="007742EF" w:rsidRPr="00FB606A" w:rsidRDefault="007742EF" w:rsidP="007742EF">
            <w:pPr>
              <w:jc w:val="right"/>
              <w:rPr>
                <w:rFonts w:cs="Arial"/>
                <w:b/>
                <w:bCs/>
                <w:szCs w:val="24"/>
              </w:rPr>
            </w:pPr>
            <w:r w:rsidRPr="00FB606A">
              <w:rPr>
                <w:rFonts w:cs="Arial"/>
                <w:b/>
                <w:bCs/>
                <w:szCs w:val="24"/>
              </w:rPr>
              <w:t>(2</w:t>
            </w:r>
            <w:r w:rsidR="009D082D">
              <w:rPr>
                <w:rFonts w:cs="Arial"/>
                <w:b/>
                <w:bCs/>
                <w:szCs w:val="24"/>
              </w:rPr>
              <w:t>3</w:t>
            </w:r>
            <w:r w:rsidRPr="00FB606A">
              <w:rPr>
                <w:rFonts w:cs="Arial"/>
                <w:b/>
                <w:bCs/>
                <w:szCs w:val="24"/>
              </w:rPr>
              <w:t>,</w:t>
            </w:r>
            <w:r w:rsidR="009D082D">
              <w:rPr>
                <w:rFonts w:cs="Arial"/>
                <w:b/>
                <w:bCs/>
                <w:szCs w:val="24"/>
              </w:rPr>
              <w:t>784</w:t>
            </w:r>
            <w:r w:rsidRPr="00FB606A">
              <w:rPr>
                <w:rFonts w:cs="Arial"/>
                <w:b/>
                <w:bCs/>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01DC48D4" w14:textId="391BBCF5" w:rsidR="007742EF" w:rsidRPr="00FB606A" w:rsidRDefault="007742EF" w:rsidP="007742EF">
            <w:pPr>
              <w:jc w:val="right"/>
              <w:rPr>
                <w:rFonts w:cs="Arial"/>
                <w:b/>
                <w:bCs/>
                <w:szCs w:val="24"/>
              </w:rPr>
            </w:pPr>
            <w:r w:rsidRPr="00FB606A">
              <w:rPr>
                <w:rFonts w:cs="Arial"/>
                <w:b/>
                <w:szCs w:val="24"/>
              </w:rPr>
              <w:t>46,046</w:t>
            </w:r>
          </w:p>
        </w:tc>
      </w:tr>
      <w:tr w:rsidR="007742EF" w:rsidRPr="00D948C1" w14:paraId="65F7F10C" w14:textId="77777777" w:rsidTr="00233A66">
        <w:tc>
          <w:tcPr>
            <w:tcW w:w="3641" w:type="dxa"/>
            <w:tcBorders>
              <w:top w:val="single" w:sz="4" w:space="0" w:color="auto"/>
              <w:left w:val="single" w:sz="4" w:space="0" w:color="auto"/>
              <w:bottom w:val="single" w:sz="4" w:space="0" w:color="auto"/>
              <w:right w:val="single" w:sz="4" w:space="0" w:color="auto"/>
            </w:tcBorders>
          </w:tcPr>
          <w:p w14:paraId="2A418BC7" w14:textId="1DE1D870" w:rsidR="007742EF" w:rsidRPr="00D948C1" w:rsidRDefault="007742EF" w:rsidP="007742EF">
            <w:pPr>
              <w:rPr>
                <w:szCs w:val="24"/>
              </w:rPr>
            </w:pPr>
            <w:r w:rsidRPr="00D948C1">
              <w:rPr>
                <w:szCs w:val="24"/>
              </w:rPr>
              <w:t>Other income and expenditure</w:t>
            </w:r>
          </w:p>
        </w:tc>
        <w:tc>
          <w:tcPr>
            <w:tcW w:w="1735" w:type="dxa"/>
            <w:tcBorders>
              <w:top w:val="single" w:sz="4" w:space="0" w:color="auto"/>
              <w:left w:val="single" w:sz="4" w:space="0" w:color="auto"/>
              <w:bottom w:val="single" w:sz="4" w:space="0" w:color="auto"/>
              <w:right w:val="single" w:sz="4" w:space="0" w:color="auto"/>
            </w:tcBorders>
            <w:vAlign w:val="center"/>
          </w:tcPr>
          <w:p w14:paraId="2F9C090A" w14:textId="10D168B2" w:rsidR="007742EF" w:rsidRPr="00FB606A" w:rsidRDefault="00145D6A" w:rsidP="007742EF">
            <w:pPr>
              <w:jc w:val="right"/>
              <w:rPr>
                <w:rFonts w:cs="Arial"/>
                <w:szCs w:val="24"/>
              </w:rPr>
            </w:pPr>
            <w:r w:rsidRPr="00FB606A">
              <w:rPr>
                <w:rFonts w:cs="Arial"/>
                <w:szCs w:val="24"/>
              </w:rPr>
              <w:t>(68,346)</w:t>
            </w:r>
          </w:p>
        </w:tc>
        <w:tc>
          <w:tcPr>
            <w:tcW w:w="2376" w:type="dxa"/>
            <w:tcBorders>
              <w:top w:val="single" w:sz="4" w:space="0" w:color="auto"/>
              <w:left w:val="single" w:sz="4" w:space="0" w:color="auto"/>
              <w:bottom w:val="single" w:sz="4" w:space="0" w:color="auto"/>
              <w:right w:val="single" w:sz="4" w:space="0" w:color="auto"/>
            </w:tcBorders>
            <w:vAlign w:val="center"/>
          </w:tcPr>
          <w:p w14:paraId="1013A3DF" w14:textId="7579F83A" w:rsidR="007742EF" w:rsidRPr="00FB606A" w:rsidRDefault="00145D6A" w:rsidP="007742EF">
            <w:pPr>
              <w:jc w:val="right"/>
              <w:rPr>
                <w:rFonts w:cs="Arial"/>
                <w:szCs w:val="24"/>
              </w:rPr>
            </w:pPr>
            <w:r>
              <w:rPr>
                <w:rFonts w:cs="Arial"/>
                <w:szCs w:val="24"/>
              </w:rPr>
              <w:t>(692)</w:t>
            </w:r>
          </w:p>
        </w:tc>
        <w:tc>
          <w:tcPr>
            <w:tcW w:w="1701" w:type="dxa"/>
            <w:tcBorders>
              <w:top w:val="single" w:sz="4" w:space="0" w:color="auto"/>
              <w:left w:val="single" w:sz="4" w:space="0" w:color="auto"/>
              <w:bottom w:val="single" w:sz="4" w:space="0" w:color="auto"/>
              <w:right w:val="single" w:sz="4" w:space="0" w:color="auto"/>
            </w:tcBorders>
            <w:vAlign w:val="center"/>
          </w:tcPr>
          <w:p w14:paraId="5C825051" w14:textId="010F819B" w:rsidR="007742EF" w:rsidRPr="00FB606A" w:rsidRDefault="007742EF" w:rsidP="007742EF">
            <w:pPr>
              <w:jc w:val="right"/>
              <w:rPr>
                <w:rFonts w:cs="Arial"/>
                <w:szCs w:val="24"/>
              </w:rPr>
            </w:pPr>
            <w:r w:rsidRPr="00FB606A">
              <w:rPr>
                <w:rFonts w:cs="Arial"/>
                <w:szCs w:val="24"/>
              </w:rPr>
              <w:t>(6</w:t>
            </w:r>
            <w:r w:rsidR="00972A73">
              <w:rPr>
                <w:rFonts w:cs="Arial"/>
                <w:szCs w:val="24"/>
              </w:rPr>
              <w:t>9</w:t>
            </w:r>
            <w:r w:rsidRPr="00FB606A">
              <w:rPr>
                <w:rFonts w:cs="Arial"/>
                <w:szCs w:val="24"/>
              </w:rPr>
              <w:t>,</w:t>
            </w:r>
            <w:r w:rsidR="00972A73">
              <w:rPr>
                <w:rFonts w:cs="Arial"/>
                <w:szCs w:val="24"/>
              </w:rPr>
              <w:t>038</w:t>
            </w:r>
            <w:r w:rsidRPr="00FB606A">
              <w:rPr>
                <w:rFonts w:cs="Arial"/>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E501702" w14:textId="751508B1" w:rsidR="007742EF" w:rsidRPr="00FB606A" w:rsidRDefault="007742EF" w:rsidP="007742EF">
            <w:pPr>
              <w:jc w:val="right"/>
              <w:rPr>
                <w:rFonts w:cs="Arial"/>
                <w:szCs w:val="24"/>
              </w:rPr>
            </w:pPr>
            <w:r w:rsidRPr="00FB606A">
              <w:rPr>
                <w:rFonts w:cs="Arial"/>
                <w:szCs w:val="24"/>
              </w:rPr>
              <w:t>28,</w:t>
            </w:r>
            <w:r w:rsidR="009D082D">
              <w:rPr>
                <w:rFonts w:cs="Arial"/>
                <w:szCs w:val="24"/>
              </w:rPr>
              <w:t>829</w:t>
            </w:r>
          </w:p>
        </w:tc>
        <w:tc>
          <w:tcPr>
            <w:tcW w:w="2727" w:type="dxa"/>
            <w:tcBorders>
              <w:top w:val="single" w:sz="4" w:space="0" w:color="auto"/>
              <w:left w:val="single" w:sz="4" w:space="0" w:color="auto"/>
              <w:bottom w:val="single" w:sz="4" w:space="0" w:color="auto"/>
              <w:right w:val="single" w:sz="4" w:space="0" w:color="auto"/>
            </w:tcBorders>
            <w:vAlign w:val="center"/>
          </w:tcPr>
          <w:p w14:paraId="318F6A90" w14:textId="6BB1012F" w:rsidR="007742EF" w:rsidRPr="00FB606A" w:rsidRDefault="007742EF" w:rsidP="007742EF">
            <w:pPr>
              <w:jc w:val="right"/>
              <w:rPr>
                <w:rFonts w:cs="Arial"/>
                <w:szCs w:val="24"/>
              </w:rPr>
            </w:pPr>
            <w:r w:rsidRPr="00FB606A">
              <w:rPr>
                <w:rFonts w:cs="Arial"/>
                <w:szCs w:val="24"/>
              </w:rPr>
              <w:t>(40,209)</w:t>
            </w:r>
          </w:p>
        </w:tc>
      </w:tr>
      <w:tr w:rsidR="007742EF" w:rsidRPr="00D948C1" w14:paraId="564878C1" w14:textId="77777777" w:rsidTr="00A709A5">
        <w:trPr>
          <w:trHeight w:val="556"/>
        </w:trPr>
        <w:tc>
          <w:tcPr>
            <w:tcW w:w="3641" w:type="dxa"/>
            <w:tcBorders>
              <w:top w:val="single" w:sz="4" w:space="0" w:color="auto"/>
              <w:left w:val="single" w:sz="4" w:space="0" w:color="auto"/>
              <w:bottom w:val="single" w:sz="4" w:space="0" w:color="auto"/>
              <w:right w:val="single" w:sz="4" w:space="0" w:color="auto"/>
            </w:tcBorders>
          </w:tcPr>
          <w:p w14:paraId="64E9BD6E" w14:textId="3490DB8E" w:rsidR="007742EF" w:rsidRPr="00D948C1" w:rsidRDefault="007742EF" w:rsidP="007742EF">
            <w:pPr>
              <w:rPr>
                <w:b/>
                <w:szCs w:val="24"/>
              </w:rPr>
            </w:pPr>
            <w:r>
              <w:rPr>
                <w:rFonts w:cs="Arial"/>
                <w:b/>
                <w:szCs w:val="24"/>
              </w:rPr>
              <w:t>(S</w:t>
            </w:r>
            <w:r w:rsidRPr="00D948C1">
              <w:rPr>
                <w:rFonts w:cs="Arial"/>
                <w:b/>
                <w:szCs w:val="24"/>
              </w:rPr>
              <w:t>urplus</w:t>
            </w:r>
            <w:r>
              <w:rPr>
                <w:rFonts w:cs="Arial"/>
                <w:b/>
                <w:szCs w:val="24"/>
              </w:rPr>
              <w:t>)/Deficit</w:t>
            </w:r>
            <w:r w:rsidRPr="00D948C1">
              <w:rPr>
                <w:rFonts w:cs="Arial"/>
                <w:b/>
                <w:szCs w:val="24"/>
              </w:rPr>
              <w:t xml:space="preserve"> </w:t>
            </w:r>
            <w:r w:rsidRPr="00D948C1">
              <w:rPr>
                <w:b/>
                <w:szCs w:val="24"/>
              </w:rPr>
              <w:t>on provision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76151593" w14:textId="69099276" w:rsidR="007742EF" w:rsidRPr="00FB606A" w:rsidRDefault="00145D6A" w:rsidP="007742EF">
            <w:pPr>
              <w:jc w:val="right"/>
              <w:rPr>
                <w:rFonts w:cs="Arial"/>
                <w:b/>
                <w:bCs/>
                <w:szCs w:val="24"/>
              </w:rPr>
            </w:pPr>
            <w:r>
              <w:rPr>
                <w:rFonts w:cs="Arial"/>
                <w:b/>
                <w:bCs/>
                <w:szCs w:val="24"/>
              </w:rPr>
              <w:t>220</w:t>
            </w:r>
          </w:p>
        </w:tc>
        <w:tc>
          <w:tcPr>
            <w:tcW w:w="2376" w:type="dxa"/>
            <w:tcBorders>
              <w:top w:val="single" w:sz="4" w:space="0" w:color="auto"/>
              <w:left w:val="single" w:sz="4" w:space="0" w:color="auto"/>
              <w:bottom w:val="single" w:sz="4" w:space="0" w:color="auto"/>
              <w:right w:val="single" w:sz="4" w:space="0" w:color="auto"/>
            </w:tcBorders>
            <w:vAlign w:val="center"/>
          </w:tcPr>
          <w:p w14:paraId="21E9A8D5" w14:textId="47674433" w:rsidR="007742EF" w:rsidRPr="00FB606A" w:rsidRDefault="00145D6A" w:rsidP="007742EF">
            <w:pPr>
              <w:jc w:val="right"/>
              <w:rPr>
                <w:rFonts w:cs="Arial"/>
                <w:b/>
                <w:bCs/>
                <w:szCs w:val="24"/>
              </w:rPr>
            </w:pPr>
            <w:r>
              <w:rPr>
                <w:rFonts w:cs="Arial"/>
                <w:b/>
                <w:bCs/>
                <w:szCs w:val="24"/>
              </w:rPr>
              <w:t>573</w:t>
            </w:r>
          </w:p>
        </w:tc>
        <w:tc>
          <w:tcPr>
            <w:tcW w:w="1701" w:type="dxa"/>
            <w:tcBorders>
              <w:top w:val="single" w:sz="4" w:space="0" w:color="auto"/>
              <w:left w:val="single" w:sz="4" w:space="0" w:color="auto"/>
              <w:bottom w:val="single" w:sz="4" w:space="0" w:color="auto"/>
              <w:right w:val="single" w:sz="4" w:space="0" w:color="auto"/>
            </w:tcBorders>
            <w:vAlign w:val="center"/>
          </w:tcPr>
          <w:p w14:paraId="1BFEB3BF" w14:textId="1FAA89E0" w:rsidR="007742EF" w:rsidRPr="00FB606A" w:rsidRDefault="00CB5FED" w:rsidP="007742EF">
            <w:pPr>
              <w:jc w:val="right"/>
              <w:rPr>
                <w:rFonts w:cs="Arial"/>
                <w:b/>
                <w:bCs/>
                <w:szCs w:val="24"/>
              </w:rPr>
            </w:pPr>
            <w:r>
              <w:rPr>
                <w:rFonts w:cs="Arial"/>
                <w:b/>
                <w:bCs/>
                <w:szCs w:val="24"/>
              </w:rPr>
              <w:t>793</w:t>
            </w:r>
            <w:r w:rsidR="007742EF" w:rsidRPr="00FB606A">
              <w:rPr>
                <w:rFonts w:cs="Arial"/>
                <w:b/>
                <w:bCs/>
                <w:szCs w:val="24"/>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5425AFD" w14:textId="70AC4F33" w:rsidR="007742EF" w:rsidRPr="00FB606A" w:rsidRDefault="007742EF" w:rsidP="007742EF">
            <w:pPr>
              <w:jc w:val="right"/>
              <w:rPr>
                <w:rFonts w:cs="Arial"/>
                <w:b/>
                <w:bCs/>
                <w:szCs w:val="24"/>
              </w:rPr>
            </w:pPr>
            <w:r w:rsidRPr="00FB606A">
              <w:rPr>
                <w:rFonts w:cs="Arial"/>
                <w:b/>
                <w:bCs/>
                <w:szCs w:val="24"/>
              </w:rPr>
              <w:t>5,</w:t>
            </w:r>
            <w:r w:rsidR="00740D13">
              <w:rPr>
                <w:rFonts w:cs="Arial"/>
                <w:b/>
                <w:bCs/>
                <w:szCs w:val="24"/>
              </w:rPr>
              <w:t>045</w:t>
            </w:r>
          </w:p>
        </w:tc>
        <w:tc>
          <w:tcPr>
            <w:tcW w:w="2727" w:type="dxa"/>
            <w:tcBorders>
              <w:top w:val="single" w:sz="4" w:space="0" w:color="auto"/>
              <w:left w:val="single" w:sz="4" w:space="0" w:color="auto"/>
              <w:bottom w:val="single" w:sz="4" w:space="0" w:color="auto"/>
              <w:right w:val="single" w:sz="4" w:space="0" w:color="auto"/>
            </w:tcBorders>
            <w:vAlign w:val="center"/>
          </w:tcPr>
          <w:p w14:paraId="2DA96305" w14:textId="6100F3DB" w:rsidR="007742EF" w:rsidRPr="00FB606A" w:rsidRDefault="007742EF" w:rsidP="007742EF">
            <w:pPr>
              <w:jc w:val="right"/>
              <w:rPr>
                <w:rFonts w:cs="Arial"/>
                <w:b/>
                <w:bCs/>
                <w:szCs w:val="24"/>
              </w:rPr>
            </w:pPr>
            <w:r w:rsidRPr="00FB606A">
              <w:rPr>
                <w:rFonts w:cs="Arial"/>
                <w:b/>
                <w:szCs w:val="24"/>
              </w:rPr>
              <w:t>5,838</w:t>
            </w:r>
          </w:p>
        </w:tc>
      </w:tr>
    </w:tbl>
    <w:p w14:paraId="010B228A" w14:textId="77777777" w:rsidR="00DD2894" w:rsidRPr="00D948C1" w:rsidRDefault="00DD2894"/>
    <w:tbl>
      <w:tblPr>
        <w:tblStyle w:val="TableGrid"/>
        <w:tblW w:w="9492" w:type="dxa"/>
        <w:tblInd w:w="709" w:type="dxa"/>
        <w:tblLayout w:type="fixed"/>
        <w:tblLook w:val="04A0" w:firstRow="1" w:lastRow="0" w:firstColumn="1" w:lastColumn="0" w:noHBand="0" w:noVBand="1"/>
      </w:tblPr>
      <w:tblGrid>
        <w:gridCol w:w="7791"/>
        <w:gridCol w:w="1701"/>
      </w:tblGrid>
      <w:tr w:rsidR="00AE0F22" w:rsidRPr="00D948C1" w14:paraId="1E8B6269" w14:textId="77777777" w:rsidTr="00233A66">
        <w:tc>
          <w:tcPr>
            <w:tcW w:w="7791" w:type="dxa"/>
            <w:tcBorders>
              <w:top w:val="single" w:sz="4" w:space="0" w:color="auto"/>
              <w:left w:val="single" w:sz="4" w:space="0" w:color="auto"/>
              <w:bottom w:val="single" w:sz="4" w:space="0" w:color="auto"/>
              <w:right w:val="single" w:sz="4" w:space="0" w:color="auto"/>
            </w:tcBorders>
          </w:tcPr>
          <w:p w14:paraId="7968F9CF" w14:textId="77777777" w:rsidR="00AE0F22" w:rsidRPr="00D948C1" w:rsidRDefault="00AE0F22" w:rsidP="00F7299E">
            <w:pPr>
              <w:rPr>
                <w:rFonts w:cs="Arial"/>
                <w:b/>
                <w:bCs/>
                <w:szCs w:val="24"/>
              </w:rPr>
            </w:pPr>
            <w:r w:rsidRPr="00D948C1">
              <w:rPr>
                <w:rFonts w:cs="Arial"/>
                <w:b/>
                <w:bCs/>
                <w:szCs w:val="24"/>
              </w:rPr>
              <w:t>Opening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4B448411" w14:textId="0A446C11" w:rsidR="00AE0F22" w:rsidRPr="00FB606A" w:rsidRDefault="003A2A84" w:rsidP="00233A66">
            <w:pPr>
              <w:ind w:right="136"/>
              <w:jc w:val="right"/>
              <w:rPr>
                <w:rFonts w:cs="Arial"/>
                <w:b/>
                <w:bCs/>
                <w:szCs w:val="24"/>
              </w:rPr>
            </w:pPr>
            <w:r w:rsidRPr="00FB606A">
              <w:rPr>
                <w:rFonts w:cs="Arial"/>
                <w:b/>
                <w:bCs/>
                <w:szCs w:val="24"/>
              </w:rPr>
              <w:t>(</w:t>
            </w:r>
            <w:r w:rsidR="00E531DF">
              <w:rPr>
                <w:rFonts w:cs="Arial"/>
                <w:b/>
                <w:bCs/>
                <w:szCs w:val="24"/>
              </w:rPr>
              <w:t>3</w:t>
            </w:r>
            <w:r w:rsidRPr="00FB606A">
              <w:rPr>
                <w:rFonts w:cs="Arial"/>
                <w:b/>
                <w:bCs/>
                <w:szCs w:val="24"/>
              </w:rPr>
              <w:t>4,</w:t>
            </w:r>
            <w:r w:rsidR="00E531DF">
              <w:rPr>
                <w:rFonts w:cs="Arial"/>
                <w:b/>
                <w:bCs/>
                <w:szCs w:val="24"/>
              </w:rPr>
              <w:t>4</w:t>
            </w:r>
            <w:r w:rsidRPr="00FB606A">
              <w:rPr>
                <w:rFonts w:cs="Arial"/>
                <w:b/>
                <w:bCs/>
                <w:szCs w:val="24"/>
              </w:rPr>
              <w:t>88)</w:t>
            </w:r>
          </w:p>
        </w:tc>
      </w:tr>
      <w:tr w:rsidR="00AE0F22" w:rsidRPr="00D948C1" w14:paraId="1FE83464" w14:textId="77777777" w:rsidTr="00233A66">
        <w:tc>
          <w:tcPr>
            <w:tcW w:w="7791" w:type="dxa"/>
            <w:tcBorders>
              <w:top w:val="single" w:sz="4" w:space="0" w:color="auto"/>
              <w:left w:val="single" w:sz="4" w:space="0" w:color="auto"/>
              <w:bottom w:val="single" w:sz="4" w:space="0" w:color="auto"/>
              <w:right w:val="single" w:sz="4" w:space="0" w:color="auto"/>
            </w:tcBorders>
          </w:tcPr>
          <w:p w14:paraId="644B0EA3" w14:textId="4005100F" w:rsidR="00AE0F22" w:rsidRPr="00D948C1" w:rsidRDefault="0053650A" w:rsidP="00F7299E">
            <w:pPr>
              <w:rPr>
                <w:rFonts w:cs="Arial"/>
                <w:szCs w:val="24"/>
              </w:rPr>
            </w:pPr>
            <w:r>
              <w:rPr>
                <w:rFonts w:cs="Arial"/>
                <w:szCs w:val="24"/>
              </w:rPr>
              <w:t>(</w:t>
            </w:r>
            <w:r w:rsidR="00AE0F22" w:rsidRPr="00D948C1">
              <w:rPr>
                <w:rFonts w:cs="Arial"/>
                <w:szCs w:val="24"/>
              </w:rPr>
              <w:t>Surplus</w:t>
            </w:r>
            <w:r>
              <w:rPr>
                <w:rFonts w:cs="Arial"/>
                <w:szCs w:val="24"/>
              </w:rPr>
              <w:t>)/Deficit</w:t>
            </w:r>
            <w:r w:rsidR="00AE0F22" w:rsidRPr="00D948C1">
              <w:rPr>
                <w:rFonts w:cs="Arial"/>
                <w:szCs w:val="24"/>
              </w:rPr>
              <w:t xml:space="preserve"> on provision of services</w:t>
            </w:r>
          </w:p>
        </w:tc>
        <w:tc>
          <w:tcPr>
            <w:tcW w:w="1701" w:type="dxa"/>
            <w:tcBorders>
              <w:top w:val="single" w:sz="4" w:space="0" w:color="auto"/>
              <w:left w:val="single" w:sz="4" w:space="0" w:color="auto"/>
              <w:bottom w:val="single" w:sz="4" w:space="0" w:color="auto"/>
              <w:right w:val="single" w:sz="4" w:space="0" w:color="auto"/>
            </w:tcBorders>
            <w:vAlign w:val="center"/>
          </w:tcPr>
          <w:p w14:paraId="2E7D81C5" w14:textId="2FC2B0E1" w:rsidR="00AE0F22" w:rsidRPr="00450F5C" w:rsidRDefault="00E531DF" w:rsidP="00233A66">
            <w:pPr>
              <w:ind w:right="136"/>
              <w:jc w:val="right"/>
              <w:rPr>
                <w:rFonts w:cs="Arial"/>
                <w:szCs w:val="24"/>
              </w:rPr>
            </w:pPr>
            <w:r>
              <w:rPr>
                <w:rFonts w:cs="Arial"/>
                <w:szCs w:val="24"/>
              </w:rPr>
              <w:t>793</w:t>
            </w:r>
          </w:p>
        </w:tc>
      </w:tr>
      <w:tr w:rsidR="00AE0F22" w:rsidRPr="00D948C1" w14:paraId="4AF11DE0" w14:textId="77777777" w:rsidTr="00233A66">
        <w:tc>
          <w:tcPr>
            <w:tcW w:w="7791" w:type="dxa"/>
            <w:tcBorders>
              <w:top w:val="single" w:sz="4" w:space="0" w:color="auto"/>
              <w:left w:val="single" w:sz="4" w:space="0" w:color="auto"/>
              <w:bottom w:val="single" w:sz="4" w:space="0" w:color="auto"/>
              <w:right w:val="single" w:sz="4" w:space="0" w:color="auto"/>
            </w:tcBorders>
          </w:tcPr>
          <w:p w14:paraId="5901731F" w14:textId="77777777" w:rsidR="00AE0F22" w:rsidRPr="00D948C1" w:rsidRDefault="00AE0F22" w:rsidP="00F7299E">
            <w:pPr>
              <w:rPr>
                <w:rFonts w:cs="Arial"/>
                <w:b/>
                <w:bCs/>
                <w:szCs w:val="24"/>
              </w:rPr>
            </w:pPr>
            <w:r w:rsidRPr="00D948C1">
              <w:rPr>
                <w:rFonts w:cs="Arial"/>
                <w:b/>
                <w:bCs/>
                <w:szCs w:val="24"/>
              </w:rPr>
              <w:t>Closing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27AA4A4C" w14:textId="47BD0A0C" w:rsidR="00AE0F22" w:rsidRPr="00FB606A" w:rsidRDefault="003A2A84" w:rsidP="00233A66">
            <w:pPr>
              <w:ind w:right="136"/>
              <w:jc w:val="right"/>
              <w:rPr>
                <w:rFonts w:cs="Arial"/>
                <w:b/>
                <w:bCs/>
                <w:szCs w:val="24"/>
              </w:rPr>
            </w:pPr>
            <w:r w:rsidRPr="00FB606A">
              <w:rPr>
                <w:rFonts w:cs="Arial"/>
                <w:b/>
                <w:bCs/>
                <w:szCs w:val="24"/>
              </w:rPr>
              <w:t>(</w:t>
            </w:r>
            <w:r w:rsidR="0081567A">
              <w:rPr>
                <w:rFonts w:cs="Arial"/>
                <w:b/>
                <w:bCs/>
                <w:szCs w:val="24"/>
              </w:rPr>
              <w:t>33</w:t>
            </w:r>
            <w:r w:rsidRPr="00FB606A">
              <w:rPr>
                <w:rFonts w:cs="Arial"/>
                <w:b/>
                <w:bCs/>
                <w:szCs w:val="24"/>
              </w:rPr>
              <w:t>,6</w:t>
            </w:r>
            <w:r w:rsidR="0081567A">
              <w:rPr>
                <w:rFonts w:cs="Arial"/>
                <w:b/>
                <w:bCs/>
                <w:szCs w:val="24"/>
              </w:rPr>
              <w:t>9</w:t>
            </w:r>
            <w:r w:rsidRPr="00FB606A">
              <w:rPr>
                <w:rFonts w:cs="Arial"/>
                <w:b/>
                <w:bCs/>
                <w:szCs w:val="24"/>
              </w:rPr>
              <w:t>6)</w:t>
            </w:r>
          </w:p>
        </w:tc>
      </w:tr>
    </w:tbl>
    <w:p w14:paraId="61EE96CF" w14:textId="34EF66C6" w:rsidR="006943DC" w:rsidRDefault="006943DC" w:rsidP="006943DC">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0540C2A3" w14:textId="191C65F5" w:rsidR="003C7C40" w:rsidRPr="00D948C1" w:rsidRDefault="003C7C40" w:rsidP="006943DC">
      <w:pPr>
        <w:ind w:left="720"/>
        <w:rPr>
          <w:b/>
          <w:szCs w:val="24"/>
        </w:rPr>
      </w:pPr>
      <w:r w:rsidRPr="00D948C1">
        <w:rPr>
          <w:szCs w:val="24"/>
        </w:rPr>
        <w:br w:type="page"/>
      </w:r>
    </w:p>
    <w:p w14:paraId="06862C3A" w14:textId="1338CDED" w:rsidR="009469D7" w:rsidRPr="00D948C1" w:rsidRDefault="00EC5AC1" w:rsidP="005D04CB">
      <w:pPr>
        <w:pStyle w:val="Heading2"/>
        <w:jc w:val="left"/>
        <w:rPr>
          <w:sz w:val="24"/>
          <w:szCs w:val="24"/>
        </w:rPr>
      </w:pPr>
      <w:bookmarkStart w:id="28" w:name="_Toc215593392"/>
      <w:r w:rsidRPr="00D948C1">
        <w:rPr>
          <w:sz w:val="24"/>
          <w:szCs w:val="24"/>
        </w:rPr>
        <w:lastRenderedPageBreak/>
        <w:t>1</w:t>
      </w:r>
      <w:r w:rsidR="001C592E" w:rsidRPr="00D948C1">
        <w:rPr>
          <w:sz w:val="24"/>
          <w:szCs w:val="24"/>
        </w:rPr>
        <w:t>a</w:t>
      </w:r>
      <w:r w:rsidR="009469D7" w:rsidRPr="00D948C1">
        <w:rPr>
          <w:sz w:val="24"/>
          <w:szCs w:val="24"/>
        </w:rPr>
        <w:tab/>
        <w:t>Note to the Expenditure and Funding Analysis</w:t>
      </w:r>
      <w:bookmarkEnd w:id="28"/>
    </w:p>
    <w:p w14:paraId="645B6B55" w14:textId="77777777" w:rsidR="009469D7" w:rsidRPr="00D948C1" w:rsidRDefault="009469D7" w:rsidP="009469D7">
      <w:pPr>
        <w:ind w:left="720"/>
        <w:jc w:val="both"/>
        <w:rPr>
          <w:sz w:val="16"/>
          <w:szCs w:val="18"/>
        </w:rPr>
      </w:pPr>
    </w:p>
    <w:tbl>
      <w:tblPr>
        <w:tblStyle w:val="TableGrid"/>
        <w:tblW w:w="15449" w:type="dxa"/>
        <w:tblInd w:w="720" w:type="dxa"/>
        <w:tblLayout w:type="fixed"/>
        <w:tblLook w:val="04A0" w:firstRow="1" w:lastRow="0" w:firstColumn="1" w:lastColumn="0" w:noHBand="0" w:noVBand="1"/>
      </w:tblPr>
      <w:tblGrid>
        <w:gridCol w:w="3543"/>
        <w:gridCol w:w="1559"/>
        <w:gridCol w:w="1559"/>
        <w:gridCol w:w="1842"/>
        <w:gridCol w:w="1560"/>
        <w:gridCol w:w="1701"/>
        <w:gridCol w:w="1559"/>
        <w:gridCol w:w="2126"/>
      </w:tblGrid>
      <w:tr w:rsidR="00A26077" w:rsidRPr="00D948C1" w14:paraId="5DE5DF5B" w14:textId="77777777" w:rsidTr="00740D13">
        <w:trPr>
          <w:tblHeader/>
        </w:trPr>
        <w:tc>
          <w:tcPr>
            <w:tcW w:w="3543" w:type="dxa"/>
            <w:shd w:val="clear" w:color="auto" w:fill="BD2716"/>
            <w:vAlign w:val="center"/>
          </w:tcPr>
          <w:p w14:paraId="350D965F" w14:textId="7CDC2CDA" w:rsidR="00A26077" w:rsidRPr="00D948C1" w:rsidRDefault="00A26077" w:rsidP="00611673">
            <w:pPr>
              <w:rPr>
                <w:color w:val="FFFFFF" w:themeColor="background1"/>
                <w:szCs w:val="24"/>
              </w:rPr>
            </w:pPr>
            <w:bookmarkStart w:id="29" w:name="_Hlk96092429"/>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223199E9" w14:textId="3A644DE8" w:rsidR="00A26077" w:rsidRPr="00D948C1" w:rsidRDefault="00A26077" w:rsidP="00611673">
            <w:pPr>
              <w:rPr>
                <w:color w:val="FFFFFF" w:themeColor="background1"/>
                <w:szCs w:val="24"/>
              </w:rPr>
            </w:pPr>
            <w:r w:rsidRPr="00D948C1">
              <w:rPr>
                <w:color w:val="FFFFFF" w:themeColor="background1"/>
                <w:szCs w:val="24"/>
              </w:rPr>
              <w:t>Adjustments from General Fund to arrive at the Comprehensive Income and Expenditure Statement amounts</w:t>
            </w:r>
          </w:p>
        </w:tc>
        <w:tc>
          <w:tcPr>
            <w:tcW w:w="1559" w:type="dxa"/>
            <w:shd w:val="clear" w:color="auto" w:fill="BD2716"/>
            <w:vAlign w:val="center"/>
          </w:tcPr>
          <w:p w14:paraId="2BA2DA0B" w14:textId="77777777" w:rsidR="00A26077" w:rsidRPr="00D948C1" w:rsidRDefault="00A26077" w:rsidP="006860B8">
            <w:pPr>
              <w:jc w:val="right"/>
              <w:rPr>
                <w:color w:val="FFFFFF" w:themeColor="background1"/>
                <w:szCs w:val="24"/>
              </w:rPr>
            </w:pPr>
            <w:r w:rsidRPr="00D948C1">
              <w:rPr>
                <w:color w:val="FFFFFF" w:themeColor="background1"/>
                <w:szCs w:val="24"/>
              </w:rPr>
              <w:t>Transfer to/(from) Earmarked Reserves</w:t>
            </w:r>
          </w:p>
          <w:p w14:paraId="63EA470D" w14:textId="04652DAB" w:rsidR="00A26077" w:rsidRPr="00D948C1" w:rsidRDefault="00A26077" w:rsidP="006860B8">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527144CF" w14:textId="77777777" w:rsidR="00A26077" w:rsidRDefault="006860B8" w:rsidP="006860B8">
            <w:pPr>
              <w:jc w:val="right"/>
              <w:rPr>
                <w:bCs/>
                <w:color w:val="FFFFFF" w:themeColor="background1"/>
                <w:szCs w:val="24"/>
              </w:rPr>
            </w:pPr>
            <w:proofErr w:type="gramStart"/>
            <w:r w:rsidRPr="008C72DB">
              <w:rPr>
                <w:bCs/>
                <w:color w:val="FFFFFF" w:themeColor="background1"/>
                <w:szCs w:val="24"/>
              </w:rPr>
              <w:t>North West</w:t>
            </w:r>
            <w:proofErr w:type="gramEnd"/>
            <w:r w:rsidRPr="008C72DB">
              <w:rPr>
                <w:bCs/>
                <w:color w:val="FFFFFF" w:themeColor="background1"/>
                <w:szCs w:val="24"/>
              </w:rPr>
              <w:t xml:space="preserve"> </w:t>
            </w:r>
            <w:proofErr w:type="spellStart"/>
            <w:r w:rsidRPr="008C72DB">
              <w:rPr>
                <w:bCs/>
                <w:color w:val="FFFFFF" w:themeColor="background1"/>
                <w:szCs w:val="24"/>
              </w:rPr>
              <w:t>FireControl</w:t>
            </w:r>
            <w:proofErr w:type="spellEnd"/>
            <w:r w:rsidR="008C72DB" w:rsidRPr="008C72DB">
              <w:rPr>
                <w:bCs/>
                <w:color w:val="FFFFFF" w:themeColor="background1"/>
                <w:szCs w:val="24"/>
              </w:rPr>
              <w:t xml:space="preserve"> Ltd</w:t>
            </w:r>
          </w:p>
          <w:p w14:paraId="4862EAED" w14:textId="1310BF0A" w:rsidR="008C72DB" w:rsidRPr="008C72DB" w:rsidRDefault="008C72DB" w:rsidP="006860B8">
            <w:pPr>
              <w:jc w:val="right"/>
              <w:rPr>
                <w:bCs/>
                <w:color w:val="FFFFFF" w:themeColor="background1"/>
                <w:szCs w:val="24"/>
              </w:rPr>
            </w:pPr>
            <w:r>
              <w:rPr>
                <w:bCs/>
                <w:color w:val="FFFFFF" w:themeColor="background1"/>
                <w:szCs w:val="24"/>
              </w:rPr>
              <w:t>£000</w:t>
            </w:r>
          </w:p>
        </w:tc>
        <w:tc>
          <w:tcPr>
            <w:tcW w:w="1842" w:type="dxa"/>
            <w:shd w:val="clear" w:color="auto" w:fill="BD2716"/>
            <w:vAlign w:val="center"/>
          </w:tcPr>
          <w:p w14:paraId="297016DA" w14:textId="10207631" w:rsidR="00A26077" w:rsidRPr="00D948C1" w:rsidRDefault="00A26077" w:rsidP="006860B8">
            <w:pPr>
              <w:jc w:val="right"/>
              <w:rPr>
                <w:b/>
                <w:color w:val="FFFFFF" w:themeColor="background1"/>
                <w:szCs w:val="24"/>
              </w:rPr>
            </w:pPr>
            <w:r w:rsidRPr="00D948C1">
              <w:rPr>
                <w:b/>
                <w:color w:val="FFFFFF" w:themeColor="background1"/>
                <w:szCs w:val="24"/>
              </w:rPr>
              <w:t>Total to arrive at amount charged to the General Fund</w:t>
            </w:r>
          </w:p>
          <w:p w14:paraId="2DB49B89" w14:textId="3E9AD544" w:rsidR="00A26077" w:rsidRPr="00D948C1" w:rsidRDefault="00A26077" w:rsidP="006860B8">
            <w:pPr>
              <w:jc w:val="right"/>
              <w:rPr>
                <w:b/>
                <w:color w:val="FFFFFF" w:themeColor="background1"/>
                <w:szCs w:val="24"/>
              </w:rPr>
            </w:pPr>
            <w:r w:rsidRPr="00D948C1">
              <w:rPr>
                <w:b/>
                <w:color w:val="FFFFFF" w:themeColor="background1"/>
                <w:szCs w:val="24"/>
              </w:rPr>
              <w:t>£000</w:t>
            </w:r>
          </w:p>
        </w:tc>
        <w:tc>
          <w:tcPr>
            <w:tcW w:w="1560" w:type="dxa"/>
            <w:shd w:val="clear" w:color="auto" w:fill="BD2716"/>
            <w:vAlign w:val="center"/>
          </w:tcPr>
          <w:p w14:paraId="40B19AF4" w14:textId="77777777" w:rsidR="00A26077" w:rsidRPr="00D948C1" w:rsidRDefault="00A26077" w:rsidP="006860B8">
            <w:pPr>
              <w:jc w:val="right"/>
              <w:rPr>
                <w:color w:val="FFFFFF" w:themeColor="background1"/>
                <w:szCs w:val="24"/>
              </w:rPr>
            </w:pPr>
            <w:r w:rsidRPr="00D948C1">
              <w:rPr>
                <w:color w:val="FFFFFF" w:themeColor="background1"/>
                <w:szCs w:val="24"/>
              </w:rPr>
              <w:t>Adjustments for Capital Purposes (1)</w:t>
            </w:r>
          </w:p>
          <w:p w14:paraId="04BF9A22" w14:textId="3DA91E2B" w:rsidR="00A26077" w:rsidRPr="00D948C1" w:rsidRDefault="00A26077" w:rsidP="006860B8">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74CF91EF" w14:textId="77777777" w:rsidR="00A26077" w:rsidRPr="00D948C1" w:rsidRDefault="00A26077" w:rsidP="006860B8">
            <w:pPr>
              <w:jc w:val="right"/>
              <w:rPr>
                <w:color w:val="FFFFFF" w:themeColor="background1"/>
                <w:szCs w:val="24"/>
              </w:rPr>
            </w:pPr>
            <w:r w:rsidRPr="00D948C1">
              <w:rPr>
                <w:color w:val="FFFFFF" w:themeColor="background1"/>
                <w:szCs w:val="24"/>
              </w:rPr>
              <w:t>Net change for Pensions Adjustments (2)</w:t>
            </w:r>
          </w:p>
          <w:p w14:paraId="4588C924" w14:textId="2E6CEE52" w:rsidR="00A26077" w:rsidRPr="00D948C1" w:rsidRDefault="00A26077" w:rsidP="006860B8">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1D069D13" w14:textId="77777777" w:rsidR="00A26077" w:rsidRPr="00D948C1" w:rsidRDefault="00A26077" w:rsidP="006860B8">
            <w:pPr>
              <w:jc w:val="right"/>
              <w:rPr>
                <w:color w:val="FFFFFF" w:themeColor="background1"/>
                <w:szCs w:val="24"/>
              </w:rPr>
            </w:pPr>
            <w:r w:rsidRPr="00D948C1">
              <w:rPr>
                <w:color w:val="FFFFFF" w:themeColor="background1"/>
                <w:szCs w:val="24"/>
              </w:rPr>
              <w:t>Other Differences (3)</w:t>
            </w:r>
          </w:p>
          <w:p w14:paraId="2B994C29" w14:textId="0DA73AB3" w:rsidR="00A26077" w:rsidRPr="00D948C1" w:rsidRDefault="00A26077" w:rsidP="006860B8">
            <w:pPr>
              <w:jc w:val="right"/>
              <w:rPr>
                <w:color w:val="FFFFFF" w:themeColor="background1"/>
                <w:szCs w:val="24"/>
              </w:rPr>
            </w:pPr>
            <w:r w:rsidRPr="00D948C1">
              <w:rPr>
                <w:color w:val="FFFFFF" w:themeColor="background1"/>
                <w:szCs w:val="24"/>
              </w:rPr>
              <w:t>£000</w:t>
            </w:r>
          </w:p>
        </w:tc>
        <w:tc>
          <w:tcPr>
            <w:tcW w:w="2126" w:type="dxa"/>
            <w:shd w:val="clear" w:color="auto" w:fill="BD2716"/>
            <w:vAlign w:val="center"/>
          </w:tcPr>
          <w:p w14:paraId="4E107569" w14:textId="77777777" w:rsidR="00A26077" w:rsidRPr="00D948C1" w:rsidRDefault="00A26077" w:rsidP="00611673">
            <w:pPr>
              <w:jc w:val="right"/>
              <w:rPr>
                <w:b/>
                <w:color w:val="FFFFFF" w:themeColor="background1"/>
                <w:szCs w:val="24"/>
              </w:rPr>
            </w:pPr>
            <w:r w:rsidRPr="00D948C1">
              <w:rPr>
                <w:b/>
                <w:color w:val="FFFFFF" w:themeColor="background1"/>
                <w:szCs w:val="24"/>
              </w:rPr>
              <w:t>Total adjustment between funding and accounting basis</w:t>
            </w:r>
          </w:p>
          <w:p w14:paraId="330B91D1" w14:textId="79E3FCC0" w:rsidR="00A26077" w:rsidRPr="00D948C1" w:rsidRDefault="00A26077" w:rsidP="00611673">
            <w:pPr>
              <w:jc w:val="right"/>
              <w:rPr>
                <w:b/>
                <w:color w:val="FFFFFF" w:themeColor="background1"/>
                <w:szCs w:val="24"/>
              </w:rPr>
            </w:pPr>
            <w:r w:rsidRPr="00D948C1">
              <w:rPr>
                <w:b/>
                <w:color w:val="FFFFFF" w:themeColor="background1"/>
                <w:szCs w:val="24"/>
              </w:rPr>
              <w:t>£000</w:t>
            </w:r>
          </w:p>
        </w:tc>
      </w:tr>
      <w:tr w:rsidR="00B53FC2" w:rsidRPr="00D948C1" w14:paraId="18D46DA3" w14:textId="77777777" w:rsidTr="00E253C6">
        <w:tc>
          <w:tcPr>
            <w:tcW w:w="3543" w:type="dxa"/>
          </w:tcPr>
          <w:p w14:paraId="08BDCCE0" w14:textId="77777777" w:rsidR="00B53FC2" w:rsidRPr="00D948C1" w:rsidRDefault="00B53FC2" w:rsidP="00B53FC2">
            <w:pPr>
              <w:rPr>
                <w:szCs w:val="24"/>
              </w:rPr>
            </w:pPr>
            <w:r w:rsidRPr="00D948C1">
              <w:rPr>
                <w:szCs w:val="24"/>
              </w:rPr>
              <w:t>Service Delivery</w:t>
            </w:r>
          </w:p>
        </w:tc>
        <w:tc>
          <w:tcPr>
            <w:tcW w:w="1559" w:type="dxa"/>
            <w:vAlign w:val="center"/>
          </w:tcPr>
          <w:p w14:paraId="74697108" w14:textId="77896A37" w:rsidR="00B53FC2" w:rsidRPr="00543C89" w:rsidRDefault="00B53FC2" w:rsidP="00B53FC2">
            <w:pPr>
              <w:jc w:val="right"/>
              <w:rPr>
                <w:rFonts w:cs="Arial"/>
                <w:szCs w:val="24"/>
              </w:rPr>
            </w:pPr>
            <w:r>
              <w:rPr>
                <w:rFonts w:cs="Arial"/>
                <w:szCs w:val="24"/>
              </w:rPr>
              <w:t>(371)</w:t>
            </w:r>
          </w:p>
        </w:tc>
        <w:tc>
          <w:tcPr>
            <w:tcW w:w="1559" w:type="dxa"/>
          </w:tcPr>
          <w:p w14:paraId="0B22D4C9" w14:textId="0481B6CA" w:rsidR="00B53FC2" w:rsidRPr="00543C89" w:rsidRDefault="00B53FC2" w:rsidP="00B53FC2">
            <w:pPr>
              <w:jc w:val="right"/>
              <w:rPr>
                <w:rFonts w:cs="Arial"/>
                <w:szCs w:val="24"/>
              </w:rPr>
            </w:pPr>
            <w:r>
              <w:rPr>
                <w:rFonts w:cs="Arial"/>
                <w:szCs w:val="24"/>
              </w:rPr>
              <w:t>(168)</w:t>
            </w:r>
          </w:p>
        </w:tc>
        <w:tc>
          <w:tcPr>
            <w:tcW w:w="1842" w:type="dxa"/>
            <w:vAlign w:val="center"/>
          </w:tcPr>
          <w:p w14:paraId="0C2240F0" w14:textId="517EEAB7" w:rsidR="00B53FC2" w:rsidRPr="00543C89" w:rsidRDefault="00B53FC2" w:rsidP="00B53FC2">
            <w:pPr>
              <w:jc w:val="right"/>
              <w:rPr>
                <w:rFonts w:cs="Arial"/>
                <w:szCs w:val="24"/>
              </w:rPr>
            </w:pPr>
            <w:r>
              <w:rPr>
                <w:rFonts w:cs="Arial"/>
                <w:szCs w:val="24"/>
              </w:rPr>
              <w:t>(539)</w:t>
            </w:r>
          </w:p>
        </w:tc>
        <w:tc>
          <w:tcPr>
            <w:tcW w:w="1560" w:type="dxa"/>
            <w:vAlign w:val="center"/>
          </w:tcPr>
          <w:p w14:paraId="1921E293" w14:textId="5277FBD5" w:rsidR="00B53FC2" w:rsidRPr="00543C89" w:rsidRDefault="00B53FC2" w:rsidP="00B53FC2">
            <w:pPr>
              <w:jc w:val="right"/>
              <w:rPr>
                <w:rFonts w:cs="Arial"/>
                <w:szCs w:val="24"/>
              </w:rPr>
            </w:pPr>
            <w:r w:rsidRPr="00543C89">
              <w:rPr>
                <w:rFonts w:cs="Arial"/>
                <w:szCs w:val="24"/>
              </w:rPr>
              <w:t>-</w:t>
            </w:r>
          </w:p>
        </w:tc>
        <w:tc>
          <w:tcPr>
            <w:tcW w:w="1701" w:type="dxa"/>
            <w:vAlign w:val="center"/>
          </w:tcPr>
          <w:p w14:paraId="43FDDB66" w14:textId="0CB549F3" w:rsidR="00B53FC2" w:rsidRPr="00543C89" w:rsidRDefault="00B53FC2" w:rsidP="00B53FC2">
            <w:pPr>
              <w:jc w:val="right"/>
              <w:rPr>
                <w:rFonts w:cs="Arial"/>
                <w:szCs w:val="24"/>
              </w:rPr>
            </w:pPr>
            <w:r w:rsidRPr="00543C89">
              <w:rPr>
                <w:rFonts w:cs="Arial"/>
                <w:szCs w:val="24"/>
              </w:rPr>
              <w:t>(24,577)</w:t>
            </w:r>
          </w:p>
        </w:tc>
        <w:tc>
          <w:tcPr>
            <w:tcW w:w="1559" w:type="dxa"/>
            <w:vAlign w:val="center"/>
          </w:tcPr>
          <w:p w14:paraId="7CD6A228" w14:textId="397FF731" w:rsidR="00B53FC2" w:rsidRPr="00543C89" w:rsidRDefault="00B53FC2" w:rsidP="00B53FC2">
            <w:pPr>
              <w:jc w:val="right"/>
              <w:rPr>
                <w:rFonts w:cs="Arial"/>
                <w:szCs w:val="24"/>
              </w:rPr>
            </w:pPr>
            <w:r w:rsidRPr="00543C89">
              <w:rPr>
                <w:rFonts w:cs="Arial"/>
                <w:szCs w:val="24"/>
              </w:rPr>
              <w:t>(</w:t>
            </w:r>
            <w:r w:rsidR="00055136">
              <w:rPr>
                <w:rFonts w:cs="Arial"/>
                <w:szCs w:val="24"/>
              </w:rPr>
              <w:t>10</w:t>
            </w:r>
            <w:r w:rsidRPr="00543C89">
              <w:rPr>
                <w:rFonts w:cs="Arial"/>
                <w:szCs w:val="24"/>
              </w:rPr>
              <w:t>)</w:t>
            </w:r>
          </w:p>
        </w:tc>
        <w:tc>
          <w:tcPr>
            <w:tcW w:w="2126" w:type="dxa"/>
            <w:vAlign w:val="center"/>
          </w:tcPr>
          <w:p w14:paraId="5117CB05" w14:textId="50C32CD0" w:rsidR="00B53FC2" w:rsidRPr="00B53FC2" w:rsidRDefault="00B53FC2" w:rsidP="00B53FC2">
            <w:pPr>
              <w:jc w:val="right"/>
              <w:rPr>
                <w:rFonts w:cs="Arial"/>
                <w:b/>
                <w:bCs/>
                <w:szCs w:val="24"/>
              </w:rPr>
            </w:pPr>
            <w:r w:rsidRPr="00B53FC2">
              <w:rPr>
                <w:rFonts w:cs="Arial"/>
                <w:b/>
                <w:bCs/>
                <w:szCs w:val="24"/>
              </w:rPr>
              <w:t>(24,587)</w:t>
            </w:r>
          </w:p>
        </w:tc>
      </w:tr>
      <w:tr w:rsidR="00B53FC2" w:rsidRPr="00D948C1" w14:paraId="06679D7A" w14:textId="77777777" w:rsidTr="00E253C6">
        <w:tc>
          <w:tcPr>
            <w:tcW w:w="3543" w:type="dxa"/>
          </w:tcPr>
          <w:p w14:paraId="287ED27E" w14:textId="77777777" w:rsidR="00B53FC2" w:rsidRPr="00D948C1" w:rsidRDefault="00B53FC2" w:rsidP="00B53FC2">
            <w:pPr>
              <w:rPr>
                <w:szCs w:val="24"/>
              </w:rPr>
            </w:pPr>
            <w:r w:rsidRPr="00D948C1">
              <w:rPr>
                <w:szCs w:val="24"/>
              </w:rPr>
              <w:t>Strategy and Planning</w:t>
            </w:r>
          </w:p>
        </w:tc>
        <w:tc>
          <w:tcPr>
            <w:tcW w:w="1559" w:type="dxa"/>
            <w:vAlign w:val="center"/>
          </w:tcPr>
          <w:p w14:paraId="245E022B" w14:textId="44AFB18A" w:rsidR="00B53FC2" w:rsidRPr="00543C89" w:rsidRDefault="00B53FC2" w:rsidP="00B53FC2">
            <w:pPr>
              <w:jc w:val="right"/>
              <w:rPr>
                <w:rFonts w:cs="Arial"/>
                <w:szCs w:val="24"/>
              </w:rPr>
            </w:pPr>
            <w:r>
              <w:rPr>
                <w:rFonts w:cs="Arial"/>
                <w:szCs w:val="24"/>
              </w:rPr>
              <w:t>(200)</w:t>
            </w:r>
          </w:p>
        </w:tc>
        <w:tc>
          <w:tcPr>
            <w:tcW w:w="1559" w:type="dxa"/>
          </w:tcPr>
          <w:p w14:paraId="33BE21C8" w14:textId="3502D04C" w:rsidR="00B53FC2" w:rsidRPr="00543C89" w:rsidRDefault="00B53FC2" w:rsidP="00B53FC2">
            <w:pPr>
              <w:jc w:val="right"/>
              <w:rPr>
                <w:rFonts w:cs="Arial"/>
                <w:szCs w:val="24"/>
              </w:rPr>
            </w:pPr>
            <w:r>
              <w:rPr>
                <w:rFonts w:cs="Arial"/>
                <w:szCs w:val="24"/>
              </w:rPr>
              <w:t>-</w:t>
            </w:r>
          </w:p>
        </w:tc>
        <w:tc>
          <w:tcPr>
            <w:tcW w:w="1842" w:type="dxa"/>
            <w:vAlign w:val="center"/>
          </w:tcPr>
          <w:p w14:paraId="4585EFA8" w14:textId="0903CCED" w:rsidR="00B53FC2" w:rsidRPr="00543C89" w:rsidRDefault="00B53FC2" w:rsidP="00B53FC2">
            <w:pPr>
              <w:jc w:val="right"/>
              <w:rPr>
                <w:rFonts w:cs="Arial"/>
                <w:szCs w:val="24"/>
              </w:rPr>
            </w:pPr>
            <w:r>
              <w:rPr>
                <w:rFonts w:cs="Arial"/>
                <w:szCs w:val="24"/>
              </w:rPr>
              <w:t>(200)</w:t>
            </w:r>
          </w:p>
        </w:tc>
        <w:tc>
          <w:tcPr>
            <w:tcW w:w="1560" w:type="dxa"/>
            <w:vAlign w:val="center"/>
          </w:tcPr>
          <w:p w14:paraId="3E47D72C" w14:textId="633D3DE7" w:rsidR="00B53FC2" w:rsidRPr="00543C89" w:rsidRDefault="00B53FC2" w:rsidP="00B53FC2">
            <w:pPr>
              <w:jc w:val="right"/>
              <w:rPr>
                <w:rFonts w:cs="Arial"/>
                <w:szCs w:val="24"/>
              </w:rPr>
            </w:pPr>
            <w:r w:rsidRPr="00543C89">
              <w:rPr>
                <w:rFonts w:cs="Arial"/>
                <w:szCs w:val="24"/>
              </w:rPr>
              <w:t>-</w:t>
            </w:r>
          </w:p>
        </w:tc>
        <w:tc>
          <w:tcPr>
            <w:tcW w:w="1701" w:type="dxa"/>
            <w:vAlign w:val="center"/>
          </w:tcPr>
          <w:p w14:paraId="65169656" w14:textId="1D2DE823" w:rsidR="00B53FC2" w:rsidRPr="00543C89" w:rsidRDefault="00B53FC2" w:rsidP="00B53FC2">
            <w:pPr>
              <w:jc w:val="right"/>
              <w:rPr>
                <w:rFonts w:cs="Arial"/>
                <w:szCs w:val="24"/>
              </w:rPr>
            </w:pPr>
            <w:r w:rsidRPr="00543C89">
              <w:rPr>
                <w:rFonts w:cs="Arial"/>
                <w:szCs w:val="24"/>
              </w:rPr>
              <w:t>(1,899)</w:t>
            </w:r>
          </w:p>
        </w:tc>
        <w:tc>
          <w:tcPr>
            <w:tcW w:w="1559" w:type="dxa"/>
            <w:vAlign w:val="center"/>
          </w:tcPr>
          <w:p w14:paraId="2E925BE7" w14:textId="3287D5C6" w:rsidR="00B53FC2" w:rsidRPr="00543C89" w:rsidRDefault="008578AC" w:rsidP="00B53FC2">
            <w:pPr>
              <w:jc w:val="right"/>
              <w:rPr>
                <w:rFonts w:cs="Arial"/>
                <w:szCs w:val="24"/>
              </w:rPr>
            </w:pPr>
            <w:r>
              <w:rPr>
                <w:rFonts w:cs="Arial"/>
                <w:szCs w:val="24"/>
              </w:rPr>
              <w:t>-</w:t>
            </w:r>
          </w:p>
        </w:tc>
        <w:tc>
          <w:tcPr>
            <w:tcW w:w="2126" w:type="dxa"/>
            <w:vAlign w:val="center"/>
          </w:tcPr>
          <w:p w14:paraId="3FDC6DA8" w14:textId="56AE6039" w:rsidR="00B53FC2" w:rsidRPr="00B53FC2" w:rsidRDefault="00B53FC2" w:rsidP="00B53FC2">
            <w:pPr>
              <w:jc w:val="right"/>
              <w:rPr>
                <w:rFonts w:cs="Arial"/>
                <w:b/>
                <w:bCs/>
                <w:szCs w:val="24"/>
              </w:rPr>
            </w:pPr>
            <w:r w:rsidRPr="00B53FC2">
              <w:rPr>
                <w:rFonts w:cs="Arial"/>
                <w:b/>
                <w:bCs/>
                <w:szCs w:val="24"/>
              </w:rPr>
              <w:t>(1,899)</w:t>
            </w:r>
          </w:p>
        </w:tc>
      </w:tr>
      <w:tr w:rsidR="00B53FC2" w:rsidRPr="00D948C1" w14:paraId="6E04BE23" w14:textId="77777777" w:rsidTr="00E253C6">
        <w:tc>
          <w:tcPr>
            <w:tcW w:w="3543" w:type="dxa"/>
          </w:tcPr>
          <w:p w14:paraId="501103D2" w14:textId="77777777" w:rsidR="00B53FC2" w:rsidRPr="00D948C1" w:rsidRDefault="00B53FC2" w:rsidP="00B53FC2">
            <w:pPr>
              <w:rPr>
                <w:szCs w:val="24"/>
              </w:rPr>
            </w:pPr>
            <w:r w:rsidRPr="00D948C1">
              <w:rPr>
                <w:szCs w:val="24"/>
              </w:rPr>
              <w:t>People and Development</w:t>
            </w:r>
          </w:p>
        </w:tc>
        <w:tc>
          <w:tcPr>
            <w:tcW w:w="1559" w:type="dxa"/>
            <w:vAlign w:val="center"/>
          </w:tcPr>
          <w:p w14:paraId="37CC7977" w14:textId="31C1D5A6" w:rsidR="00B53FC2" w:rsidRPr="00543C89" w:rsidRDefault="00B53FC2" w:rsidP="00B53FC2">
            <w:pPr>
              <w:jc w:val="right"/>
              <w:rPr>
                <w:rFonts w:cs="Arial"/>
                <w:szCs w:val="24"/>
              </w:rPr>
            </w:pPr>
            <w:r>
              <w:rPr>
                <w:rFonts w:cs="Arial"/>
                <w:szCs w:val="24"/>
              </w:rPr>
              <w:t>(39)</w:t>
            </w:r>
          </w:p>
        </w:tc>
        <w:tc>
          <w:tcPr>
            <w:tcW w:w="1559" w:type="dxa"/>
          </w:tcPr>
          <w:p w14:paraId="585F2D8F" w14:textId="47FDCE59" w:rsidR="00B53FC2" w:rsidRPr="00543C89" w:rsidRDefault="00B53FC2" w:rsidP="00B53FC2">
            <w:pPr>
              <w:jc w:val="right"/>
              <w:rPr>
                <w:rFonts w:cs="Arial"/>
                <w:szCs w:val="24"/>
              </w:rPr>
            </w:pPr>
            <w:r>
              <w:rPr>
                <w:rFonts w:cs="Arial"/>
                <w:szCs w:val="24"/>
              </w:rPr>
              <w:t>-</w:t>
            </w:r>
          </w:p>
        </w:tc>
        <w:tc>
          <w:tcPr>
            <w:tcW w:w="1842" w:type="dxa"/>
            <w:vAlign w:val="center"/>
          </w:tcPr>
          <w:p w14:paraId="3A5C8C78" w14:textId="3712E082" w:rsidR="00B53FC2" w:rsidRPr="00543C89" w:rsidRDefault="00B53FC2" w:rsidP="00B53FC2">
            <w:pPr>
              <w:jc w:val="right"/>
              <w:rPr>
                <w:rFonts w:cs="Arial"/>
                <w:szCs w:val="24"/>
              </w:rPr>
            </w:pPr>
            <w:r>
              <w:rPr>
                <w:rFonts w:cs="Arial"/>
                <w:szCs w:val="24"/>
              </w:rPr>
              <w:t>(39)</w:t>
            </w:r>
          </w:p>
        </w:tc>
        <w:tc>
          <w:tcPr>
            <w:tcW w:w="1560" w:type="dxa"/>
            <w:vAlign w:val="center"/>
          </w:tcPr>
          <w:p w14:paraId="0B85A0F4" w14:textId="313A6EAD" w:rsidR="00B53FC2" w:rsidRPr="00543C89" w:rsidRDefault="00B53FC2" w:rsidP="00B53FC2">
            <w:pPr>
              <w:jc w:val="right"/>
              <w:rPr>
                <w:rFonts w:cs="Arial"/>
                <w:szCs w:val="24"/>
              </w:rPr>
            </w:pPr>
            <w:r w:rsidRPr="00543C89">
              <w:rPr>
                <w:rFonts w:cs="Arial"/>
                <w:szCs w:val="24"/>
              </w:rPr>
              <w:t>-</w:t>
            </w:r>
          </w:p>
        </w:tc>
        <w:tc>
          <w:tcPr>
            <w:tcW w:w="1701" w:type="dxa"/>
            <w:vAlign w:val="center"/>
          </w:tcPr>
          <w:p w14:paraId="207C5D73" w14:textId="5B1B9ACC" w:rsidR="00B53FC2" w:rsidRPr="00543C89" w:rsidRDefault="00B53FC2" w:rsidP="00B53FC2">
            <w:pPr>
              <w:jc w:val="right"/>
              <w:rPr>
                <w:rFonts w:cs="Arial"/>
                <w:szCs w:val="24"/>
              </w:rPr>
            </w:pPr>
            <w:r w:rsidRPr="00543C89">
              <w:rPr>
                <w:rFonts w:cs="Arial"/>
                <w:szCs w:val="24"/>
              </w:rPr>
              <w:t>177</w:t>
            </w:r>
          </w:p>
        </w:tc>
        <w:tc>
          <w:tcPr>
            <w:tcW w:w="1559" w:type="dxa"/>
            <w:vAlign w:val="center"/>
          </w:tcPr>
          <w:p w14:paraId="5E19D014" w14:textId="0E300402" w:rsidR="00B53FC2" w:rsidRPr="00543C89" w:rsidRDefault="008578AC" w:rsidP="00B53FC2">
            <w:pPr>
              <w:jc w:val="right"/>
              <w:rPr>
                <w:rFonts w:cs="Arial"/>
                <w:szCs w:val="24"/>
              </w:rPr>
            </w:pPr>
            <w:r>
              <w:rPr>
                <w:rFonts w:cs="Arial"/>
                <w:szCs w:val="24"/>
              </w:rPr>
              <w:t>-</w:t>
            </w:r>
          </w:p>
        </w:tc>
        <w:tc>
          <w:tcPr>
            <w:tcW w:w="2126" w:type="dxa"/>
            <w:vAlign w:val="center"/>
          </w:tcPr>
          <w:p w14:paraId="1F507E29" w14:textId="5AC0762C" w:rsidR="00B53FC2" w:rsidRPr="00B53FC2" w:rsidRDefault="00B53FC2" w:rsidP="00B53FC2">
            <w:pPr>
              <w:jc w:val="right"/>
              <w:rPr>
                <w:rFonts w:cs="Arial"/>
                <w:b/>
                <w:bCs/>
                <w:szCs w:val="24"/>
              </w:rPr>
            </w:pPr>
            <w:r w:rsidRPr="00B53FC2">
              <w:rPr>
                <w:rFonts w:cs="Arial"/>
                <w:b/>
                <w:bCs/>
                <w:szCs w:val="24"/>
              </w:rPr>
              <w:t>177</w:t>
            </w:r>
          </w:p>
        </w:tc>
      </w:tr>
      <w:tr w:rsidR="00B53FC2" w:rsidRPr="00D948C1" w14:paraId="649FA0C2" w14:textId="77777777" w:rsidTr="00E253C6">
        <w:tc>
          <w:tcPr>
            <w:tcW w:w="3543" w:type="dxa"/>
          </w:tcPr>
          <w:p w14:paraId="46FF3D59" w14:textId="77777777" w:rsidR="00B53FC2" w:rsidRPr="00D948C1" w:rsidRDefault="00B53FC2" w:rsidP="00B53FC2">
            <w:pPr>
              <w:rPr>
                <w:szCs w:val="24"/>
              </w:rPr>
            </w:pPr>
            <w:r w:rsidRPr="00D948C1">
              <w:rPr>
                <w:szCs w:val="24"/>
              </w:rPr>
              <w:t>Corporate Services</w:t>
            </w:r>
          </w:p>
        </w:tc>
        <w:tc>
          <w:tcPr>
            <w:tcW w:w="1559" w:type="dxa"/>
            <w:vAlign w:val="center"/>
          </w:tcPr>
          <w:p w14:paraId="48E16A41" w14:textId="2BB40D88" w:rsidR="00B53FC2" w:rsidRPr="00543C89" w:rsidRDefault="00B53FC2" w:rsidP="00B53FC2">
            <w:pPr>
              <w:jc w:val="right"/>
              <w:rPr>
                <w:rFonts w:cs="Arial"/>
                <w:szCs w:val="24"/>
              </w:rPr>
            </w:pPr>
            <w:r>
              <w:rPr>
                <w:rFonts w:cs="Arial"/>
                <w:szCs w:val="24"/>
              </w:rPr>
              <w:t>(1,270)</w:t>
            </w:r>
          </w:p>
        </w:tc>
        <w:tc>
          <w:tcPr>
            <w:tcW w:w="1559" w:type="dxa"/>
          </w:tcPr>
          <w:p w14:paraId="2DEF746F" w14:textId="6EE204E5" w:rsidR="00B53FC2" w:rsidRPr="00543C89" w:rsidRDefault="00B53FC2" w:rsidP="00B53FC2">
            <w:pPr>
              <w:jc w:val="right"/>
              <w:rPr>
                <w:rFonts w:cs="Arial"/>
                <w:szCs w:val="24"/>
              </w:rPr>
            </w:pPr>
            <w:r>
              <w:rPr>
                <w:rFonts w:cs="Arial"/>
                <w:szCs w:val="24"/>
              </w:rPr>
              <w:t>-</w:t>
            </w:r>
          </w:p>
        </w:tc>
        <w:tc>
          <w:tcPr>
            <w:tcW w:w="1842" w:type="dxa"/>
            <w:vAlign w:val="center"/>
          </w:tcPr>
          <w:p w14:paraId="0AB6212C" w14:textId="7C2634F2" w:rsidR="00B53FC2" w:rsidRPr="00543C89" w:rsidRDefault="00B53FC2" w:rsidP="00B53FC2">
            <w:pPr>
              <w:jc w:val="right"/>
              <w:rPr>
                <w:rFonts w:cs="Arial"/>
                <w:szCs w:val="24"/>
              </w:rPr>
            </w:pPr>
            <w:r>
              <w:rPr>
                <w:rFonts w:cs="Arial"/>
                <w:szCs w:val="24"/>
              </w:rPr>
              <w:t>(1,270)</w:t>
            </w:r>
          </w:p>
        </w:tc>
        <w:tc>
          <w:tcPr>
            <w:tcW w:w="1560" w:type="dxa"/>
            <w:vAlign w:val="center"/>
          </w:tcPr>
          <w:p w14:paraId="08235B7F" w14:textId="5E2195EF" w:rsidR="00B53FC2" w:rsidRPr="00543C89" w:rsidRDefault="00B53FC2" w:rsidP="00B53FC2">
            <w:pPr>
              <w:jc w:val="right"/>
              <w:rPr>
                <w:rFonts w:cs="Arial"/>
                <w:szCs w:val="24"/>
              </w:rPr>
            </w:pPr>
            <w:r w:rsidRPr="00543C89">
              <w:rPr>
                <w:rFonts w:cs="Arial"/>
                <w:szCs w:val="24"/>
              </w:rPr>
              <w:t>-</w:t>
            </w:r>
          </w:p>
        </w:tc>
        <w:tc>
          <w:tcPr>
            <w:tcW w:w="1701" w:type="dxa"/>
            <w:vAlign w:val="center"/>
          </w:tcPr>
          <w:p w14:paraId="4F79C7B1" w14:textId="6038B615" w:rsidR="00B53FC2" w:rsidRPr="00543C89" w:rsidRDefault="00B53FC2" w:rsidP="00B53FC2">
            <w:pPr>
              <w:jc w:val="right"/>
              <w:rPr>
                <w:rFonts w:cs="Arial"/>
                <w:szCs w:val="24"/>
              </w:rPr>
            </w:pPr>
            <w:r w:rsidRPr="00543C89">
              <w:rPr>
                <w:rFonts w:cs="Arial"/>
                <w:szCs w:val="24"/>
              </w:rPr>
              <w:t>(238)</w:t>
            </w:r>
          </w:p>
        </w:tc>
        <w:tc>
          <w:tcPr>
            <w:tcW w:w="1559" w:type="dxa"/>
            <w:vAlign w:val="center"/>
          </w:tcPr>
          <w:p w14:paraId="0DEE9FC1" w14:textId="525C9803" w:rsidR="00B53FC2" w:rsidRPr="00543C89" w:rsidRDefault="008578AC" w:rsidP="00B53FC2">
            <w:pPr>
              <w:jc w:val="right"/>
              <w:rPr>
                <w:rFonts w:cs="Arial"/>
                <w:szCs w:val="24"/>
              </w:rPr>
            </w:pPr>
            <w:r>
              <w:rPr>
                <w:rFonts w:cs="Arial"/>
                <w:szCs w:val="24"/>
              </w:rPr>
              <w:t>-</w:t>
            </w:r>
          </w:p>
        </w:tc>
        <w:tc>
          <w:tcPr>
            <w:tcW w:w="2126" w:type="dxa"/>
            <w:vAlign w:val="center"/>
          </w:tcPr>
          <w:p w14:paraId="16736969" w14:textId="6DCB3BD1" w:rsidR="00B53FC2" w:rsidRPr="00B53FC2" w:rsidRDefault="00B53FC2" w:rsidP="00B53FC2">
            <w:pPr>
              <w:jc w:val="right"/>
              <w:rPr>
                <w:rFonts w:cs="Arial"/>
                <w:b/>
                <w:bCs/>
                <w:szCs w:val="24"/>
              </w:rPr>
            </w:pPr>
            <w:r w:rsidRPr="00B53FC2">
              <w:rPr>
                <w:rFonts w:cs="Arial"/>
                <w:b/>
                <w:bCs/>
                <w:szCs w:val="24"/>
              </w:rPr>
              <w:t>(238)</w:t>
            </w:r>
          </w:p>
        </w:tc>
      </w:tr>
      <w:tr w:rsidR="00B53FC2" w:rsidRPr="00D948C1" w14:paraId="6CD6E4BA" w14:textId="77777777" w:rsidTr="00E253C6">
        <w:tc>
          <w:tcPr>
            <w:tcW w:w="3543" w:type="dxa"/>
          </w:tcPr>
          <w:p w14:paraId="5AE7147B" w14:textId="77777777" w:rsidR="00B53FC2" w:rsidRPr="00D948C1" w:rsidRDefault="00B53FC2" w:rsidP="00B53FC2">
            <w:pPr>
              <w:rPr>
                <w:szCs w:val="24"/>
              </w:rPr>
            </w:pPr>
            <w:r w:rsidRPr="00D948C1">
              <w:rPr>
                <w:szCs w:val="24"/>
              </w:rPr>
              <w:t>Firefighters Pensions</w:t>
            </w:r>
          </w:p>
        </w:tc>
        <w:tc>
          <w:tcPr>
            <w:tcW w:w="1559" w:type="dxa"/>
            <w:vAlign w:val="center"/>
          </w:tcPr>
          <w:p w14:paraId="6E09A300" w14:textId="1660FB3A" w:rsidR="00B53FC2" w:rsidRPr="00543C89" w:rsidRDefault="00B53FC2" w:rsidP="00B53FC2">
            <w:pPr>
              <w:jc w:val="right"/>
              <w:rPr>
                <w:rFonts w:cs="Arial"/>
                <w:szCs w:val="24"/>
              </w:rPr>
            </w:pPr>
            <w:r w:rsidRPr="00543C89">
              <w:rPr>
                <w:rFonts w:cs="Arial"/>
                <w:szCs w:val="24"/>
              </w:rPr>
              <w:t>-</w:t>
            </w:r>
          </w:p>
        </w:tc>
        <w:tc>
          <w:tcPr>
            <w:tcW w:w="1559" w:type="dxa"/>
          </w:tcPr>
          <w:p w14:paraId="24559743" w14:textId="6FE2B9DA" w:rsidR="00B53FC2" w:rsidRPr="00543C89" w:rsidRDefault="00B53FC2" w:rsidP="00B53FC2">
            <w:pPr>
              <w:jc w:val="right"/>
              <w:rPr>
                <w:rFonts w:cs="Arial"/>
                <w:szCs w:val="24"/>
              </w:rPr>
            </w:pPr>
            <w:r>
              <w:rPr>
                <w:rFonts w:cs="Arial"/>
                <w:szCs w:val="24"/>
              </w:rPr>
              <w:t>-</w:t>
            </w:r>
          </w:p>
        </w:tc>
        <w:tc>
          <w:tcPr>
            <w:tcW w:w="1842" w:type="dxa"/>
            <w:vAlign w:val="center"/>
          </w:tcPr>
          <w:p w14:paraId="02BF1B8F" w14:textId="02C395C7" w:rsidR="00B53FC2" w:rsidRPr="00543C89" w:rsidRDefault="00B53FC2" w:rsidP="00B53FC2">
            <w:pPr>
              <w:jc w:val="right"/>
              <w:rPr>
                <w:rFonts w:cs="Arial"/>
                <w:szCs w:val="24"/>
              </w:rPr>
            </w:pPr>
            <w:r w:rsidRPr="00543C89">
              <w:rPr>
                <w:rFonts w:cs="Arial"/>
                <w:szCs w:val="24"/>
              </w:rPr>
              <w:t>-</w:t>
            </w:r>
          </w:p>
        </w:tc>
        <w:tc>
          <w:tcPr>
            <w:tcW w:w="1560" w:type="dxa"/>
            <w:vAlign w:val="center"/>
          </w:tcPr>
          <w:p w14:paraId="7890E76E" w14:textId="7614515A" w:rsidR="00B53FC2" w:rsidRPr="00543C89" w:rsidRDefault="00B53FC2" w:rsidP="00B53FC2">
            <w:pPr>
              <w:jc w:val="right"/>
              <w:rPr>
                <w:rFonts w:cs="Arial"/>
                <w:szCs w:val="24"/>
              </w:rPr>
            </w:pPr>
            <w:r w:rsidRPr="00543C89">
              <w:rPr>
                <w:rFonts w:cs="Arial"/>
                <w:szCs w:val="24"/>
              </w:rPr>
              <w:t>-</w:t>
            </w:r>
          </w:p>
        </w:tc>
        <w:tc>
          <w:tcPr>
            <w:tcW w:w="1701" w:type="dxa"/>
            <w:vAlign w:val="center"/>
          </w:tcPr>
          <w:p w14:paraId="6A0B66CA" w14:textId="171F47E8" w:rsidR="00B53FC2" w:rsidRPr="00543C89" w:rsidRDefault="00B53FC2" w:rsidP="00B53FC2">
            <w:pPr>
              <w:jc w:val="right"/>
              <w:rPr>
                <w:rFonts w:cs="Arial"/>
                <w:szCs w:val="24"/>
              </w:rPr>
            </w:pPr>
            <w:r w:rsidRPr="00543C89">
              <w:rPr>
                <w:rFonts w:cs="Arial"/>
                <w:szCs w:val="24"/>
              </w:rPr>
              <w:t>-</w:t>
            </w:r>
          </w:p>
        </w:tc>
        <w:tc>
          <w:tcPr>
            <w:tcW w:w="1559" w:type="dxa"/>
            <w:vAlign w:val="center"/>
          </w:tcPr>
          <w:p w14:paraId="52733FA7" w14:textId="4C7AB1F9" w:rsidR="00B53FC2" w:rsidRPr="00543C89" w:rsidRDefault="00B53FC2" w:rsidP="00B53FC2">
            <w:pPr>
              <w:jc w:val="right"/>
              <w:rPr>
                <w:rFonts w:cs="Arial"/>
                <w:szCs w:val="24"/>
              </w:rPr>
            </w:pPr>
            <w:r w:rsidRPr="00543C89">
              <w:rPr>
                <w:rFonts w:cs="Arial"/>
                <w:szCs w:val="24"/>
              </w:rPr>
              <w:t>-</w:t>
            </w:r>
          </w:p>
        </w:tc>
        <w:tc>
          <w:tcPr>
            <w:tcW w:w="2126" w:type="dxa"/>
            <w:vAlign w:val="center"/>
          </w:tcPr>
          <w:p w14:paraId="2A5DD591" w14:textId="294B1FED" w:rsidR="00B53FC2" w:rsidRPr="00B53FC2" w:rsidRDefault="00B53FC2" w:rsidP="00B53FC2">
            <w:pPr>
              <w:jc w:val="right"/>
              <w:rPr>
                <w:rFonts w:cs="Arial"/>
                <w:b/>
                <w:bCs/>
                <w:szCs w:val="24"/>
              </w:rPr>
            </w:pPr>
            <w:r w:rsidRPr="00B53FC2">
              <w:rPr>
                <w:rFonts w:cs="Arial"/>
                <w:b/>
                <w:bCs/>
                <w:szCs w:val="24"/>
              </w:rPr>
              <w:t>-</w:t>
            </w:r>
          </w:p>
        </w:tc>
      </w:tr>
      <w:tr w:rsidR="00B53FC2" w:rsidRPr="00D948C1" w14:paraId="3C26FA09" w14:textId="77777777" w:rsidTr="00E253C6">
        <w:tc>
          <w:tcPr>
            <w:tcW w:w="3543" w:type="dxa"/>
          </w:tcPr>
          <w:p w14:paraId="0B11B799" w14:textId="77777777" w:rsidR="00B53FC2" w:rsidRPr="00D948C1" w:rsidRDefault="00B53FC2" w:rsidP="00B53FC2">
            <w:pPr>
              <w:rPr>
                <w:szCs w:val="24"/>
              </w:rPr>
            </w:pPr>
            <w:r w:rsidRPr="00D948C1">
              <w:rPr>
                <w:szCs w:val="24"/>
              </w:rPr>
              <w:t>Overheads</w:t>
            </w:r>
          </w:p>
        </w:tc>
        <w:tc>
          <w:tcPr>
            <w:tcW w:w="1559" w:type="dxa"/>
            <w:vAlign w:val="center"/>
          </w:tcPr>
          <w:p w14:paraId="41BD1E28" w14:textId="7B95A6F4" w:rsidR="00B53FC2" w:rsidRPr="00543C89" w:rsidRDefault="00B53FC2" w:rsidP="00B53FC2">
            <w:pPr>
              <w:jc w:val="right"/>
              <w:rPr>
                <w:rFonts w:cs="Arial"/>
                <w:szCs w:val="24"/>
              </w:rPr>
            </w:pPr>
            <w:r>
              <w:rPr>
                <w:rFonts w:cs="Arial"/>
                <w:szCs w:val="24"/>
              </w:rPr>
              <w:t>902</w:t>
            </w:r>
          </w:p>
        </w:tc>
        <w:tc>
          <w:tcPr>
            <w:tcW w:w="1559" w:type="dxa"/>
          </w:tcPr>
          <w:p w14:paraId="55DDA695" w14:textId="6800D95A" w:rsidR="00B53FC2" w:rsidRPr="00543C89" w:rsidRDefault="00B53FC2" w:rsidP="00B53FC2">
            <w:pPr>
              <w:jc w:val="right"/>
              <w:rPr>
                <w:rFonts w:cs="Arial"/>
                <w:szCs w:val="24"/>
              </w:rPr>
            </w:pPr>
            <w:r>
              <w:rPr>
                <w:rFonts w:cs="Arial"/>
                <w:szCs w:val="24"/>
              </w:rPr>
              <w:t>-</w:t>
            </w:r>
          </w:p>
        </w:tc>
        <w:tc>
          <w:tcPr>
            <w:tcW w:w="1842" w:type="dxa"/>
            <w:vAlign w:val="center"/>
          </w:tcPr>
          <w:p w14:paraId="0F3AB981" w14:textId="341F1866" w:rsidR="00B53FC2" w:rsidRPr="00543C89" w:rsidRDefault="00B53FC2" w:rsidP="00B53FC2">
            <w:pPr>
              <w:jc w:val="right"/>
              <w:rPr>
                <w:rFonts w:cs="Arial"/>
                <w:szCs w:val="24"/>
              </w:rPr>
            </w:pPr>
            <w:r>
              <w:rPr>
                <w:rFonts w:cs="Arial"/>
                <w:szCs w:val="24"/>
              </w:rPr>
              <w:t>902</w:t>
            </w:r>
          </w:p>
        </w:tc>
        <w:tc>
          <w:tcPr>
            <w:tcW w:w="1560" w:type="dxa"/>
            <w:vAlign w:val="center"/>
          </w:tcPr>
          <w:p w14:paraId="5AEB3C97" w14:textId="37FF36EC" w:rsidR="00B53FC2" w:rsidRPr="00543C89" w:rsidRDefault="00B53FC2" w:rsidP="00B53FC2">
            <w:pPr>
              <w:jc w:val="right"/>
              <w:rPr>
                <w:rFonts w:cs="Arial"/>
                <w:szCs w:val="24"/>
              </w:rPr>
            </w:pPr>
            <w:r>
              <w:rPr>
                <w:rFonts w:cs="Arial"/>
                <w:szCs w:val="24"/>
              </w:rPr>
              <w:t>6</w:t>
            </w:r>
            <w:r w:rsidRPr="00543C89">
              <w:rPr>
                <w:rFonts w:cs="Arial"/>
                <w:szCs w:val="24"/>
              </w:rPr>
              <w:t>,</w:t>
            </w:r>
            <w:r>
              <w:rPr>
                <w:rFonts w:cs="Arial"/>
                <w:szCs w:val="24"/>
              </w:rPr>
              <w:t>938</w:t>
            </w:r>
          </w:p>
        </w:tc>
        <w:tc>
          <w:tcPr>
            <w:tcW w:w="1701" w:type="dxa"/>
            <w:vAlign w:val="center"/>
          </w:tcPr>
          <w:p w14:paraId="0D804593" w14:textId="5ED59448" w:rsidR="00B53FC2" w:rsidRPr="00543C89" w:rsidRDefault="00B53FC2" w:rsidP="00B53FC2">
            <w:pPr>
              <w:jc w:val="right"/>
              <w:rPr>
                <w:rFonts w:cs="Arial"/>
                <w:szCs w:val="24"/>
              </w:rPr>
            </w:pPr>
            <w:r>
              <w:rPr>
                <w:rFonts w:cs="Arial"/>
                <w:szCs w:val="24"/>
              </w:rPr>
              <w:t>1,119</w:t>
            </w:r>
          </w:p>
        </w:tc>
        <w:tc>
          <w:tcPr>
            <w:tcW w:w="1559" w:type="dxa"/>
            <w:vAlign w:val="center"/>
          </w:tcPr>
          <w:p w14:paraId="0CF9CE47" w14:textId="7EAE3307" w:rsidR="00B53FC2" w:rsidRPr="00543C89" w:rsidRDefault="00B53FC2" w:rsidP="00B53FC2">
            <w:pPr>
              <w:jc w:val="right"/>
              <w:rPr>
                <w:rFonts w:cs="Arial"/>
                <w:szCs w:val="24"/>
              </w:rPr>
            </w:pPr>
            <w:r w:rsidRPr="00543C89">
              <w:rPr>
                <w:rFonts w:cs="Arial"/>
                <w:szCs w:val="24"/>
              </w:rPr>
              <w:t>(</w:t>
            </w:r>
            <w:r>
              <w:rPr>
                <w:rFonts w:cs="Arial"/>
                <w:szCs w:val="24"/>
              </w:rPr>
              <w:t>4</w:t>
            </w:r>
            <w:r w:rsidRPr="00543C89">
              <w:rPr>
                <w:rFonts w:cs="Arial"/>
                <w:szCs w:val="24"/>
              </w:rPr>
              <w:t>,</w:t>
            </w:r>
            <w:r>
              <w:rPr>
                <w:rFonts w:cs="Arial"/>
                <w:szCs w:val="24"/>
              </w:rPr>
              <w:t>097</w:t>
            </w:r>
            <w:r w:rsidRPr="00543C89">
              <w:rPr>
                <w:rFonts w:cs="Arial"/>
                <w:szCs w:val="24"/>
              </w:rPr>
              <w:t>)</w:t>
            </w:r>
          </w:p>
        </w:tc>
        <w:tc>
          <w:tcPr>
            <w:tcW w:w="2126" w:type="dxa"/>
            <w:vAlign w:val="center"/>
          </w:tcPr>
          <w:p w14:paraId="666B4445" w14:textId="2B43F650" w:rsidR="00B53FC2" w:rsidRPr="00B53FC2" w:rsidRDefault="00B53FC2" w:rsidP="00B53FC2">
            <w:pPr>
              <w:jc w:val="right"/>
              <w:rPr>
                <w:rFonts w:cs="Arial"/>
                <w:b/>
                <w:bCs/>
                <w:szCs w:val="24"/>
              </w:rPr>
            </w:pPr>
            <w:r w:rsidRPr="00B53FC2">
              <w:rPr>
                <w:rFonts w:cs="Arial"/>
                <w:b/>
                <w:bCs/>
                <w:szCs w:val="24"/>
              </w:rPr>
              <w:t>3,960</w:t>
            </w:r>
          </w:p>
        </w:tc>
      </w:tr>
      <w:tr w:rsidR="00B53FC2" w:rsidRPr="00D948C1" w14:paraId="5E9D1F09" w14:textId="77777777" w:rsidTr="00E253C6">
        <w:tc>
          <w:tcPr>
            <w:tcW w:w="3543" w:type="dxa"/>
          </w:tcPr>
          <w:p w14:paraId="05EC8309" w14:textId="77777777" w:rsidR="00B53FC2" w:rsidRPr="00D948C1" w:rsidRDefault="00B53FC2" w:rsidP="00B53FC2">
            <w:pPr>
              <w:rPr>
                <w:b/>
                <w:szCs w:val="24"/>
              </w:rPr>
            </w:pPr>
            <w:r w:rsidRPr="00D948C1">
              <w:rPr>
                <w:b/>
                <w:szCs w:val="24"/>
              </w:rPr>
              <w:t>Net cost of Services</w:t>
            </w:r>
          </w:p>
        </w:tc>
        <w:tc>
          <w:tcPr>
            <w:tcW w:w="1559" w:type="dxa"/>
            <w:vAlign w:val="center"/>
          </w:tcPr>
          <w:p w14:paraId="5D6B98A8" w14:textId="626431F4" w:rsidR="00B53FC2" w:rsidRPr="00543C89" w:rsidRDefault="00B53FC2" w:rsidP="00B53FC2">
            <w:pPr>
              <w:jc w:val="right"/>
              <w:rPr>
                <w:rFonts w:cs="Arial"/>
                <w:b/>
                <w:bCs/>
                <w:szCs w:val="24"/>
              </w:rPr>
            </w:pPr>
            <w:r>
              <w:rPr>
                <w:rFonts w:cs="Arial"/>
                <w:b/>
                <w:bCs/>
                <w:szCs w:val="24"/>
              </w:rPr>
              <w:t>(978)</w:t>
            </w:r>
          </w:p>
        </w:tc>
        <w:tc>
          <w:tcPr>
            <w:tcW w:w="1559" w:type="dxa"/>
          </w:tcPr>
          <w:p w14:paraId="425B6446" w14:textId="275EE19A" w:rsidR="00B53FC2" w:rsidRPr="00543C89" w:rsidRDefault="00B53FC2" w:rsidP="00B53FC2">
            <w:pPr>
              <w:jc w:val="right"/>
              <w:rPr>
                <w:rFonts w:cs="Arial"/>
                <w:b/>
                <w:bCs/>
                <w:szCs w:val="24"/>
              </w:rPr>
            </w:pPr>
            <w:r>
              <w:rPr>
                <w:rFonts w:cs="Arial"/>
                <w:b/>
                <w:bCs/>
                <w:szCs w:val="24"/>
              </w:rPr>
              <w:t>(168)</w:t>
            </w:r>
          </w:p>
        </w:tc>
        <w:tc>
          <w:tcPr>
            <w:tcW w:w="1842" w:type="dxa"/>
            <w:vAlign w:val="center"/>
          </w:tcPr>
          <w:p w14:paraId="03CC3B34" w14:textId="438C6CD3" w:rsidR="00B53FC2" w:rsidRPr="00543C89" w:rsidRDefault="00B53FC2" w:rsidP="00B53FC2">
            <w:pPr>
              <w:jc w:val="right"/>
              <w:rPr>
                <w:rFonts w:cs="Arial"/>
                <w:b/>
                <w:bCs/>
                <w:szCs w:val="24"/>
              </w:rPr>
            </w:pPr>
            <w:r>
              <w:rPr>
                <w:rFonts w:cs="Arial"/>
                <w:b/>
                <w:bCs/>
                <w:szCs w:val="24"/>
              </w:rPr>
              <w:t>(1,145)</w:t>
            </w:r>
          </w:p>
        </w:tc>
        <w:tc>
          <w:tcPr>
            <w:tcW w:w="1560" w:type="dxa"/>
            <w:vAlign w:val="center"/>
          </w:tcPr>
          <w:p w14:paraId="4D07E905" w14:textId="26F045F9" w:rsidR="00B53FC2" w:rsidRPr="00543C89" w:rsidRDefault="00B53FC2" w:rsidP="00B53FC2">
            <w:pPr>
              <w:jc w:val="right"/>
              <w:rPr>
                <w:rFonts w:cs="Arial"/>
                <w:b/>
                <w:bCs/>
                <w:szCs w:val="24"/>
              </w:rPr>
            </w:pPr>
            <w:r>
              <w:rPr>
                <w:rFonts w:cs="Arial"/>
                <w:b/>
                <w:bCs/>
                <w:szCs w:val="24"/>
              </w:rPr>
              <w:t>6</w:t>
            </w:r>
            <w:r w:rsidRPr="00543C89">
              <w:rPr>
                <w:rFonts w:cs="Arial"/>
                <w:b/>
                <w:bCs/>
                <w:szCs w:val="24"/>
              </w:rPr>
              <w:t>,</w:t>
            </w:r>
            <w:r>
              <w:rPr>
                <w:rFonts w:cs="Arial"/>
                <w:b/>
                <w:bCs/>
                <w:szCs w:val="24"/>
              </w:rPr>
              <w:t>938</w:t>
            </w:r>
          </w:p>
        </w:tc>
        <w:tc>
          <w:tcPr>
            <w:tcW w:w="1701" w:type="dxa"/>
            <w:vAlign w:val="center"/>
          </w:tcPr>
          <w:p w14:paraId="43834852" w14:textId="72D45F5C" w:rsidR="00B53FC2" w:rsidRPr="00543C89" w:rsidRDefault="00B53FC2" w:rsidP="00B53FC2">
            <w:pPr>
              <w:jc w:val="right"/>
              <w:rPr>
                <w:rFonts w:cs="Arial"/>
                <w:b/>
                <w:bCs/>
                <w:szCs w:val="24"/>
              </w:rPr>
            </w:pPr>
            <w:r w:rsidRPr="00543C89">
              <w:rPr>
                <w:rFonts w:cs="Arial"/>
                <w:b/>
                <w:bCs/>
                <w:szCs w:val="24"/>
              </w:rPr>
              <w:t>(25,</w:t>
            </w:r>
            <w:r>
              <w:rPr>
                <w:rFonts w:cs="Arial"/>
                <w:b/>
                <w:bCs/>
                <w:szCs w:val="24"/>
              </w:rPr>
              <w:t>418</w:t>
            </w:r>
            <w:r w:rsidRPr="00543C89">
              <w:rPr>
                <w:rFonts w:cs="Arial"/>
                <w:b/>
                <w:bCs/>
                <w:szCs w:val="24"/>
              </w:rPr>
              <w:t>)</w:t>
            </w:r>
          </w:p>
        </w:tc>
        <w:tc>
          <w:tcPr>
            <w:tcW w:w="1559" w:type="dxa"/>
            <w:vAlign w:val="center"/>
          </w:tcPr>
          <w:p w14:paraId="1E7A5406" w14:textId="06E0CBDC" w:rsidR="00B53FC2" w:rsidRPr="00543C89" w:rsidRDefault="00B53FC2" w:rsidP="00B53FC2">
            <w:pPr>
              <w:jc w:val="right"/>
              <w:rPr>
                <w:rFonts w:cs="Arial"/>
                <w:b/>
                <w:bCs/>
                <w:szCs w:val="24"/>
              </w:rPr>
            </w:pPr>
            <w:r w:rsidRPr="00543C89">
              <w:rPr>
                <w:rFonts w:cs="Arial"/>
                <w:b/>
                <w:bCs/>
                <w:szCs w:val="24"/>
              </w:rPr>
              <w:t>(</w:t>
            </w:r>
            <w:r>
              <w:rPr>
                <w:rFonts w:cs="Arial"/>
                <w:b/>
                <w:bCs/>
                <w:szCs w:val="24"/>
              </w:rPr>
              <w:t>4</w:t>
            </w:r>
            <w:r w:rsidRPr="00543C89">
              <w:rPr>
                <w:rFonts w:cs="Arial"/>
                <w:b/>
                <w:bCs/>
                <w:szCs w:val="24"/>
              </w:rPr>
              <w:t>,</w:t>
            </w:r>
            <w:r>
              <w:rPr>
                <w:rFonts w:cs="Arial"/>
                <w:b/>
                <w:bCs/>
                <w:szCs w:val="24"/>
              </w:rPr>
              <w:t>107</w:t>
            </w:r>
            <w:r w:rsidRPr="00543C89">
              <w:rPr>
                <w:rFonts w:cs="Arial"/>
                <w:b/>
                <w:bCs/>
                <w:szCs w:val="24"/>
              </w:rPr>
              <w:t>)</w:t>
            </w:r>
          </w:p>
        </w:tc>
        <w:tc>
          <w:tcPr>
            <w:tcW w:w="2126" w:type="dxa"/>
            <w:vAlign w:val="center"/>
          </w:tcPr>
          <w:p w14:paraId="55F622AD" w14:textId="4494C443" w:rsidR="00B53FC2" w:rsidRPr="00B53FC2" w:rsidRDefault="00B53FC2" w:rsidP="00B53FC2">
            <w:pPr>
              <w:jc w:val="right"/>
              <w:rPr>
                <w:rFonts w:cs="Arial"/>
                <w:b/>
                <w:bCs/>
                <w:szCs w:val="24"/>
              </w:rPr>
            </w:pPr>
            <w:r w:rsidRPr="00B53FC2">
              <w:rPr>
                <w:rFonts w:cs="Arial"/>
                <w:b/>
                <w:bCs/>
                <w:szCs w:val="24"/>
              </w:rPr>
              <w:t>(22,586)</w:t>
            </w:r>
          </w:p>
        </w:tc>
      </w:tr>
      <w:tr w:rsidR="00B53FC2" w:rsidRPr="00D948C1" w14:paraId="230C29D9" w14:textId="77777777" w:rsidTr="00E253C6">
        <w:tc>
          <w:tcPr>
            <w:tcW w:w="3543" w:type="dxa"/>
          </w:tcPr>
          <w:p w14:paraId="4A515E5F" w14:textId="77777777" w:rsidR="00B53FC2" w:rsidRPr="00D948C1" w:rsidRDefault="00B53FC2" w:rsidP="00B53FC2">
            <w:pPr>
              <w:rPr>
                <w:szCs w:val="24"/>
              </w:rPr>
            </w:pPr>
            <w:r w:rsidRPr="00D948C1">
              <w:rPr>
                <w:szCs w:val="24"/>
              </w:rPr>
              <w:t>Other income and expenditure</w:t>
            </w:r>
          </w:p>
        </w:tc>
        <w:tc>
          <w:tcPr>
            <w:tcW w:w="1559" w:type="dxa"/>
            <w:vAlign w:val="center"/>
          </w:tcPr>
          <w:p w14:paraId="2E9E4BF0" w14:textId="16818141" w:rsidR="00B53FC2" w:rsidRPr="00543C89" w:rsidRDefault="00B53FC2" w:rsidP="00B53FC2">
            <w:pPr>
              <w:jc w:val="right"/>
              <w:rPr>
                <w:rFonts w:cs="Arial"/>
                <w:szCs w:val="24"/>
              </w:rPr>
            </w:pPr>
            <w:r w:rsidRPr="00543C89">
              <w:rPr>
                <w:rFonts w:cs="Arial"/>
                <w:szCs w:val="24"/>
              </w:rPr>
              <w:t xml:space="preserve">- </w:t>
            </w:r>
          </w:p>
        </w:tc>
        <w:tc>
          <w:tcPr>
            <w:tcW w:w="1559" w:type="dxa"/>
          </w:tcPr>
          <w:p w14:paraId="53D685AE" w14:textId="7E019D98" w:rsidR="00B53FC2" w:rsidRPr="00543C89" w:rsidRDefault="00B53FC2" w:rsidP="00B53FC2">
            <w:pPr>
              <w:jc w:val="right"/>
              <w:rPr>
                <w:rFonts w:cs="Arial"/>
                <w:szCs w:val="24"/>
              </w:rPr>
            </w:pPr>
            <w:r>
              <w:rPr>
                <w:rFonts w:cs="Arial"/>
                <w:szCs w:val="24"/>
              </w:rPr>
              <w:t>-</w:t>
            </w:r>
          </w:p>
        </w:tc>
        <w:tc>
          <w:tcPr>
            <w:tcW w:w="1842" w:type="dxa"/>
            <w:vAlign w:val="center"/>
          </w:tcPr>
          <w:p w14:paraId="09D40AEF" w14:textId="172DD1CE" w:rsidR="00B53FC2" w:rsidRPr="00543C89" w:rsidRDefault="00B53FC2" w:rsidP="00B53FC2">
            <w:pPr>
              <w:jc w:val="right"/>
              <w:rPr>
                <w:rFonts w:cs="Arial"/>
                <w:szCs w:val="24"/>
              </w:rPr>
            </w:pPr>
            <w:r w:rsidRPr="00543C89">
              <w:rPr>
                <w:rFonts w:cs="Arial"/>
                <w:szCs w:val="24"/>
              </w:rPr>
              <w:t>-</w:t>
            </w:r>
          </w:p>
        </w:tc>
        <w:tc>
          <w:tcPr>
            <w:tcW w:w="1560" w:type="dxa"/>
            <w:vAlign w:val="center"/>
          </w:tcPr>
          <w:p w14:paraId="26B43703" w14:textId="0C96268F" w:rsidR="00B53FC2" w:rsidRPr="00543C89" w:rsidRDefault="00B53FC2" w:rsidP="00B53FC2">
            <w:pPr>
              <w:jc w:val="right"/>
              <w:rPr>
                <w:rFonts w:cs="Arial"/>
                <w:szCs w:val="24"/>
              </w:rPr>
            </w:pPr>
            <w:r>
              <w:rPr>
                <w:rFonts w:cs="Arial"/>
                <w:szCs w:val="24"/>
              </w:rPr>
              <w:t>(4,984)</w:t>
            </w:r>
          </w:p>
        </w:tc>
        <w:tc>
          <w:tcPr>
            <w:tcW w:w="1701" w:type="dxa"/>
            <w:vAlign w:val="center"/>
          </w:tcPr>
          <w:p w14:paraId="6AAF2CCD" w14:textId="5C3506AC" w:rsidR="00B53FC2" w:rsidRPr="00543C89" w:rsidRDefault="00B53FC2" w:rsidP="00B53FC2">
            <w:pPr>
              <w:jc w:val="right"/>
              <w:rPr>
                <w:rFonts w:cs="Arial"/>
                <w:szCs w:val="24"/>
              </w:rPr>
            </w:pPr>
            <w:r w:rsidRPr="00543C89">
              <w:rPr>
                <w:rFonts w:cs="Arial"/>
                <w:szCs w:val="24"/>
              </w:rPr>
              <w:t>29,127</w:t>
            </w:r>
          </w:p>
        </w:tc>
        <w:tc>
          <w:tcPr>
            <w:tcW w:w="1559" w:type="dxa"/>
            <w:vAlign w:val="center"/>
          </w:tcPr>
          <w:p w14:paraId="5D56B5F3" w14:textId="0948C257" w:rsidR="00B53FC2" w:rsidRPr="00543C89" w:rsidRDefault="00B53FC2" w:rsidP="00B53FC2">
            <w:pPr>
              <w:jc w:val="right"/>
              <w:rPr>
                <w:rFonts w:cs="Arial"/>
                <w:szCs w:val="24"/>
              </w:rPr>
            </w:pPr>
            <w:r>
              <w:rPr>
                <w:rFonts w:cs="Arial"/>
                <w:szCs w:val="24"/>
              </w:rPr>
              <w:t>3</w:t>
            </w:r>
            <w:r w:rsidRPr="00543C89">
              <w:rPr>
                <w:rFonts w:cs="Arial"/>
                <w:szCs w:val="24"/>
              </w:rPr>
              <w:t>,</w:t>
            </w:r>
            <w:r>
              <w:rPr>
                <w:rFonts w:cs="Arial"/>
                <w:szCs w:val="24"/>
              </w:rPr>
              <w:t>377</w:t>
            </w:r>
          </w:p>
        </w:tc>
        <w:tc>
          <w:tcPr>
            <w:tcW w:w="2126" w:type="dxa"/>
            <w:vAlign w:val="center"/>
          </w:tcPr>
          <w:p w14:paraId="628F0052" w14:textId="0CED3118" w:rsidR="00B53FC2" w:rsidRPr="00B53FC2" w:rsidRDefault="00B53FC2" w:rsidP="00B53FC2">
            <w:pPr>
              <w:jc w:val="right"/>
              <w:rPr>
                <w:rFonts w:cs="Arial"/>
                <w:b/>
                <w:bCs/>
                <w:szCs w:val="24"/>
              </w:rPr>
            </w:pPr>
            <w:r w:rsidRPr="00B53FC2">
              <w:rPr>
                <w:rFonts w:cs="Arial"/>
                <w:b/>
                <w:bCs/>
                <w:szCs w:val="24"/>
              </w:rPr>
              <w:t>27,520</w:t>
            </w:r>
          </w:p>
        </w:tc>
      </w:tr>
      <w:tr w:rsidR="00B53FC2" w:rsidRPr="00D948C1" w14:paraId="6B3EEC17" w14:textId="77777777" w:rsidTr="00E253C6">
        <w:tc>
          <w:tcPr>
            <w:tcW w:w="3543" w:type="dxa"/>
          </w:tcPr>
          <w:p w14:paraId="47634C7C" w14:textId="77777777" w:rsidR="00B53FC2" w:rsidRPr="00D948C1" w:rsidRDefault="00B53FC2" w:rsidP="00B53FC2">
            <w:pPr>
              <w:rPr>
                <w:b/>
                <w:szCs w:val="24"/>
              </w:rPr>
            </w:pPr>
            <w:r w:rsidRPr="00D948C1">
              <w:rPr>
                <w:b/>
                <w:szCs w:val="24"/>
              </w:rPr>
              <w:t>Total</w:t>
            </w:r>
          </w:p>
        </w:tc>
        <w:tc>
          <w:tcPr>
            <w:tcW w:w="1559" w:type="dxa"/>
            <w:vAlign w:val="center"/>
          </w:tcPr>
          <w:p w14:paraId="477A1C32" w14:textId="6CA41F39" w:rsidR="00B53FC2" w:rsidRPr="00543C89" w:rsidRDefault="00B53FC2" w:rsidP="00B53FC2">
            <w:pPr>
              <w:jc w:val="right"/>
              <w:rPr>
                <w:rFonts w:cs="Arial"/>
                <w:b/>
                <w:bCs/>
                <w:szCs w:val="24"/>
              </w:rPr>
            </w:pPr>
            <w:r>
              <w:rPr>
                <w:rFonts w:cs="Arial"/>
                <w:b/>
                <w:bCs/>
                <w:szCs w:val="24"/>
              </w:rPr>
              <w:t>(978)</w:t>
            </w:r>
          </w:p>
        </w:tc>
        <w:tc>
          <w:tcPr>
            <w:tcW w:w="1559" w:type="dxa"/>
          </w:tcPr>
          <w:p w14:paraId="2512F160" w14:textId="1C3B4DF6" w:rsidR="00B53FC2" w:rsidRPr="00543C89" w:rsidRDefault="00B53FC2" w:rsidP="00B53FC2">
            <w:pPr>
              <w:jc w:val="right"/>
              <w:rPr>
                <w:rFonts w:cs="Arial"/>
                <w:b/>
                <w:bCs/>
                <w:szCs w:val="24"/>
              </w:rPr>
            </w:pPr>
            <w:r>
              <w:rPr>
                <w:rFonts w:cs="Arial"/>
                <w:b/>
                <w:bCs/>
                <w:szCs w:val="24"/>
              </w:rPr>
              <w:t>(168)</w:t>
            </w:r>
          </w:p>
        </w:tc>
        <w:tc>
          <w:tcPr>
            <w:tcW w:w="1842" w:type="dxa"/>
            <w:vAlign w:val="center"/>
          </w:tcPr>
          <w:p w14:paraId="32987A43" w14:textId="39EF85F9" w:rsidR="00B53FC2" w:rsidRPr="00543C89" w:rsidRDefault="00B53FC2" w:rsidP="00B53FC2">
            <w:pPr>
              <w:jc w:val="right"/>
              <w:rPr>
                <w:rFonts w:cs="Arial"/>
                <w:b/>
                <w:bCs/>
                <w:szCs w:val="24"/>
              </w:rPr>
            </w:pPr>
            <w:r>
              <w:rPr>
                <w:rFonts w:cs="Arial"/>
                <w:b/>
                <w:bCs/>
                <w:szCs w:val="24"/>
              </w:rPr>
              <w:t>(1,145)</w:t>
            </w:r>
          </w:p>
        </w:tc>
        <w:tc>
          <w:tcPr>
            <w:tcW w:w="1560" w:type="dxa"/>
            <w:vAlign w:val="center"/>
          </w:tcPr>
          <w:p w14:paraId="1E973CDA" w14:textId="4B6527E6" w:rsidR="00B53FC2" w:rsidRPr="00543C89" w:rsidRDefault="00B53FC2" w:rsidP="00B53FC2">
            <w:pPr>
              <w:jc w:val="right"/>
              <w:rPr>
                <w:rFonts w:cs="Arial"/>
                <w:b/>
                <w:bCs/>
                <w:szCs w:val="24"/>
              </w:rPr>
            </w:pPr>
            <w:r>
              <w:rPr>
                <w:rFonts w:cs="Arial"/>
                <w:b/>
                <w:bCs/>
                <w:szCs w:val="24"/>
              </w:rPr>
              <w:t>1</w:t>
            </w:r>
            <w:r w:rsidRPr="00543C89">
              <w:rPr>
                <w:rFonts w:cs="Arial"/>
                <w:b/>
                <w:bCs/>
                <w:szCs w:val="24"/>
              </w:rPr>
              <w:t>,</w:t>
            </w:r>
            <w:r>
              <w:rPr>
                <w:rFonts w:cs="Arial"/>
                <w:b/>
                <w:bCs/>
                <w:szCs w:val="24"/>
              </w:rPr>
              <w:t>954</w:t>
            </w:r>
          </w:p>
        </w:tc>
        <w:tc>
          <w:tcPr>
            <w:tcW w:w="1701" w:type="dxa"/>
            <w:vAlign w:val="center"/>
          </w:tcPr>
          <w:p w14:paraId="2B0628E0" w14:textId="76DAA762" w:rsidR="00B53FC2" w:rsidRPr="00543C89" w:rsidRDefault="00B53FC2" w:rsidP="00B53FC2">
            <w:pPr>
              <w:jc w:val="right"/>
              <w:rPr>
                <w:rFonts w:cs="Arial"/>
                <w:b/>
                <w:bCs/>
                <w:szCs w:val="24"/>
              </w:rPr>
            </w:pPr>
            <w:r w:rsidRPr="00543C89">
              <w:rPr>
                <w:rFonts w:cs="Arial"/>
                <w:b/>
                <w:bCs/>
                <w:szCs w:val="24"/>
              </w:rPr>
              <w:t>3,</w:t>
            </w:r>
            <w:r>
              <w:rPr>
                <w:rFonts w:cs="Arial"/>
                <w:b/>
                <w:bCs/>
                <w:szCs w:val="24"/>
              </w:rPr>
              <w:t>709</w:t>
            </w:r>
          </w:p>
        </w:tc>
        <w:tc>
          <w:tcPr>
            <w:tcW w:w="1559" w:type="dxa"/>
            <w:vAlign w:val="center"/>
          </w:tcPr>
          <w:p w14:paraId="265ADD43" w14:textId="3685CAD9" w:rsidR="00B53FC2" w:rsidRPr="00543C89" w:rsidRDefault="00B53FC2" w:rsidP="00B53FC2">
            <w:pPr>
              <w:jc w:val="right"/>
              <w:rPr>
                <w:rFonts w:cs="Arial"/>
                <w:b/>
                <w:bCs/>
                <w:szCs w:val="24"/>
              </w:rPr>
            </w:pPr>
            <w:r w:rsidRPr="00543C89">
              <w:rPr>
                <w:rFonts w:cs="Arial"/>
                <w:b/>
                <w:bCs/>
                <w:szCs w:val="24"/>
              </w:rPr>
              <w:t>(</w:t>
            </w:r>
            <w:r>
              <w:rPr>
                <w:rFonts w:cs="Arial"/>
                <w:b/>
                <w:bCs/>
                <w:szCs w:val="24"/>
              </w:rPr>
              <w:t>730</w:t>
            </w:r>
            <w:r w:rsidRPr="00543C89">
              <w:rPr>
                <w:rFonts w:cs="Arial"/>
                <w:b/>
                <w:bCs/>
                <w:szCs w:val="24"/>
              </w:rPr>
              <w:t>)</w:t>
            </w:r>
          </w:p>
        </w:tc>
        <w:tc>
          <w:tcPr>
            <w:tcW w:w="2126" w:type="dxa"/>
            <w:vAlign w:val="center"/>
          </w:tcPr>
          <w:p w14:paraId="06E71C8C" w14:textId="2EC4586C" w:rsidR="00B53FC2" w:rsidRPr="00B53FC2" w:rsidRDefault="00B53FC2" w:rsidP="00B53FC2">
            <w:pPr>
              <w:jc w:val="right"/>
              <w:rPr>
                <w:rFonts w:cs="Arial"/>
                <w:b/>
                <w:bCs/>
                <w:szCs w:val="24"/>
              </w:rPr>
            </w:pPr>
            <w:r w:rsidRPr="00B53FC2">
              <w:rPr>
                <w:rFonts w:cs="Arial"/>
                <w:b/>
                <w:bCs/>
                <w:szCs w:val="24"/>
              </w:rPr>
              <w:t>4,934</w:t>
            </w:r>
          </w:p>
        </w:tc>
      </w:tr>
      <w:bookmarkEnd w:id="29"/>
    </w:tbl>
    <w:p w14:paraId="67C91886" w14:textId="7B165B33" w:rsidR="002D6690" w:rsidRPr="00D948C1" w:rsidRDefault="002D6690"/>
    <w:p w14:paraId="24F266F2" w14:textId="77777777" w:rsidR="003C7C40" w:rsidRPr="00D948C1" w:rsidRDefault="003C7C40">
      <w:r w:rsidRPr="00D948C1">
        <w:br w:type="page"/>
      </w:r>
    </w:p>
    <w:tbl>
      <w:tblPr>
        <w:tblStyle w:val="TableGrid"/>
        <w:tblW w:w="15307" w:type="dxa"/>
        <w:tblInd w:w="720" w:type="dxa"/>
        <w:tblLayout w:type="fixed"/>
        <w:tblLook w:val="04A0" w:firstRow="1" w:lastRow="0" w:firstColumn="1" w:lastColumn="0" w:noHBand="0" w:noVBand="1"/>
      </w:tblPr>
      <w:tblGrid>
        <w:gridCol w:w="3543"/>
        <w:gridCol w:w="1559"/>
        <w:gridCol w:w="1559"/>
        <w:gridCol w:w="1837"/>
        <w:gridCol w:w="1565"/>
        <w:gridCol w:w="1701"/>
        <w:gridCol w:w="1559"/>
        <w:gridCol w:w="1984"/>
      </w:tblGrid>
      <w:tr w:rsidR="00C4656D" w:rsidRPr="00D948C1" w14:paraId="02A0C65E" w14:textId="77777777" w:rsidTr="006860B8">
        <w:trPr>
          <w:tblHeader/>
        </w:trPr>
        <w:tc>
          <w:tcPr>
            <w:tcW w:w="3543" w:type="dxa"/>
            <w:shd w:val="clear" w:color="auto" w:fill="BD2716"/>
            <w:vAlign w:val="center"/>
          </w:tcPr>
          <w:p w14:paraId="5033E3F8" w14:textId="3D270042" w:rsidR="00C4656D" w:rsidRPr="00D948C1" w:rsidRDefault="00C4656D" w:rsidP="00C7098F">
            <w:pPr>
              <w:rPr>
                <w:color w:val="FFFFFF" w:themeColor="background1"/>
                <w:szCs w:val="24"/>
              </w:rPr>
            </w:pPr>
            <w:r w:rsidRPr="00D948C1">
              <w:rPr>
                <w:color w:val="FFFFFF" w:themeColor="background1"/>
                <w:szCs w:val="24"/>
              </w:rPr>
              <w:lastRenderedPageBreak/>
              <w:t>202</w:t>
            </w:r>
            <w:r>
              <w:rPr>
                <w:color w:val="FFFFFF" w:themeColor="background1"/>
                <w:szCs w:val="24"/>
              </w:rPr>
              <w:t>3</w:t>
            </w:r>
            <w:r w:rsidRPr="00D948C1">
              <w:rPr>
                <w:color w:val="FFFFFF" w:themeColor="background1"/>
                <w:szCs w:val="24"/>
              </w:rPr>
              <w:t>/2</w:t>
            </w:r>
            <w:r>
              <w:rPr>
                <w:color w:val="FFFFFF" w:themeColor="background1"/>
                <w:szCs w:val="24"/>
              </w:rPr>
              <w:t>4</w:t>
            </w:r>
            <w:r w:rsidR="00E669B4">
              <w:rPr>
                <w:color w:val="FFFFFF" w:themeColor="background1"/>
                <w:szCs w:val="24"/>
              </w:rPr>
              <w:t xml:space="preserve"> Restated*</w:t>
            </w:r>
          </w:p>
          <w:p w14:paraId="1385CF36" w14:textId="71BD728A" w:rsidR="00C4656D" w:rsidRPr="00D948C1" w:rsidRDefault="00C4656D" w:rsidP="00C7098F">
            <w:pPr>
              <w:rPr>
                <w:color w:val="FFFFFF" w:themeColor="background1"/>
                <w:szCs w:val="24"/>
              </w:rPr>
            </w:pPr>
            <w:r w:rsidRPr="00D948C1">
              <w:rPr>
                <w:color w:val="FFFFFF" w:themeColor="background1"/>
                <w:szCs w:val="24"/>
              </w:rPr>
              <w:t>Adjustments from General Fund to arrive at the Comprehensive Income and Expenditure Statement amounts</w:t>
            </w:r>
          </w:p>
        </w:tc>
        <w:tc>
          <w:tcPr>
            <w:tcW w:w="1559" w:type="dxa"/>
            <w:shd w:val="clear" w:color="auto" w:fill="BD2716"/>
            <w:vAlign w:val="center"/>
          </w:tcPr>
          <w:p w14:paraId="71486E1F" w14:textId="77777777" w:rsidR="00C4656D" w:rsidRPr="00D948C1" w:rsidRDefault="00C4656D" w:rsidP="006860B8">
            <w:pPr>
              <w:jc w:val="right"/>
              <w:rPr>
                <w:color w:val="FFFFFF" w:themeColor="background1"/>
                <w:szCs w:val="24"/>
              </w:rPr>
            </w:pPr>
            <w:r w:rsidRPr="00D948C1">
              <w:rPr>
                <w:color w:val="FFFFFF" w:themeColor="background1"/>
                <w:szCs w:val="24"/>
              </w:rPr>
              <w:t>Transfer to/(from) Earmarked Reserves</w:t>
            </w:r>
          </w:p>
          <w:p w14:paraId="0F6AF541" w14:textId="02B59FBD" w:rsidR="00C4656D" w:rsidRPr="00D948C1" w:rsidRDefault="00C4656D" w:rsidP="006860B8">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60B544B0" w14:textId="77777777" w:rsidR="00C4656D" w:rsidRDefault="008C72DB" w:rsidP="006860B8">
            <w:pPr>
              <w:jc w:val="right"/>
              <w:rPr>
                <w:bCs/>
                <w:color w:val="FFFFFF" w:themeColor="background1"/>
                <w:szCs w:val="24"/>
              </w:rPr>
            </w:pPr>
            <w:proofErr w:type="gramStart"/>
            <w:r w:rsidRPr="008C72DB">
              <w:rPr>
                <w:bCs/>
                <w:color w:val="FFFFFF" w:themeColor="background1"/>
                <w:szCs w:val="24"/>
              </w:rPr>
              <w:t>North West</w:t>
            </w:r>
            <w:proofErr w:type="gramEnd"/>
            <w:r w:rsidRPr="008C72DB">
              <w:rPr>
                <w:bCs/>
                <w:color w:val="FFFFFF" w:themeColor="background1"/>
                <w:szCs w:val="24"/>
              </w:rPr>
              <w:t xml:space="preserve"> </w:t>
            </w:r>
            <w:proofErr w:type="spellStart"/>
            <w:r w:rsidRPr="008C72DB">
              <w:rPr>
                <w:bCs/>
                <w:color w:val="FFFFFF" w:themeColor="background1"/>
                <w:szCs w:val="24"/>
              </w:rPr>
              <w:t>FireControl</w:t>
            </w:r>
            <w:proofErr w:type="spellEnd"/>
            <w:r w:rsidRPr="008C72DB">
              <w:rPr>
                <w:bCs/>
                <w:color w:val="FFFFFF" w:themeColor="background1"/>
                <w:szCs w:val="24"/>
              </w:rPr>
              <w:t xml:space="preserve"> Ltd</w:t>
            </w:r>
          </w:p>
          <w:p w14:paraId="19D506EC" w14:textId="2A1ABCFD" w:rsidR="008C72DB" w:rsidRPr="008C72DB" w:rsidRDefault="008C72DB" w:rsidP="006860B8">
            <w:pPr>
              <w:jc w:val="right"/>
              <w:rPr>
                <w:bCs/>
                <w:color w:val="FFFFFF" w:themeColor="background1"/>
                <w:szCs w:val="24"/>
              </w:rPr>
            </w:pPr>
            <w:r>
              <w:rPr>
                <w:bCs/>
                <w:color w:val="FFFFFF" w:themeColor="background1"/>
                <w:szCs w:val="24"/>
              </w:rPr>
              <w:t>£000</w:t>
            </w:r>
          </w:p>
        </w:tc>
        <w:tc>
          <w:tcPr>
            <w:tcW w:w="1837" w:type="dxa"/>
            <w:shd w:val="clear" w:color="auto" w:fill="BD2716"/>
            <w:vAlign w:val="center"/>
          </w:tcPr>
          <w:p w14:paraId="6EF64715" w14:textId="3A5CEBF6" w:rsidR="00C4656D" w:rsidRPr="00D948C1" w:rsidRDefault="00C4656D" w:rsidP="006860B8">
            <w:pPr>
              <w:jc w:val="right"/>
              <w:rPr>
                <w:b/>
                <w:color w:val="FFFFFF" w:themeColor="background1"/>
                <w:szCs w:val="24"/>
              </w:rPr>
            </w:pPr>
            <w:r w:rsidRPr="00D948C1">
              <w:rPr>
                <w:b/>
                <w:color w:val="FFFFFF" w:themeColor="background1"/>
                <w:szCs w:val="24"/>
              </w:rPr>
              <w:t>Total to arrive at amount charged to the General Fund</w:t>
            </w:r>
          </w:p>
          <w:p w14:paraId="154F7FA7" w14:textId="7911EC2F" w:rsidR="00C4656D" w:rsidRPr="00D948C1" w:rsidRDefault="00C4656D" w:rsidP="006860B8">
            <w:pPr>
              <w:jc w:val="right"/>
              <w:rPr>
                <w:color w:val="FFFFFF" w:themeColor="background1"/>
                <w:szCs w:val="24"/>
              </w:rPr>
            </w:pPr>
            <w:r w:rsidRPr="00D948C1">
              <w:rPr>
                <w:b/>
                <w:color w:val="FFFFFF" w:themeColor="background1"/>
                <w:szCs w:val="24"/>
              </w:rPr>
              <w:t>£000</w:t>
            </w:r>
          </w:p>
        </w:tc>
        <w:tc>
          <w:tcPr>
            <w:tcW w:w="1565" w:type="dxa"/>
            <w:shd w:val="clear" w:color="auto" w:fill="BD2716"/>
            <w:vAlign w:val="center"/>
          </w:tcPr>
          <w:p w14:paraId="46981FD6" w14:textId="77777777" w:rsidR="00C4656D" w:rsidRPr="00D948C1" w:rsidRDefault="00C4656D" w:rsidP="006860B8">
            <w:pPr>
              <w:jc w:val="right"/>
              <w:rPr>
                <w:color w:val="FFFFFF" w:themeColor="background1"/>
                <w:szCs w:val="24"/>
              </w:rPr>
            </w:pPr>
            <w:r w:rsidRPr="00D948C1">
              <w:rPr>
                <w:color w:val="FFFFFF" w:themeColor="background1"/>
                <w:szCs w:val="24"/>
              </w:rPr>
              <w:t>Adjustments for Capital Purposes (1)</w:t>
            </w:r>
          </w:p>
          <w:p w14:paraId="25E0F69F" w14:textId="550A34F3" w:rsidR="00C4656D" w:rsidRPr="00D948C1" w:rsidRDefault="00C4656D" w:rsidP="006860B8">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66C34991" w14:textId="77777777" w:rsidR="00C4656D" w:rsidRPr="00D948C1" w:rsidRDefault="00C4656D" w:rsidP="006860B8">
            <w:pPr>
              <w:jc w:val="right"/>
              <w:rPr>
                <w:color w:val="FFFFFF" w:themeColor="background1"/>
                <w:szCs w:val="24"/>
              </w:rPr>
            </w:pPr>
            <w:r w:rsidRPr="00D948C1">
              <w:rPr>
                <w:color w:val="FFFFFF" w:themeColor="background1"/>
                <w:szCs w:val="24"/>
              </w:rPr>
              <w:t>Net change for Pensions Adjustments (2)</w:t>
            </w:r>
          </w:p>
          <w:p w14:paraId="4261FA25" w14:textId="6CEA2DBE" w:rsidR="00C4656D" w:rsidRPr="00D948C1" w:rsidRDefault="00C4656D" w:rsidP="006860B8">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1A38B7FF" w14:textId="77777777" w:rsidR="00C4656D" w:rsidRPr="00D948C1" w:rsidRDefault="00C4656D" w:rsidP="006860B8">
            <w:pPr>
              <w:jc w:val="right"/>
              <w:rPr>
                <w:color w:val="FFFFFF" w:themeColor="background1"/>
                <w:szCs w:val="24"/>
              </w:rPr>
            </w:pPr>
            <w:r w:rsidRPr="00D948C1">
              <w:rPr>
                <w:color w:val="FFFFFF" w:themeColor="background1"/>
                <w:szCs w:val="24"/>
              </w:rPr>
              <w:t>Other Differences (3)</w:t>
            </w:r>
          </w:p>
          <w:p w14:paraId="43C622C0" w14:textId="0CF77201" w:rsidR="00C4656D" w:rsidRPr="00D948C1" w:rsidRDefault="00C4656D" w:rsidP="006860B8">
            <w:pPr>
              <w:jc w:val="right"/>
              <w:rPr>
                <w:color w:val="FFFFFF" w:themeColor="background1"/>
                <w:szCs w:val="24"/>
              </w:rPr>
            </w:pPr>
            <w:r w:rsidRPr="00D948C1">
              <w:rPr>
                <w:color w:val="FFFFFF" w:themeColor="background1"/>
                <w:szCs w:val="24"/>
              </w:rPr>
              <w:t>£000</w:t>
            </w:r>
          </w:p>
        </w:tc>
        <w:tc>
          <w:tcPr>
            <w:tcW w:w="1984" w:type="dxa"/>
            <w:shd w:val="clear" w:color="auto" w:fill="BD2716"/>
            <w:vAlign w:val="center"/>
          </w:tcPr>
          <w:p w14:paraId="42AB7ED6" w14:textId="77777777" w:rsidR="00C4656D" w:rsidRPr="00D948C1" w:rsidRDefault="00C4656D" w:rsidP="00C7098F">
            <w:pPr>
              <w:jc w:val="right"/>
              <w:rPr>
                <w:b/>
                <w:color w:val="FFFFFF" w:themeColor="background1"/>
                <w:szCs w:val="24"/>
              </w:rPr>
            </w:pPr>
            <w:r w:rsidRPr="00D948C1">
              <w:rPr>
                <w:b/>
                <w:color w:val="FFFFFF" w:themeColor="background1"/>
                <w:szCs w:val="24"/>
              </w:rPr>
              <w:t>Total adjustment between funding and accounting basis</w:t>
            </w:r>
          </w:p>
          <w:p w14:paraId="232FFA44" w14:textId="482DC00B" w:rsidR="00C4656D" w:rsidRPr="00D948C1" w:rsidRDefault="00C4656D" w:rsidP="00C7098F">
            <w:pPr>
              <w:jc w:val="right"/>
              <w:rPr>
                <w:color w:val="FFFFFF" w:themeColor="background1"/>
                <w:szCs w:val="24"/>
              </w:rPr>
            </w:pPr>
            <w:r w:rsidRPr="00D948C1">
              <w:rPr>
                <w:b/>
                <w:color w:val="FFFFFF" w:themeColor="background1"/>
                <w:szCs w:val="24"/>
              </w:rPr>
              <w:t>£000</w:t>
            </w:r>
          </w:p>
        </w:tc>
      </w:tr>
      <w:tr w:rsidR="00DA36CE" w:rsidRPr="00D948C1" w14:paraId="6BC03170" w14:textId="77777777" w:rsidTr="00C4656D">
        <w:tc>
          <w:tcPr>
            <w:tcW w:w="3543" w:type="dxa"/>
          </w:tcPr>
          <w:p w14:paraId="7764DD86" w14:textId="12A7F9EF" w:rsidR="00DA36CE" w:rsidRPr="00D948C1" w:rsidRDefault="00DA36CE" w:rsidP="00DA36CE">
            <w:pPr>
              <w:rPr>
                <w:szCs w:val="24"/>
              </w:rPr>
            </w:pPr>
            <w:r w:rsidRPr="00D948C1">
              <w:rPr>
                <w:szCs w:val="24"/>
              </w:rPr>
              <w:t>Service Delivery</w:t>
            </w:r>
          </w:p>
        </w:tc>
        <w:tc>
          <w:tcPr>
            <w:tcW w:w="1559" w:type="dxa"/>
            <w:vAlign w:val="center"/>
          </w:tcPr>
          <w:p w14:paraId="739357E3" w14:textId="6909ADF8" w:rsidR="00DA36CE" w:rsidRPr="00FB606A" w:rsidRDefault="00DA36CE" w:rsidP="00DA36CE">
            <w:pPr>
              <w:jc w:val="right"/>
              <w:rPr>
                <w:rFonts w:cs="Arial"/>
                <w:szCs w:val="24"/>
              </w:rPr>
            </w:pPr>
            <w:r>
              <w:rPr>
                <w:rFonts w:cs="Arial"/>
                <w:szCs w:val="24"/>
              </w:rPr>
              <w:t>9</w:t>
            </w:r>
          </w:p>
        </w:tc>
        <w:tc>
          <w:tcPr>
            <w:tcW w:w="1559" w:type="dxa"/>
          </w:tcPr>
          <w:p w14:paraId="042F23B2" w14:textId="61350D1F" w:rsidR="00DA36CE" w:rsidRPr="00FB606A" w:rsidRDefault="00DA36CE" w:rsidP="00DA36CE">
            <w:pPr>
              <w:jc w:val="right"/>
              <w:rPr>
                <w:rFonts w:cs="Arial"/>
                <w:szCs w:val="24"/>
              </w:rPr>
            </w:pPr>
            <w:r>
              <w:rPr>
                <w:rFonts w:cs="Arial"/>
                <w:szCs w:val="24"/>
              </w:rPr>
              <w:t>129</w:t>
            </w:r>
          </w:p>
        </w:tc>
        <w:tc>
          <w:tcPr>
            <w:tcW w:w="1837" w:type="dxa"/>
            <w:vAlign w:val="center"/>
          </w:tcPr>
          <w:p w14:paraId="769F8331" w14:textId="1ABDA0D1" w:rsidR="00DA36CE" w:rsidRPr="00FB606A" w:rsidRDefault="00DA36CE" w:rsidP="00DA36CE">
            <w:pPr>
              <w:jc w:val="right"/>
              <w:rPr>
                <w:rFonts w:cs="Arial"/>
                <w:szCs w:val="24"/>
              </w:rPr>
            </w:pPr>
            <w:r>
              <w:rPr>
                <w:rFonts w:cs="Arial"/>
                <w:szCs w:val="24"/>
              </w:rPr>
              <w:t>137</w:t>
            </w:r>
          </w:p>
        </w:tc>
        <w:tc>
          <w:tcPr>
            <w:tcW w:w="1565" w:type="dxa"/>
            <w:vAlign w:val="center"/>
          </w:tcPr>
          <w:p w14:paraId="6078E603" w14:textId="7C6C641A" w:rsidR="00DA36CE" w:rsidRPr="00FB606A" w:rsidRDefault="00DA36CE" w:rsidP="00DA36CE">
            <w:pPr>
              <w:jc w:val="right"/>
              <w:rPr>
                <w:rFonts w:cs="Arial"/>
                <w:szCs w:val="24"/>
              </w:rPr>
            </w:pPr>
            <w:r w:rsidRPr="00FB606A">
              <w:rPr>
                <w:rFonts w:cs="Arial"/>
                <w:szCs w:val="24"/>
              </w:rPr>
              <w:t xml:space="preserve">- </w:t>
            </w:r>
          </w:p>
        </w:tc>
        <w:tc>
          <w:tcPr>
            <w:tcW w:w="1701" w:type="dxa"/>
            <w:vAlign w:val="center"/>
          </w:tcPr>
          <w:p w14:paraId="191CDAA2" w14:textId="425867F4" w:rsidR="00DA36CE" w:rsidRPr="00FB606A" w:rsidRDefault="00DA36CE" w:rsidP="00DA36CE">
            <w:pPr>
              <w:jc w:val="right"/>
              <w:rPr>
                <w:rFonts w:cs="Arial"/>
                <w:szCs w:val="24"/>
              </w:rPr>
            </w:pPr>
            <w:r w:rsidRPr="00FB606A">
              <w:rPr>
                <w:rFonts w:cs="Arial"/>
                <w:szCs w:val="24"/>
              </w:rPr>
              <w:t>(22,351)</w:t>
            </w:r>
          </w:p>
        </w:tc>
        <w:tc>
          <w:tcPr>
            <w:tcW w:w="1559" w:type="dxa"/>
            <w:vAlign w:val="center"/>
          </w:tcPr>
          <w:p w14:paraId="02FC2EA7" w14:textId="28BABB25" w:rsidR="00DA36CE" w:rsidRPr="00FB606A" w:rsidRDefault="00012675" w:rsidP="00DA36CE">
            <w:pPr>
              <w:jc w:val="right"/>
              <w:rPr>
                <w:rFonts w:cs="Arial"/>
                <w:szCs w:val="24"/>
              </w:rPr>
            </w:pPr>
            <w:r>
              <w:rPr>
                <w:rFonts w:cs="Arial"/>
                <w:szCs w:val="24"/>
              </w:rPr>
              <w:t>-</w:t>
            </w:r>
          </w:p>
        </w:tc>
        <w:tc>
          <w:tcPr>
            <w:tcW w:w="1984" w:type="dxa"/>
            <w:vAlign w:val="center"/>
          </w:tcPr>
          <w:p w14:paraId="1F96802E" w14:textId="084B9EAD" w:rsidR="00DA36CE" w:rsidRPr="00FB606A" w:rsidRDefault="00DA36CE" w:rsidP="00DA36CE">
            <w:pPr>
              <w:jc w:val="right"/>
              <w:rPr>
                <w:rFonts w:cs="Arial"/>
                <w:b/>
                <w:bCs/>
                <w:szCs w:val="24"/>
              </w:rPr>
            </w:pPr>
            <w:r w:rsidRPr="00FB606A">
              <w:rPr>
                <w:rFonts w:cs="Arial"/>
                <w:szCs w:val="24"/>
              </w:rPr>
              <w:t>(22,</w:t>
            </w:r>
            <w:r>
              <w:rPr>
                <w:rFonts w:cs="Arial"/>
                <w:szCs w:val="24"/>
              </w:rPr>
              <w:t>351</w:t>
            </w:r>
            <w:r w:rsidRPr="00FB606A">
              <w:rPr>
                <w:rFonts w:cs="Arial"/>
                <w:szCs w:val="24"/>
              </w:rPr>
              <w:t>)</w:t>
            </w:r>
          </w:p>
        </w:tc>
      </w:tr>
      <w:tr w:rsidR="00DA36CE" w:rsidRPr="00D948C1" w14:paraId="18748AEC" w14:textId="77777777" w:rsidTr="00C4656D">
        <w:tc>
          <w:tcPr>
            <w:tcW w:w="3543" w:type="dxa"/>
          </w:tcPr>
          <w:p w14:paraId="47358688" w14:textId="3E5FF081" w:rsidR="00DA36CE" w:rsidRPr="00D948C1" w:rsidRDefault="00DA36CE" w:rsidP="00DA36CE">
            <w:pPr>
              <w:rPr>
                <w:szCs w:val="24"/>
              </w:rPr>
            </w:pPr>
            <w:r w:rsidRPr="00D948C1">
              <w:rPr>
                <w:szCs w:val="24"/>
              </w:rPr>
              <w:t>Strategy and Planning</w:t>
            </w:r>
          </w:p>
        </w:tc>
        <w:tc>
          <w:tcPr>
            <w:tcW w:w="1559" w:type="dxa"/>
            <w:vAlign w:val="center"/>
          </w:tcPr>
          <w:p w14:paraId="6B76D829" w14:textId="619AD625" w:rsidR="00DA36CE" w:rsidRPr="00FB606A" w:rsidRDefault="00DA36CE" w:rsidP="00DA36CE">
            <w:pPr>
              <w:jc w:val="right"/>
              <w:rPr>
                <w:rFonts w:cs="Arial"/>
                <w:szCs w:val="24"/>
              </w:rPr>
            </w:pPr>
            <w:r>
              <w:rPr>
                <w:rFonts w:cs="Arial"/>
                <w:szCs w:val="24"/>
              </w:rPr>
              <w:t>235</w:t>
            </w:r>
          </w:p>
        </w:tc>
        <w:tc>
          <w:tcPr>
            <w:tcW w:w="1559" w:type="dxa"/>
          </w:tcPr>
          <w:p w14:paraId="347CA534" w14:textId="77768A0E" w:rsidR="00DA36CE" w:rsidRPr="00FB606A" w:rsidRDefault="00DA36CE" w:rsidP="00DA36CE">
            <w:pPr>
              <w:jc w:val="right"/>
              <w:rPr>
                <w:rFonts w:cs="Arial"/>
                <w:szCs w:val="24"/>
              </w:rPr>
            </w:pPr>
            <w:r>
              <w:rPr>
                <w:rFonts w:cs="Arial"/>
                <w:szCs w:val="24"/>
              </w:rPr>
              <w:t>-</w:t>
            </w:r>
          </w:p>
        </w:tc>
        <w:tc>
          <w:tcPr>
            <w:tcW w:w="1837" w:type="dxa"/>
            <w:vAlign w:val="center"/>
          </w:tcPr>
          <w:p w14:paraId="494F850B" w14:textId="038B11C8" w:rsidR="00DA36CE" w:rsidRPr="00FB606A" w:rsidRDefault="00DA36CE" w:rsidP="00DA36CE">
            <w:pPr>
              <w:jc w:val="right"/>
              <w:rPr>
                <w:rFonts w:cs="Arial"/>
                <w:szCs w:val="24"/>
              </w:rPr>
            </w:pPr>
            <w:r>
              <w:rPr>
                <w:rFonts w:cs="Arial"/>
                <w:szCs w:val="24"/>
              </w:rPr>
              <w:t>235</w:t>
            </w:r>
          </w:p>
        </w:tc>
        <w:tc>
          <w:tcPr>
            <w:tcW w:w="1565" w:type="dxa"/>
            <w:vAlign w:val="center"/>
          </w:tcPr>
          <w:p w14:paraId="0AAFE36C" w14:textId="661EE2A1" w:rsidR="00DA36CE" w:rsidRPr="00FB606A" w:rsidRDefault="00DA36CE" w:rsidP="00DA36CE">
            <w:pPr>
              <w:jc w:val="right"/>
              <w:rPr>
                <w:rFonts w:cs="Arial"/>
                <w:szCs w:val="24"/>
              </w:rPr>
            </w:pPr>
            <w:r w:rsidRPr="00FB606A">
              <w:rPr>
                <w:rFonts w:cs="Arial"/>
                <w:szCs w:val="24"/>
              </w:rPr>
              <w:t xml:space="preserve">- </w:t>
            </w:r>
          </w:p>
        </w:tc>
        <w:tc>
          <w:tcPr>
            <w:tcW w:w="1701" w:type="dxa"/>
            <w:vAlign w:val="center"/>
          </w:tcPr>
          <w:p w14:paraId="18B45358" w14:textId="11CB5D81" w:rsidR="00DA36CE" w:rsidRPr="00FB606A" w:rsidRDefault="00DA36CE" w:rsidP="00DA36CE">
            <w:pPr>
              <w:jc w:val="right"/>
              <w:rPr>
                <w:rFonts w:cs="Arial"/>
                <w:szCs w:val="24"/>
              </w:rPr>
            </w:pPr>
            <w:r w:rsidRPr="00FB606A">
              <w:rPr>
                <w:rFonts w:cs="Arial"/>
                <w:szCs w:val="24"/>
              </w:rPr>
              <w:t>(1,798)</w:t>
            </w:r>
          </w:p>
        </w:tc>
        <w:tc>
          <w:tcPr>
            <w:tcW w:w="1559" w:type="dxa"/>
            <w:vAlign w:val="center"/>
          </w:tcPr>
          <w:p w14:paraId="58EE17C8" w14:textId="1C635A56" w:rsidR="00DA36CE" w:rsidRPr="00FB606A" w:rsidRDefault="00012675" w:rsidP="00DA36CE">
            <w:pPr>
              <w:jc w:val="right"/>
              <w:rPr>
                <w:rFonts w:cs="Arial"/>
                <w:szCs w:val="24"/>
              </w:rPr>
            </w:pPr>
            <w:r>
              <w:rPr>
                <w:rFonts w:cs="Arial"/>
                <w:szCs w:val="24"/>
              </w:rPr>
              <w:t>(180)</w:t>
            </w:r>
          </w:p>
        </w:tc>
        <w:tc>
          <w:tcPr>
            <w:tcW w:w="1984" w:type="dxa"/>
            <w:vAlign w:val="center"/>
          </w:tcPr>
          <w:p w14:paraId="41133211" w14:textId="5F7BE826" w:rsidR="00DA36CE" w:rsidRPr="00FB606A" w:rsidRDefault="00DA36CE" w:rsidP="00DA36CE">
            <w:pPr>
              <w:jc w:val="right"/>
              <w:rPr>
                <w:rFonts w:cs="Arial"/>
                <w:b/>
                <w:bCs/>
                <w:szCs w:val="24"/>
              </w:rPr>
            </w:pPr>
            <w:r w:rsidRPr="00FB606A">
              <w:rPr>
                <w:rFonts w:cs="Arial"/>
                <w:szCs w:val="24"/>
              </w:rPr>
              <w:t>(1,</w:t>
            </w:r>
            <w:r>
              <w:rPr>
                <w:rFonts w:cs="Arial"/>
                <w:szCs w:val="24"/>
              </w:rPr>
              <w:t>978</w:t>
            </w:r>
            <w:r w:rsidRPr="00FB606A">
              <w:rPr>
                <w:rFonts w:cs="Arial"/>
                <w:szCs w:val="24"/>
              </w:rPr>
              <w:t>)</w:t>
            </w:r>
          </w:p>
        </w:tc>
      </w:tr>
      <w:tr w:rsidR="00DA36CE" w:rsidRPr="00D948C1" w14:paraId="3D93ACB0" w14:textId="77777777" w:rsidTr="00C4656D">
        <w:tc>
          <w:tcPr>
            <w:tcW w:w="3543" w:type="dxa"/>
          </w:tcPr>
          <w:p w14:paraId="4A0243EB" w14:textId="49A9D6DE" w:rsidR="00DA36CE" w:rsidRPr="00D948C1" w:rsidRDefault="00DA36CE" w:rsidP="00DA36CE">
            <w:pPr>
              <w:rPr>
                <w:szCs w:val="24"/>
              </w:rPr>
            </w:pPr>
            <w:r w:rsidRPr="00D948C1">
              <w:rPr>
                <w:szCs w:val="24"/>
              </w:rPr>
              <w:t>People and Development</w:t>
            </w:r>
          </w:p>
        </w:tc>
        <w:tc>
          <w:tcPr>
            <w:tcW w:w="1559" w:type="dxa"/>
            <w:vAlign w:val="center"/>
          </w:tcPr>
          <w:p w14:paraId="53F47373" w14:textId="5A36EEBD" w:rsidR="00DA36CE" w:rsidRPr="00FB606A" w:rsidRDefault="00DA36CE" w:rsidP="00DA36CE">
            <w:pPr>
              <w:jc w:val="right"/>
              <w:rPr>
                <w:rFonts w:cs="Arial"/>
                <w:szCs w:val="24"/>
              </w:rPr>
            </w:pPr>
            <w:r w:rsidRPr="00FB606A">
              <w:rPr>
                <w:rFonts w:cs="Arial"/>
                <w:szCs w:val="24"/>
              </w:rPr>
              <w:t>-</w:t>
            </w:r>
          </w:p>
        </w:tc>
        <w:tc>
          <w:tcPr>
            <w:tcW w:w="1559" w:type="dxa"/>
          </w:tcPr>
          <w:p w14:paraId="4DA0230E" w14:textId="199B2D6E" w:rsidR="00DA36CE" w:rsidRPr="00FB606A" w:rsidRDefault="00DA36CE" w:rsidP="00DA36CE">
            <w:pPr>
              <w:jc w:val="right"/>
              <w:rPr>
                <w:rFonts w:cs="Arial"/>
                <w:szCs w:val="24"/>
              </w:rPr>
            </w:pPr>
            <w:r>
              <w:rPr>
                <w:rFonts w:cs="Arial"/>
                <w:szCs w:val="24"/>
              </w:rPr>
              <w:t>-</w:t>
            </w:r>
          </w:p>
        </w:tc>
        <w:tc>
          <w:tcPr>
            <w:tcW w:w="1837" w:type="dxa"/>
            <w:vAlign w:val="center"/>
          </w:tcPr>
          <w:p w14:paraId="63FDDDE3" w14:textId="0AB3F08E" w:rsidR="00DA36CE" w:rsidRPr="00FB606A" w:rsidRDefault="00DA36CE" w:rsidP="00DA36CE">
            <w:pPr>
              <w:jc w:val="right"/>
              <w:rPr>
                <w:rFonts w:cs="Arial"/>
                <w:szCs w:val="24"/>
              </w:rPr>
            </w:pPr>
            <w:r w:rsidRPr="00FB606A">
              <w:rPr>
                <w:rFonts w:cs="Arial"/>
                <w:szCs w:val="24"/>
              </w:rPr>
              <w:t>-</w:t>
            </w:r>
          </w:p>
        </w:tc>
        <w:tc>
          <w:tcPr>
            <w:tcW w:w="1565" w:type="dxa"/>
            <w:vAlign w:val="center"/>
          </w:tcPr>
          <w:p w14:paraId="1D3648E0" w14:textId="4E6F9D89" w:rsidR="00DA36CE" w:rsidRPr="00FB606A" w:rsidRDefault="00DA36CE" w:rsidP="00DA36CE">
            <w:pPr>
              <w:jc w:val="right"/>
              <w:rPr>
                <w:rFonts w:cs="Arial"/>
                <w:szCs w:val="24"/>
              </w:rPr>
            </w:pPr>
            <w:r w:rsidRPr="00FB606A">
              <w:rPr>
                <w:rFonts w:cs="Arial"/>
                <w:szCs w:val="24"/>
              </w:rPr>
              <w:t xml:space="preserve">- </w:t>
            </w:r>
          </w:p>
        </w:tc>
        <w:tc>
          <w:tcPr>
            <w:tcW w:w="1701" w:type="dxa"/>
            <w:vAlign w:val="center"/>
          </w:tcPr>
          <w:p w14:paraId="46967312" w14:textId="0C8E7951" w:rsidR="00DA36CE" w:rsidRPr="00FB606A" w:rsidRDefault="00DA36CE" w:rsidP="00DA36CE">
            <w:pPr>
              <w:jc w:val="right"/>
              <w:rPr>
                <w:rFonts w:cs="Arial"/>
                <w:szCs w:val="24"/>
              </w:rPr>
            </w:pPr>
            <w:r w:rsidRPr="00FB606A">
              <w:rPr>
                <w:rFonts w:cs="Arial"/>
                <w:szCs w:val="24"/>
              </w:rPr>
              <w:t>168</w:t>
            </w:r>
          </w:p>
        </w:tc>
        <w:tc>
          <w:tcPr>
            <w:tcW w:w="1559" w:type="dxa"/>
            <w:vAlign w:val="center"/>
          </w:tcPr>
          <w:p w14:paraId="14C94E23" w14:textId="7841AB06" w:rsidR="00DA36CE" w:rsidRPr="00FB606A" w:rsidRDefault="00DA36CE" w:rsidP="00DA36CE">
            <w:pPr>
              <w:jc w:val="right"/>
              <w:rPr>
                <w:rFonts w:cs="Arial"/>
                <w:szCs w:val="24"/>
              </w:rPr>
            </w:pPr>
            <w:r w:rsidRPr="00FB606A">
              <w:rPr>
                <w:rFonts w:cs="Arial"/>
                <w:szCs w:val="24"/>
              </w:rPr>
              <w:t>(26)</w:t>
            </w:r>
          </w:p>
        </w:tc>
        <w:tc>
          <w:tcPr>
            <w:tcW w:w="1984" w:type="dxa"/>
            <w:vAlign w:val="center"/>
          </w:tcPr>
          <w:p w14:paraId="09C74AF7" w14:textId="5D10C6ED" w:rsidR="00DA36CE" w:rsidRPr="00FB606A" w:rsidRDefault="00DA36CE" w:rsidP="00DA36CE">
            <w:pPr>
              <w:jc w:val="right"/>
              <w:rPr>
                <w:rFonts w:cs="Arial"/>
                <w:b/>
                <w:bCs/>
                <w:szCs w:val="24"/>
              </w:rPr>
            </w:pPr>
            <w:r w:rsidRPr="00FB606A">
              <w:rPr>
                <w:rFonts w:cs="Arial"/>
                <w:szCs w:val="24"/>
              </w:rPr>
              <w:t xml:space="preserve">142 </w:t>
            </w:r>
          </w:p>
        </w:tc>
      </w:tr>
      <w:tr w:rsidR="00DA36CE" w:rsidRPr="00D948C1" w14:paraId="21358A79" w14:textId="77777777" w:rsidTr="00C4656D">
        <w:tc>
          <w:tcPr>
            <w:tcW w:w="3543" w:type="dxa"/>
          </w:tcPr>
          <w:p w14:paraId="6554B64D" w14:textId="36908E5E" w:rsidR="00DA36CE" w:rsidRPr="00D948C1" w:rsidRDefault="00DA36CE" w:rsidP="00DA36CE">
            <w:pPr>
              <w:rPr>
                <w:szCs w:val="24"/>
              </w:rPr>
            </w:pPr>
            <w:r w:rsidRPr="00D948C1">
              <w:rPr>
                <w:szCs w:val="24"/>
              </w:rPr>
              <w:t>Corporate Services</w:t>
            </w:r>
          </w:p>
        </w:tc>
        <w:tc>
          <w:tcPr>
            <w:tcW w:w="1559" w:type="dxa"/>
            <w:vAlign w:val="center"/>
          </w:tcPr>
          <w:p w14:paraId="7DE2840E" w14:textId="1B77B2DD" w:rsidR="00DA36CE" w:rsidRPr="00FB606A" w:rsidRDefault="00DA36CE" w:rsidP="00DA36CE">
            <w:pPr>
              <w:jc w:val="right"/>
              <w:rPr>
                <w:rFonts w:cs="Arial"/>
                <w:szCs w:val="24"/>
              </w:rPr>
            </w:pPr>
            <w:r>
              <w:rPr>
                <w:rFonts w:cs="Arial"/>
                <w:szCs w:val="24"/>
              </w:rPr>
              <w:t>(268)</w:t>
            </w:r>
          </w:p>
        </w:tc>
        <w:tc>
          <w:tcPr>
            <w:tcW w:w="1559" w:type="dxa"/>
          </w:tcPr>
          <w:p w14:paraId="13C1E5E6" w14:textId="3FBF8A71" w:rsidR="00DA36CE" w:rsidRPr="00FB606A" w:rsidRDefault="00DA36CE" w:rsidP="00DA36CE">
            <w:pPr>
              <w:jc w:val="right"/>
              <w:rPr>
                <w:rFonts w:cs="Arial"/>
                <w:szCs w:val="24"/>
              </w:rPr>
            </w:pPr>
            <w:r>
              <w:rPr>
                <w:rFonts w:cs="Arial"/>
                <w:szCs w:val="24"/>
              </w:rPr>
              <w:t>-</w:t>
            </w:r>
          </w:p>
        </w:tc>
        <w:tc>
          <w:tcPr>
            <w:tcW w:w="1837" w:type="dxa"/>
            <w:vAlign w:val="center"/>
          </w:tcPr>
          <w:p w14:paraId="75F1165A" w14:textId="5109D785" w:rsidR="00DA36CE" w:rsidRPr="00FB606A" w:rsidRDefault="00DA36CE" w:rsidP="00DA36CE">
            <w:pPr>
              <w:jc w:val="right"/>
              <w:rPr>
                <w:rFonts w:cs="Arial"/>
                <w:szCs w:val="24"/>
              </w:rPr>
            </w:pPr>
            <w:r>
              <w:rPr>
                <w:rFonts w:cs="Arial"/>
                <w:szCs w:val="24"/>
              </w:rPr>
              <w:t>(268)</w:t>
            </w:r>
          </w:p>
        </w:tc>
        <w:tc>
          <w:tcPr>
            <w:tcW w:w="1565" w:type="dxa"/>
            <w:vAlign w:val="center"/>
          </w:tcPr>
          <w:p w14:paraId="3CF371E8" w14:textId="08423D49" w:rsidR="00DA36CE" w:rsidRPr="00FB606A" w:rsidRDefault="00DA36CE" w:rsidP="00DA36CE">
            <w:pPr>
              <w:jc w:val="right"/>
              <w:rPr>
                <w:rFonts w:cs="Arial"/>
                <w:szCs w:val="24"/>
              </w:rPr>
            </w:pPr>
            <w:r w:rsidRPr="00FB606A">
              <w:rPr>
                <w:rFonts w:cs="Arial"/>
                <w:szCs w:val="24"/>
              </w:rPr>
              <w:t xml:space="preserve">- </w:t>
            </w:r>
          </w:p>
        </w:tc>
        <w:tc>
          <w:tcPr>
            <w:tcW w:w="1701" w:type="dxa"/>
            <w:vAlign w:val="center"/>
          </w:tcPr>
          <w:p w14:paraId="6265AAD2" w14:textId="5AE0C5FD" w:rsidR="00DA36CE" w:rsidRPr="00FB606A" w:rsidRDefault="00DA36CE" w:rsidP="00DA36CE">
            <w:pPr>
              <w:jc w:val="right"/>
              <w:rPr>
                <w:rFonts w:cs="Arial"/>
                <w:szCs w:val="24"/>
              </w:rPr>
            </w:pPr>
            <w:r w:rsidRPr="00FB606A">
              <w:rPr>
                <w:rFonts w:cs="Arial"/>
                <w:szCs w:val="24"/>
              </w:rPr>
              <w:t>(223)</w:t>
            </w:r>
          </w:p>
        </w:tc>
        <w:tc>
          <w:tcPr>
            <w:tcW w:w="1559" w:type="dxa"/>
            <w:vAlign w:val="center"/>
          </w:tcPr>
          <w:p w14:paraId="71571673" w14:textId="6EA0D886" w:rsidR="00DA36CE" w:rsidRPr="00FB606A" w:rsidRDefault="00012675" w:rsidP="00DA36CE">
            <w:pPr>
              <w:jc w:val="right"/>
              <w:rPr>
                <w:rFonts w:cs="Arial"/>
                <w:szCs w:val="24"/>
              </w:rPr>
            </w:pPr>
            <w:r>
              <w:rPr>
                <w:rFonts w:cs="Arial"/>
                <w:szCs w:val="24"/>
              </w:rPr>
              <w:t>-</w:t>
            </w:r>
          </w:p>
        </w:tc>
        <w:tc>
          <w:tcPr>
            <w:tcW w:w="1984" w:type="dxa"/>
            <w:vAlign w:val="center"/>
          </w:tcPr>
          <w:p w14:paraId="350523A7" w14:textId="57F86736" w:rsidR="00DA36CE" w:rsidRPr="00FB606A" w:rsidRDefault="00DA36CE" w:rsidP="00DA36CE">
            <w:pPr>
              <w:jc w:val="right"/>
              <w:rPr>
                <w:rFonts w:cs="Arial"/>
                <w:b/>
                <w:bCs/>
                <w:szCs w:val="24"/>
              </w:rPr>
            </w:pPr>
            <w:r w:rsidRPr="00FB606A">
              <w:rPr>
                <w:rFonts w:cs="Arial"/>
                <w:szCs w:val="24"/>
              </w:rPr>
              <w:t>(</w:t>
            </w:r>
            <w:r>
              <w:rPr>
                <w:rFonts w:cs="Arial"/>
                <w:szCs w:val="24"/>
              </w:rPr>
              <w:t>223</w:t>
            </w:r>
            <w:r w:rsidRPr="00FB606A">
              <w:rPr>
                <w:rFonts w:cs="Arial"/>
                <w:szCs w:val="24"/>
              </w:rPr>
              <w:t>)</w:t>
            </w:r>
          </w:p>
        </w:tc>
      </w:tr>
      <w:tr w:rsidR="00DA36CE" w:rsidRPr="00D948C1" w14:paraId="63A28C5C" w14:textId="77777777" w:rsidTr="00C4656D">
        <w:tc>
          <w:tcPr>
            <w:tcW w:w="3543" w:type="dxa"/>
          </w:tcPr>
          <w:p w14:paraId="1E0DFE67" w14:textId="3E87C8FE" w:rsidR="00DA36CE" w:rsidRPr="00D948C1" w:rsidRDefault="00DA36CE" w:rsidP="00DA36CE">
            <w:pPr>
              <w:rPr>
                <w:szCs w:val="24"/>
              </w:rPr>
            </w:pPr>
            <w:r w:rsidRPr="00D948C1">
              <w:rPr>
                <w:szCs w:val="24"/>
              </w:rPr>
              <w:t>Firefighters Pensions</w:t>
            </w:r>
          </w:p>
        </w:tc>
        <w:tc>
          <w:tcPr>
            <w:tcW w:w="1559" w:type="dxa"/>
            <w:vAlign w:val="center"/>
          </w:tcPr>
          <w:p w14:paraId="19E582F9" w14:textId="3A4517BB" w:rsidR="00DA36CE" w:rsidRPr="00FB606A" w:rsidRDefault="00DA36CE" w:rsidP="00DA36CE">
            <w:pPr>
              <w:jc w:val="right"/>
              <w:rPr>
                <w:rFonts w:cs="Arial"/>
                <w:szCs w:val="24"/>
              </w:rPr>
            </w:pPr>
            <w:r w:rsidRPr="00FB606A">
              <w:rPr>
                <w:rFonts w:cs="Arial"/>
                <w:szCs w:val="24"/>
              </w:rPr>
              <w:t>-</w:t>
            </w:r>
          </w:p>
        </w:tc>
        <w:tc>
          <w:tcPr>
            <w:tcW w:w="1559" w:type="dxa"/>
          </w:tcPr>
          <w:p w14:paraId="72D8C235" w14:textId="322EF648" w:rsidR="00DA36CE" w:rsidRPr="00FB606A" w:rsidRDefault="00DA36CE" w:rsidP="00DA36CE">
            <w:pPr>
              <w:jc w:val="right"/>
              <w:rPr>
                <w:rFonts w:cs="Arial"/>
                <w:szCs w:val="24"/>
              </w:rPr>
            </w:pPr>
            <w:r>
              <w:rPr>
                <w:rFonts w:cs="Arial"/>
                <w:szCs w:val="24"/>
              </w:rPr>
              <w:t>-</w:t>
            </w:r>
          </w:p>
        </w:tc>
        <w:tc>
          <w:tcPr>
            <w:tcW w:w="1837" w:type="dxa"/>
            <w:vAlign w:val="center"/>
          </w:tcPr>
          <w:p w14:paraId="14DE3DDC" w14:textId="54E42BCF" w:rsidR="00DA36CE" w:rsidRPr="00FB606A" w:rsidRDefault="00DA36CE" w:rsidP="00DA36CE">
            <w:pPr>
              <w:jc w:val="right"/>
              <w:rPr>
                <w:rFonts w:cs="Arial"/>
                <w:szCs w:val="24"/>
              </w:rPr>
            </w:pPr>
            <w:r w:rsidRPr="00FB606A">
              <w:rPr>
                <w:rFonts w:cs="Arial"/>
                <w:szCs w:val="24"/>
              </w:rPr>
              <w:t>-</w:t>
            </w:r>
          </w:p>
        </w:tc>
        <w:tc>
          <w:tcPr>
            <w:tcW w:w="1565" w:type="dxa"/>
            <w:vAlign w:val="center"/>
          </w:tcPr>
          <w:p w14:paraId="2CF7EBA0" w14:textId="77B735BA" w:rsidR="00DA36CE" w:rsidRPr="00FB606A" w:rsidRDefault="00DA36CE" w:rsidP="00DA36CE">
            <w:pPr>
              <w:jc w:val="right"/>
              <w:rPr>
                <w:rFonts w:cs="Arial"/>
                <w:szCs w:val="24"/>
              </w:rPr>
            </w:pPr>
            <w:r w:rsidRPr="00FB606A">
              <w:rPr>
                <w:rFonts w:cs="Arial"/>
                <w:szCs w:val="24"/>
              </w:rPr>
              <w:t xml:space="preserve">- </w:t>
            </w:r>
          </w:p>
        </w:tc>
        <w:tc>
          <w:tcPr>
            <w:tcW w:w="1701" w:type="dxa"/>
            <w:vAlign w:val="center"/>
          </w:tcPr>
          <w:p w14:paraId="3E1736A3" w14:textId="576D2E5C" w:rsidR="00DA36CE" w:rsidRPr="00FB606A" w:rsidRDefault="00DA36CE" w:rsidP="00DA36CE">
            <w:pPr>
              <w:jc w:val="right"/>
              <w:rPr>
                <w:rFonts w:cs="Arial"/>
                <w:szCs w:val="24"/>
              </w:rPr>
            </w:pPr>
            <w:r w:rsidRPr="00FB606A">
              <w:rPr>
                <w:rFonts w:cs="Arial"/>
                <w:szCs w:val="24"/>
              </w:rPr>
              <w:t>-</w:t>
            </w:r>
          </w:p>
        </w:tc>
        <w:tc>
          <w:tcPr>
            <w:tcW w:w="1559" w:type="dxa"/>
            <w:vAlign w:val="center"/>
          </w:tcPr>
          <w:p w14:paraId="1B97D911" w14:textId="7CE9AB60" w:rsidR="00DA36CE" w:rsidRPr="00FB606A" w:rsidRDefault="00DA36CE" w:rsidP="00DA36CE">
            <w:pPr>
              <w:jc w:val="right"/>
              <w:rPr>
                <w:rFonts w:cs="Arial"/>
                <w:szCs w:val="24"/>
              </w:rPr>
            </w:pPr>
            <w:r w:rsidRPr="00FB606A">
              <w:rPr>
                <w:rFonts w:cs="Arial"/>
                <w:szCs w:val="24"/>
              </w:rPr>
              <w:t>-</w:t>
            </w:r>
          </w:p>
        </w:tc>
        <w:tc>
          <w:tcPr>
            <w:tcW w:w="1984" w:type="dxa"/>
            <w:vAlign w:val="center"/>
          </w:tcPr>
          <w:p w14:paraId="2B6F3074" w14:textId="2DB0128F" w:rsidR="00DA36CE" w:rsidRPr="00FB606A" w:rsidRDefault="00DA36CE" w:rsidP="00DA36CE">
            <w:pPr>
              <w:jc w:val="right"/>
              <w:rPr>
                <w:rFonts w:cs="Arial"/>
                <w:b/>
                <w:bCs/>
                <w:szCs w:val="24"/>
              </w:rPr>
            </w:pPr>
            <w:r w:rsidRPr="00FB606A">
              <w:rPr>
                <w:rFonts w:cs="Arial"/>
                <w:szCs w:val="24"/>
              </w:rPr>
              <w:t xml:space="preserve">- </w:t>
            </w:r>
          </w:p>
        </w:tc>
      </w:tr>
      <w:tr w:rsidR="00DA36CE" w:rsidRPr="00D948C1" w14:paraId="31064235" w14:textId="77777777" w:rsidTr="00C4656D">
        <w:tc>
          <w:tcPr>
            <w:tcW w:w="3543" w:type="dxa"/>
          </w:tcPr>
          <w:p w14:paraId="6DEF846E" w14:textId="28168C47" w:rsidR="00DA36CE" w:rsidRPr="00D948C1" w:rsidRDefault="00DA36CE" w:rsidP="00DA36CE">
            <w:pPr>
              <w:rPr>
                <w:szCs w:val="24"/>
              </w:rPr>
            </w:pPr>
            <w:r w:rsidRPr="00D948C1">
              <w:rPr>
                <w:szCs w:val="24"/>
              </w:rPr>
              <w:t>Overheads</w:t>
            </w:r>
          </w:p>
        </w:tc>
        <w:tc>
          <w:tcPr>
            <w:tcW w:w="1559" w:type="dxa"/>
            <w:vAlign w:val="center"/>
          </w:tcPr>
          <w:p w14:paraId="18B85617" w14:textId="36D0F681" w:rsidR="00DA36CE" w:rsidRPr="00FB606A" w:rsidRDefault="00DA36CE" w:rsidP="00DA36CE">
            <w:pPr>
              <w:jc w:val="right"/>
              <w:rPr>
                <w:rFonts w:cs="Arial"/>
                <w:szCs w:val="24"/>
              </w:rPr>
            </w:pPr>
            <w:r>
              <w:rPr>
                <w:rFonts w:cs="Arial"/>
                <w:szCs w:val="24"/>
              </w:rPr>
              <w:t>1,003</w:t>
            </w:r>
          </w:p>
        </w:tc>
        <w:tc>
          <w:tcPr>
            <w:tcW w:w="1559" w:type="dxa"/>
          </w:tcPr>
          <w:p w14:paraId="1C80795A" w14:textId="37D590E0" w:rsidR="00DA36CE" w:rsidRPr="00FB606A" w:rsidRDefault="00DA36CE" w:rsidP="00DA36CE">
            <w:pPr>
              <w:jc w:val="right"/>
              <w:rPr>
                <w:rFonts w:cs="Arial"/>
                <w:szCs w:val="24"/>
              </w:rPr>
            </w:pPr>
            <w:r>
              <w:rPr>
                <w:rFonts w:cs="Arial"/>
                <w:szCs w:val="24"/>
              </w:rPr>
              <w:t>158</w:t>
            </w:r>
          </w:p>
        </w:tc>
        <w:tc>
          <w:tcPr>
            <w:tcW w:w="1837" w:type="dxa"/>
            <w:vAlign w:val="center"/>
          </w:tcPr>
          <w:p w14:paraId="72CB7A02" w14:textId="2E5777AF" w:rsidR="00DA36CE" w:rsidRPr="00FB606A" w:rsidRDefault="00DA36CE" w:rsidP="00DA36CE">
            <w:pPr>
              <w:jc w:val="right"/>
              <w:rPr>
                <w:rFonts w:cs="Arial"/>
                <w:szCs w:val="24"/>
              </w:rPr>
            </w:pPr>
            <w:r>
              <w:rPr>
                <w:rFonts w:cs="Arial"/>
                <w:szCs w:val="24"/>
              </w:rPr>
              <w:t>1,161</w:t>
            </w:r>
          </w:p>
        </w:tc>
        <w:tc>
          <w:tcPr>
            <w:tcW w:w="1565" w:type="dxa"/>
            <w:vAlign w:val="center"/>
          </w:tcPr>
          <w:p w14:paraId="03148DC6" w14:textId="74478EC0" w:rsidR="00DA36CE" w:rsidRPr="00FB606A" w:rsidRDefault="00DA36CE" w:rsidP="00DA36CE">
            <w:pPr>
              <w:jc w:val="right"/>
              <w:rPr>
                <w:rFonts w:cs="Arial"/>
                <w:szCs w:val="24"/>
              </w:rPr>
            </w:pPr>
            <w:r>
              <w:rPr>
                <w:rFonts w:cs="Arial"/>
                <w:szCs w:val="24"/>
              </w:rPr>
              <w:t>6</w:t>
            </w:r>
            <w:r w:rsidRPr="00FB606A">
              <w:rPr>
                <w:rFonts w:cs="Arial"/>
                <w:szCs w:val="24"/>
              </w:rPr>
              <w:t>,</w:t>
            </w:r>
            <w:r>
              <w:rPr>
                <w:rFonts w:cs="Arial"/>
                <w:szCs w:val="24"/>
              </w:rPr>
              <w:t>05</w:t>
            </w:r>
            <w:r w:rsidRPr="00FB606A">
              <w:rPr>
                <w:rFonts w:cs="Arial"/>
                <w:szCs w:val="24"/>
              </w:rPr>
              <w:t>3</w:t>
            </w:r>
          </w:p>
        </w:tc>
        <w:tc>
          <w:tcPr>
            <w:tcW w:w="1701" w:type="dxa"/>
            <w:vAlign w:val="center"/>
          </w:tcPr>
          <w:p w14:paraId="468F9FE6" w14:textId="134CBD87" w:rsidR="00DA36CE" w:rsidRPr="00FB606A" w:rsidRDefault="00DA36CE" w:rsidP="00DA36CE">
            <w:pPr>
              <w:jc w:val="right"/>
              <w:rPr>
                <w:rFonts w:cs="Arial"/>
                <w:szCs w:val="24"/>
              </w:rPr>
            </w:pPr>
            <w:r w:rsidRPr="00FB606A">
              <w:rPr>
                <w:rFonts w:cs="Arial"/>
                <w:szCs w:val="24"/>
              </w:rPr>
              <w:t>24</w:t>
            </w:r>
          </w:p>
        </w:tc>
        <w:tc>
          <w:tcPr>
            <w:tcW w:w="1559" w:type="dxa"/>
            <w:vAlign w:val="center"/>
          </w:tcPr>
          <w:p w14:paraId="0EF61287" w14:textId="7E134887" w:rsidR="00DA36CE" w:rsidRPr="00FB606A" w:rsidRDefault="00DA36CE" w:rsidP="00DA36CE">
            <w:pPr>
              <w:jc w:val="right"/>
              <w:rPr>
                <w:rFonts w:cs="Arial"/>
                <w:szCs w:val="24"/>
              </w:rPr>
            </w:pPr>
            <w:r w:rsidRPr="00FB606A">
              <w:rPr>
                <w:rFonts w:cs="Arial"/>
                <w:szCs w:val="24"/>
              </w:rPr>
              <w:t>(</w:t>
            </w:r>
            <w:r w:rsidR="00975E1A">
              <w:rPr>
                <w:rFonts w:cs="Arial"/>
                <w:szCs w:val="24"/>
              </w:rPr>
              <w:t>5</w:t>
            </w:r>
            <w:r w:rsidRPr="00FB606A">
              <w:rPr>
                <w:rFonts w:cs="Arial"/>
                <w:szCs w:val="24"/>
              </w:rPr>
              <w:t>,</w:t>
            </w:r>
            <w:r w:rsidR="00975E1A">
              <w:rPr>
                <w:rFonts w:cs="Arial"/>
                <w:szCs w:val="24"/>
              </w:rPr>
              <w:t>451</w:t>
            </w:r>
            <w:r w:rsidRPr="00FB606A">
              <w:rPr>
                <w:rFonts w:cs="Arial"/>
                <w:szCs w:val="24"/>
              </w:rPr>
              <w:t>)</w:t>
            </w:r>
          </w:p>
        </w:tc>
        <w:tc>
          <w:tcPr>
            <w:tcW w:w="1984" w:type="dxa"/>
            <w:vAlign w:val="center"/>
          </w:tcPr>
          <w:p w14:paraId="1131729A" w14:textId="52B79D58" w:rsidR="00DA36CE" w:rsidRPr="00FB606A" w:rsidRDefault="00DA36CE" w:rsidP="00DA36CE">
            <w:pPr>
              <w:jc w:val="right"/>
              <w:rPr>
                <w:rFonts w:cs="Arial"/>
                <w:b/>
                <w:bCs/>
                <w:szCs w:val="24"/>
              </w:rPr>
            </w:pPr>
            <w:r>
              <w:rPr>
                <w:rFonts w:cs="Arial"/>
                <w:szCs w:val="24"/>
              </w:rPr>
              <w:t>626</w:t>
            </w:r>
          </w:p>
        </w:tc>
      </w:tr>
      <w:tr w:rsidR="00DA36CE" w:rsidRPr="00D948C1" w14:paraId="0BC38327" w14:textId="77777777" w:rsidTr="00C4656D">
        <w:tc>
          <w:tcPr>
            <w:tcW w:w="3543" w:type="dxa"/>
          </w:tcPr>
          <w:p w14:paraId="6F11E11F" w14:textId="122B85E0" w:rsidR="00DA36CE" w:rsidRPr="00D948C1" w:rsidRDefault="00DA36CE" w:rsidP="00DA36CE">
            <w:pPr>
              <w:rPr>
                <w:b/>
                <w:szCs w:val="24"/>
              </w:rPr>
            </w:pPr>
            <w:r w:rsidRPr="00D948C1">
              <w:rPr>
                <w:b/>
                <w:szCs w:val="24"/>
              </w:rPr>
              <w:t>Net cost of Services</w:t>
            </w:r>
          </w:p>
        </w:tc>
        <w:tc>
          <w:tcPr>
            <w:tcW w:w="1559" w:type="dxa"/>
            <w:vAlign w:val="center"/>
          </w:tcPr>
          <w:p w14:paraId="1BF657FA" w14:textId="06ABA0E8" w:rsidR="00DA36CE" w:rsidRPr="00FB606A" w:rsidRDefault="00DA36CE" w:rsidP="00DA36CE">
            <w:pPr>
              <w:jc w:val="right"/>
              <w:rPr>
                <w:rFonts w:cs="Arial"/>
                <w:b/>
                <w:bCs/>
                <w:szCs w:val="24"/>
              </w:rPr>
            </w:pPr>
            <w:r>
              <w:rPr>
                <w:rFonts w:cs="Arial"/>
                <w:b/>
                <w:bCs/>
                <w:szCs w:val="24"/>
              </w:rPr>
              <w:t>978</w:t>
            </w:r>
          </w:p>
        </w:tc>
        <w:tc>
          <w:tcPr>
            <w:tcW w:w="1559" w:type="dxa"/>
          </w:tcPr>
          <w:p w14:paraId="3CE44BEE" w14:textId="7E074FFC" w:rsidR="00DA36CE" w:rsidRPr="00FB606A" w:rsidRDefault="00DA36CE" w:rsidP="00DA36CE">
            <w:pPr>
              <w:jc w:val="right"/>
              <w:rPr>
                <w:rFonts w:cs="Arial"/>
                <w:b/>
                <w:bCs/>
                <w:szCs w:val="24"/>
              </w:rPr>
            </w:pPr>
            <w:r>
              <w:rPr>
                <w:rFonts w:cs="Arial"/>
                <w:b/>
                <w:bCs/>
                <w:szCs w:val="24"/>
              </w:rPr>
              <w:t>287</w:t>
            </w:r>
          </w:p>
        </w:tc>
        <w:tc>
          <w:tcPr>
            <w:tcW w:w="1837" w:type="dxa"/>
            <w:vAlign w:val="center"/>
          </w:tcPr>
          <w:p w14:paraId="5499D315" w14:textId="03630D4A" w:rsidR="00DA36CE" w:rsidRPr="00FB606A" w:rsidRDefault="00DA36CE" w:rsidP="00DA36CE">
            <w:pPr>
              <w:jc w:val="right"/>
              <w:rPr>
                <w:rFonts w:cs="Arial"/>
                <w:b/>
                <w:bCs/>
                <w:szCs w:val="24"/>
              </w:rPr>
            </w:pPr>
            <w:r>
              <w:rPr>
                <w:rFonts w:cs="Arial"/>
                <w:b/>
                <w:bCs/>
                <w:szCs w:val="24"/>
              </w:rPr>
              <w:t>1,265</w:t>
            </w:r>
          </w:p>
        </w:tc>
        <w:tc>
          <w:tcPr>
            <w:tcW w:w="1565" w:type="dxa"/>
            <w:vAlign w:val="center"/>
          </w:tcPr>
          <w:p w14:paraId="2C43AE7D" w14:textId="1426F250" w:rsidR="00DA36CE" w:rsidRPr="00DA36CE" w:rsidRDefault="00DA36CE" w:rsidP="00DA36CE">
            <w:pPr>
              <w:jc w:val="right"/>
              <w:rPr>
                <w:rFonts w:cs="Arial"/>
                <w:b/>
                <w:bCs/>
                <w:szCs w:val="24"/>
              </w:rPr>
            </w:pPr>
            <w:r w:rsidRPr="00DA36CE">
              <w:rPr>
                <w:rFonts w:cs="Arial"/>
                <w:b/>
                <w:bCs/>
                <w:szCs w:val="24"/>
              </w:rPr>
              <w:t>6,053</w:t>
            </w:r>
          </w:p>
        </w:tc>
        <w:tc>
          <w:tcPr>
            <w:tcW w:w="1701" w:type="dxa"/>
            <w:vAlign w:val="center"/>
          </w:tcPr>
          <w:p w14:paraId="3B89AD6E" w14:textId="2B26091D" w:rsidR="00DA36CE" w:rsidRPr="00FB606A" w:rsidRDefault="00DA36CE" w:rsidP="00DA36CE">
            <w:pPr>
              <w:jc w:val="right"/>
              <w:rPr>
                <w:rFonts w:cs="Arial"/>
                <w:b/>
                <w:bCs/>
                <w:szCs w:val="24"/>
              </w:rPr>
            </w:pPr>
            <w:r w:rsidRPr="00FB606A">
              <w:rPr>
                <w:rFonts w:cs="Arial"/>
                <w:b/>
                <w:bCs/>
                <w:szCs w:val="24"/>
              </w:rPr>
              <w:t>(24,180)</w:t>
            </w:r>
          </w:p>
        </w:tc>
        <w:tc>
          <w:tcPr>
            <w:tcW w:w="1559" w:type="dxa"/>
            <w:vAlign w:val="center"/>
          </w:tcPr>
          <w:p w14:paraId="2BCF1B65" w14:textId="41DC8323" w:rsidR="00DA36CE" w:rsidRPr="00FB606A" w:rsidRDefault="00DA36CE" w:rsidP="00DA36CE">
            <w:pPr>
              <w:jc w:val="right"/>
              <w:rPr>
                <w:rFonts w:cs="Arial"/>
                <w:b/>
                <w:bCs/>
                <w:szCs w:val="24"/>
              </w:rPr>
            </w:pPr>
            <w:r w:rsidRPr="00FB606A">
              <w:rPr>
                <w:rFonts w:cs="Arial"/>
                <w:b/>
                <w:bCs/>
                <w:szCs w:val="24"/>
              </w:rPr>
              <w:t>(</w:t>
            </w:r>
            <w:r w:rsidR="00975E1A">
              <w:rPr>
                <w:rFonts w:cs="Arial"/>
                <w:b/>
                <w:bCs/>
                <w:szCs w:val="24"/>
              </w:rPr>
              <w:t>5</w:t>
            </w:r>
            <w:r w:rsidRPr="00FB606A">
              <w:rPr>
                <w:rFonts w:cs="Arial"/>
                <w:b/>
                <w:bCs/>
                <w:szCs w:val="24"/>
              </w:rPr>
              <w:t>,6</w:t>
            </w:r>
            <w:r w:rsidR="00975E1A">
              <w:rPr>
                <w:rFonts w:cs="Arial"/>
                <w:b/>
                <w:bCs/>
                <w:szCs w:val="24"/>
              </w:rPr>
              <w:t>57</w:t>
            </w:r>
            <w:r w:rsidRPr="00FB606A">
              <w:rPr>
                <w:rFonts w:cs="Arial"/>
                <w:b/>
                <w:bCs/>
                <w:szCs w:val="24"/>
              </w:rPr>
              <w:t>)</w:t>
            </w:r>
          </w:p>
        </w:tc>
        <w:tc>
          <w:tcPr>
            <w:tcW w:w="1984" w:type="dxa"/>
            <w:vAlign w:val="center"/>
          </w:tcPr>
          <w:p w14:paraId="435AC1A4" w14:textId="3D572A26" w:rsidR="00DA36CE" w:rsidRPr="00FB606A" w:rsidRDefault="00DA36CE" w:rsidP="00DA36CE">
            <w:pPr>
              <w:jc w:val="right"/>
              <w:rPr>
                <w:rFonts w:cs="Arial"/>
                <w:b/>
                <w:bCs/>
                <w:szCs w:val="24"/>
              </w:rPr>
            </w:pPr>
            <w:r w:rsidRPr="00FB606A">
              <w:rPr>
                <w:rFonts w:cs="Arial"/>
                <w:b/>
                <w:bCs/>
                <w:szCs w:val="24"/>
              </w:rPr>
              <w:t>(2</w:t>
            </w:r>
            <w:r>
              <w:rPr>
                <w:rFonts w:cs="Arial"/>
                <w:b/>
                <w:bCs/>
                <w:szCs w:val="24"/>
              </w:rPr>
              <w:t>3</w:t>
            </w:r>
            <w:r w:rsidRPr="00FB606A">
              <w:rPr>
                <w:rFonts w:cs="Arial"/>
                <w:b/>
                <w:bCs/>
                <w:szCs w:val="24"/>
              </w:rPr>
              <w:t>,</w:t>
            </w:r>
            <w:r>
              <w:rPr>
                <w:rFonts w:cs="Arial"/>
                <w:b/>
                <w:bCs/>
                <w:szCs w:val="24"/>
              </w:rPr>
              <w:t>784</w:t>
            </w:r>
            <w:r w:rsidRPr="00FB606A">
              <w:rPr>
                <w:rFonts w:cs="Arial"/>
                <w:b/>
                <w:bCs/>
                <w:szCs w:val="24"/>
              </w:rPr>
              <w:t>)</w:t>
            </w:r>
          </w:p>
        </w:tc>
      </w:tr>
      <w:tr w:rsidR="00DA36CE" w:rsidRPr="00D948C1" w14:paraId="35FEFC96" w14:textId="77777777" w:rsidTr="00C4656D">
        <w:tc>
          <w:tcPr>
            <w:tcW w:w="3543" w:type="dxa"/>
          </w:tcPr>
          <w:p w14:paraId="09A54903" w14:textId="7C756B0F" w:rsidR="00DA36CE" w:rsidRPr="00D948C1" w:rsidRDefault="00DA36CE" w:rsidP="00DA36CE">
            <w:pPr>
              <w:rPr>
                <w:szCs w:val="24"/>
              </w:rPr>
            </w:pPr>
            <w:r w:rsidRPr="00D948C1">
              <w:rPr>
                <w:szCs w:val="24"/>
              </w:rPr>
              <w:t>Other income and expenditure</w:t>
            </w:r>
          </w:p>
        </w:tc>
        <w:tc>
          <w:tcPr>
            <w:tcW w:w="1559" w:type="dxa"/>
            <w:vAlign w:val="center"/>
          </w:tcPr>
          <w:p w14:paraId="24EEBF80" w14:textId="36543736" w:rsidR="00DA36CE" w:rsidRPr="00FB606A" w:rsidRDefault="00DA36CE" w:rsidP="00DA36CE">
            <w:pPr>
              <w:jc w:val="right"/>
              <w:rPr>
                <w:rFonts w:cs="Arial"/>
                <w:szCs w:val="24"/>
              </w:rPr>
            </w:pPr>
            <w:r>
              <w:rPr>
                <w:rFonts w:cs="Arial"/>
                <w:szCs w:val="24"/>
              </w:rPr>
              <w:t>(245)</w:t>
            </w:r>
          </w:p>
        </w:tc>
        <w:tc>
          <w:tcPr>
            <w:tcW w:w="1559" w:type="dxa"/>
          </w:tcPr>
          <w:p w14:paraId="6625B50B" w14:textId="0960246C" w:rsidR="00DA36CE" w:rsidRPr="00FB606A" w:rsidRDefault="00DA36CE" w:rsidP="00DA36CE">
            <w:pPr>
              <w:jc w:val="right"/>
              <w:rPr>
                <w:rFonts w:cs="Arial"/>
                <w:szCs w:val="24"/>
              </w:rPr>
            </w:pPr>
            <w:r>
              <w:rPr>
                <w:rFonts w:cs="Arial"/>
                <w:szCs w:val="24"/>
              </w:rPr>
              <w:t>(447)</w:t>
            </w:r>
          </w:p>
        </w:tc>
        <w:tc>
          <w:tcPr>
            <w:tcW w:w="1837" w:type="dxa"/>
            <w:vAlign w:val="center"/>
          </w:tcPr>
          <w:p w14:paraId="763548F2" w14:textId="58209C29" w:rsidR="00DA36CE" w:rsidRPr="00FB606A" w:rsidRDefault="00DA36CE" w:rsidP="00DA36CE">
            <w:pPr>
              <w:jc w:val="right"/>
              <w:rPr>
                <w:rFonts w:cs="Arial"/>
                <w:szCs w:val="24"/>
              </w:rPr>
            </w:pPr>
            <w:r>
              <w:rPr>
                <w:rFonts w:cs="Arial"/>
                <w:szCs w:val="24"/>
              </w:rPr>
              <w:t>(692)</w:t>
            </w:r>
          </w:p>
        </w:tc>
        <w:tc>
          <w:tcPr>
            <w:tcW w:w="1565" w:type="dxa"/>
            <w:vAlign w:val="center"/>
          </w:tcPr>
          <w:p w14:paraId="753C55A3" w14:textId="452207E7" w:rsidR="00DA36CE" w:rsidRPr="00FB606A" w:rsidRDefault="005754F7" w:rsidP="00DA36CE">
            <w:pPr>
              <w:jc w:val="right"/>
              <w:rPr>
                <w:rFonts w:cs="Arial"/>
                <w:szCs w:val="24"/>
              </w:rPr>
            </w:pPr>
            <w:r>
              <w:rPr>
                <w:rFonts w:cs="Arial"/>
                <w:szCs w:val="24"/>
              </w:rPr>
              <w:t>(5,647)</w:t>
            </w:r>
            <w:r w:rsidR="00DA36CE" w:rsidRPr="00FB606A">
              <w:rPr>
                <w:rFonts w:cs="Arial"/>
                <w:szCs w:val="24"/>
              </w:rPr>
              <w:t xml:space="preserve"> </w:t>
            </w:r>
          </w:p>
        </w:tc>
        <w:tc>
          <w:tcPr>
            <w:tcW w:w="1701" w:type="dxa"/>
            <w:vAlign w:val="center"/>
          </w:tcPr>
          <w:p w14:paraId="26AE3372" w14:textId="3C123A3D" w:rsidR="00DA36CE" w:rsidRPr="00FB606A" w:rsidRDefault="00DA36CE" w:rsidP="00DA36CE">
            <w:pPr>
              <w:jc w:val="right"/>
              <w:rPr>
                <w:rFonts w:cs="Arial"/>
                <w:szCs w:val="24"/>
              </w:rPr>
            </w:pPr>
            <w:r w:rsidRPr="00FB606A">
              <w:rPr>
                <w:rFonts w:cs="Arial"/>
                <w:szCs w:val="24"/>
              </w:rPr>
              <w:t>28,7</w:t>
            </w:r>
            <w:r w:rsidR="00192F95">
              <w:rPr>
                <w:rFonts w:cs="Arial"/>
                <w:szCs w:val="24"/>
              </w:rPr>
              <w:t>34</w:t>
            </w:r>
          </w:p>
        </w:tc>
        <w:tc>
          <w:tcPr>
            <w:tcW w:w="1559" w:type="dxa"/>
            <w:vAlign w:val="center"/>
          </w:tcPr>
          <w:p w14:paraId="03F85F2E" w14:textId="447A819B" w:rsidR="00DA36CE" w:rsidRPr="00FB606A" w:rsidRDefault="00975E1A" w:rsidP="00DA36CE">
            <w:pPr>
              <w:jc w:val="right"/>
              <w:rPr>
                <w:rFonts w:cs="Arial"/>
                <w:szCs w:val="24"/>
              </w:rPr>
            </w:pPr>
            <w:r>
              <w:rPr>
                <w:rFonts w:cs="Arial"/>
                <w:szCs w:val="24"/>
              </w:rPr>
              <w:t>5,741</w:t>
            </w:r>
          </w:p>
        </w:tc>
        <w:tc>
          <w:tcPr>
            <w:tcW w:w="1984" w:type="dxa"/>
            <w:vAlign w:val="center"/>
          </w:tcPr>
          <w:p w14:paraId="6A68151D" w14:textId="0FB27C0B" w:rsidR="00DA36CE" w:rsidRPr="00FB606A" w:rsidRDefault="00DA36CE" w:rsidP="00DA36CE">
            <w:pPr>
              <w:jc w:val="right"/>
              <w:rPr>
                <w:rFonts w:cs="Arial"/>
                <w:b/>
                <w:bCs/>
                <w:szCs w:val="24"/>
              </w:rPr>
            </w:pPr>
            <w:r w:rsidRPr="00FB606A">
              <w:rPr>
                <w:rFonts w:cs="Arial"/>
                <w:szCs w:val="24"/>
              </w:rPr>
              <w:t>28,</w:t>
            </w:r>
            <w:r>
              <w:rPr>
                <w:rFonts w:cs="Arial"/>
                <w:szCs w:val="24"/>
              </w:rPr>
              <w:t>829</w:t>
            </w:r>
          </w:p>
        </w:tc>
      </w:tr>
      <w:tr w:rsidR="00DA36CE" w:rsidRPr="00D948C1" w14:paraId="39DCCFC1" w14:textId="77777777" w:rsidTr="00C4656D">
        <w:tc>
          <w:tcPr>
            <w:tcW w:w="3543" w:type="dxa"/>
          </w:tcPr>
          <w:p w14:paraId="6065D806" w14:textId="724BEB95" w:rsidR="00DA36CE" w:rsidRPr="00D948C1" w:rsidRDefault="00DA36CE" w:rsidP="00DA36CE">
            <w:pPr>
              <w:rPr>
                <w:b/>
                <w:szCs w:val="24"/>
              </w:rPr>
            </w:pPr>
            <w:r w:rsidRPr="00D948C1">
              <w:rPr>
                <w:b/>
                <w:szCs w:val="24"/>
              </w:rPr>
              <w:t>Total</w:t>
            </w:r>
          </w:p>
        </w:tc>
        <w:tc>
          <w:tcPr>
            <w:tcW w:w="1559" w:type="dxa"/>
            <w:vAlign w:val="center"/>
          </w:tcPr>
          <w:p w14:paraId="3E1D5697" w14:textId="522F7173" w:rsidR="00DA36CE" w:rsidRPr="00FB606A" w:rsidRDefault="00DA36CE" w:rsidP="00DA36CE">
            <w:pPr>
              <w:jc w:val="right"/>
              <w:rPr>
                <w:rFonts w:cs="Arial"/>
                <w:b/>
                <w:bCs/>
                <w:szCs w:val="24"/>
              </w:rPr>
            </w:pPr>
            <w:r>
              <w:rPr>
                <w:rFonts w:cs="Arial"/>
                <w:b/>
                <w:bCs/>
                <w:szCs w:val="24"/>
              </w:rPr>
              <w:t>733</w:t>
            </w:r>
          </w:p>
        </w:tc>
        <w:tc>
          <w:tcPr>
            <w:tcW w:w="1559" w:type="dxa"/>
          </w:tcPr>
          <w:p w14:paraId="16C3FB3B" w14:textId="4485E063" w:rsidR="00DA36CE" w:rsidRPr="00FB606A" w:rsidRDefault="00DA36CE" w:rsidP="00DA36CE">
            <w:pPr>
              <w:jc w:val="right"/>
              <w:rPr>
                <w:rFonts w:cs="Arial"/>
                <w:b/>
                <w:bCs/>
                <w:szCs w:val="24"/>
              </w:rPr>
            </w:pPr>
            <w:r>
              <w:rPr>
                <w:rFonts w:cs="Arial"/>
                <w:b/>
                <w:bCs/>
                <w:szCs w:val="24"/>
              </w:rPr>
              <w:t>(160)</w:t>
            </w:r>
          </w:p>
        </w:tc>
        <w:tc>
          <w:tcPr>
            <w:tcW w:w="1837" w:type="dxa"/>
            <w:vAlign w:val="center"/>
          </w:tcPr>
          <w:p w14:paraId="068FB4BA" w14:textId="18270BA7" w:rsidR="00DA36CE" w:rsidRPr="00FB606A" w:rsidRDefault="00DA36CE" w:rsidP="00DA36CE">
            <w:pPr>
              <w:jc w:val="right"/>
              <w:rPr>
                <w:rFonts w:cs="Arial"/>
                <w:b/>
                <w:bCs/>
                <w:szCs w:val="24"/>
              </w:rPr>
            </w:pPr>
            <w:r>
              <w:rPr>
                <w:rFonts w:cs="Arial"/>
                <w:b/>
                <w:bCs/>
                <w:szCs w:val="24"/>
              </w:rPr>
              <w:t>573</w:t>
            </w:r>
          </w:p>
        </w:tc>
        <w:tc>
          <w:tcPr>
            <w:tcW w:w="1565" w:type="dxa"/>
            <w:vAlign w:val="center"/>
          </w:tcPr>
          <w:p w14:paraId="5214FD30" w14:textId="4C5C1C88" w:rsidR="00DA36CE" w:rsidRPr="00FB606A" w:rsidRDefault="005754F7" w:rsidP="00DA36CE">
            <w:pPr>
              <w:jc w:val="right"/>
              <w:rPr>
                <w:rFonts w:cs="Arial"/>
                <w:b/>
                <w:bCs/>
                <w:szCs w:val="24"/>
              </w:rPr>
            </w:pPr>
            <w:r>
              <w:rPr>
                <w:rFonts w:cs="Arial"/>
                <w:b/>
                <w:bCs/>
                <w:szCs w:val="24"/>
              </w:rPr>
              <w:t>406</w:t>
            </w:r>
          </w:p>
        </w:tc>
        <w:tc>
          <w:tcPr>
            <w:tcW w:w="1701" w:type="dxa"/>
            <w:vAlign w:val="center"/>
          </w:tcPr>
          <w:p w14:paraId="0A420E6E" w14:textId="77877330" w:rsidR="00DA36CE" w:rsidRPr="00FB606A" w:rsidRDefault="00DA36CE" w:rsidP="00DA36CE">
            <w:pPr>
              <w:jc w:val="right"/>
              <w:rPr>
                <w:rFonts w:cs="Arial"/>
                <w:b/>
                <w:bCs/>
                <w:szCs w:val="24"/>
              </w:rPr>
            </w:pPr>
            <w:r w:rsidRPr="00FB606A">
              <w:rPr>
                <w:rFonts w:cs="Arial"/>
                <w:b/>
                <w:bCs/>
                <w:szCs w:val="24"/>
              </w:rPr>
              <w:t>4,5</w:t>
            </w:r>
            <w:r w:rsidR="00192F95">
              <w:rPr>
                <w:rFonts w:cs="Arial"/>
                <w:b/>
                <w:bCs/>
                <w:szCs w:val="24"/>
              </w:rPr>
              <w:t>54</w:t>
            </w:r>
          </w:p>
        </w:tc>
        <w:tc>
          <w:tcPr>
            <w:tcW w:w="1559" w:type="dxa"/>
            <w:vAlign w:val="center"/>
          </w:tcPr>
          <w:p w14:paraId="23304C55" w14:textId="208E9EBD" w:rsidR="00DA36CE" w:rsidRPr="00FB606A" w:rsidRDefault="00975E1A" w:rsidP="00DA36CE">
            <w:pPr>
              <w:jc w:val="right"/>
              <w:rPr>
                <w:rFonts w:cs="Arial"/>
                <w:b/>
                <w:bCs/>
                <w:szCs w:val="24"/>
              </w:rPr>
            </w:pPr>
            <w:r>
              <w:rPr>
                <w:rFonts w:cs="Arial"/>
                <w:b/>
                <w:bCs/>
                <w:szCs w:val="24"/>
              </w:rPr>
              <w:t>84</w:t>
            </w:r>
          </w:p>
        </w:tc>
        <w:tc>
          <w:tcPr>
            <w:tcW w:w="1984" w:type="dxa"/>
            <w:vAlign w:val="center"/>
          </w:tcPr>
          <w:p w14:paraId="0EED1F77" w14:textId="66950EF7" w:rsidR="00DA36CE" w:rsidRPr="00FB606A" w:rsidRDefault="00DA36CE" w:rsidP="00DA36CE">
            <w:pPr>
              <w:jc w:val="right"/>
              <w:rPr>
                <w:rFonts w:cs="Arial"/>
                <w:b/>
                <w:bCs/>
                <w:szCs w:val="24"/>
              </w:rPr>
            </w:pPr>
            <w:r w:rsidRPr="00FB606A">
              <w:rPr>
                <w:rFonts w:cs="Arial"/>
                <w:b/>
                <w:bCs/>
                <w:szCs w:val="24"/>
              </w:rPr>
              <w:t>5,</w:t>
            </w:r>
            <w:r>
              <w:rPr>
                <w:rFonts w:cs="Arial"/>
                <w:b/>
                <w:bCs/>
                <w:szCs w:val="24"/>
              </w:rPr>
              <w:t>045</w:t>
            </w:r>
          </w:p>
        </w:tc>
      </w:tr>
    </w:tbl>
    <w:p w14:paraId="090A89A9" w14:textId="77777777" w:rsidR="006943DC" w:rsidRDefault="006943DC" w:rsidP="006943DC">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76F399D7" w14:textId="77777777" w:rsidR="006943DC" w:rsidRPr="00E669B4" w:rsidRDefault="006943DC" w:rsidP="009469D7">
      <w:pPr>
        <w:ind w:left="720"/>
        <w:jc w:val="both"/>
        <w:rPr>
          <w:szCs w:val="24"/>
        </w:rPr>
      </w:pPr>
    </w:p>
    <w:p w14:paraId="0E7A7516" w14:textId="53F1DAD4" w:rsidR="00296A09" w:rsidRPr="00D948C1" w:rsidRDefault="00296A09" w:rsidP="00FA71D8">
      <w:pPr>
        <w:ind w:left="720"/>
        <w:rPr>
          <w:szCs w:val="24"/>
        </w:rPr>
      </w:pPr>
      <w:r w:rsidRPr="00D948C1">
        <w:rPr>
          <w:szCs w:val="24"/>
        </w:rPr>
        <w:t>Note 1 – Adjustments for capital purposes – this column adds in depreciation, impairments and revaluation gains and losses. It also adjusts for capital disposals with a transfer of the income on the disposal and the amounts written off. MRP is deducted because it is not chargeable under generally accepted accounting practices. Adjustments are also made to recognise capital grant income.</w:t>
      </w:r>
    </w:p>
    <w:p w14:paraId="1F540F9F" w14:textId="77777777" w:rsidR="00F14715" w:rsidRPr="00D948C1" w:rsidRDefault="00F14715" w:rsidP="00FA71D8">
      <w:pPr>
        <w:ind w:left="720"/>
        <w:rPr>
          <w:szCs w:val="24"/>
        </w:rPr>
      </w:pPr>
    </w:p>
    <w:p w14:paraId="0AEA8917" w14:textId="77777777" w:rsidR="00296A09" w:rsidRPr="00D948C1" w:rsidRDefault="00296A09" w:rsidP="00FA71D8">
      <w:pPr>
        <w:ind w:left="720"/>
        <w:rPr>
          <w:szCs w:val="24"/>
        </w:rPr>
      </w:pPr>
      <w:r w:rsidRPr="00D948C1">
        <w:rPr>
          <w:szCs w:val="24"/>
        </w:rPr>
        <w:t>Note 2 – Pensions Adjustments - This shows which lines have been affected by the removal of pension contributions and replaced with IAS19 debits and credits.</w:t>
      </w:r>
    </w:p>
    <w:p w14:paraId="4062FAB3" w14:textId="77777777" w:rsidR="00F14715" w:rsidRPr="00D948C1" w:rsidRDefault="00F14715" w:rsidP="00FA71D8">
      <w:pPr>
        <w:ind w:left="720"/>
        <w:rPr>
          <w:szCs w:val="24"/>
        </w:rPr>
      </w:pPr>
    </w:p>
    <w:p w14:paraId="21EE932F" w14:textId="2E206BBA" w:rsidR="009F51E5" w:rsidRPr="00D948C1" w:rsidRDefault="00296A09" w:rsidP="00BE3C0F">
      <w:pPr>
        <w:ind w:left="720"/>
        <w:rPr>
          <w:szCs w:val="24"/>
        </w:rPr>
        <w:sectPr w:rsidR="009F51E5" w:rsidRPr="00D948C1" w:rsidSect="0050229D">
          <w:pgSz w:w="16840" w:h="11907" w:orient="landscape" w:code="9"/>
          <w:pgMar w:top="567" w:right="454" w:bottom="567" w:left="397" w:header="720" w:footer="720" w:gutter="0"/>
          <w:cols w:space="720"/>
          <w:docGrid w:linePitch="326"/>
        </w:sectPr>
      </w:pPr>
      <w:r w:rsidRPr="00D948C1">
        <w:rPr>
          <w:szCs w:val="24"/>
        </w:rPr>
        <w:t>Note 3 – Other Differences - This column adjusts for timing differences on the amounts chargeable for Business Rates and Council Tax under Statute and the Code</w:t>
      </w:r>
      <w:r w:rsidR="001C2721" w:rsidRPr="00D948C1">
        <w:rPr>
          <w:szCs w:val="24"/>
        </w:rPr>
        <w:t xml:space="preserve"> and transfers to reserves</w:t>
      </w:r>
      <w:r w:rsidRPr="00D948C1">
        <w:rPr>
          <w:szCs w:val="24"/>
        </w:rPr>
        <w:t>.</w:t>
      </w:r>
    </w:p>
    <w:p w14:paraId="48DC6D68" w14:textId="77777777" w:rsidR="00D90216" w:rsidRPr="00D948C1" w:rsidRDefault="00EC5AC1" w:rsidP="00FA71D8">
      <w:pPr>
        <w:pStyle w:val="Heading2"/>
        <w:jc w:val="left"/>
        <w:rPr>
          <w:sz w:val="24"/>
          <w:szCs w:val="24"/>
        </w:rPr>
      </w:pPr>
      <w:bookmarkStart w:id="30" w:name="_Toc215593393"/>
      <w:r w:rsidRPr="00D948C1">
        <w:rPr>
          <w:sz w:val="24"/>
          <w:szCs w:val="24"/>
        </w:rPr>
        <w:lastRenderedPageBreak/>
        <w:t>2</w:t>
      </w:r>
      <w:r w:rsidR="005722FC" w:rsidRPr="00D948C1">
        <w:rPr>
          <w:sz w:val="24"/>
          <w:szCs w:val="24"/>
        </w:rPr>
        <w:tab/>
      </w:r>
      <w:bookmarkStart w:id="31" w:name="N2"/>
      <w:bookmarkEnd w:id="31"/>
      <w:r w:rsidR="00D90216" w:rsidRPr="00D948C1">
        <w:rPr>
          <w:sz w:val="24"/>
          <w:szCs w:val="24"/>
        </w:rPr>
        <w:t>Fire Authority Costs</w:t>
      </w:r>
      <w:bookmarkEnd w:id="30"/>
    </w:p>
    <w:p w14:paraId="4B5E0AB8" w14:textId="77777777" w:rsidR="00D90216" w:rsidRPr="00D948C1" w:rsidRDefault="00D90216" w:rsidP="00FA71D8">
      <w:pPr>
        <w:rPr>
          <w:b/>
          <w:sz w:val="22"/>
        </w:rPr>
      </w:pPr>
    </w:p>
    <w:p w14:paraId="085B49A8" w14:textId="1BA0820C" w:rsidR="00D90216" w:rsidRPr="00D948C1" w:rsidRDefault="00D90216" w:rsidP="003C7C40">
      <w:pPr>
        <w:pStyle w:val="BodyTextIndent"/>
        <w:spacing w:after="240"/>
        <w:rPr>
          <w:szCs w:val="24"/>
          <w:lang w:val="en-GB"/>
        </w:rPr>
      </w:pPr>
      <w:r w:rsidRPr="00D948C1">
        <w:rPr>
          <w:szCs w:val="24"/>
          <w:lang w:val="en-GB"/>
        </w:rPr>
        <w:t xml:space="preserve">In </w:t>
      </w:r>
      <w:r w:rsidRPr="00D948C1">
        <w:rPr>
          <w:szCs w:val="24"/>
        </w:rPr>
        <w:t>20</w:t>
      </w:r>
      <w:r w:rsidR="00EC5AC1" w:rsidRPr="00D948C1">
        <w:rPr>
          <w:szCs w:val="24"/>
        </w:rPr>
        <w:t>2</w:t>
      </w:r>
      <w:r w:rsidR="003A2A84">
        <w:rPr>
          <w:szCs w:val="24"/>
        </w:rPr>
        <w:t>4</w:t>
      </w:r>
      <w:r w:rsidR="004E1871" w:rsidRPr="00D948C1">
        <w:rPr>
          <w:szCs w:val="24"/>
        </w:rPr>
        <w:t>/2</w:t>
      </w:r>
      <w:r w:rsidR="003A2A84">
        <w:rPr>
          <w:szCs w:val="24"/>
        </w:rPr>
        <w:t>5</w:t>
      </w:r>
      <w:r w:rsidRPr="00D948C1">
        <w:rPr>
          <w:szCs w:val="24"/>
        </w:rPr>
        <w:t xml:space="preserve"> </w:t>
      </w:r>
      <w:r w:rsidRPr="00D948C1">
        <w:rPr>
          <w:szCs w:val="24"/>
          <w:lang w:val="en-GB"/>
        </w:rPr>
        <w:t xml:space="preserve">Fire Authority costs amounted </w:t>
      </w:r>
      <w:r w:rsidR="003A422F">
        <w:rPr>
          <w:szCs w:val="24"/>
          <w:lang w:val="en-GB"/>
        </w:rPr>
        <w:t>to £</w:t>
      </w:r>
      <w:r w:rsidR="00B51B15">
        <w:rPr>
          <w:szCs w:val="24"/>
          <w:lang w:val="en-GB"/>
        </w:rPr>
        <w:t>0.386</w:t>
      </w:r>
      <w:r w:rsidR="000532DC">
        <w:rPr>
          <w:szCs w:val="24"/>
          <w:lang w:val="en-GB"/>
        </w:rPr>
        <w:t>m (2023/24: £0.376m)</w:t>
      </w:r>
      <w:r w:rsidR="000811CC">
        <w:rPr>
          <w:szCs w:val="24"/>
          <w:lang w:val="en-GB"/>
        </w:rPr>
        <w:t>,</w:t>
      </w:r>
      <w:r w:rsidRPr="00D948C1">
        <w:rPr>
          <w:szCs w:val="24"/>
          <w:lang w:val="en-GB"/>
        </w:rPr>
        <w:t xml:space="preserve"> analysed as follows:</w:t>
      </w:r>
    </w:p>
    <w:tbl>
      <w:tblPr>
        <w:tblW w:w="85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890"/>
        <w:gridCol w:w="1888"/>
      </w:tblGrid>
      <w:tr w:rsidR="000960DE" w:rsidRPr="00D948C1" w14:paraId="172F644E" w14:textId="77777777" w:rsidTr="77119DA7">
        <w:trPr>
          <w:trHeight w:hRule="exact" w:val="576"/>
          <w:tblHeader/>
        </w:trPr>
        <w:tc>
          <w:tcPr>
            <w:tcW w:w="4770" w:type="dxa"/>
            <w:shd w:val="clear" w:color="auto" w:fill="BD2716"/>
          </w:tcPr>
          <w:p w14:paraId="31256476" w14:textId="06736A1E" w:rsidR="000960DE" w:rsidRPr="00D948C1" w:rsidRDefault="000960DE" w:rsidP="000960DE">
            <w:pPr>
              <w:pStyle w:val="Footer"/>
              <w:tabs>
                <w:tab w:val="clear" w:pos="4153"/>
                <w:tab w:val="clear" w:pos="8306"/>
              </w:tabs>
              <w:rPr>
                <w:color w:val="FFFFFF" w:themeColor="background1"/>
                <w:szCs w:val="24"/>
              </w:rPr>
            </w:pPr>
          </w:p>
        </w:tc>
        <w:tc>
          <w:tcPr>
            <w:tcW w:w="1890" w:type="dxa"/>
            <w:shd w:val="clear" w:color="auto" w:fill="BD2716"/>
            <w:vAlign w:val="center"/>
          </w:tcPr>
          <w:p w14:paraId="3B10D3F8" w14:textId="1C90609D" w:rsidR="000960DE" w:rsidRPr="00D948C1" w:rsidRDefault="000960DE" w:rsidP="00611673">
            <w:pPr>
              <w:pStyle w:val="BodyTextIndent"/>
              <w:ind w:left="0"/>
              <w:jc w:val="right"/>
              <w:rPr>
                <w:color w:val="FFFFFF" w:themeColor="background1"/>
                <w:szCs w:val="24"/>
              </w:rPr>
            </w:pPr>
            <w:r w:rsidRPr="00D948C1">
              <w:rPr>
                <w:color w:val="FFFFFF" w:themeColor="background1"/>
                <w:szCs w:val="24"/>
              </w:rPr>
              <w:t>202</w:t>
            </w:r>
            <w:r w:rsidR="003A2A84">
              <w:rPr>
                <w:color w:val="FFFFFF" w:themeColor="background1"/>
                <w:szCs w:val="24"/>
              </w:rPr>
              <w:t>4</w:t>
            </w:r>
            <w:r w:rsidRPr="00D948C1">
              <w:rPr>
                <w:color w:val="FFFFFF" w:themeColor="background1"/>
                <w:szCs w:val="24"/>
              </w:rPr>
              <w:t>/2</w:t>
            </w:r>
            <w:r w:rsidR="003A2A84">
              <w:rPr>
                <w:color w:val="FFFFFF" w:themeColor="background1"/>
                <w:szCs w:val="24"/>
              </w:rPr>
              <w:t>5</w:t>
            </w:r>
          </w:p>
          <w:p w14:paraId="028BBFB7" w14:textId="08D260BA" w:rsidR="003C7C40" w:rsidRPr="00D948C1" w:rsidRDefault="003C7C40" w:rsidP="00611673">
            <w:pPr>
              <w:pStyle w:val="BodyTextIndent"/>
              <w:ind w:left="0"/>
              <w:jc w:val="right"/>
              <w:rPr>
                <w:color w:val="FFFFFF" w:themeColor="background1"/>
                <w:szCs w:val="24"/>
                <w:lang w:val="en-GB"/>
              </w:rPr>
            </w:pPr>
            <w:r w:rsidRPr="00D948C1">
              <w:rPr>
                <w:color w:val="FFFFFF" w:themeColor="background1"/>
                <w:szCs w:val="24"/>
              </w:rPr>
              <w:t>£000</w:t>
            </w:r>
          </w:p>
        </w:tc>
        <w:tc>
          <w:tcPr>
            <w:tcW w:w="1888" w:type="dxa"/>
            <w:shd w:val="clear" w:color="auto" w:fill="BD2716"/>
            <w:vAlign w:val="center"/>
          </w:tcPr>
          <w:p w14:paraId="7AE4D692" w14:textId="5EE66F00" w:rsidR="00C7098F" w:rsidRPr="00D948C1" w:rsidRDefault="00C7098F" w:rsidP="00C7098F">
            <w:pPr>
              <w:pStyle w:val="BodyTextIndent"/>
              <w:ind w:left="0"/>
              <w:jc w:val="right"/>
              <w:rPr>
                <w:color w:val="FFFFFF" w:themeColor="background1"/>
                <w:szCs w:val="24"/>
              </w:rPr>
            </w:pPr>
            <w:r w:rsidRPr="00D948C1">
              <w:rPr>
                <w:color w:val="FFFFFF" w:themeColor="background1"/>
                <w:szCs w:val="24"/>
              </w:rPr>
              <w:t>202</w:t>
            </w:r>
            <w:r w:rsidR="003A2A84">
              <w:rPr>
                <w:color w:val="FFFFFF" w:themeColor="background1"/>
                <w:szCs w:val="24"/>
              </w:rPr>
              <w:t>3</w:t>
            </w:r>
            <w:r w:rsidRPr="00D948C1">
              <w:rPr>
                <w:color w:val="FFFFFF" w:themeColor="background1"/>
                <w:szCs w:val="24"/>
              </w:rPr>
              <w:t>/2</w:t>
            </w:r>
            <w:r w:rsidR="003A2A84">
              <w:rPr>
                <w:color w:val="FFFFFF" w:themeColor="background1"/>
                <w:szCs w:val="24"/>
              </w:rPr>
              <w:t>4</w:t>
            </w:r>
          </w:p>
          <w:p w14:paraId="43847763" w14:textId="380893B4" w:rsidR="003C7C40" w:rsidRPr="00D948C1" w:rsidRDefault="00C7098F" w:rsidP="00C7098F">
            <w:pPr>
              <w:pStyle w:val="BodyTextIndent"/>
              <w:ind w:left="0"/>
              <w:jc w:val="right"/>
              <w:rPr>
                <w:color w:val="FFFFFF" w:themeColor="background1"/>
                <w:szCs w:val="24"/>
                <w:lang w:val="en-GB"/>
              </w:rPr>
            </w:pPr>
            <w:r w:rsidRPr="00D948C1">
              <w:rPr>
                <w:color w:val="FFFFFF" w:themeColor="background1"/>
                <w:szCs w:val="24"/>
              </w:rPr>
              <w:t>£000</w:t>
            </w:r>
          </w:p>
        </w:tc>
      </w:tr>
      <w:tr w:rsidR="003A2A84" w:rsidRPr="00BF4349" w14:paraId="5A257217" w14:textId="77777777" w:rsidTr="77119DA7">
        <w:trPr>
          <w:trHeight w:hRule="exact" w:val="300"/>
        </w:trPr>
        <w:tc>
          <w:tcPr>
            <w:tcW w:w="4770" w:type="dxa"/>
          </w:tcPr>
          <w:p w14:paraId="0A35004C" w14:textId="77777777" w:rsidR="003A2A84" w:rsidRPr="00BF4349" w:rsidRDefault="003A2A84" w:rsidP="003A2A84">
            <w:pPr>
              <w:pStyle w:val="Footer"/>
              <w:tabs>
                <w:tab w:val="clear" w:pos="4153"/>
                <w:tab w:val="clear" w:pos="8306"/>
                <w:tab w:val="left" w:pos="702"/>
              </w:tabs>
              <w:rPr>
                <w:szCs w:val="24"/>
              </w:rPr>
            </w:pPr>
            <w:r w:rsidRPr="00BF4349">
              <w:rPr>
                <w:szCs w:val="24"/>
              </w:rPr>
              <w:t>Members allowances/expenses</w:t>
            </w:r>
          </w:p>
        </w:tc>
        <w:tc>
          <w:tcPr>
            <w:tcW w:w="1890" w:type="dxa"/>
            <w:vAlign w:val="center"/>
          </w:tcPr>
          <w:p w14:paraId="2E5922C6" w14:textId="4CB5C4F1" w:rsidR="003A2A84" w:rsidRPr="00FB606A" w:rsidRDefault="50CF5874" w:rsidP="77119DA7">
            <w:pPr>
              <w:pStyle w:val="Footer"/>
              <w:tabs>
                <w:tab w:val="clear" w:pos="4153"/>
                <w:tab w:val="clear" w:pos="8306"/>
                <w:tab w:val="decimal" w:pos="1080"/>
              </w:tabs>
              <w:jc w:val="right"/>
            </w:pPr>
            <w:r w:rsidRPr="00FB606A">
              <w:t>154</w:t>
            </w:r>
          </w:p>
        </w:tc>
        <w:tc>
          <w:tcPr>
            <w:tcW w:w="1888" w:type="dxa"/>
            <w:vAlign w:val="center"/>
          </w:tcPr>
          <w:p w14:paraId="0C908DB8" w14:textId="44C8D77E" w:rsidR="003A2A84" w:rsidRPr="00FB606A" w:rsidRDefault="003A2A84" w:rsidP="003A2A84">
            <w:pPr>
              <w:pStyle w:val="Footer"/>
              <w:tabs>
                <w:tab w:val="clear" w:pos="4153"/>
                <w:tab w:val="clear" w:pos="8306"/>
                <w:tab w:val="decimal" w:pos="1080"/>
              </w:tabs>
              <w:jc w:val="right"/>
              <w:rPr>
                <w:szCs w:val="24"/>
              </w:rPr>
            </w:pPr>
            <w:r w:rsidRPr="00FB606A">
              <w:rPr>
                <w:szCs w:val="24"/>
              </w:rPr>
              <w:t>152</w:t>
            </w:r>
          </w:p>
        </w:tc>
      </w:tr>
      <w:tr w:rsidR="003A2A84" w:rsidRPr="00BF4349" w14:paraId="1C5B417E" w14:textId="77777777" w:rsidTr="77119DA7">
        <w:trPr>
          <w:trHeight w:hRule="exact" w:val="300"/>
        </w:trPr>
        <w:tc>
          <w:tcPr>
            <w:tcW w:w="4770" w:type="dxa"/>
          </w:tcPr>
          <w:p w14:paraId="6996BEA9" w14:textId="77777777" w:rsidR="003A2A84" w:rsidRPr="00BF4349" w:rsidRDefault="003A2A84" w:rsidP="003A2A84">
            <w:pPr>
              <w:tabs>
                <w:tab w:val="left" w:pos="702"/>
              </w:tabs>
              <w:rPr>
                <w:szCs w:val="24"/>
              </w:rPr>
            </w:pPr>
            <w:r w:rsidRPr="00BF4349">
              <w:rPr>
                <w:szCs w:val="24"/>
              </w:rPr>
              <w:t>Statutory officers</w:t>
            </w:r>
          </w:p>
        </w:tc>
        <w:tc>
          <w:tcPr>
            <w:tcW w:w="1890" w:type="dxa"/>
            <w:vAlign w:val="center"/>
          </w:tcPr>
          <w:p w14:paraId="571D3F39" w14:textId="62BE9DA6" w:rsidR="003A2A84" w:rsidRPr="00FB606A" w:rsidRDefault="60705D9A" w:rsidP="77119DA7">
            <w:pPr>
              <w:tabs>
                <w:tab w:val="decimal" w:pos="1080"/>
              </w:tabs>
              <w:jc w:val="right"/>
            </w:pPr>
            <w:r w:rsidRPr="00FB606A">
              <w:t>113</w:t>
            </w:r>
          </w:p>
        </w:tc>
        <w:tc>
          <w:tcPr>
            <w:tcW w:w="1888" w:type="dxa"/>
            <w:vAlign w:val="center"/>
          </w:tcPr>
          <w:p w14:paraId="3C79B5AB" w14:textId="5D0434C4" w:rsidR="003A2A84" w:rsidRPr="00FB606A" w:rsidRDefault="003A2A84" w:rsidP="003A2A84">
            <w:pPr>
              <w:tabs>
                <w:tab w:val="decimal" w:pos="1080"/>
              </w:tabs>
              <w:jc w:val="right"/>
              <w:rPr>
                <w:szCs w:val="24"/>
              </w:rPr>
            </w:pPr>
            <w:r w:rsidRPr="00FB606A">
              <w:rPr>
                <w:szCs w:val="24"/>
              </w:rPr>
              <w:t>118</w:t>
            </w:r>
          </w:p>
        </w:tc>
      </w:tr>
      <w:tr w:rsidR="003A2A84" w:rsidRPr="00BF4349" w14:paraId="675D2655" w14:textId="77777777" w:rsidTr="77119DA7">
        <w:trPr>
          <w:trHeight w:hRule="exact" w:val="300"/>
        </w:trPr>
        <w:tc>
          <w:tcPr>
            <w:tcW w:w="4770" w:type="dxa"/>
          </w:tcPr>
          <w:p w14:paraId="143762EB" w14:textId="77777777" w:rsidR="003A2A84" w:rsidRPr="00BF4349" w:rsidRDefault="003A2A84" w:rsidP="003A2A84">
            <w:pPr>
              <w:tabs>
                <w:tab w:val="left" w:pos="702"/>
              </w:tabs>
              <w:rPr>
                <w:szCs w:val="24"/>
              </w:rPr>
            </w:pPr>
            <w:r w:rsidRPr="00BF4349">
              <w:rPr>
                <w:szCs w:val="24"/>
              </w:rPr>
              <w:t>Others</w:t>
            </w:r>
          </w:p>
        </w:tc>
        <w:tc>
          <w:tcPr>
            <w:tcW w:w="1890" w:type="dxa"/>
            <w:vAlign w:val="center"/>
          </w:tcPr>
          <w:p w14:paraId="2BDA8D04" w14:textId="21BAAEDE" w:rsidR="003A2A84" w:rsidRPr="00FB606A" w:rsidRDefault="10EC702D" w:rsidP="77119DA7">
            <w:pPr>
              <w:tabs>
                <w:tab w:val="decimal" w:pos="1080"/>
              </w:tabs>
              <w:jc w:val="right"/>
            </w:pPr>
            <w:r w:rsidRPr="00FB606A">
              <w:t>119</w:t>
            </w:r>
          </w:p>
        </w:tc>
        <w:tc>
          <w:tcPr>
            <w:tcW w:w="1888" w:type="dxa"/>
            <w:vAlign w:val="center"/>
          </w:tcPr>
          <w:p w14:paraId="0D8015FE" w14:textId="2EB6C7B6" w:rsidR="003A2A84" w:rsidRPr="00FB606A" w:rsidRDefault="003A2A84" w:rsidP="003A2A84">
            <w:pPr>
              <w:tabs>
                <w:tab w:val="decimal" w:pos="1080"/>
              </w:tabs>
              <w:jc w:val="right"/>
              <w:rPr>
                <w:szCs w:val="24"/>
              </w:rPr>
            </w:pPr>
            <w:r w:rsidRPr="00FB606A">
              <w:rPr>
                <w:szCs w:val="24"/>
              </w:rPr>
              <w:t>106</w:t>
            </w:r>
          </w:p>
        </w:tc>
      </w:tr>
      <w:tr w:rsidR="003A2A84" w:rsidRPr="00D948C1" w14:paraId="5F4B826B" w14:textId="77777777" w:rsidTr="77119DA7">
        <w:trPr>
          <w:trHeight w:hRule="exact" w:val="300"/>
        </w:trPr>
        <w:tc>
          <w:tcPr>
            <w:tcW w:w="4770" w:type="dxa"/>
          </w:tcPr>
          <w:p w14:paraId="7B948216" w14:textId="200E9ED1" w:rsidR="003A2A84" w:rsidRPr="00BF4349" w:rsidRDefault="003A2A84" w:rsidP="003A2A84">
            <w:pPr>
              <w:tabs>
                <w:tab w:val="left" w:pos="702"/>
              </w:tabs>
              <w:rPr>
                <w:szCs w:val="24"/>
              </w:rPr>
            </w:pPr>
            <w:r w:rsidRPr="00BF4349">
              <w:rPr>
                <w:szCs w:val="24"/>
              </w:rPr>
              <w:t>Total</w:t>
            </w:r>
          </w:p>
        </w:tc>
        <w:tc>
          <w:tcPr>
            <w:tcW w:w="1890" w:type="dxa"/>
            <w:vAlign w:val="center"/>
          </w:tcPr>
          <w:p w14:paraId="0B4F85D3" w14:textId="6FB10B60" w:rsidR="003A2A84" w:rsidRPr="00FB606A" w:rsidRDefault="2F71668D" w:rsidP="77119DA7">
            <w:pPr>
              <w:tabs>
                <w:tab w:val="decimal" w:pos="1080"/>
              </w:tabs>
              <w:jc w:val="right"/>
            </w:pPr>
            <w:r w:rsidRPr="00FB606A">
              <w:t>386</w:t>
            </w:r>
          </w:p>
        </w:tc>
        <w:tc>
          <w:tcPr>
            <w:tcW w:w="1888" w:type="dxa"/>
            <w:vAlign w:val="center"/>
          </w:tcPr>
          <w:p w14:paraId="5BDCD18E" w14:textId="0084DBF4" w:rsidR="003A2A84" w:rsidRPr="00FB606A" w:rsidRDefault="003A2A84" w:rsidP="003A2A84">
            <w:pPr>
              <w:tabs>
                <w:tab w:val="decimal" w:pos="1080"/>
              </w:tabs>
              <w:jc w:val="right"/>
              <w:rPr>
                <w:szCs w:val="24"/>
              </w:rPr>
            </w:pPr>
            <w:r w:rsidRPr="00FB606A">
              <w:rPr>
                <w:szCs w:val="24"/>
              </w:rPr>
              <w:t>376</w:t>
            </w:r>
          </w:p>
        </w:tc>
      </w:tr>
    </w:tbl>
    <w:p w14:paraId="6ED72D57" w14:textId="77777777" w:rsidR="00DC4253" w:rsidRPr="00D948C1" w:rsidRDefault="00D90216" w:rsidP="00CA1CFF">
      <w:pPr>
        <w:pStyle w:val="Footer"/>
        <w:tabs>
          <w:tab w:val="clear" w:pos="4153"/>
          <w:tab w:val="clear" w:pos="8306"/>
        </w:tabs>
        <w:jc w:val="both"/>
        <w:rPr>
          <w:sz w:val="22"/>
        </w:rPr>
      </w:pPr>
      <w:r w:rsidRPr="00D948C1">
        <w:rPr>
          <w:sz w:val="22"/>
        </w:rPr>
        <w:t xml:space="preserve"> </w:t>
      </w:r>
    </w:p>
    <w:p w14:paraId="4FF36714" w14:textId="77777777" w:rsidR="00D2322A" w:rsidRPr="00D948C1" w:rsidRDefault="00D2322A" w:rsidP="00CA1CFF">
      <w:pPr>
        <w:pStyle w:val="Footer"/>
        <w:tabs>
          <w:tab w:val="clear" w:pos="4153"/>
          <w:tab w:val="clear" w:pos="8306"/>
        </w:tabs>
        <w:jc w:val="both"/>
        <w:rPr>
          <w:b/>
          <w:sz w:val="22"/>
        </w:rPr>
      </w:pPr>
    </w:p>
    <w:p w14:paraId="47C64980" w14:textId="3584B248" w:rsidR="00D90216" w:rsidRPr="00D948C1" w:rsidRDefault="00EC5AC1" w:rsidP="00FA71D8">
      <w:pPr>
        <w:pStyle w:val="Heading2"/>
        <w:jc w:val="left"/>
        <w:rPr>
          <w:sz w:val="24"/>
          <w:szCs w:val="24"/>
        </w:rPr>
      </w:pPr>
      <w:bookmarkStart w:id="32" w:name="_Toc215593394"/>
      <w:r w:rsidRPr="00D948C1">
        <w:rPr>
          <w:sz w:val="24"/>
          <w:szCs w:val="24"/>
        </w:rPr>
        <w:t>3</w:t>
      </w:r>
      <w:r w:rsidR="00D90216" w:rsidRPr="00D948C1">
        <w:rPr>
          <w:sz w:val="24"/>
          <w:szCs w:val="24"/>
        </w:rPr>
        <w:tab/>
        <w:t>Employees Emoluments</w:t>
      </w:r>
      <w:bookmarkEnd w:id="32"/>
    </w:p>
    <w:p w14:paraId="1CFE882C" w14:textId="77777777" w:rsidR="00D90216" w:rsidRPr="00D948C1" w:rsidRDefault="00D90216" w:rsidP="00FA71D8">
      <w:pPr>
        <w:pStyle w:val="Footer"/>
        <w:tabs>
          <w:tab w:val="clear" w:pos="4153"/>
          <w:tab w:val="clear" w:pos="8306"/>
        </w:tabs>
        <w:rPr>
          <w:sz w:val="22"/>
        </w:rPr>
      </w:pPr>
    </w:p>
    <w:p w14:paraId="75F936B9" w14:textId="7E38E63C" w:rsidR="00D90216" w:rsidRPr="00D948C1" w:rsidRDefault="00D90216" w:rsidP="003C7C40">
      <w:pPr>
        <w:pStyle w:val="BodyTextIndent2"/>
        <w:spacing w:after="240"/>
        <w:ind w:firstLine="0"/>
      </w:pPr>
      <w:r>
        <w:t xml:space="preserve">Details of the Authority’s employees, out of an </w:t>
      </w:r>
      <w:r w:rsidRPr="00747A0B">
        <w:t xml:space="preserve">estimated </w:t>
      </w:r>
      <w:r w:rsidR="002E15F7" w:rsidRPr="00FB606A">
        <w:t>1</w:t>
      </w:r>
      <w:r w:rsidR="00D45F10" w:rsidRPr="00FB606A">
        <w:t>,</w:t>
      </w:r>
      <w:r w:rsidR="002E15F7" w:rsidRPr="00FB606A">
        <w:t>1</w:t>
      </w:r>
      <w:r w:rsidR="009266C4" w:rsidRPr="00FB606A">
        <w:t>8</w:t>
      </w:r>
      <w:r w:rsidR="00747A0B" w:rsidRPr="00FB606A">
        <w:t>1</w:t>
      </w:r>
      <w:r w:rsidR="002741A8" w:rsidRPr="00FB606A">
        <w:t xml:space="preserve"> </w:t>
      </w:r>
      <w:r w:rsidR="00AA7D6F" w:rsidRPr="00FB606A">
        <w:t>employees</w:t>
      </w:r>
      <w:r w:rsidRPr="00747A0B">
        <w:t>, who</w:t>
      </w:r>
      <w:r>
        <w:t xml:space="preserve"> have received pay and benefits of more than £50,000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8"/>
        <w:gridCol w:w="1888"/>
        <w:gridCol w:w="1888"/>
      </w:tblGrid>
      <w:tr w:rsidR="00C7098F" w:rsidRPr="00D948C1" w14:paraId="3721B587" w14:textId="77777777" w:rsidTr="000F5E3B">
        <w:trPr>
          <w:trHeight w:hRule="exact" w:val="578"/>
          <w:tblHeader/>
        </w:trPr>
        <w:tc>
          <w:tcPr>
            <w:tcW w:w="4768" w:type="dxa"/>
            <w:shd w:val="clear" w:color="auto" w:fill="BD2716"/>
          </w:tcPr>
          <w:p w14:paraId="194B9CD1" w14:textId="14BAAA30" w:rsidR="00C7098F" w:rsidRPr="00D948C1" w:rsidRDefault="00C7098F" w:rsidP="00C7098F">
            <w:pPr>
              <w:pStyle w:val="Footer"/>
              <w:tabs>
                <w:tab w:val="clear" w:pos="4153"/>
                <w:tab w:val="clear" w:pos="8306"/>
                <w:tab w:val="left" w:pos="720"/>
                <w:tab w:val="right" w:pos="7920"/>
              </w:tabs>
              <w:rPr>
                <w:color w:val="FFFFFF" w:themeColor="background1"/>
                <w:szCs w:val="24"/>
              </w:rPr>
            </w:pPr>
          </w:p>
        </w:tc>
        <w:tc>
          <w:tcPr>
            <w:tcW w:w="1888" w:type="dxa"/>
            <w:shd w:val="clear" w:color="auto" w:fill="BD2716"/>
            <w:vAlign w:val="center"/>
          </w:tcPr>
          <w:p w14:paraId="4BC1F8E0" w14:textId="2993C316" w:rsidR="00C7098F" w:rsidRPr="00D948C1" w:rsidRDefault="00C7098F" w:rsidP="00C7098F">
            <w:pPr>
              <w:jc w:val="right"/>
              <w:rPr>
                <w:color w:val="FFFFFF" w:themeColor="background1"/>
                <w:szCs w:val="24"/>
              </w:rPr>
            </w:pPr>
            <w:r w:rsidRPr="00D948C1">
              <w:rPr>
                <w:color w:val="FFFFFF" w:themeColor="background1"/>
                <w:szCs w:val="24"/>
              </w:rPr>
              <w:t>202</w:t>
            </w:r>
            <w:r w:rsidR="003A2A84">
              <w:rPr>
                <w:color w:val="FFFFFF" w:themeColor="background1"/>
                <w:szCs w:val="24"/>
              </w:rPr>
              <w:t>4</w:t>
            </w:r>
            <w:r w:rsidRPr="00D948C1">
              <w:rPr>
                <w:color w:val="FFFFFF" w:themeColor="background1"/>
                <w:szCs w:val="24"/>
              </w:rPr>
              <w:t>/2</w:t>
            </w:r>
            <w:r w:rsidR="003A2A84">
              <w:rPr>
                <w:color w:val="FFFFFF" w:themeColor="background1"/>
                <w:szCs w:val="24"/>
              </w:rPr>
              <w:t>5</w:t>
            </w:r>
          </w:p>
          <w:p w14:paraId="04CBB18E" w14:textId="6D074A80" w:rsidR="00C7098F" w:rsidRPr="00D948C1" w:rsidRDefault="00C7098F" w:rsidP="00C7098F">
            <w:pPr>
              <w:jc w:val="right"/>
              <w:rPr>
                <w:color w:val="FFFFFF" w:themeColor="background1"/>
                <w:szCs w:val="24"/>
              </w:rPr>
            </w:pPr>
            <w:r w:rsidRPr="00D948C1">
              <w:rPr>
                <w:color w:val="FFFFFF" w:themeColor="background1"/>
                <w:szCs w:val="24"/>
              </w:rPr>
              <w:t>No.</w:t>
            </w:r>
          </w:p>
        </w:tc>
        <w:tc>
          <w:tcPr>
            <w:tcW w:w="1888" w:type="dxa"/>
            <w:shd w:val="clear" w:color="auto" w:fill="BD2716"/>
            <w:vAlign w:val="center"/>
          </w:tcPr>
          <w:p w14:paraId="523930AD" w14:textId="056B86B7" w:rsidR="00C7098F" w:rsidRPr="00D948C1" w:rsidRDefault="00C7098F" w:rsidP="00C7098F">
            <w:pPr>
              <w:jc w:val="right"/>
              <w:rPr>
                <w:color w:val="FFFFFF" w:themeColor="background1"/>
                <w:szCs w:val="24"/>
              </w:rPr>
            </w:pPr>
            <w:r w:rsidRPr="00D948C1">
              <w:rPr>
                <w:color w:val="FFFFFF" w:themeColor="background1"/>
                <w:szCs w:val="24"/>
              </w:rPr>
              <w:t>202</w:t>
            </w:r>
            <w:r w:rsidR="003A2A84">
              <w:rPr>
                <w:color w:val="FFFFFF" w:themeColor="background1"/>
                <w:szCs w:val="24"/>
              </w:rPr>
              <w:t>3</w:t>
            </w:r>
            <w:r w:rsidRPr="00D948C1">
              <w:rPr>
                <w:color w:val="FFFFFF" w:themeColor="background1"/>
                <w:szCs w:val="24"/>
              </w:rPr>
              <w:t>/2</w:t>
            </w:r>
            <w:r w:rsidR="003A2A84">
              <w:rPr>
                <w:color w:val="FFFFFF" w:themeColor="background1"/>
                <w:szCs w:val="24"/>
              </w:rPr>
              <w:t>4</w:t>
            </w:r>
          </w:p>
          <w:p w14:paraId="0957C1D2" w14:textId="770D4392" w:rsidR="00C7098F" w:rsidRPr="00D948C1" w:rsidRDefault="00C7098F" w:rsidP="00C7098F">
            <w:pPr>
              <w:jc w:val="right"/>
              <w:rPr>
                <w:color w:val="FFFFFF" w:themeColor="background1"/>
                <w:szCs w:val="24"/>
              </w:rPr>
            </w:pPr>
            <w:r w:rsidRPr="00D948C1">
              <w:rPr>
                <w:color w:val="FFFFFF" w:themeColor="background1"/>
                <w:szCs w:val="24"/>
              </w:rPr>
              <w:t>No.</w:t>
            </w:r>
          </w:p>
        </w:tc>
      </w:tr>
      <w:tr w:rsidR="00660F13" w:rsidRPr="00D948C1" w14:paraId="6C0C562B" w14:textId="77777777" w:rsidTr="000F5E3B">
        <w:trPr>
          <w:trHeight w:hRule="exact" w:val="300"/>
        </w:trPr>
        <w:tc>
          <w:tcPr>
            <w:tcW w:w="4768" w:type="dxa"/>
          </w:tcPr>
          <w:p w14:paraId="100FD256" w14:textId="04F8324C" w:rsidR="00660F13" w:rsidRPr="00D948C1" w:rsidRDefault="00660F13" w:rsidP="003A2A84">
            <w:pPr>
              <w:pStyle w:val="Footer"/>
              <w:tabs>
                <w:tab w:val="clear" w:pos="4153"/>
                <w:tab w:val="clear" w:pos="8306"/>
                <w:tab w:val="left" w:pos="720"/>
                <w:tab w:val="left" w:pos="1422"/>
                <w:tab w:val="right" w:pos="7920"/>
              </w:tabs>
              <w:rPr>
                <w:szCs w:val="24"/>
              </w:rPr>
            </w:pPr>
            <w:r>
              <w:rPr>
                <w:szCs w:val="24"/>
              </w:rPr>
              <w:t>£85,000 - £89,999</w:t>
            </w:r>
          </w:p>
        </w:tc>
        <w:tc>
          <w:tcPr>
            <w:tcW w:w="1888" w:type="dxa"/>
            <w:vAlign w:val="center"/>
          </w:tcPr>
          <w:p w14:paraId="4A04E464" w14:textId="06EF895B" w:rsidR="00660F13" w:rsidRPr="00BF4349" w:rsidRDefault="00660F13" w:rsidP="003A2A84">
            <w:pPr>
              <w:pStyle w:val="Footer"/>
              <w:tabs>
                <w:tab w:val="clear" w:pos="4153"/>
                <w:tab w:val="clear" w:pos="8306"/>
                <w:tab w:val="decimal" w:pos="810"/>
              </w:tabs>
              <w:jc w:val="right"/>
              <w:rPr>
                <w:szCs w:val="24"/>
              </w:rPr>
            </w:pPr>
            <w:r w:rsidRPr="00BF4349">
              <w:rPr>
                <w:szCs w:val="24"/>
              </w:rPr>
              <w:t>3</w:t>
            </w:r>
          </w:p>
        </w:tc>
        <w:tc>
          <w:tcPr>
            <w:tcW w:w="1888" w:type="dxa"/>
            <w:vAlign w:val="center"/>
          </w:tcPr>
          <w:p w14:paraId="38BAA9AE" w14:textId="3485210A" w:rsidR="00660F13" w:rsidRPr="00D948C1" w:rsidRDefault="00AE0260" w:rsidP="003A2A84">
            <w:pPr>
              <w:pStyle w:val="Footer"/>
              <w:tabs>
                <w:tab w:val="clear" w:pos="4153"/>
                <w:tab w:val="clear" w:pos="8306"/>
                <w:tab w:val="decimal" w:pos="810"/>
              </w:tabs>
              <w:jc w:val="right"/>
              <w:rPr>
                <w:szCs w:val="24"/>
              </w:rPr>
            </w:pPr>
            <w:r>
              <w:rPr>
                <w:szCs w:val="24"/>
              </w:rPr>
              <w:t>-</w:t>
            </w:r>
          </w:p>
        </w:tc>
      </w:tr>
      <w:tr w:rsidR="00660F13" w:rsidRPr="00D948C1" w14:paraId="13F8D73C" w14:textId="77777777" w:rsidTr="000F5E3B">
        <w:trPr>
          <w:trHeight w:hRule="exact" w:val="300"/>
        </w:trPr>
        <w:tc>
          <w:tcPr>
            <w:tcW w:w="4768" w:type="dxa"/>
          </w:tcPr>
          <w:p w14:paraId="21C5A724" w14:textId="1CC6852B" w:rsidR="00660F13" w:rsidRPr="00D948C1" w:rsidRDefault="00660F13" w:rsidP="003A2A84">
            <w:pPr>
              <w:pStyle w:val="Footer"/>
              <w:tabs>
                <w:tab w:val="clear" w:pos="4153"/>
                <w:tab w:val="clear" w:pos="8306"/>
                <w:tab w:val="left" w:pos="720"/>
                <w:tab w:val="left" w:pos="1422"/>
                <w:tab w:val="right" w:pos="7920"/>
              </w:tabs>
              <w:rPr>
                <w:szCs w:val="24"/>
              </w:rPr>
            </w:pPr>
            <w:r>
              <w:rPr>
                <w:szCs w:val="24"/>
              </w:rPr>
              <w:t>£80,000 - £84,999</w:t>
            </w:r>
          </w:p>
        </w:tc>
        <w:tc>
          <w:tcPr>
            <w:tcW w:w="1888" w:type="dxa"/>
            <w:vAlign w:val="center"/>
          </w:tcPr>
          <w:p w14:paraId="36A9CBDF" w14:textId="2E752D85" w:rsidR="00660F13" w:rsidRPr="00BF4349" w:rsidRDefault="00660F13" w:rsidP="003A2A84">
            <w:pPr>
              <w:pStyle w:val="Footer"/>
              <w:tabs>
                <w:tab w:val="clear" w:pos="4153"/>
                <w:tab w:val="clear" w:pos="8306"/>
                <w:tab w:val="decimal" w:pos="810"/>
              </w:tabs>
              <w:jc w:val="right"/>
              <w:rPr>
                <w:szCs w:val="24"/>
              </w:rPr>
            </w:pPr>
            <w:r w:rsidRPr="00BF4349">
              <w:rPr>
                <w:szCs w:val="24"/>
              </w:rPr>
              <w:t>2</w:t>
            </w:r>
          </w:p>
        </w:tc>
        <w:tc>
          <w:tcPr>
            <w:tcW w:w="1888" w:type="dxa"/>
            <w:vAlign w:val="center"/>
          </w:tcPr>
          <w:p w14:paraId="2AFF01E7" w14:textId="20655EF5" w:rsidR="00660F13" w:rsidRPr="00D948C1" w:rsidRDefault="00AE0260" w:rsidP="003A2A84">
            <w:pPr>
              <w:pStyle w:val="Footer"/>
              <w:tabs>
                <w:tab w:val="clear" w:pos="4153"/>
                <w:tab w:val="clear" w:pos="8306"/>
                <w:tab w:val="decimal" w:pos="810"/>
              </w:tabs>
              <w:jc w:val="right"/>
              <w:rPr>
                <w:szCs w:val="24"/>
              </w:rPr>
            </w:pPr>
            <w:r>
              <w:rPr>
                <w:szCs w:val="24"/>
              </w:rPr>
              <w:t>-</w:t>
            </w:r>
          </w:p>
        </w:tc>
      </w:tr>
      <w:tr w:rsidR="003A2A84" w:rsidRPr="00D948C1" w14:paraId="58878B9D" w14:textId="77777777" w:rsidTr="000F5E3B">
        <w:trPr>
          <w:trHeight w:hRule="exact" w:val="300"/>
        </w:trPr>
        <w:tc>
          <w:tcPr>
            <w:tcW w:w="4768" w:type="dxa"/>
          </w:tcPr>
          <w:p w14:paraId="233DCB05" w14:textId="1AABAA39" w:rsidR="003A2A84" w:rsidRPr="00D948C1" w:rsidRDefault="003A2A84" w:rsidP="003A2A84">
            <w:pPr>
              <w:pStyle w:val="Footer"/>
              <w:tabs>
                <w:tab w:val="clear" w:pos="4153"/>
                <w:tab w:val="clear" w:pos="8306"/>
                <w:tab w:val="left" w:pos="720"/>
                <w:tab w:val="left" w:pos="1422"/>
                <w:tab w:val="right" w:pos="7920"/>
              </w:tabs>
              <w:rPr>
                <w:szCs w:val="24"/>
              </w:rPr>
            </w:pPr>
            <w:r w:rsidRPr="00D948C1">
              <w:rPr>
                <w:szCs w:val="24"/>
              </w:rPr>
              <w:t>£75,000 - £79,999</w:t>
            </w:r>
          </w:p>
        </w:tc>
        <w:tc>
          <w:tcPr>
            <w:tcW w:w="1888" w:type="dxa"/>
            <w:vAlign w:val="center"/>
          </w:tcPr>
          <w:p w14:paraId="14A24387" w14:textId="60600967" w:rsidR="003A2A84" w:rsidRPr="00BF4349" w:rsidRDefault="00660F13" w:rsidP="003A2A84">
            <w:pPr>
              <w:pStyle w:val="Footer"/>
              <w:tabs>
                <w:tab w:val="clear" w:pos="4153"/>
                <w:tab w:val="clear" w:pos="8306"/>
                <w:tab w:val="decimal" w:pos="810"/>
              </w:tabs>
              <w:jc w:val="right"/>
              <w:rPr>
                <w:szCs w:val="24"/>
              </w:rPr>
            </w:pPr>
            <w:r w:rsidRPr="00BF4349">
              <w:rPr>
                <w:szCs w:val="24"/>
              </w:rPr>
              <w:t>8</w:t>
            </w:r>
          </w:p>
        </w:tc>
        <w:tc>
          <w:tcPr>
            <w:tcW w:w="1888" w:type="dxa"/>
            <w:vAlign w:val="center"/>
          </w:tcPr>
          <w:p w14:paraId="2A0C1592" w14:textId="7AA7484C" w:rsidR="003A2A84" w:rsidRPr="00D948C1" w:rsidRDefault="003A2A84" w:rsidP="003A2A84">
            <w:pPr>
              <w:pStyle w:val="Footer"/>
              <w:tabs>
                <w:tab w:val="clear" w:pos="4153"/>
                <w:tab w:val="clear" w:pos="8306"/>
                <w:tab w:val="decimal" w:pos="810"/>
              </w:tabs>
              <w:jc w:val="right"/>
              <w:rPr>
                <w:szCs w:val="24"/>
              </w:rPr>
            </w:pPr>
            <w:r w:rsidRPr="00D948C1">
              <w:rPr>
                <w:szCs w:val="24"/>
              </w:rPr>
              <w:t>3</w:t>
            </w:r>
          </w:p>
        </w:tc>
      </w:tr>
      <w:tr w:rsidR="003A2A84" w:rsidRPr="00D948C1" w14:paraId="72228518" w14:textId="77777777" w:rsidTr="000F5E3B">
        <w:trPr>
          <w:trHeight w:hRule="exact" w:val="300"/>
        </w:trPr>
        <w:tc>
          <w:tcPr>
            <w:tcW w:w="4768" w:type="dxa"/>
          </w:tcPr>
          <w:p w14:paraId="6303DDB3" w14:textId="77777777" w:rsidR="003A2A84" w:rsidRPr="00D948C1" w:rsidRDefault="003A2A84" w:rsidP="003A2A84">
            <w:pPr>
              <w:pStyle w:val="Footer"/>
              <w:tabs>
                <w:tab w:val="clear" w:pos="4153"/>
                <w:tab w:val="clear" w:pos="8306"/>
                <w:tab w:val="left" w:pos="720"/>
                <w:tab w:val="left" w:pos="1422"/>
                <w:tab w:val="right" w:pos="7920"/>
              </w:tabs>
              <w:rPr>
                <w:szCs w:val="24"/>
              </w:rPr>
            </w:pPr>
            <w:r w:rsidRPr="00D948C1">
              <w:rPr>
                <w:szCs w:val="24"/>
              </w:rPr>
              <w:t>£70,000 - £74,999</w:t>
            </w:r>
          </w:p>
        </w:tc>
        <w:tc>
          <w:tcPr>
            <w:tcW w:w="1888" w:type="dxa"/>
            <w:vAlign w:val="center"/>
          </w:tcPr>
          <w:p w14:paraId="265D09CD" w14:textId="716FFDF0" w:rsidR="003A2A84" w:rsidRPr="00BF4349" w:rsidRDefault="00660F13" w:rsidP="003A2A84">
            <w:pPr>
              <w:pStyle w:val="Footer"/>
              <w:tabs>
                <w:tab w:val="clear" w:pos="4153"/>
                <w:tab w:val="clear" w:pos="8306"/>
                <w:tab w:val="decimal" w:pos="810"/>
              </w:tabs>
              <w:jc w:val="right"/>
              <w:rPr>
                <w:szCs w:val="24"/>
              </w:rPr>
            </w:pPr>
            <w:r w:rsidRPr="00BF4349">
              <w:rPr>
                <w:szCs w:val="24"/>
              </w:rPr>
              <w:t>13</w:t>
            </w:r>
          </w:p>
        </w:tc>
        <w:tc>
          <w:tcPr>
            <w:tcW w:w="1888" w:type="dxa"/>
            <w:vAlign w:val="center"/>
          </w:tcPr>
          <w:p w14:paraId="36744EC9" w14:textId="147EFBAA" w:rsidR="003A2A84" w:rsidRPr="00D948C1" w:rsidRDefault="003A2A84" w:rsidP="003A2A84">
            <w:pPr>
              <w:pStyle w:val="Footer"/>
              <w:tabs>
                <w:tab w:val="clear" w:pos="4153"/>
                <w:tab w:val="clear" w:pos="8306"/>
                <w:tab w:val="decimal" w:pos="810"/>
              </w:tabs>
              <w:jc w:val="right"/>
              <w:rPr>
                <w:szCs w:val="24"/>
              </w:rPr>
            </w:pPr>
            <w:r w:rsidRPr="00D948C1">
              <w:rPr>
                <w:szCs w:val="24"/>
              </w:rPr>
              <w:t>11</w:t>
            </w:r>
          </w:p>
        </w:tc>
      </w:tr>
      <w:tr w:rsidR="003A2A84" w:rsidRPr="00D948C1" w14:paraId="571DE7CB" w14:textId="77777777" w:rsidTr="000F5E3B">
        <w:trPr>
          <w:trHeight w:hRule="exact" w:val="300"/>
        </w:trPr>
        <w:tc>
          <w:tcPr>
            <w:tcW w:w="4768" w:type="dxa"/>
          </w:tcPr>
          <w:p w14:paraId="3158CEE0" w14:textId="77777777" w:rsidR="003A2A84" w:rsidRPr="00D948C1" w:rsidRDefault="003A2A84" w:rsidP="003A2A84">
            <w:pPr>
              <w:pStyle w:val="Footer"/>
              <w:tabs>
                <w:tab w:val="clear" w:pos="4153"/>
                <w:tab w:val="clear" w:pos="8306"/>
                <w:tab w:val="left" w:pos="720"/>
                <w:tab w:val="left" w:pos="1422"/>
                <w:tab w:val="right" w:pos="7920"/>
              </w:tabs>
              <w:rPr>
                <w:szCs w:val="24"/>
              </w:rPr>
            </w:pPr>
            <w:r w:rsidRPr="00D948C1">
              <w:rPr>
                <w:szCs w:val="24"/>
              </w:rPr>
              <w:t>£65,000 - £69,999</w:t>
            </w:r>
          </w:p>
        </w:tc>
        <w:tc>
          <w:tcPr>
            <w:tcW w:w="1888" w:type="dxa"/>
            <w:vAlign w:val="center"/>
          </w:tcPr>
          <w:p w14:paraId="3705233E" w14:textId="3FFBC875" w:rsidR="003A2A84" w:rsidRPr="00BF4349" w:rsidRDefault="00660F13" w:rsidP="003A2A84">
            <w:pPr>
              <w:pStyle w:val="Footer"/>
              <w:tabs>
                <w:tab w:val="clear" w:pos="4153"/>
                <w:tab w:val="clear" w:pos="8306"/>
                <w:tab w:val="decimal" w:pos="810"/>
              </w:tabs>
              <w:jc w:val="right"/>
              <w:rPr>
                <w:szCs w:val="24"/>
              </w:rPr>
            </w:pPr>
            <w:r w:rsidRPr="00BF4349">
              <w:rPr>
                <w:szCs w:val="24"/>
              </w:rPr>
              <w:t>23</w:t>
            </w:r>
          </w:p>
        </w:tc>
        <w:tc>
          <w:tcPr>
            <w:tcW w:w="1888" w:type="dxa"/>
            <w:vAlign w:val="center"/>
          </w:tcPr>
          <w:p w14:paraId="290B9BEB" w14:textId="3F2E3543" w:rsidR="003A2A84" w:rsidRPr="00D948C1" w:rsidRDefault="003A2A84" w:rsidP="003A2A84">
            <w:pPr>
              <w:pStyle w:val="Footer"/>
              <w:tabs>
                <w:tab w:val="clear" w:pos="4153"/>
                <w:tab w:val="clear" w:pos="8306"/>
                <w:tab w:val="decimal" w:pos="810"/>
              </w:tabs>
              <w:jc w:val="right"/>
              <w:rPr>
                <w:szCs w:val="24"/>
              </w:rPr>
            </w:pPr>
            <w:r w:rsidRPr="00D948C1">
              <w:rPr>
                <w:szCs w:val="24"/>
              </w:rPr>
              <w:t>13</w:t>
            </w:r>
          </w:p>
        </w:tc>
      </w:tr>
      <w:tr w:rsidR="003A2A84" w:rsidRPr="00D948C1" w14:paraId="3579D8D6" w14:textId="77777777" w:rsidTr="000F5E3B">
        <w:trPr>
          <w:trHeight w:hRule="exact" w:val="300"/>
        </w:trPr>
        <w:tc>
          <w:tcPr>
            <w:tcW w:w="4768" w:type="dxa"/>
          </w:tcPr>
          <w:p w14:paraId="31522892" w14:textId="77777777" w:rsidR="003A2A84" w:rsidRPr="00D948C1" w:rsidRDefault="003A2A84" w:rsidP="003A2A84">
            <w:pPr>
              <w:pStyle w:val="Footer"/>
              <w:tabs>
                <w:tab w:val="clear" w:pos="4153"/>
                <w:tab w:val="clear" w:pos="8306"/>
                <w:tab w:val="left" w:pos="720"/>
                <w:tab w:val="left" w:pos="1422"/>
                <w:tab w:val="right" w:pos="7920"/>
              </w:tabs>
              <w:rPr>
                <w:szCs w:val="24"/>
              </w:rPr>
            </w:pPr>
            <w:r w:rsidRPr="00D948C1">
              <w:rPr>
                <w:szCs w:val="24"/>
              </w:rPr>
              <w:t>£60,000 - £64,999</w:t>
            </w:r>
          </w:p>
        </w:tc>
        <w:tc>
          <w:tcPr>
            <w:tcW w:w="1888" w:type="dxa"/>
            <w:vAlign w:val="center"/>
          </w:tcPr>
          <w:p w14:paraId="37EB2A01" w14:textId="4F861DF3" w:rsidR="003A2A84" w:rsidRPr="00BF4349" w:rsidRDefault="00660F13" w:rsidP="003A2A84">
            <w:pPr>
              <w:pStyle w:val="Footer"/>
              <w:tabs>
                <w:tab w:val="clear" w:pos="4153"/>
                <w:tab w:val="clear" w:pos="8306"/>
                <w:tab w:val="decimal" w:pos="810"/>
              </w:tabs>
              <w:jc w:val="right"/>
              <w:rPr>
                <w:szCs w:val="24"/>
              </w:rPr>
            </w:pPr>
            <w:r w:rsidRPr="00BF4349">
              <w:rPr>
                <w:szCs w:val="24"/>
              </w:rPr>
              <w:t>40</w:t>
            </w:r>
          </w:p>
        </w:tc>
        <w:tc>
          <w:tcPr>
            <w:tcW w:w="1888" w:type="dxa"/>
            <w:vAlign w:val="center"/>
          </w:tcPr>
          <w:p w14:paraId="0BD1097F" w14:textId="1AADF282" w:rsidR="003A2A84" w:rsidRPr="00D948C1" w:rsidRDefault="003A2A84" w:rsidP="003A2A84">
            <w:pPr>
              <w:pStyle w:val="Footer"/>
              <w:tabs>
                <w:tab w:val="clear" w:pos="4153"/>
                <w:tab w:val="clear" w:pos="8306"/>
                <w:tab w:val="decimal" w:pos="810"/>
              </w:tabs>
              <w:jc w:val="right"/>
              <w:rPr>
                <w:szCs w:val="24"/>
              </w:rPr>
            </w:pPr>
            <w:r w:rsidRPr="00D948C1">
              <w:rPr>
                <w:szCs w:val="24"/>
              </w:rPr>
              <w:t>39</w:t>
            </w:r>
          </w:p>
        </w:tc>
      </w:tr>
      <w:tr w:rsidR="003A2A84" w:rsidRPr="00D948C1" w14:paraId="341F2CF1" w14:textId="77777777" w:rsidTr="000F5E3B">
        <w:trPr>
          <w:trHeight w:hRule="exact" w:val="300"/>
        </w:trPr>
        <w:tc>
          <w:tcPr>
            <w:tcW w:w="4768" w:type="dxa"/>
          </w:tcPr>
          <w:p w14:paraId="1E804EAE" w14:textId="77777777" w:rsidR="003A2A84" w:rsidRPr="00D948C1" w:rsidRDefault="003A2A84" w:rsidP="003A2A84">
            <w:pPr>
              <w:tabs>
                <w:tab w:val="left" w:pos="720"/>
                <w:tab w:val="left" w:pos="1422"/>
                <w:tab w:val="right" w:pos="7920"/>
              </w:tabs>
              <w:rPr>
                <w:szCs w:val="24"/>
              </w:rPr>
            </w:pPr>
            <w:r w:rsidRPr="00D948C1">
              <w:rPr>
                <w:szCs w:val="24"/>
              </w:rPr>
              <w:t>£55,000 - £59,999</w:t>
            </w:r>
          </w:p>
        </w:tc>
        <w:tc>
          <w:tcPr>
            <w:tcW w:w="1888" w:type="dxa"/>
            <w:vAlign w:val="center"/>
          </w:tcPr>
          <w:p w14:paraId="3B5720E2" w14:textId="6445F83D" w:rsidR="003A2A84" w:rsidRPr="00BF4349" w:rsidRDefault="00660F13" w:rsidP="003A2A84">
            <w:pPr>
              <w:tabs>
                <w:tab w:val="decimal" w:pos="810"/>
              </w:tabs>
              <w:jc w:val="right"/>
              <w:rPr>
                <w:szCs w:val="24"/>
              </w:rPr>
            </w:pPr>
            <w:r w:rsidRPr="00BF4349">
              <w:rPr>
                <w:szCs w:val="24"/>
              </w:rPr>
              <w:t>54</w:t>
            </w:r>
          </w:p>
        </w:tc>
        <w:tc>
          <w:tcPr>
            <w:tcW w:w="1888" w:type="dxa"/>
            <w:vAlign w:val="center"/>
          </w:tcPr>
          <w:p w14:paraId="7BAE4A2A" w14:textId="2A36F410" w:rsidR="003A2A84" w:rsidRPr="00D948C1" w:rsidRDefault="003A2A84" w:rsidP="003A2A84">
            <w:pPr>
              <w:tabs>
                <w:tab w:val="decimal" w:pos="810"/>
              </w:tabs>
              <w:jc w:val="right"/>
              <w:rPr>
                <w:szCs w:val="24"/>
              </w:rPr>
            </w:pPr>
            <w:r w:rsidRPr="00D948C1">
              <w:rPr>
                <w:szCs w:val="24"/>
              </w:rPr>
              <w:t>40</w:t>
            </w:r>
          </w:p>
        </w:tc>
      </w:tr>
      <w:tr w:rsidR="003A2A84" w:rsidRPr="00D948C1" w14:paraId="529DDE15" w14:textId="77777777" w:rsidTr="000F5E3B">
        <w:trPr>
          <w:trHeight w:hRule="exact" w:val="300"/>
        </w:trPr>
        <w:tc>
          <w:tcPr>
            <w:tcW w:w="4768" w:type="dxa"/>
          </w:tcPr>
          <w:p w14:paraId="2B0BD665" w14:textId="77777777" w:rsidR="003A2A84" w:rsidRPr="00D948C1" w:rsidRDefault="003A2A84" w:rsidP="003A2A84">
            <w:pPr>
              <w:tabs>
                <w:tab w:val="left" w:pos="720"/>
                <w:tab w:val="left" w:pos="1422"/>
                <w:tab w:val="right" w:pos="7920"/>
              </w:tabs>
              <w:rPr>
                <w:szCs w:val="24"/>
              </w:rPr>
            </w:pPr>
            <w:r w:rsidRPr="00D948C1">
              <w:rPr>
                <w:szCs w:val="24"/>
              </w:rPr>
              <w:t>£50,000 - £54,999</w:t>
            </w:r>
          </w:p>
        </w:tc>
        <w:tc>
          <w:tcPr>
            <w:tcW w:w="1888" w:type="dxa"/>
            <w:vAlign w:val="center"/>
          </w:tcPr>
          <w:p w14:paraId="002CA70E" w14:textId="242FA85C" w:rsidR="003A2A84" w:rsidRPr="00BF4349" w:rsidRDefault="00660F13" w:rsidP="003A2A84">
            <w:pPr>
              <w:tabs>
                <w:tab w:val="decimal" w:pos="810"/>
              </w:tabs>
              <w:jc w:val="right"/>
              <w:rPr>
                <w:szCs w:val="24"/>
              </w:rPr>
            </w:pPr>
            <w:r w:rsidRPr="00BF4349">
              <w:rPr>
                <w:szCs w:val="24"/>
              </w:rPr>
              <w:t>99</w:t>
            </w:r>
          </w:p>
        </w:tc>
        <w:tc>
          <w:tcPr>
            <w:tcW w:w="1888" w:type="dxa"/>
            <w:vAlign w:val="center"/>
          </w:tcPr>
          <w:p w14:paraId="49D17B3D" w14:textId="739BAEA2" w:rsidR="003A2A84" w:rsidRPr="00D948C1" w:rsidRDefault="003A2A84" w:rsidP="003A2A84">
            <w:pPr>
              <w:tabs>
                <w:tab w:val="decimal" w:pos="810"/>
              </w:tabs>
              <w:jc w:val="right"/>
              <w:rPr>
                <w:szCs w:val="24"/>
              </w:rPr>
            </w:pPr>
            <w:r w:rsidRPr="00D948C1">
              <w:rPr>
                <w:szCs w:val="24"/>
              </w:rPr>
              <w:t>73</w:t>
            </w:r>
          </w:p>
        </w:tc>
      </w:tr>
      <w:tr w:rsidR="003A2A84" w:rsidRPr="00D948C1" w14:paraId="4890BE4D" w14:textId="77777777" w:rsidTr="000F5E3B">
        <w:trPr>
          <w:trHeight w:hRule="exact" w:val="300"/>
        </w:trPr>
        <w:tc>
          <w:tcPr>
            <w:tcW w:w="4768" w:type="dxa"/>
          </w:tcPr>
          <w:p w14:paraId="0D5DB9ED" w14:textId="1E50A1B8" w:rsidR="003A2A84" w:rsidRPr="00D948C1" w:rsidRDefault="003A2A84" w:rsidP="003A2A84">
            <w:pPr>
              <w:tabs>
                <w:tab w:val="left" w:pos="720"/>
                <w:tab w:val="left" w:pos="1422"/>
                <w:tab w:val="right" w:pos="7920"/>
              </w:tabs>
              <w:rPr>
                <w:szCs w:val="24"/>
              </w:rPr>
            </w:pPr>
            <w:r w:rsidRPr="00D948C1">
              <w:rPr>
                <w:szCs w:val="24"/>
              </w:rPr>
              <w:t>Total</w:t>
            </w:r>
          </w:p>
        </w:tc>
        <w:tc>
          <w:tcPr>
            <w:tcW w:w="1888" w:type="dxa"/>
            <w:vAlign w:val="center"/>
          </w:tcPr>
          <w:p w14:paraId="5FB27AF5" w14:textId="58EDD8A7" w:rsidR="003A2A84" w:rsidRPr="00BF4349" w:rsidRDefault="00660F13" w:rsidP="003A2A84">
            <w:pPr>
              <w:tabs>
                <w:tab w:val="decimal" w:pos="810"/>
              </w:tabs>
              <w:jc w:val="right"/>
              <w:rPr>
                <w:szCs w:val="24"/>
              </w:rPr>
            </w:pPr>
            <w:r w:rsidRPr="00BF4349">
              <w:rPr>
                <w:szCs w:val="24"/>
              </w:rPr>
              <w:t>242</w:t>
            </w:r>
          </w:p>
        </w:tc>
        <w:tc>
          <w:tcPr>
            <w:tcW w:w="1888" w:type="dxa"/>
            <w:vAlign w:val="center"/>
          </w:tcPr>
          <w:p w14:paraId="18994414" w14:textId="06BE54DF" w:rsidR="003A2A84" w:rsidRPr="00D948C1" w:rsidRDefault="003A2A84" w:rsidP="003A2A84">
            <w:pPr>
              <w:tabs>
                <w:tab w:val="decimal" w:pos="810"/>
              </w:tabs>
              <w:jc w:val="right"/>
              <w:rPr>
                <w:szCs w:val="24"/>
              </w:rPr>
            </w:pPr>
            <w:r w:rsidRPr="00D948C1">
              <w:rPr>
                <w:szCs w:val="24"/>
              </w:rPr>
              <w:t>179</w:t>
            </w:r>
          </w:p>
        </w:tc>
      </w:tr>
    </w:tbl>
    <w:p w14:paraId="73E15966" w14:textId="77777777" w:rsidR="006E188F" w:rsidRPr="00D948C1" w:rsidRDefault="006E188F" w:rsidP="006E188F">
      <w:pPr>
        <w:pStyle w:val="BodyTextIndent2"/>
        <w:ind w:firstLine="0"/>
        <w:jc w:val="both"/>
        <w:rPr>
          <w:sz w:val="22"/>
        </w:rPr>
      </w:pPr>
    </w:p>
    <w:p w14:paraId="4CB5EA25" w14:textId="545A25A2" w:rsidR="00A00B2E" w:rsidRPr="00D948C1" w:rsidRDefault="006E188F" w:rsidP="00BE3C0F">
      <w:pPr>
        <w:pStyle w:val="BodyTextIndent2"/>
        <w:ind w:firstLine="0"/>
        <w:rPr>
          <w:szCs w:val="24"/>
        </w:rPr>
      </w:pPr>
      <w:r w:rsidRPr="00D948C1">
        <w:rPr>
          <w:szCs w:val="24"/>
        </w:rPr>
        <w:t xml:space="preserve">The above table excludes Senior Officers, who are disclosed individually </w:t>
      </w:r>
      <w:r w:rsidR="00E91302" w:rsidRPr="00D948C1">
        <w:rPr>
          <w:szCs w:val="24"/>
        </w:rPr>
        <w:t>in</w:t>
      </w:r>
      <w:r w:rsidR="00140881" w:rsidRPr="00D948C1">
        <w:rPr>
          <w:szCs w:val="24"/>
        </w:rPr>
        <w:t xml:space="preserve"> the following </w:t>
      </w:r>
      <w:r w:rsidR="00E91302" w:rsidRPr="00D948C1">
        <w:rPr>
          <w:szCs w:val="24"/>
        </w:rPr>
        <w:t>tables</w:t>
      </w:r>
      <w:r w:rsidRPr="00D948C1">
        <w:rPr>
          <w:szCs w:val="24"/>
        </w:rPr>
        <w:t>.</w:t>
      </w:r>
    </w:p>
    <w:p w14:paraId="5F6A6EBA" w14:textId="77777777" w:rsidR="00BE3C0F" w:rsidRPr="00D948C1" w:rsidRDefault="00BE3C0F" w:rsidP="00BE3C0F">
      <w:pPr>
        <w:pStyle w:val="BodyTextIndent2"/>
        <w:ind w:firstLine="0"/>
        <w:rPr>
          <w:szCs w:val="24"/>
        </w:rPr>
      </w:pPr>
    </w:p>
    <w:p w14:paraId="251C2AAC" w14:textId="77777777" w:rsidR="00BE3C0F" w:rsidRPr="00D948C1" w:rsidRDefault="00BE3C0F" w:rsidP="00BE3C0F">
      <w:pPr>
        <w:pStyle w:val="Heading3"/>
        <w:ind w:firstLine="567"/>
        <w:rPr>
          <w:szCs w:val="24"/>
        </w:rPr>
        <w:sectPr w:rsidR="00BE3C0F" w:rsidRPr="00D948C1" w:rsidSect="0050229D">
          <w:pgSz w:w="11907" w:h="16840" w:code="9"/>
          <w:pgMar w:top="454" w:right="567" w:bottom="397" w:left="567" w:header="720" w:footer="720" w:gutter="0"/>
          <w:cols w:space="720"/>
          <w:docGrid w:linePitch="326"/>
        </w:sectPr>
      </w:pPr>
    </w:p>
    <w:p w14:paraId="7DF0BE42" w14:textId="41387655" w:rsidR="00D90216" w:rsidRPr="00D948C1" w:rsidRDefault="00D90216" w:rsidP="003278CF">
      <w:pPr>
        <w:ind w:firstLine="567"/>
        <w:rPr>
          <w:b/>
          <w:bCs/>
          <w:szCs w:val="24"/>
        </w:rPr>
      </w:pPr>
      <w:r w:rsidRPr="00D948C1">
        <w:rPr>
          <w:b/>
          <w:bCs/>
          <w:szCs w:val="24"/>
        </w:rPr>
        <w:lastRenderedPageBreak/>
        <w:t>Senior Officers Remuneration</w:t>
      </w:r>
    </w:p>
    <w:p w14:paraId="692C23B4" w14:textId="77777777" w:rsidR="002D6690" w:rsidRPr="00D948C1" w:rsidRDefault="002D6690" w:rsidP="003278CF">
      <w:pPr>
        <w:rPr>
          <w:b/>
          <w:bCs/>
          <w:szCs w:val="24"/>
        </w:rPr>
      </w:pPr>
    </w:p>
    <w:p w14:paraId="17BFD31B" w14:textId="77777777" w:rsidR="00D90216" w:rsidRPr="00D948C1" w:rsidRDefault="00D90216" w:rsidP="00D90216">
      <w:pPr>
        <w:tabs>
          <w:tab w:val="left" w:pos="720"/>
          <w:tab w:val="right" w:pos="7920"/>
        </w:tabs>
        <w:ind w:left="567"/>
        <w:rPr>
          <w:szCs w:val="24"/>
        </w:rPr>
      </w:pPr>
      <w:r w:rsidRPr="00D948C1">
        <w:rPr>
          <w:szCs w:val="24"/>
        </w:rPr>
        <w:t>During the year, Senior Officers received remuneration packages as detailed below – these employees are also excluded from the table above.</w:t>
      </w:r>
    </w:p>
    <w:p w14:paraId="3512604B" w14:textId="77777777" w:rsidR="00D90216" w:rsidRPr="00D948C1" w:rsidRDefault="00D90216" w:rsidP="00BE3C0F">
      <w:pPr>
        <w:pStyle w:val="BalloonText"/>
        <w:tabs>
          <w:tab w:val="left" w:pos="720"/>
          <w:tab w:val="right" w:pos="7920"/>
        </w:tabs>
        <w:rPr>
          <w:rFonts w:ascii="Arial" w:hAnsi="Arial"/>
          <w:sz w:val="24"/>
          <w:szCs w:val="24"/>
        </w:rPr>
      </w:pPr>
    </w:p>
    <w:tbl>
      <w:tblPr>
        <w:tblW w:w="4823"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0"/>
        <w:gridCol w:w="1135"/>
        <w:gridCol w:w="1430"/>
        <w:gridCol w:w="2256"/>
        <w:gridCol w:w="2688"/>
        <w:gridCol w:w="1954"/>
      </w:tblGrid>
      <w:tr w:rsidR="00A00B2E" w:rsidRPr="00D948C1" w14:paraId="72BC8BCA" w14:textId="77777777" w:rsidTr="00611673">
        <w:trPr>
          <w:tblHeader/>
        </w:trPr>
        <w:tc>
          <w:tcPr>
            <w:tcW w:w="1930" w:type="pct"/>
            <w:shd w:val="clear" w:color="auto" w:fill="BD2716"/>
            <w:vAlign w:val="center"/>
          </w:tcPr>
          <w:p w14:paraId="055325E7" w14:textId="15086E1C" w:rsidR="00A01DCD" w:rsidRPr="00D948C1" w:rsidRDefault="00A01DCD" w:rsidP="00611673">
            <w:pPr>
              <w:tabs>
                <w:tab w:val="left" w:pos="720"/>
                <w:tab w:val="right" w:pos="7920"/>
              </w:tabs>
              <w:rPr>
                <w:bCs/>
                <w:color w:val="FFFFFF" w:themeColor="background1"/>
                <w:szCs w:val="24"/>
              </w:rPr>
            </w:pPr>
            <w:r w:rsidRPr="00D948C1">
              <w:rPr>
                <w:bCs/>
                <w:color w:val="FFFFFF" w:themeColor="background1"/>
                <w:szCs w:val="24"/>
              </w:rPr>
              <w:t>202</w:t>
            </w:r>
            <w:r w:rsidR="00CE270F">
              <w:rPr>
                <w:bCs/>
                <w:color w:val="FFFFFF" w:themeColor="background1"/>
                <w:szCs w:val="24"/>
              </w:rPr>
              <w:t>4</w:t>
            </w:r>
            <w:r w:rsidRPr="00D948C1">
              <w:rPr>
                <w:bCs/>
                <w:color w:val="FFFFFF" w:themeColor="background1"/>
                <w:szCs w:val="24"/>
              </w:rPr>
              <w:t>/2</w:t>
            </w:r>
            <w:r w:rsidR="00CE270F">
              <w:rPr>
                <w:bCs/>
                <w:color w:val="FFFFFF" w:themeColor="background1"/>
                <w:szCs w:val="24"/>
              </w:rPr>
              <w:t>5</w:t>
            </w:r>
          </w:p>
          <w:p w14:paraId="71C432CD" w14:textId="039ED215" w:rsidR="00CB21DE" w:rsidRPr="00D948C1" w:rsidRDefault="00D90216" w:rsidP="00611673">
            <w:pPr>
              <w:tabs>
                <w:tab w:val="left" w:pos="720"/>
                <w:tab w:val="right" w:pos="7920"/>
              </w:tabs>
              <w:rPr>
                <w:bCs/>
                <w:color w:val="FFFFFF" w:themeColor="background1"/>
                <w:szCs w:val="24"/>
              </w:rPr>
            </w:pPr>
            <w:r w:rsidRPr="00D948C1">
              <w:rPr>
                <w:bCs/>
                <w:color w:val="FFFFFF" w:themeColor="background1"/>
                <w:szCs w:val="24"/>
              </w:rPr>
              <w:t>Post holder information (post title and name)</w:t>
            </w:r>
          </w:p>
        </w:tc>
        <w:tc>
          <w:tcPr>
            <w:tcW w:w="368" w:type="pct"/>
            <w:shd w:val="clear" w:color="auto" w:fill="BD2716"/>
            <w:vAlign w:val="center"/>
          </w:tcPr>
          <w:p w14:paraId="0F612485" w14:textId="77777777" w:rsidR="00D90216"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Salary</w:t>
            </w:r>
          </w:p>
          <w:p w14:paraId="11919C9A" w14:textId="2EBF2FA0"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c>
          <w:tcPr>
            <w:tcW w:w="464" w:type="pct"/>
            <w:shd w:val="clear" w:color="auto" w:fill="BD2716"/>
            <w:vAlign w:val="center"/>
          </w:tcPr>
          <w:p w14:paraId="1A317C6A" w14:textId="13E95E1B" w:rsidR="00D90216"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Allowances</w:t>
            </w:r>
          </w:p>
          <w:p w14:paraId="53748B8D" w14:textId="6B2FAC5E" w:rsidR="00B312EB" w:rsidRPr="00D948C1" w:rsidRDefault="00A01DCD" w:rsidP="004E2A2F">
            <w:pPr>
              <w:tabs>
                <w:tab w:val="left" w:pos="720"/>
                <w:tab w:val="right" w:pos="7920"/>
              </w:tabs>
              <w:jc w:val="right"/>
              <w:rPr>
                <w:color w:val="FFFFFF" w:themeColor="background1"/>
                <w:szCs w:val="24"/>
              </w:rPr>
            </w:pPr>
            <w:r w:rsidRPr="00D948C1">
              <w:rPr>
                <w:color w:val="FFFFFF" w:themeColor="background1"/>
                <w:szCs w:val="24"/>
              </w:rPr>
              <w:t>£</w:t>
            </w:r>
          </w:p>
        </w:tc>
        <w:tc>
          <w:tcPr>
            <w:tcW w:w="732" w:type="pct"/>
            <w:shd w:val="clear" w:color="auto" w:fill="BD2716"/>
            <w:vAlign w:val="center"/>
          </w:tcPr>
          <w:p w14:paraId="148F2D05" w14:textId="77777777" w:rsidR="00B312EB"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Total Remuneration excluding pension contributions</w:t>
            </w:r>
          </w:p>
          <w:p w14:paraId="2B84E6A7" w14:textId="1E5FA2C5"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c>
          <w:tcPr>
            <w:tcW w:w="872" w:type="pct"/>
            <w:shd w:val="clear" w:color="auto" w:fill="BD2716"/>
            <w:vAlign w:val="center"/>
          </w:tcPr>
          <w:p w14:paraId="2A19FE52" w14:textId="77777777" w:rsidR="00B312EB" w:rsidRPr="00D948C1" w:rsidRDefault="00D90216" w:rsidP="00611673">
            <w:pPr>
              <w:tabs>
                <w:tab w:val="left" w:pos="720"/>
                <w:tab w:val="right" w:pos="7920"/>
              </w:tabs>
              <w:ind w:left="19"/>
              <w:jc w:val="right"/>
              <w:rPr>
                <w:color w:val="FFFFFF" w:themeColor="background1"/>
                <w:szCs w:val="24"/>
              </w:rPr>
            </w:pPr>
            <w:r w:rsidRPr="00D948C1">
              <w:rPr>
                <w:color w:val="FFFFFF" w:themeColor="background1"/>
                <w:szCs w:val="24"/>
              </w:rPr>
              <w:t xml:space="preserve">Pension contributions </w:t>
            </w:r>
            <w:r w:rsidR="00E54BE5" w:rsidRPr="00D948C1">
              <w:rPr>
                <w:color w:val="FFFFFF" w:themeColor="background1"/>
                <w:szCs w:val="24"/>
              </w:rPr>
              <w:t>accrued at the standard employer rate for all senior officers</w:t>
            </w:r>
          </w:p>
          <w:p w14:paraId="24917088" w14:textId="394AA1CC" w:rsidR="00A01DCD" w:rsidRPr="00D948C1" w:rsidRDefault="00A01DCD" w:rsidP="00611673">
            <w:pPr>
              <w:tabs>
                <w:tab w:val="left" w:pos="720"/>
                <w:tab w:val="right" w:pos="7920"/>
              </w:tabs>
              <w:ind w:left="19"/>
              <w:jc w:val="right"/>
              <w:rPr>
                <w:color w:val="FFFFFF" w:themeColor="background1"/>
                <w:szCs w:val="24"/>
              </w:rPr>
            </w:pPr>
            <w:r w:rsidRPr="00D948C1">
              <w:rPr>
                <w:color w:val="FFFFFF" w:themeColor="background1"/>
                <w:szCs w:val="24"/>
              </w:rPr>
              <w:t>£</w:t>
            </w:r>
          </w:p>
        </w:tc>
        <w:tc>
          <w:tcPr>
            <w:tcW w:w="634" w:type="pct"/>
            <w:shd w:val="clear" w:color="auto" w:fill="BD2716"/>
            <w:vAlign w:val="center"/>
          </w:tcPr>
          <w:p w14:paraId="26FC1C41" w14:textId="77777777" w:rsidR="00B312EB"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Total Remuneration including pension contributions</w:t>
            </w:r>
          </w:p>
          <w:p w14:paraId="318C699D" w14:textId="3B7E011B"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r>
      <w:tr w:rsidR="00A00B2E" w:rsidRPr="00D948C1" w14:paraId="4EFF54B1" w14:textId="77777777" w:rsidTr="00233A66">
        <w:tc>
          <w:tcPr>
            <w:tcW w:w="1930" w:type="pct"/>
          </w:tcPr>
          <w:p w14:paraId="522FA07B" w14:textId="40BCD021" w:rsidR="009A592B" w:rsidRPr="000B1E03" w:rsidRDefault="003A5F15" w:rsidP="003A5F15">
            <w:pPr>
              <w:tabs>
                <w:tab w:val="left" w:pos="720"/>
                <w:tab w:val="right" w:pos="7920"/>
              </w:tabs>
              <w:rPr>
                <w:szCs w:val="24"/>
              </w:rPr>
            </w:pPr>
            <w:bookmarkStart w:id="33" w:name="_Hlk135644265"/>
            <w:r w:rsidRPr="000B1E03">
              <w:rPr>
                <w:szCs w:val="24"/>
              </w:rPr>
              <w:t>Chief Fire Officer – Justin Johnston</w:t>
            </w:r>
            <w:r w:rsidR="00EE0423" w:rsidRPr="000B1E03">
              <w:rPr>
                <w:szCs w:val="24"/>
              </w:rPr>
              <w:t xml:space="preserve"> (to </w:t>
            </w:r>
            <w:r w:rsidR="00321E2A" w:rsidRPr="000B1E03">
              <w:rPr>
                <w:szCs w:val="24"/>
              </w:rPr>
              <w:t>4 January)</w:t>
            </w:r>
          </w:p>
        </w:tc>
        <w:tc>
          <w:tcPr>
            <w:tcW w:w="368" w:type="pct"/>
            <w:vAlign w:val="center"/>
          </w:tcPr>
          <w:p w14:paraId="082C7989" w14:textId="3A4E67E2" w:rsidR="003A5F15" w:rsidRPr="000B1E03" w:rsidRDefault="0045537A" w:rsidP="00233A66">
            <w:pPr>
              <w:tabs>
                <w:tab w:val="left" w:pos="1168"/>
                <w:tab w:val="right" w:pos="7920"/>
              </w:tabs>
              <w:jc w:val="right"/>
              <w:rPr>
                <w:szCs w:val="24"/>
              </w:rPr>
            </w:pPr>
            <w:r w:rsidRPr="000B1E03">
              <w:rPr>
                <w:szCs w:val="24"/>
              </w:rPr>
              <w:t>134,388</w:t>
            </w:r>
          </w:p>
        </w:tc>
        <w:tc>
          <w:tcPr>
            <w:tcW w:w="464" w:type="pct"/>
            <w:vAlign w:val="center"/>
          </w:tcPr>
          <w:p w14:paraId="2D3F30FF" w14:textId="2244C79C" w:rsidR="003A5F15" w:rsidRPr="000B1E03" w:rsidRDefault="00B244AB" w:rsidP="00233A66">
            <w:pPr>
              <w:tabs>
                <w:tab w:val="left" w:pos="720"/>
                <w:tab w:val="right" w:pos="7920"/>
              </w:tabs>
              <w:jc w:val="right"/>
              <w:rPr>
                <w:szCs w:val="24"/>
              </w:rPr>
            </w:pPr>
            <w:r w:rsidRPr="000B1E03">
              <w:rPr>
                <w:szCs w:val="24"/>
              </w:rPr>
              <w:t>-</w:t>
            </w:r>
          </w:p>
        </w:tc>
        <w:tc>
          <w:tcPr>
            <w:tcW w:w="732" w:type="pct"/>
            <w:vAlign w:val="center"/>
          </w:tcPr>
          <w:p w14:paraId="6C477143" w14:textId="63A01169" w:rsidR="003A5F15" w:rsidRPr="000B1E03" w:rsidRDefault="0045537A" w:rsidP="00233A66">
            <w:pPr>
              <w:tabs>
                <w:tab w:val="left" w:pos="720"/>
                <w:tab w:val="right" w:pos="7920"/>
              </w:tabs>
              <w:jc w:val="right"/>
              <w:rPr>
                <w:szCs w:val="24"/>
              </w:rPr>
            </w:pPr>
            <w:r w:rsidRPr="000B1E03">
              <w:rPr>
                <w:szCs w:val="24"/>
              </w:rPr>
              <w:t>134,388</w:t>
            </w:r>
          </w:p>
        </w:tc>
        <w:tc>
          <w:tcPr>
            <w:tcW w:w="872" w:type="pct"/>
            <w:vAlign w:val="center"/>
          </w:tcPr>
          <w:p w14:paraId="0BD11440" w14:textId="4C63B66A" w:rsidR="003A5F15" w:rsidRPr="000B1E03" w:rsidRDefault="0045537A" w:rsidP="00233A66">
            <w:pPr>
              <w:jc w:val="right"/>
              <w:rPr>
                <w:rFonts w:cs="Arial"/>
                <w:szCs w:val="24"/>
              </w:rPr>
            </w:pPr>
            <w:r w:rsidRPr="000B1E03">
              <w:rPr>
                <w:rFonts w:cs="Arial"/>
                <w:szCs w:val="24"/>
              </w:rPr>
              <w:t>50,530</w:t>
            </w:r>
          </w:p>
        </w:tc>
        <w:tc>
          <w:tcPr>
            <w:tcW w:w="634" w:type="pct"/>
            <w:vAlign w:val="center"/>
          </w:tcPr>
          <w:p w14:paraId="6F0286EE" w14:textId="038B968D" w:rsidR="003A5F15" w:rsidRPr="000B1E03" w:rsidRDefault="0045537A" w:rsidP="00233A66">
            <w:pPr>
              <w:jc w:val="right"/>
              <w:rPr>
                <w:rFonts w:cs="Arial"/>
                <w:szCs w:val="24"/>
              </w:rPr>
            </w:pPr>
            <w:r w:rsidRPr="000B1E03">
              <w:rPr>
                <w:rFonts w:cs="Arial"/>
                <w:szCs w:val="24"/>
              </w:rPr>
              <w:t>184,917</w:t>
            </w:r>
          </w:p>
        </w:tc>
      </w:tr>
      <w:tr w:rsidR="00BC705E" w:rsidRPr="00D948C1" w14:paraId="07B2D591" w14:textId="77777777" w:rsidTr="00233A66">
        <w:tc>
          <w:tcPr>
            <w:tcW w:w="1930" w:type="pct"/>
          </w:tcPr>
          <w:p w14:paraId="27249A72" w14:textId="17633F0D" w:rsidR="00BC705E" w:rsidRPr="000B1E03" w:rsidRDefault="00BC705E" w:rsidP="003A5F15">
            <w:pPr>
              <w:tabs>
                <w:tab w:val="left" w:pos="720"/>
                <w:tab w:val="right" w:pos="7920"/>
              </w:tabs>
              <w:rPr>
                <w:szCs w:val="24"/>
              </w:rPr>
            </w:pPr>
            <w:r w:rsidRPr="000B1E03">
              <w:rPr>
                <w:szCs w:val="24"/>
              </w:rPr>
              <w:t xml:space="preserve">Chief Fire Officer – Jon Charters (from </w:t>
            </w:r>
            <w:r w:rsidR="005F5958" w:rsidRPr="000B1E03">
              <w:rPr>
                <w:szCs w:val="24"/>
              </w:rPr>
              <w:t>5 January</w:t>
            </w:r>
            <w:r w:rsidRPr="000B1E03">
              <w:rPr>
                <w:szCs w:val="24"/>
              </w:rPr>
              <w:t>)</w:t>
            </w:r>
          </w:p>
        </w:tc>
        <w:tc>
          <w:tcPr>
            <w:tcW w:w="368" w:type="pct"/>
            <w:vAlign w:val="center"/>
          </w:tcPr>
          <w:p w14:paraId="4245BF50" w14:textId="1C964B78" w:rsidR="00BC705E" w:rsidRPr="000B1E03" w:rsidRDefault="00BC705E" w:rsidP="00233A66">
            <w:pPr>
              <w:tabs>
                <w:tab w:val="left" w:pos="1168"/>
                <w:tab w:val="right" w:pos="7920"/>
              </w:tabs>
              <w:jc w:val="right"/>
              <w:rPr>
                <w:szCs w:val="24"/>
              </w:rPr>
            </w:pPr>
            <w:r w:rsidRPr="000B1E03">
              <w:rPr>
                <w:szCs w:val="24"/>
              </w:rPr>
              <w:t>41,028</w:t>
            </w:r>
          </w:p>
        </w:tc>
        <w:tc>
          <w:tcPr>
            <w:tcW w:w="464" w:type="pct"/>
            <w:vAlign w:val="center"/>
          </w:tcPr>
          <w:p w14:paraId="08C926E0" w14:textId="0103BD28" w:rsidR="00BC705E" w:rsidRPr="000B1E03" w:rsidRDefault="00BC705E" w:rsidP="00233A66">
            <w:pPr>
              <w:tabs>
                <w:tab w:val="left" w:pos="720"/>
                <w:tab w:val="right" w:pos="7920"/>
              </w:tabs>
              <w:jc w:val="right"/>
              <w:rPr>
                <w:szCs w:val="24"/>
              </w:rPr>
            </w:pPr>
            <w:r w:rsidRPr="000B1E03">
              <w:rPr>
                <w:szCs w:val="24"/>
              </w:rPr>
              <w:t>-</w:t>
            </w:r>
          </w:p>
        </w:tc>
        <w:tc>
          <w:tcPr>
            <w:tcW w:w="732" w:type="pct"/>
            <w:vAlign w:val="center"/>
          </w:tcPr>
          <w:p w14:paraId="27E50571" w14:textId="5443E251" w:rsidR="00BC705E" w:rsidRPr="000B1E03" w:rsidRDefault="00BC705E" w:rsidP="00233A66">
            <w:pPr>
              <w:tabs>
                <w:tab w:val="left" w:pos="720"/>
                <w:tab w:val="right" w:pos="7920"/>
              </w:tabs>
              <w:jc w:val="right"/>
              <w:rPr>
                <w:szCs w:val="24"/>
              </w:rPr>
            </w:pPr>
            <w:r w:rsidRPr="000B1E03">
              <w:rPr>
                <w:szCs w:val="24"/>
              </w:rPr>
              <w:t>41,028</w:t>
            </w:r>
          </w:p>
        </w:tc>
        <w:tc>
          <w:tcPr>
            <w:tcW w:w="872" w:type="pct"/>
            <w:vAlign w:val="center"/>
          </w:tcPr>
          <w:p w14:paraId="180E7E05" w14:textId="4D2FD7D3" w:rsidR="00BC705E" w:rsidRPr="000B1E03" w:rsidRDefault="00BC705E" w:rsidP="00233A66">
            <w:pPr>
              <w:jc w:val="right"/>
              <w:rPr>
                <w:rFonts w:cs="Arial"/>
                <w:szCs w:val="24"/>
              </w:rPr>
            </w:pPr>
            <w:r w:rsidRPr="000B1E03">
              <w:rPr>
                <w:rFonts w:cs="Arial"/>
                <w:szCs w:val="24"/>
              </w:rPr>
              <w:t>15,427</w:t>
            </w:r>
          </w:p>
        </w:tc>
        <w:tc>
          <w:tcPr>
            <w:tcW w:w="634" w:type="pct"/>
            <w:vAlign w:val="center"/>
          </w:tcPr>
          <w:p w14:paraId="7F05419B" w14:textId="637F87BD" w:rsidR="00BC705E" w:rsidRPr="000B1E03" w:rsidRDefault="00BC705E" w:rsidP="00233A66">
            <w:pPr>
              <w:jc w:val="right"/>
              <w:rPr>
                <w:rFonts w:cs="Arial"/>
                <w:szCs w:val="24"/>
              </w:rPr>
            </w:pPr>
            <w:r w:rsidRPr="000B1E03">
              <w:rPr>
                <w:rFonts w:cs="Arial"/>
                <w:szCs w:val="24"/>
              </w:rPr>
              <w:t>56,455</w:t>
            </w:r>
          </w:p>
        </w:tc>
      </w:tr>
      <w:tr w:rsidR="00A00B2E" w:rsidRPr="00D948C1" w14:paraId="1C299CBE" w14:textId="77777777" w:rsidTr="00233A66">
        <w:tc>
          <w:tcPr>
            <w:tcW w:w="1930" w:type="pct"/>
          </w:tcPr>
          <w:p w14:paraId="3460EA6F" w14:textId="139B1175" w:rsidR="009A592B" w:rsidRPr="000B1E03" w:rsidRDefault="003A5F15" w:rsidP="003A5F15">
            <w:pPr>
              <w:tabs>
                <w:tab w:val="left" w:pos="720"/>
                <w:tab w:val="right" w:pos="7920"/>
              </w:tabs>
              <w:rPr>
                <w:szCs w:val="24"/>
              </w:rPr>
            </w:pPr>
            <w:r w:rsidRPr="000B1E03">
              <w:rPr>
                <w:szCs w:val="24"/>
              </w:rPr>
              <w:t xml:space="preserve">Director of Service Delivery – </w:t>
            </w:r>
            <w:r w:rsidR="009A592B" w:rsidRPr="000B1E03">
              <w:rPr>
                <w:szCs w:val="24"/>
              </w:rPr>
              <w:t>John Charters</w:t>
            </w:r>
            <w:r w:rsidR="00590341" w:rsidRPr="000B1E03">
              <w:rPr>
                <w:szCs w:val="24"/>
              </w:rPr>
              <w:t xml:space="preserve"> (to </w:t>
            </w:r>
            <w:r w:rsidR="00EE0423" w:rsidRPr="000B1E03">
              <w:rPr>
                <w:szCs w:val="24"/>
              </w:rPr>
              <w:t>4 January</w:t>
            </w:r>
            <w:r w:rsidR="00590341" w:rsidRPr="000B1E03">
              <w:rPr>
                <w:szCs w:val="24"/>
              </w:rPr>
              <w:t>)</w:t>
            </w:r>
          </w:p>
        </w:tc>
        <w:tc>
          <w:tcPr>
            <w:tcW w:w="368" w:type="pct"/>
            <w:vAlign w:val="center"/>
          </w:tcPr>
          <w:p w14:paraId="050E7FE4" w14:textId="65594BFE" w:rsidR="003A5F15" w:rsidRPr="000B1E03" w:rsidRDefault="00BC705E" w:rsidP="00233A66">
            <w:pPr>
              <w:tabs>
                <w:tab w:val="left" w:pos="1168"/>
                <w:tab w:val="right" w:pos="7920"/>
              </w:tabs>
              <w:jc w:val="right"/>
              <w:rPr>
                <w:szCs w:val="24"/>
              </w:rPr>
            </w:pPr>
            <w:r w:rsidRPr="000B1E03">
              <w:rPr>
                <w:szCs w:val="24"/>
              </w:rPr>
              <w:t>105,958</w:t>
            </w:r>
          </w:p>
        </w:tc>
        <w:tc>
          <w:tcPr>
            <w:tcW w:w="464" w:type="pct"/>
            <w:vAlign w:val="center"/>
          </w:tcPr>
          <w:p w14:paraId="184CFFF5" w14:textId="244D9531" w:rsidR="003A5F15" w:rsidRPr="000B1E03" w:rsidRDefault="00B244AB" w:rsidP="00233A66">
            <w:pPr>
              <w:tabs>
                <w:tab w:val="left" w:pos="720"/>
                <w:tab w:val="right" w:pos="7920"/>
              </w:tabs>
              <w:jc w:val="right"/>
              <w:rPr>
                <w:szCs w:val="24"/>
              </w:rPr>
            </w:pPr>
            <w:r w:rsidRPr="000B1E03">
              <w:rPr>
                <w:szCs w:val="24"/>
              </w:rPr>
              <w:t>-</w:t>
            </w:r>
          </w:p>
        </w:tc>
        <w:tc>
          <w:tcPr>
            <w:tcW w:w="732" w:type="pct"/>
            <w:vAlign w:val="center"/>
          </w:tcPr>
          <w:p w14:paraId="5D042156" w14:textId="6CC85B67" w:rsidR="003A5F15" w:rsidRPr="000B1E03" w:rsidRDefault="00BC705E" w:rsidP="00233A66">
            <w:pPr>
              <w:tabs>
                <w:tab w:val="left" w:pos="720"/>
                <w:tab w:val="right" w:pos="7920"/>
              </w:tabs>
              <w:jc w:val="right"/>
              <w:rPr>
                <w:szCs w:val="24"/>
              </w:rPr>
            </w:pPr>
            <w:r w:rsidRPr="000B1E03">
              <w:rPr>
                <w:szCs w:val="24"/>
              </w:rPr>
              <w:t>105,958</w:t>
            </w:r>
          </w:p>
        </w:tc>
        <w:tc>
          <w:tcPr>
            <w:tcW w:w="872" w:type="pct"/>
            <w:vAlign w:val="center"/>
          </w:tcPr>
          <w:p w14:paraId="027FB717" w14:textId="77FA93C3" w:rsidR="003A5F15" w:rsidRPr="000B1E03" w:rsidRDefault="00281F43" w:rsidP="00233A66">
            <w:pPr>
              <w:jc w:val="right"/>
              <w:rPr>
                <w:rFonts w:cs="Arial"/>
                <w:szCs w:val="24"/>
              </w:rPr>
            </w:pPr>
            <w:r w:rsidRPr="000B1E03">
              <w:rPr>
                <w:rFonts w:cs="Arial"/>
                <w:szCs w:val="24"/>
              </w:rPr>
              <w:t>39,840</w:t>
            </w:r>
          </w:p>
        </w:tc>
        <w:tc>
          <w:tcPr>
            <w:tcW w:w="634" w:type="pct"/>
            <w:vAlign w:val="center"/>
          </w:tcPr>
          <w:p w14:paraId="789F8E78" w14:textId="35FFB804" w:rsidR="003A5F15" w:rsidRPr="000B1E03" w:rsidRDefault="00281F43" w:rsidP="00233A66">
            <w:pPr>
              <w:jc w:val="right"/>
              <w:rPr>
                <w:rFonts w:cs="Arial"/>
                <w:szCs w:val="24"/>
              </w:rPr>
            </w:pPr>
            <w:r w:rsidRPr="000B1E03">
              <w:rPr>
                <w:rFonts w:cs="Arial"/>
                <w:szCs w:val="24"/>
              </w:rPr>
              <w:t>145,798</w:t>
            </w:r>
          </w:p>
        </w:tc>
      </w:tr>
      <w:tr w:rsidR="00EF6071" w:rsidRPr="00D948C1" w14:paraId="4BED8F9B" w14:textId="77777777" w:rsidTr="00233A66">
        <w:tc>
          <w:tcPr>
            <w:tcW w:w="1930" w:type="pct"/>
          </w:tcPr>
          <w:p w14:paraId="5157FF13" w14:textId="19150CD7" w:rsidR="00EF6071" w:rsidRPr="000B1E03" w:rsidRDefault="00EF6071" w:rsidP="003A5F15">
            <w:pPr>
              <w:tabs>
                <w:tab w:val="left" w:pos="720"/>
                <w:tab w:val="right" w:pos="7920"/>
              </w:tabs>
              <w:rPr>
                <w:szCs w:val="24"/>
              </w:rPr>
            </w:pPr>
            <w:r w:rsidRPr="000B1E03">
              <w:rPr>
                <w:szCs w:val="24"/>
              </w:rPr>
              <w:t xml:space="preserve">Director of Service Delivery – Samantha Pink (from </w:t>
            </w:r>
            <w:r w:rsidR="00EE0423" w:rsidRPr="000B1E03">
              <w:rPr>
                <w:szCs w:val="24"/>
              </w:rPr>
              <w:t>3 February</w:t>
            </w:r>
            <w:r w:rsidRPr="000B1E03">
              <w:rPr>
                <w:szCs w:val="24"/>
              </w:rPr>
              <w:t>)</w:t>
            </w:r>
          </w:p>
        </w:tc>
        <w:tc>
          <w:tcPr>
            <w:tcW w:w="368" w:type="pct"/>
            <w:vAlign w:val="center"/>
          </w:tcPr>
          <w:p w14:paraId="37E14EC6" w14:textId="267E00CF" w:rsidR="00EF6071" w:rsidRPr="000B1E03" w:rsidRDefault="00EF6071" w:rsidP="00233A66">
            <w:pPr>
              <w:tabs>
                <w:tab w:val="left" w:pos="1168"/>
                <w:tab w:val="right" w:pos="7920"/>
              </w:tabs>
              <w:jc w:val="right"/>
              <w:rPr>
                <w:szCs w:val="24"/>
              </w:rPr>
            </w:pPr>
            <w:r w:rsidRPr="000B1E03">
              <w:rPr>
                <w:szCs w:val="24"/>
              </w:rPr>
              <w:t>21,813</w:t>
            </w:r>
          </w:p>
        </w:tc>
        <w:tc>
          <w:tcPr>
            <w:tcW w:w="464" w:type="pct"/>
            <w:vAlign w:val="center"/>
          </w:tcPr>
          <w:p w14:paraId="5997D7B9" w14:textId="4AF1CC3B" w:rsidR="00EF6071" w:rsidRPr="000B1E03" w:rsidRDefault="00EF6071" w:rsidP="00233A66">
            <w:pPr>
              <w:tabs>
                <w:tab w:val="left" w:pos="720"/>
                <w:tab w:val="right" w:pos="7920"/>
              </w:tabs>
              <w:jc w:val="right"/>
              <w:rPr>
                <w:szCs w:val="24"/>
              </w:rPr>
            </w:pPr>
            <w:r w:rsidRPr="000B1E03">
              <w:rPr>
                <w:szCs w:val="24"/>
              </w:rPr>
              <w:t>-</w:t>
            </w:r>
          </w:p>
        </w:tc>
        <w:tc>
          <w:tcPr>
            <w:tcW w:w="732" w:type="pct"/>
            <w:vAlign w:val="center"/>
          </w:tcPr>
          <w:p w14:paraId="313BAD39" w14:textId="2D838988" w:rsidR="00EF6071" w:rsidRPr="000B1E03" w:rsidRDefault="00EF6071" w:rsidP="00233A66">
            <w:pPr>
              <w:tabs>
                <w:tab w:val="left" w:pos="720"/>
                <w:tab w:val="right" w:pos="7920"/>
              </w:tabs>
              <w:jc w:val="right"/>
              <w:rPr>
                <w:szCs w:val="24"/>
              </w:rPr>
            </w:pPr>
            <w:r w:rsidRPr="000B1E03">
              <w:rPr>
                <w:szCs w:val="24"/>
              </w:rPr>
              <w:t>21,813</w:t>
            </w:r>
          </w:p>
        </w:tc>
        <w:tc>
          <w:tcPr>
            <w:tcW w:w="872" w:type="pct"/>
            <w:vAlign w:val="center"/>
          </w:tcPr>
          <w:p w14:paraId="59713574" w14:textId="5B5AC439" w:rsidR="00EF6071" w:rsidRPr="000B1E03" w:rsidRDefault="00D106CC" w:rsidP="00233A66">
            <w:pPr>
              <w:jc w:val="right"/>
              <w:rPr>
                <w:rFonts w:cs="Arial"/>
                <w:szCs w:val="24"/>
              </w:rPr>
            </w:pPr>
            <w:r w:rsidRPr="000B1E03">
              <w:rPr>
                <w:rFonts w:cs="Arial"/>
                <w:szCs w:val="24"/>
              </w:rPr>
              <w:t>8,202</w:t>
            </w:r>
          </w:p>
        </w:tc>
        <w:tc>
          <w:tcPr>
            <w:tcW w:w="634" w:type="pct"/>
            <w:vAlign w:val="center"/>
          </w:tcPr>
          <w:p w14:paraId="671C837F" w14:textId="4F081E69" w:rsidR="00EF6071" w:rsidRPr="000B1E03" w:rsidRDefault="00D106CC" w:rsidP="00233A66">
            <w:pPr>
              <w:jc w:val="right"/>
              <w:rPr>
                <w:rFonts w:cs="Arial"/>
                <w:szCs w:val="24"/>
              </w:rPr>
            </w:pPr>
            <w:r w:rsidRPr="000B1E03">
              <w:rPr>
                <w:rFonts w:cs="Arial"/>
                <w:szCs w:val="24"/>
              </w:rPr>
              <w:t>30,015</w:t>
            </w:r>
          </w:p>
        </w:tc>
      </w:tr>
      <w:tr w:rsidR="00A00B2E" w:rsidRPr="00D948C1" w14:paraId="238109B6" w14:textId="77777777" w:rsidTr="00233A66">
        <w:tc>
          <w:tcPr>
            <w:tcW w:w="1930" w:type="pct"/>
          </w:tcPr>
          <w:p w14:paraId="6D8C813B" w14:textId="3A38B8A2" w:rsidR="009A592B" w:rsidRPr="000B1E03" w:rsidRDefault="003A5F15" w:rsidP="003A5F15">
            <w:pPr>
              <w:tabs>
                <w:tab w:val="left" w:pos="720"/>
                <w:tab w:val="right" w:pos="7920"/>
              </w:tabs>
              <w:rPr>
                <w:szCs w:val="24"/>
              </w:rPr>
            </w:pPr>
            <w:r w:rsidRPr="000B1E03">
              <w:rPr>
                <w:szCs w:val="24"/>
              </w:rPr>
              <w:t xml:space="preserve">Director of Strategy &amp; Planning – Steve </w:t>
            </w:r>
            <w:r w:rsidR="009A592B" w:rsidRPr="000B1E03">
              <w:rPr>
                <w:szCs w:val="24"/>
              </w:rPr>
              <w:t>Healey</w:t>
            </w:r>
          </w:p>
        </w:tc>
        <w:tc>
          <w:tcPr>
            <w:tcW w:w="368" w:type="pct"/>
            <w:vAlign w:val="center"/>
          </w:tcPr>
          <w:p w14:paraId="4246B430" w14:textId="311A1F15" w:rsidR="003A5F15" w:rsidRPr="000B1E03" w:rsidRDefault="00281F43" w:rsidP="00233A66">
            <w:pPr>
              <w:tabs>
                <w:tab w:val="left" w:pos="1168"/>
                <w:tab w:val="right" w:pos="7920"/>
              </w:tabs>
              <w:jc w:val="right"/>
              <w:rPr>
                <w:szCs w:val="24"/>
              </w:rPr>
            </w:pPr>
            <w:r w:rsidRPr="000B1E03">
              <w:rPr>
                <w:szCs w:val="24"/>
              </w:rPr>
              <w:t>164,972</w:t>
            </w:r>
          </w:p>
        </w:tc>
        <w:tc>
          <w:tcPr>
            <w:tcW w:w="464" w:type="pct"/>
            <w:vAlign w:val="center"/>
          </w:tcPr>
          <w:p w14:paraId="2D7B63BD" w14:textId="7827595B" w:rsidR="003A5F15" w:rsidRPr="000B1E03" w:rsidRDefault="00B244AB" w:rsidP="00233A66">
            <w:pPr>
              <w:tabs>
                <w:tab w:val="left" w:pos="720"/>
                <w:tab w:val="right" w:pos="7920"/>
              </w:tabs>
              <w:jc w:val="right"/>
              <w:rPr>
                <w:szCs w:val="24"/>
              </w:rPr>
            </w:pPr>
            <w:r w:rsidRPr="000B1E03">
              <w:rPr>
                <w:szCs w:val="24"/>
              </w:rPr>
              <w:t>-</w:t>
            </w:r>
          </w:p>
        </w:tc>
        <w:tc>
          <w:tcPr>
            <w:tcW w:w="732" w:type="pct"/>
            <w:vAlign w:val="center"/>
          </w:tcPr>
          <w:p w14:paraId="71AE1C61" w14:textId="39702098" w:rsidR="003A5F15" w:rsidRPr="000B1E03" w:rsidRDefault="00281F43" w:rsidP="00233A66">
            <w:pPr>
              <w:tabs>
                <w:tab w:val="left" w:pos="720"/>
                <w:tab w:val="right" w:pos="7920"/>
              </w:tabs>
              <w:jc w:val="right"/>
              <w:rPr>
                <w:szCs w:val="24"/>
              </w:rPr>
            </w:pPr>
            <w:r w:rsidRPr="000B1E03">
              <w:rPr>
                <w:szCs w:val="24"/>
              </w:rPr>
              <w:t>164,972</w:t>
            </w:r>
          </w:p>
        </w:tc>
        <w:tc>
          <w:tcPr>
            <w:tcW w:w="872" w:type="pct"/>
            <w:vAlign w:val="center"/>
          </w:tcPr>
          <w:p w14:paraId="3F83A375" w14:textId="7296CBE2" w:rsidR="003A5F15" w:rsidRPr="000B1E03" w:rsidRDefault="00281F43" w:rsidP="00233A66">
            <w:pPr>
              <w:jc w:val="right"/>
              <w:rPr>
                <w:rFonts w:cs="Arial"/>
                <w:szCs w:val="24"/>
              </w:rPr>
            </w:pPr>
            <w:r w:rsidRPr="000B1E03">
              <w:rPr>
                <w:rFonts w:cs="Arial"/>
                <w:szCs w:val="24"/>
              </w:rPr>
              <w:t>62,030</w:t>
            </w:r>
          </w:p>
        </w:tc>
        <w:tc>
          <w:tcPr>
            <w:tcW w:w="634" w:type="pct"/>
            <w:vAlign w:val="center"/>
          </w:tcPr>
          <w:p w14:paraId="3822A0D6" w14:textId="58098457" w:rsidR="00B244AB" w:rsidRPr="000B1E03" w:rsidRDefault="00281F43" w:rsidP="00B244AB">
            <w:pPr>
              <w:jc w:val="right"/>
              <w:rPr>
                <w:rFonts w:cs="Arial"/>
                <w:szCs w:val="24"/>
              </w:rPr>
            </w:pPr>
            <w:r w:rsidRPr="000B1E03">
              <w:rPr>
                <w:rFonts w:cs="Arial"/>
                <w:szCs w:val="24"/>
              </w:rPr>
              <w:t>227,002</w:t>
            </w:r>
          </w:p>
        </w:tc>
      </w:tr>
      <w:tr w:rsidR="00A00B2E" w:rsidRPr="00D948C1" w14:paraId="782A2554" w14:textId="77777777" w:rsidTr="00233A66">
        <w:tc>
          <w:tcPr>
            <w:tcW w:w="1930" w:type="pct"/>
          </w:tcPr>
          <w:p w14:paraId="036ED4E8" w14:textId="3EE15A02" w:rsidR="009A592B" w:rsidRPr="000B1E03" w:rsidRDefault="009A592B" w:rsidP="003A5F15">
            <w:pPr>
              <w:tabs>
                <w:tab w:val="left" w:pos="720"/>
                <w:tab w:val="right" w:pos="7920"/>
              </w:tabs>
              <w:rPr>
                <w:szCs w:val="24"/>
              </w:rPr>
            </w:pPr>
            <w:r w:rsidRPr="000B1E03">
              <w:rPr>
                <w:szCs w:val="24"/>
              </w:rPr>
              <w:t>Director of People &amp; Development – Robert Warren</w:t>
            </w:r>
            <w:r w:rsidR="00D97B98" w:rsidRPr="000B1E03">
              <w:rPr>
                <w:szCs w:val="24"/>
              </w:rPr>
              <w:t xml:space="preserve"> (to </w:t>
            </w:r>
            <w:r w:rsidR="008D3869" w:rsidRPr="000B1E03">
              <w:rPr>
                <w:szCs w:val="24"/>
              </w:rPr>
              <w:t>31 July</w:t>
            </w:r>
            <w:r w:rsidR="00D97B98" w:rsidRPr="000B1E03">
              <w:rPr>
                <w:szCs w:val="24"/>
              </w:rPr>
              <w:t>)</w:t>
            </w:r>
          </w:p>
        </w:tc>
        <w:tc>
          <w:tcPr>
            <w:tcW w:w="368" w:type="pct"/>
            <w:vAlign w:val="center"/>
          </w:tcPr>
          <w:p w14:paraId="4DEA7E61" w14:textId="14D53905" w:rsidR="009A592B" w:rsidRPr="000B1E03" w:rsidRDefault="00D106CC" w:rsidP="00233A66">
            <w:pPr>
              <w:tabs>
                <w:tab w:val="left" w:pos="1168"/>
                <w:tab w:val="right" w:pos="7920"/>
              </w:tabs>
              <w:jc w:val="right"/>
              <w:rPr>
                <w:szCs w:val="24"/>
              </w:rPr>
            </w:pPr>
            <w:r w:rsidRPr="000B1E03">
              <w:rPr>
                <w:szCs w:val="24"/>
              </w:rPr>
              <w:t>36,191</w:t>
            </w:r>
          </w:p>
        </w:tc>
        <w:tc>
          <w:tcPr>
            <w:tcW w:w="464" w:type="pct"/>
            <w:vAlign w:val="center"/>
          </w:tcPr>
          <w:p w14:paraId="37FF2E9F" w14:textId="2BB6F368" w:rsidR="009A592B" w:rsidRPr="000B1E03" w:rsidRDefault="001A7208" w:rsidP="00233A66">
            <w:pPr>
              <w:tabs>
                <w:tab w:val="left" w:pos="720"/>
                <w:tab w:val="right" w:pos="7920"/>
              </w:tabs>
              <w:jc w:val="right"/>
              <w:rPr>
                <w:szCs w:val="24"/>
              </w:rPr>
            </w:pPr>
            <w:r w:rsidRPr="000B1E03">
              <w:rPr>
                <w:szCs w:val="24"/>
              </w:rPr>
              <w:t>-</w:t>
            </w:r>
          </w:p>
        </w:tc>
        <w:tc>
          <w:tcPr>
            <w:tcW w:w="732" w:type="pct"/>
            <w:vAlign w:val="center"/>
          </w:tcPr>
          <w:p w14:paraId="53AC6C5E" w14:textId="6E0E3C92" w:rsidR="009A592B" w:rsidRPr="000B1E03" w:rsidRDefault="00D106CC" w:rsidP="00233A66">
            <w:pPr>
              <w:tabs>
                <w:tab w:val="left" w:pos="720"/>
                <w:tab w:val="right" w:pos="7920"/>
              </w:tabs>
              <w:jc w:val="right"/>
              <w:rPr>
                <w:szCs w:val="24"/>
              </w:rPr>
            </w:pPr>
            <w:r w:rsidRPr="000B1E03">
              <w:rPr>
                <w:szCs w:val="24"/>
              </w:rPr>
              <w:t>36,191</w:t>
            </w:r>
          </w:p>
        </w:tc>
        <w:tc>
          <w:tcPr>
            <w:tcW w:w="872" w:type="pct"/>
            <w:vAlign w:val="center"/>
          </w:tcPr>
          <w:p w14:paraId="18C62D7D" w14:textId="3D564346" w:rsidR="009A592B" w:rsidRPr="000B1E03" w:rsidRDefault="00D106CC" w:rsidP="00233A66">
            <w:pPr>
              <w:jc w:val="right"/>
              <w:rPr>
                <w:rFonts w:cs="Arial"/>
                <w:szCs w:val="24"/>
              </w:rPr>
            </w:pPr>
            <w:r w:rsidRPr="000B1E03">
              <w:rPr>
                <w:rFonts w:cs="Arial"/>
                <w:szCs w:val="24"/>
              </w:rPr>
              <w:t>1,050</w:t>
            </w:r>
          </w:p>
        </w:tc>
        <w:tc>
          <w:tcPr>
            <w:tcW w:w="634" w:type="pct"/>
            <w:vAlign w:val="center"/>
          </w:tcPr>
          <w:p w14:paraId="05CBD800" w14:textId="13A73140" w:rsidR="009A592B" w:rsidRPr="000B1E03" w:rsidRDefault="00D106CC" w:rsidP="00233A66">
            <w:pPr>
              <w:jc w:val="right"/>
              <w:rPr>
                <w:rFonts w:cs="Arial"/>
                <w:szCs w:val="24"/>
              </w:rPr>
            </w:pPr>
            <w:r w:rsidRPr="000B1E03">
              <w:rPr>
                <w:rFonts w:cs="Arial"/>
                <w:szCs w:val="24"/>
              </w:rPr>
              <w:t>37,241</w:t>
            </w:r>
          </w:p>
        </w:tc>
      </w:tr>
      <w:tr w:rsidR="00D106CC" w:rsidRPr="00D948C1" w14:paraId="6280D374" w14:textId="77777777" w:rsidTr="00233A66">
        <w:tc>
          <w:tcPr>
            <w:tcW w:w="1930" w:type="pct"/>
          </w:tcPr>
          <w:p w14:paraId="0582EE9A" w14:textId="74A61216" w:rsidR="00D106CC" w:rsidRPr="000B1E03" w:rsidRDefault="00D106CC" w:rsidP="003A5F15">
            <w:pPr>
              <w:tabs>
                <w:tab w:val="left" w:pos="720"/>
                <w:tab w:val="right" w:pos="7920"/>
              </w:tabs>
              <w:rPr>
                <w:szCs w:val="24"/>
              </w:rPr>
            </w:pPr>
            <w:r w:rsidRPr="000B1E03">
              <w:rPr>
                <w:szCs w:val="24"/>
              </w:rPr>
              <w:t xml:space="preserve">Director of People &amp; Development – Elizabeth Sandiford (from </w:t>
            </w:r>
            <w:r w:rsidR="00EE0423" w:rsidRPr="000B1E03">
              <w:rPr>
                <w:szCs w:val="24"/>
              </w:rPr>
              <w:t>1 August</w:t>
            </w:r>
            <w:r w:rsidRPr="000B1E03">
              <w:rPr>
                <w:szCs w:val="24"/>
              </w:rPr>
              <w:t>)</w:t>
            </w:r>
          </w:p>
        </w:tc>
        <w:tc>
          <w:tcPr>
            <w:tcW w:w="368" w:type="pct"/>
            <w:vAlign w:val="center"/>
          </w:tcPr>
          <w:p w14:paraId="0B083D0D" w14:textId="39D1AC41" w:rsidR="00D106CC" w:rsidRPr="000B1E03" w:rsidRDefault="00D106CC" w:rsidP="00233A66">
            <w:pPr>
              <w:tabs>
                <w:tab w:val="left" w:pos="1168"/>
                <w:tab w:val="right" w:pos="7920"/>
              </w:tabs>
              <w:jc w:val="right"/>
              <w:rPr>
                <w:szCs w:val="24"/>
              </w:rPr>
            </w:pPr>
            <w:r w:rsidRPr="000B1E03">
              <w:rPr>
                <w:szCs w:val="24"/>
              </w:rPr>
              <w:t>63,981</w:t>
            </w:r>
          </w:p>
        </w:tc>
        <w:tc>
          <w:tcPr>
            <w:tcW w:w="464" w:type="pct"/>
            <w:vAlign w:val="center"/>
          </w:tcPr>
          <w:p w14:paraId="561ACA8D" w14:textId="3BCA02D2" w:rsidR="00D106CC" w:rsidRPr="000B1E03" w:rsidRDefault="00D106CC" w:rsidP="00233A66">
            <w:pPr>
              <w:tabs>
                <w:tab w:val="left" w:pos="720"/>
                <w:tab w:val="right" w:pos="7920"/>
              </w:tabs>
              <w:jc w:val="right"/>
              <w:rPr>
                <w:szCs w:val="24"/>
              </w:rPr>
            </w:pPr>
            <w:r w:rsidRPr="000B1E03">
              <w:rPr>
                <w:szCs w:val="24"/>
              </w:rPr>
              <w:t>-</w:t>
            </w:r>
          </w:p>
        </w:tc>
        <w:tc>
          <w:tcPr>
            <w:tcW w:w="732" w:type="pct"/>
            <w:vAlign w:val="center"/>
          </w:tcPr>
          <w:p w14:paraId="5CD97137" w14:textId="01A56C29" w:rsidR="00D106CC" w:rsidRPr="000B1E03" w:rsidRDefault="00D106CC" w:rsidP="00233A66">
            <w:pPr>
              <w:tabs>
                <w:tab w:val="left" w:pos="720"/>
                <w:tab w:val="right" w:pos="7920"/>
              </w:tabs>
              <w:jc w:val="right"/>
              <w:rPr>
                <w:szCs w:val="24"/>
              </w:rPr>
            </w:pPr>
            <w:r w:rsidRPr="000B1E03">
              <w:rPr>
                <w:szCs w:val="24"/>
              </w:rPr>
              <w:t>63,981</w:t>
            </w:r>
          </w:p>
        </w:tc>
        <w:tc>
          <w:tcPr>
            <w:tcW w:w="872" w:type="pct"/>
            <w:vAlign w:val="center"/>
          </w:tcPr>
          <w:p w14:paraId="1CD93DB3" w14:textId="430FA6F3" w:rsidR="00D106CC" w:rsidRPr="000B1E03" w:rsidRDefault="00D106CC" w:rsidP="00233A66">
            <w:pPr>
              <w:jc w:val="right"/>
              <w:rPr>
                <w:rFonts w:cs="Arial"/>
                <w:szCs w:val="24"/>
              </w:rPr>
            </w:pPr>
            <w:r w:rsidRPr="000B1E03">
              <w:rPr>
                <w:rFonts w:cs="Arial"/>
                <w:szCs w:val="24"/>
              </w:rPr>
              <w:t>1,855</w:t>
            </w:r>
          </w:p>
        </w:tc>
        <w:tc>
          <w:tcPr>
            <w:tcW w:w="634" w:type="pct"/>
            <w:vAlign w:val="center"/>
          </w:tcPr>
          <w:p w14:paraId="5520B306" w14:textId="737BF4B6" w:rsidR="00D106CC" w:rsidRPr="000B1E03" w:rsidRDefault="00D106CC" w:rsidP="00233A66">
            <w:pPr>
              <w:jc w:val="right"/>
              <w:rPr>
                <w:rFonts w:cs="Arial"/>
                <w:szCs w:val="24"/>
              </w:rPr>
            </w:pPr>
            <w:r w:rsidRPr="000B1E03">
              <w:rPr>
                <w:rFonts w:cs="Arial"/>
                <w:szCs w:val="24"/>
              </w:rPr>
              <w:t>65,836</w:t>
            </w:r>
          </w:p>
        </w:tc>
      </w:tr>
      <w:tr w:rsidR="001A7208" w:rsidRPr="00D948C1" w14:paraId="74CB00B7" w14:textId="77777777" w:rsidTr="00233A66">
        <w:tc>
          <w:tcPr>
            <w:tcW w:w="1930" w:type="pct"/>
          </w:tcPr>
          <w:p w14:paraId="03E7039A" w14:textId="7A2AC08F" w:rsidR="001A7208" w:rsidRPr="000B1E03" w:rsidRDefault="001A7208" w:rsidP="001A7208">
            <w:pPr>
              <w:tabs>
                <w:tab w:val="left" w:pos="720"/>
                <w:tab w:val="right" w:pos="7920"/>
              </w:tabs>
              <w:rPr>
                <w:szCs w:val="24"/>
              </w:rPr>
            </w:pPr>
            <w:r w:rsidRPr="000B1E03">
              <w:rPr>
                <w:szCs w:val="24"/>
              </w:rPr>
              <w:t>Director of Corporate Services – Steven Brown</w:t>
            </w:r>
          </w:p>
        </w:tc>
        <w:tc>
          <w:tcPr>
            <w:tcW w:w="368" w:type="pct"/>
            <w:vAlign w:val="center"/>
          </w:tcPr>
          <w:p w14:paraId="5081D6A1" w14:textId="39DADD8A" w:rsidR="001A7208" w:rsidRPr="000B1E03" w:rsidRDefault="00D106CC" w:rsidP="001A7208">
            <w:pPr>
              <w:tabs>
                <w:tab w:val="left" w:pos="1168"/>
                <w:tab w:val="right" w:pos="7920"/>
              </w:tabs>
              <w:jc w:val="right"/>
              <w:rPr>
                <w:szCs w:val="24"/>
              </w:rPr>
            </w:pPr>
            <w:r w:rsidRPr="000B1E03">
              <w:rPr>
                <w:szCs w:val="24"/>
              </w:rPr>
              <w:t>99,342</w:t>
            </w:r>
          </w:p>
        </w:tc>
        <w:tc>
          <w:tcPr>
            <w:tcW w:w="464" w:type="pct"/>
            <w:vAlign w:val="center"/>
          </w:tcPr>
          <w:p w14:paraId="2013B45C" w14:textId="3FBA0F0D" w:rsidR="001A7208" w:rsidRPr="000B1E03" w:rsidRDefault="001A7208" w:rsidP="001A7208">
            <w:pPr>
              <w:tabs>
                <w:tab w:val="left" w:pos="720"/>
                <w:tab w:val="right" w:pos="7920"/>
              </w:tabs>
              <w:jc w:val="right"/>
              <w:rPr>
                <w:szCs w:val="24"/>
              </w:rPr>
            </w:pPr>
            <w:r w:rsidRPr="000B1E03">
              <w:rPr>
                <w:szCs w:val="24"/>
              </w:rPr>
              <w:t>-</w:t>
            </w:r>
          </w:p>
        </w:tc>
        <w:tc>
          <w:tcPr>
            <w:tcW w:w="732" w:type="pct"/>
            <w:vAlign w:val="center"/>
          </w:tcPr>
          <w:p w14:paraId="2EFAE70B" w14:textId="6144EA6B" w:rsidR="001A7208" w:rsidRPr="000B1E03" w:rsidRDefault="00D106CC" w:rsidP="001A7208">
            <w:pPr>
              <w:tabs>
                <w:tab w:val="left" w:pos="1168"/>
                <w:tab w:val="right" w:pos="7920"/>
              </w:tabs>
              <w:jc w:val="right"/>
              <w:rPr>
                <w:szCs w:val="24"/>
              </w:rPr>
            </w:pPr>
            <w:r w:rsidRPr="000B1E03">
              <w:rPr>
                <w:szCs w:val="24"/>
              </w:rPr>
              <w:t>99,342</w:t>
            </w:r>
          </w:p>
        </w:tc>
        <w:tc>
          <w:tcPr>
            <w:tcW w:w="872" w:type="pct"/>
            <w:vAlign w:val="center"/>
          </w:tcPr>
          <w:p w14:paraId="6A7E5E9F" w14:textId="08FB28DC" w:rsidR="001A7208" w:rsidRPr="000B1E03" w:rsidRDefault="00D106CC" w:rsidP="001A7208">
            <w:pPr>
              <w:jc w:val="right"/>
              <w:rPr>
                <w:rFonts w:cs="Arial"/>
                <w:szCs w:val="24"/>
              </w:rPr>
            </w:pPr>
            <w:r w:rsidRPr="000B1E03">
              <w:rPr>
                <w:rFonts w:cs="Arial"/>
                <w:szCs w:val="24"/>
              </w:rPr>
              <w:t>2,881</w:t>
            </w:r>
          </w:p>
        </w:tc>
        <w:tc>
          <w:tcPr>
            <w:tcW w:w="634" w:type="pct"/>
            <w:vAlign w:val="center"/>
          </w:tcPr>
          <w:p w14:paraId="0D00DA7F" w14:textId="2CF833ED" w:rsidR="001A7208" w:rsidRPr="000B1E03" w:rsidRDefault="00D106CC" w:rsidP="001A7208">
            <w:pPr>
              <w:jc w:val="right"/>
              <w:rPr>
                <w:rFonts w:cs="Arial"/>
                <w:szCs w:val="24"/>
              </w:rPr>
            </w:pPr>
            <w:r w:rsidRPr="000B1E03">
              <w:rPr>
                <w:rFonts w:cs="Arial"/>
                <w:szCs w:val="24"/>
              </w:rPr>
              <w:t>102,223</w:t>
            </w:r>
          </w:p>
        </w:tc>
      </w:tr>
      <w:tr w:rsidR="001A7208" w:rsidRPr="00D948C1" w14:paraId="0E6CA097" w14:textId="77777777" w:rsidTr="00233A66">
        <w:tc>
          <w:tcPr>
            <w:tcW w:w="1930" w:type="pct"/>
          </w:tcPr>
          <w:p w14:paraId="2AE770BB" w14:textId="0ABCF940" w:rsidR="001A7208" w:rsidRPr="000B1E03" w:rsidRDefault="001A7208" w:rsidP="001A7208">
            <w:pPr>
              <w:tabs>
                <w:tab w:val="left" w:pos="720"/>
                <w:tab w:val="right" w:pos="7920"/>
              </w:tabs>
              <w:rPr>
                <w:szCs w:val="24"/>
              </w:rPr>
            </w:pPr>
            <w:r w:rsidRPr="000B1E03">
              <w:rPr>
                <w:szCs w:val="24"/>
              </w:rPr>
              <w:t>Total</w:t>
            </w:r>
          </w:p>
        </w:tc>
        <w:tc>
          <w:tcPr>
            <w:tcW w:w="368" w:type="pct"/>
            <w:vAlign w:val="center"/>
          </w:tcPr>
          <w:p w14:paraId="0BDC8057" w14:textId="224AA2AE" w:rsidR="001A7208" w:rsidRPr="000B1E03" w:rsidRDefault="001C47E1" w:rsidP="001A7208">
            <w:pPr>
              <w:tabs>
                <w:tab w:val="left" w:pos="1168"/>
                <w:tab w:val="right" w:pos="7920"/>
              </w:tabs>
              <w:jc w:val="right"/>
              <w:rPr>
                <w:szCs w:val="24"/>
              </w:rPr>
            </w:pPr>
            <w:r w:rsidRPr="000B1E03">
              <w:rPr>
                <w:szCs w:val="24"/>
              </w:rPr>
              <w:t>667,673</w:t>
            </w:r>
          </w:p>
        </w:tc>
        <w:tc>
          <w:tcPr>
            <w:tcW w:w="464" w:type="pct"/>
            <w:vAlign w:val="center"/>
          </w:tcPr>
          <w:p w14:paraId="25344B3F" w14:textId="7E2BA8C9" w:rsidR="001A7208" w:rsidRPr="000B1E03" w:rsidRDefault="001A7208" w:rsidP="001A7208">
            <w:pPr>
              <w:tabs>
                <w:tab w:val="left" w:pos="720"/>
                <w:tab w:val="right" w:pos="7920"/>
              </w:tabs>
              <w:jc w:val="right"/>
              <w:rPr>
                <w:szCs w:val="24"/>
              </w:rPr>
            </w:pPr>
            <w:r w:rsidRPr="000B1E03">
              <w:rPr>
                <w:szCs w:val="24"/>
              </w:rPr>
              <w:t>-</w:t>
            </w:r>
          </w:p>
        </w:tc>
        <w:tc>
          <w:tcPr>
            <w:tcW w:w="732" w:type="pct"/>
            <w:vAlign w:val="center"/>
          </w:tcPr>
          <w:p w14:paraId="623767DB" w14:textId="37CD5589" w:rsidR="001A7208" w:rsidRPr="000B1E03" w:rsidRDefault="001C47E1" w:rsidP="001A7208">
            <w:pPr>
              <w:tabs>
                <w:tab w:val="left" w:pos="1168"/>
                <w:tab w:val="right" w:pos="7920"/>
              </w:tabs>
              <w:jc w:val="right"/>
              <w:rPr>
                <w:szCs w:val="24"/>
              </w:rPr>
            </w:pPr>
            <w:r w:rsidRPr="000B1E03">
              <w:rPr>
                <w:szCs w:val="24"/>
              </w:rPr>
              <w:t>66</w:t>
            </w:r>
            <w:r w:rsidR="005F4EAE">
              <w:rPr>
                <w:szCs w:val="24"/>
              </w:rPr>
              <w:t>7</w:t>
            </w:r>
            <w:r w:rsidR="00E667AB">
              <w:rPr>
                <w:szCs w:val="24"/>
              </w:rPr>
              <w:t>,</w:t>
            </w:r>
            <w:r w:rsidRPr="000B1E03">
              <w:rPr>
                <w:szCs w:val="24"/>
              </w:rPr>
              <w:t>673</w:t>
            </w:r>
          </w:p>
        </w:tc>
        <w:tc>
          <w:tcPr>
            <w:tcW w:w="872" w:type="pct"/>
            <w:vAlign w:val="center"/>
          </w:tcPr>
          <w:p w14:paraId="029830B4" w14:textId="419A3718" w:rsidR="001A7208" w:rsidRPr="000B1E03" w:rsidRDefault="001C47E1" w:rsidP="001A7208">
            <w:pPr>
              <w:jc w:val="right"/>
              <w:rPr>
                <w:rFonts w:cs="Arial"/>
                <w:szCs w:val="24"/>
              </w:rPr>
            </w:pPr>
            <w:r w:rsidRPr="000B1E03">
              <w:rPr>
                <w:rFonts w:cs="Arial"/>
                <w:szCs w:val="24"/>
              </w:rPr>
              <w:t>181,814</w:t>
            </w:r>
          </w:p>
        </w:tc>
        <w:tc>
          <w:tcPr>
            <w:tcW w:w="634" w:type="pct"/>
            <w:vAlign w:val="center"/>
          </w:tcPr>
          <w:p w14:paraId="23910B56" w14:textId="7AEB0421" w:rsidR="001A7208" w:rsidRPr="000B1E03" w:rsidRDefault="001C47E1" w:rsidP="001A7208">
            <w:pPr>
              <w:jc w:val="right"/>
              <w:rPr>
                <w:rFonts w:cs="Arial"/>
                <w:szCs w:val="24"/>
              </w:rPr>
            </w:pPr>
            <w:r w:rsidRPr="000B1E03">
              <w:rPr>
                <w:rFonts w:cs="Arial"/>
                <w:szCs w:val="24"/>
              </w:rPr>
              <w:t>849,487</w:t>
            </w:r>
          </w:p>
        </w:tc>
      </w:tr>
    </w:tbl>
    <w:bookmarkEnd w:id="33"/>
    <w:p w14:paraId="17CE5EC0" w14:textId="77777777" w:rsidR="004E2A2F" w:rsidRDefault="004E2A2F" w:rsidP="004E2A2F">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727A9881" w14:textId="77777777" w:rsidR="00C95AC2" w:rsidRDefault="00C95AC2" w:rsidP="004E2A2F">
      <w:pPr>
        <w:ind w:left="720"/>
        <w:rPr>
          <w:szCs w:val="24"/>
        </w:rPr>
      </w:pPr>
      <w:r>
        <w:rPr>
          <w:szCs w:val="24"/>
        </w:rPr>
        <w:br w:type="page"/>
      </w:r>
    </w:p>
    <w:tbl>
      <w:tblPr>
        <w:tblW w:w="154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7"/>
        <w:gridCol w:w="1134"/>
        <w:gridCol w:w="1434"/>
        <w:gridCol w:w="2256"/>
        <w:gridCol w:w="2687"/>
        <w:gridCol w:w="1956"/>
      </w:tblGrid>
      <w:tr w:rsidR="00A01DCD" w:rsidRPr="00D948C1" w14:paraId="0F723510" w14:textId="77777777" w:rsidTr="00611673">
        <w:trPr>
          <w:tblHeader/>
        </w:trPr>
        <w:tc>
          <w:tcPr>
            <w:tcW w:w="5987" w:type="dxa"/>
            <w:shd w:val="clear" w:color="auto" w:fill="BD2716"/>
            <w:vAlign w:val="center"/>
          </w:tcPr>
          <w:p w14:paraId="2B6F824F" w14:textId="4763846F" w:rsidR="00C7098F" w:rsidRPr="00D948C1" w:rsidRDefault="00C7098F" w:rsidP="00C7098F">
            <w:pPr>
              <w:tabs>
                <w:tab w:val="left" w:pos="720"/>
                <w:tab w:val="right" w:pos="7920"/>
              </w:tabs>
              <w:rPr>
                <w:bCs/>
                <w:color w:val="FFFFFF" w:themeColor="background1"/>
                <w:szCs w:val="24"/>
              </w:rPr>
            </w:pPr>
            <w:r w:rsidRPr="00D948C1">
              <w:rPr>
                <w:bCs/>
                <w:color w:val="FFFFFF" w:themeColor="background1"/>
                <w:szCs w:val="24"/>
              </w:rPr>
              <w:lastRenderedPageBreak/>
              <w:t>202</w:t>
            </w:r>
            <w:r w:rsidR="00CE270F">
              <w:rPr>
                <w:bCs/>
                <w:color w:val="FFFFFF" w:themeColor="background1"/>
                <w:szCs w:val="24"/>
              </w:rPr>
              <w:t>3</w:t>
            </w:r>
            <w:r w:rsidRPr="00D948C1">
              <w:rPr>
                <w:bCs/>
                <w:color w:val="FFFFFF" w:themeColor="background1"/>
                <w:szCs w:val="24"/>
              </w:rPr>
              <w:t>/2</w:t>
            </w:r>
            <w:r w:rsidR="00CE270F">
              <w:rPr>
                <w:bCs/>
                <w:color w:val="FFFFFF" w:themeColor="background1"/>
                <w:szCs w:val="24"/>
              </w:rPr>
              <w:t>4</w:t>
            </w:r>
            <w:r w:rsidR="00685C28">
              <w:rPr>
                <w:bCs/>
                <w:color w:val="FFFFFF" w:themeColor="background1"/>
                <w:szCs w:val="24"/>
              </w:rPr>
              <w:t xml:space="preserve"> Restated*</w:t>
            </w:r>
          </w:p>
          <w:p w14:paraId="3F9DEB68" w14:textId="6FE6D6E8" w:rsidR="00A01DCD" w:rsidRPr="00D948C1" w:rsidRDefault="00C7098F" w:rsidP="00C7098F">
            <w:pPr>
              <w:tabs>
                <w:tab w:val="left" w:pos="720"/>
                <w:tab w:val="right" w:pos="7920"/>
              </w:tabs>
              <w:rPr>
                <w:b/>
                <w:color w:val="FFFFFF" w:themeColor="background1"/>
                <w:szCs w:val="24"/>
              </w:rPr>
            </w:pPr>
            <w:r w:rsidRPr="00D948C1">
              <w:rPr>
                <w:bCs/>
                <w:color w:val="FFFFFF" w:themeColor="background1"/>
                <w:szCs w:val="24"/>
              </w:rPr>
              <w:t>Post holder information (post title and name)</w:t>
            </w:r>
          </w:p>
        </w:tc>
        <w:tc>
          <w:tcPr>
            <w:tcW w:w="1134" w:type="dxa"/>
            <w:shd w:val="clear" w:color="auto" w:fill="BD2716"/>
            <w:vAlign w:val="center"/>
          </w:tcPr>
          <w:p w14:paraId="68CC7BEA" w14:textId="77777777"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Salary</w:t>
            </w:r>
          </w:p>
          <w:p w14:paraId="1BDAFD90" w14:textId="1C5C9738"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c>
          <w:tcPr>
            <w:tcW w:w="1434" w:type="dxa"/>
            <w:shd w:val="clear" w:color="auto" w:fill="BD2716"/>
            <w:vAlign w:val="center"/>
          </w:tcPr>
          <w:p w14:paraId="34AB79A9" w14:textId="77777777" w:rsidR="00372872" w:rsidRPr="00D948C1" w:rsidRDefault="00372872" w:rsidP="00611673">
            <w:pPr>
              <w:tabs>
                <w:tab w:val="left" w:pos="720"/>
                <w:tab w:val="right" w:pos="7920"/>
              </w:tabs>
              <w:jc w:val="right"/>
              <w:rPr>
                <w:color w:val="FFFFFF" w:themeColor="background1"/>
                <w:szCs w:val="24"/>
              </w:rPr>
            </w:pPr>
            <w:r w:rsidRPr="00D948C1">
              <w:rPr>
                <w:color w:val="FFFFFF" w:themeColor="background1"/>
                <w:szCs w:val="24"/>
              </w:rPr>
              <w:t>Allowances</w:t>
            </w:r>
          </w:p>
          <w:p w14:paraId="4F6BA186" w14:textId="103E16A5" w:rsidR="00A01DCD" w:rsidRPr="00D948C1" w:rsidRDefault="00372872" w:rsidP="004E2A2F">
            <w:pPr>
              <w:tabs>
                <w:tab w:val="left" w:pos="720"/>
                <w:tab w:val="right" w:pos="7920"/>
              </w:tabs>
              <w:jc w:val="right"/>
              <w:rPr>
                <w:color w:val="FFFFFF" w:themeColor="background1"/>
                <w:szCs w:val="24"/>
              </w:rPr>
            </w:pPr>
            <w:r w:rsidRPr="00D948C1">
              <w:rPr>
                <w:color w:val="FFFFFF" w:themeColor="background1"/>
                <w:szCs w:val="24"/>
              </w:rPr>
              <w:t>£</w:t>
            </w:r>
          </w:p>
        </w:tc>
        <w:tc>
          <w:tcPr>
            <w:tcW w:w="2256" w:type="dxa"/>
            <w:shd w:val="clear" w:color="auto" w:fill="BD2716"/>
            <w:vAlign w:val="center"/>
          </w:tcPr>
          <w:p w14:paraId="0752AD00" w14:textId="77777777"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Total Remuneration excluding pension contributions</w:t>
            </w:r>
          </w:p>
          <w:p w14:paraId="116940A7" w14:textId="73B27376"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c>
          <w:tcPr>
            <w:tcW w:w="2687" w:type="dxa"/>
            <w:shd w:val="clear" w:color="auto" w:fill="BD2716"/>
            <w:vAlign w:val="center"/>
          </w:tcPr>
          <w:p w14:paraId="1B83430C" w14:textId="77777777" w:rsidR="00A01DCD" w:rsidRPr="00D948C1" w:rsidRDefault="00A01DCD" w:rsidP="00611673">
            <w:pPr>
              <w:tabs>
                <w:tab w:val="left" w:pos="720"/>
                <w:tab w:val="right" w:pos="7920"/>
              </w:tabs>
              <w:ind w:left="19"/>
              <w:jc w:val="right"/>
              <w:rPr>
                <w:color w:val="FFFFFF" w:themeColor="background1"/>
                <w:szCs w:val="24"/>
              </w:rPr>
            </w:pPr>
            <w:r w:rsidRPr="00D948C1">
              <w:rPr>
                <w:color w:val="FFFFFF" w:themeColor="background1"/>
                <w:szCs w:val="24"/>
              </w:rPr>
              <w:t>Pension contributions accrued at the standard employer rate for all senior officers</w:t>
            </w:r>
          </w:p>
          <w:p w14:paraId="0DE1F9C6" w14:textId="37F693AB" w:rsidR="00A01DCD" w:rsidRPr="00D948C1" w:rsidRDefault="00A01DCD" w:rsidP="00611673">
            <w:pPr>
              <w:tabs>
                <w:tab w:val="left" w:pos="720"/>
                <w:tab w:val="right" w:pos="7920"/>
              </w:tabs>
              <w:ind w:left="19"/>
              <w:jc w:val="right"/>
              <w:rPr>
                <w:color w:val="FFFFFF" w:themeColor="background1"/>
                <w:szCs w:val="24"/>
              </w:rPr>
            </w:pPr>
            <w:r w:rsidRPr="00D948C1">
              <w:rPr>
                <w:color w:val="FFFFFF" w:themeColor="background1"/>
                <w:szCs w:val="24"/>
              </w:rPr>
              <w:t>£</w:t>
            </w:r>
          </w:p>
        </w:tc>
        <w:tc>
          <w:tcPr>
            <w:tcW w:w="1956" w:type="dxa"/>
            <w:shd w:val="clear" w:color="auto" w:fill="BD2716"/>
            <w:vAlign w:val="center"/>
          </w:tcPr>
          <w:p w14:paraId="0DC30DBF" w14:textId="77777777"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Total Remuneration including pension contributions</w:t>
            </w:r>
          </w:p>
          <w:p w14:paraId="7F05754E" w14:textId="571365A5"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r>
      <w:tr w:rsidR="00CE270F" w:rsidRPr="00D948C1" w14:paraId="24656DDB" w14:textId="77777777" w:rsidTr="00233A66">
        <w:tc>
          <w:tcPr>
            <w:tcW w:w="5987" w:type="dxa"/>
          </w:tcPr>
          <w:p w14:paraId="7CCFE68E" w14:textId="77737398" w:rsidR="00CE270F" w:rsidRPr="00D948C1" w:rsidRDefault="00CE270F" w:rsidP="00CE270F">
            <w:pPr>
              <w:tabs>
                <w:tab w:val="left" w:pos="720"/>
                <w:tab w:val="right" w:pos="7920"/>
              </w:tabs>
              <w:rPr>
                <w:szCs w:val="24"/>
              </w:rPr>
            </w:pPr>
            <w:r w:rsidRPr="00D948C1">
              <w:rPr>
                <w:szCs w:val="24"/>
              </w:rPr>
              <w:t>Chief Fire Officer – Justin Johnston</w:t>
            </w:r>
          </w:p>
        </w:tc>
        <w:tc>
          <w:tcPr>
            <w:tcW w:w="1134" w:type="dxa"/>
            <w:vAlign w:val="center"/>
          </w:tcPr>
          <w:p w14:paraId="4ECCCAFF" w14:textId="12615FF4" w:rsidR="00CE270F" w:rsidRPr="000B1E03" w:rsidRDefault="00CE270F" w:rsidP="00CE270F">
            <w:pPr>
              <w:tabs>
                <w:tab w:val="left" w:pos="1168"/>
                <w:tab w:val="right" w:pos="7920"/>
              </w:tabs>
              <w:jc w:val="right"/>
              <w:rPr>
                <w:szCs w:val="24"/>
              </w:rPr>
            </w:pPr>
            <w:r w:rsidRPr="000B1E03">
              <w:rPr>
                <w:szCs w:val="24"/>
              </w:rPr>
              <w:t>178,022</w:t>
            </w:r>
          </w:p>
        </w:tc>
        <w:tc>
          <w:tcPr>
            <w:tcW w:w="1434" w:type="dxa"/>
            <w:vAlign w:val="center"/>
          </w:tcPr>
          <w:p w14:paraId="21948AC1" w14:textId="487311A8" w:rsidR="00CE270F" w:rsidRPr="000B1E03" w:rsidRDefault="00CE270F" w:rsidP="00CE270F">
            <w:pPr>
              <w:tabs>
                <w:tab w:val="left" w:pos="720"/>
                <w:tab w:val="right" w:pos="7920"/>
              </w:tabs>
              <w:jc w:val="right"/>
              <w:rPr>
                <w:szCs w:val="24"/>
              </w:rPr>
            </w:pPr>
            <w:r w:rsidRPr="000B1E03">
              <w:rPr>
                <w:szCs w:val="24"/>
              </w:rPr>
              <w:t>-</w:t>
            </w:r>
          </w:p>
        </w:tc>
        <w:tc>
          <w:tcPr>
            <w:tcW w:w="2256" w:type="dxa"/>
            <w:vAlign w:val="center"/>
          </w:tcPr>
          <w:p w14:paraId="5A9BDA17" w14:textId="6EB927C0" w:rsidR="00CE270F" w:rsidRPr="000B1E03" w:rsidRDefault="00CE270F" w:rsidP="00CE270F">
            <w:pPr>
              <w:tabs>
                <w:tab w:val="left" w:pos="720"/>
                <w:tab w:val="right" w:pos="7920"/>
              </w:tabs>
              <w:jc w:val="right"/>
              <w:rPr>
                <w:szCs w:val="24"/>
              </w:rPr>
            </w:pPr>
            <w:r w:rsidRPr="000B1E03">
              <w:rPr>
                <w:szCs w:val="24"/>
              </w:rPr>
              <w:t>178,022</w:t>
            </w:r>
          </w:p>
        </w:tc>
        <w:tc>
          <w:tcPr>
            <w:tcW w:w="2687" w:type="dxa"/>
            <w:vAlign w:val="center"/>
          </w:tcPr>
          <w:p w14:paraId="280A853D" w14:textId="62852353" w:rsidR="00CE270F" w:rsidRPr="000B1E03" w:rsidRDefault="00CE270F" w:rsidP="00CE270F">
            <w:pPr>
              <w:jc w:val="right"/>
              <w:rPr>
                <w:rFonts w:cs="Arial"/>
                <w:szCs w:val="24"/>
              </w:rPr>
            </w:pPr>
            <w:r w:rsidRPr="000B1E03">
              <w:rPr>
                <w:rFonts w:cs="Arial"/>
                <w:szCs w:val="24"/>
              </w:rPr>
              <w:t>51,270</w:t>
            </w:r>
          </w:p>
        </w:tc>
        <w:tc>
          <w:tcPr>
            <w:tcW w:w="1956" w:type="dxa"/>
            <w:vAlign w:val="center"/>
          </w:tcPr>
          <w:p w14:paraId="36A649AE" w14:textId="7A9FD384" w:rsidR="00CE270F" w:rsidRPr="000B1E03" w:rsidRDefault="00CE270F" w:rsidP="00CE270F">
            <w:pPr>
              <w:jc w:val="right"/>
              <w:rPr>
                <w:rFonts w:cs="Arial"/>
                <w:szCs w:val="24"/>
              </w:rPr>
            </w:pPr>
            <w:r w:rsidRPr="000B1E03">
              <w:rPr>
                <w:rFonts w:cs="Arial"/>
                <w:szCs w:val="24"/>
              </w:rPr>
              <w:t>229,292</w:t>
            </w:r>
          </w:p>
        </w:tc>
      </w:tr>
      <w:tr w:rsidR="00CE270F" w:rsidRPr="00D948C1" w14:paraId="4F4531EC" w14:textId="77777777" w:rsidTr="00233A66">
        <w:tc>
          <w:tcPr>
            <w:tcW w:w="5987" w:type="dxa"/>
          </w:tcPr>
          <w:p w14:paraId="07FA8835" w14:textId="3A6AAB8E" w:rsidR="00CE270F" w:rsidRPr="00D948C1" w:rsidRDefault="00CE270F" w:rsidP="00CE270F">
            <w:pPr>
              <w:tabs>
                <w:tab w:val="left" w:pos="720"/>
                <w:tab w:val="right" w:pos="7920"/>
              </w:tabs>
              <w:rPr>
                <w:szCs w:val="24"/>
              </w:rPr>
            </w:pPr>
            <w:r w:rsidRPr="00D948C1">
              <w:rPr>
                <w:szCs w:val="24"/>
              </w:rPr>
              <w:t>Director of Service Delivery – John Charters</w:t>
            </w:r>
          </w:p>
        </w:tc>
        <w:tc>
          <w:tcPr>
            <w:tcW w:w="1134" w:type="dxa"/>
            <w:vAlign w:val="center"/>
          </w:tcPr>
          <w:p w14:paraId="31481280" w14:textId="7E2A0121" w:rsidR="00CE270F" w:rsidRPr="000B1E03" w:rsidRDefault="00CE270F" w:rsidP="00CE270F">
            <w:pPr>
              <w:tabs>
                <w:tab w:val="left" w:pos="1168"/>
                <w:tab w:val="right" w:pos="7920"/>
              </w:tabs>
              <w:jc w:val="right"/>
              <w:rPr>
                <w:szCs w:val="24"/>
              </w:rPr>
            </w:pPr>
            <w:r w:rsidRPr="000B1E03">
              <w:rPr>
                <w:szCs w:val="24"/>
              </w:rPr>
              <w:t>137,699</w:t>
            </w:r>
          </w:p>
        </w:tc>
        <w:tc>
          <w:tcPr>
            <w:tcW w:w="1434" w:type="dxa"/>
            <w:vAlign w:val="center"/>
          </w:tcPr>
          <w:p w14:paraId="34FA89A6" w14:textId="24355D9A" w:rsidR="00CE270F" w:rsidRPr="000B1E03" w:rsidRDefault="00CE270F" w:rsidP="00CE270F">
            <w:pPr>
              <w:tabs>
                <w:tab w:val="left" w:pos="720"/>
                <w:tab w:val="right" w:pos="7920"/>
              </w:tabs>
              <w:jc w:val="right"/>
              <w:rPr>
                <w:szCs w:val="24"/>
              </w:rPr>
            </w:pPr>
            <w:r w:rsidRPr="000B1E03">
              <w:rPr>
                <w:szCs w:val="24"/>
              </w:rPr>
              <w:t>-</w:t>
            </w:r>
          </w:p>
        </w:tc>
        <w:tc>
          <w:tcPr>
            <w:tcW w:w="2256" w:type="dxa"/>
            <w:vAlign w:val="center"/>
          </w:tcPr>
          <w:p w14:paraId="0A7F7448" w14:textId="039F295C" w:rsidR="00CE270F" w:rsidRPr="000B1E03" w:rsidRDefault="00CE270F" w:rsidP="00CE270F">
            <w:pPr>
              <w:tabs>
                <w:tab w:val="left" w:pos="720"/>
                <w:tab w:val="right" w:pos="7920"/>
              </w:tabs>
              <w:jc w:val="right"/>
              <w:rPr>
                <w:szCs w:val="24"/>
              </w:rPr>
            </w:pPr>
            <w:r w:rsidRPr="000B1E03">
              <w:rPr>
                <w:szCs w:val="24"/>
              </w:rPr>
              <w:t>137,699</w:t>
            </w:r>
          </w:p>
        </w:tc>
        <w:tc>
          <w:tcPr>
            <w:tcW w:w="2687" w:type="dxa"/>
            <w:vAlign w:val="center"/>
          </w:tcPr>
          <w:p w14:paraId="569CB2DD" w14:textId="6712054C" w:rsidR="00CE270F" w:rsidRPr="000B1E03" w:rsidRDefault="00CE270F" w:rsidP="00CE270F">
            <w:pPr>
              <w:jc w:val="right"/>
              <w:rPr>
                <w:rFonts w:cs="Arial"/>
                <w:szCs w:val="24"/>
              </w:rPr>
            </w:pPr>
            <w:r w:rsidRPr="000B1E03">
              <w:rPr>
                <w:rFonts w:cs="Arial"/>
                <w:szCs w:val="24"/>
              </w:rPr>
              <w:t>39,6</w:t>
            </w:r>
            <w:r w:rsidR="004E2A2F">
              <w:rPr>
                <w:rFonts w:cs="Arial"/>
                <w:szCs w:val="24"/>
              </w:rPr>
              <w:t>41</w:t>
            </w:r>
          </w:p>
        </w:tc>
        <w:tc>
          <w:tcPr>
            <w:tcW w:w="1956" w:type="dxa"/>
            <w:vAlign w:val="center"/>
          </w:tcPr>
          <w:p w14:paraId="5486B7C7" w14:textId="33127AF7" w:rsidR="00CE270F" w:rsidRPr="000B1E03" w:rsidRDefault="00CE270F" w:rsidP="00CE270F">
            <w:pPr>
              <w:jc w:val="right"/>
              <w:rPr>
                <w:rFonts w:cs="Arial"/>
                <w:szCs w:val="24"/>
              </w:rPr>
            </w:pPr>
            <w:r w:rsidRPr="000B1E03">
              <w:rPr>
                <w:rFonts w:cs="Arial"/>
                <w:szCs w:val="24"/>
              </w:rPr>
              <w:t>177,3</w:t>
            </w:r>
            <w:r w:rsidR="00714476">
              <w:rPr>
                <w:rFonts w:cs="Arial"/>
                <w:szCs w:val="24"/>
              </w:rPr>
              <w:t>40</w:t>
            </w:r>
          </w:p>
        </w:tc>
      </w:tr>
      <w:tr w:rsidR="00CE270F" w:rsidRPr="00D948C1" w14:paraId="6D812632" w14:textId="77777777" w:rsidTr="00233A66">
        <w:tc>
          <w:tcPr>
            <w:tcW w:w="5987" w:type="dxa"/>
          </w:tcPr>
          <w:p w14:paraId="2C990267" w14:textId="4B210448" w:rsidR="00CE270F" w:rsidRPr="00D948C1" w:rsidRDefault="00CE270F" w:rsidP="00CE270F">
            <w:pPr>
              <w:tabs>
                <w:tab w:val="left" w:pos="720"/>
                <w:tab w:val="right" w:pos="7920"/>
              </w:tabs>
              <w:rPr>
                <w:szCs w:val="24"/>
              </w:rPr>
            </w:pPr>
            <w:r w:rsidRPr="00D948C1">
              <w:rPr>
                <w:szCs w:val="24"/>
              </w:rPr>
              <w:t>Director of Strategy &amp; Planning – Steve Healey</w:t>
            </w:r>
          </w:p>
        </w:tc>
        <w:tc>
          <w:tcPr>
            <w:tcW w:w="1134" w:type="dxa"/>
            <w:vAlign w:val="center"/>
          </w:tcPr>
          <w:p w14:paraId="04FDF0D4" w14:textId="68FB169D" w:rsidR="00CE270F" w:rsidRPr="000B1E03" w:rsidRDefault="00CE270F" w:rsidP="00CE270F">
            <w:pPr>
              <w:tabs>
                <w:tab w:val="left" w:pos="1168"/>
                <w:tab w:val="right" w:pos="7920"/>
              </w:tabs>
              <w:jc w:val="right"/>
              <w:rPr>
                <w:szCs w:val="24"/>
              </w:rPr>
            </w:pPr>
            <w:r w:rsidRPr="000B1E03">
              <w:rPr>
                <w:szCs w:val="24"/>
              </w:rPr>
              <w:t>165,708</w:t>
            </w:r>
          </w:p>
        </w:tc>
        <w:tc>
          <w:tcPr>
            <w:tcW w:w="1434" w:type="dxa"/>
            <w:vAlign w:val="center"/>
          </w:tcPr>
          <w:p w14:paraId="1D0CAC77" w14:textId="50E96F9E" w:rsidR="00CE270F" w:rsidRPr="000B1E03" w:rsidRDefault="00CE270F" w:rsidP="00CE270F">
            <w:pPr>
              <w:tabs>
                <w:tab w:val="left" w:pos="720"/>
                <w:tab w:val="right" w:pos="7920"/>
              </w:tabs>
              <w:jc w:val="right"/>
              <w:rPr>
                <w:szCs w:val="24"/>
              </w:rPr>
            </w:pPr>
            <w:r w:rsidRPr="000B1E03">
              <w:rPr>
                <w:szCs w:val="24"/>
              </w:rPr>
              <w:t>-</w:t>
            </w:r>
          </w:p>
        </w:tc>
        <w:tc>
          <w:tcPr>
            <w:tcW w:w="2256" w:type="dxa"/>
            <w:vAlign w:val="center"/>
          </w:tcPr>
          <w:p w14:paraId="0A411498" w14:textId="01E33F3F" w:rsidR="00CE270F" w:rsidRPr="000B1E03" w:rsidRDefault="00CE270F" w:rsidP="00CE270F">
            <w:pPr>
              <w:tabs>
                <w:tab w:val="left" w:pos="720"/>
                <w:tab w:val="right" w:pos="7920"/>
              </w:tabs>
              <w:jc w:val="right"/>
              <w:rPr>
                <w:szCs w:val="24"/>
              </w:rPr>
            </w:pPr>
            <w:r w:rsidRPr="000B1E03">
              <w:rPr>
                <w:szCs w:val="24"/>
              </w:rPr>
              <w:t>165,708</w:t>
            </w:r>
          </w:p>
        </w:tc>
        <w:tc>
          <w:tcPr>
            <w:tcW w:w="2687" w:type="dxa"/>
            <w:vAlign w:val="center"/>
          </w:tcPr>
          <w:p w14:paraId="7DBFCA01" w14:textId="7D8A0B2A" w:rsidR="00CE270F" w:rsidRPr="000B1E03" w:rsidRDefault="00CE270F" w:rsidP="00CE270F">
            <w:pPr>
              <w:jc w:val="right"/>
              <w:rPr>
                <w:rFonts w:cs="Arial"/>
                <w:szCs w:val="24"/>
              </w:rPr>
            </w:pPr>
            <w:r w:rsidRPr="000B1E03">
              <w:rPr>
                <w:rFonts w:cs="Arial"/>
                <w:szCs w:val="24"/>
              </w:rPr>
              <w:t>47,724</w:t>
            </w:r>
          </w:p>
        </w:tc>
        <w:tc>
          <w:tcPr>
            <w:tcW w:w="1956" w:type="dxa"/>
            <w:vAlign w:val="center"/>
          </w:tcPr>
          <w:p w14:paraId="41B590CF" w14:textId="7BF846E0" w:rsidR="00CE270F" w:rsidRPr="000B1E03" w:rsidRDefault="00CE270F" w:rsidP="00CE270F">
            <w:pPr>
              <w:jc w:val="right"/>
              <w:rPr>
                <w:rFonts w:cs="Arial"/>
                <w:szCs w:val="24"/>
              </w:rPr>
            </w:pPr>
            <w:r w:rsidRPr="000B1E03">
              <w:rPr>
                <w:rFonts w:cs="Arial"/>
                <w:szCs w:val="24"/>
              </w:rPr>
              <w:t>213,432</w:t>
            </w:r>
          </w:p>
        </w:tc>
      </w:tr>
      <w:tr w:rsidR="00CE270F" w:rsidRPr="00D948C1" w14:paraId="38D36A4D" w14:textId="77777777" w:rsidTr="00233A66">
        <w:tc>
          <w:tcPr>
            <w:tcW w:w="5987" w:type="dxa"/>
          </w:tcPr>
          <w:p w14:paraId="0EA33392" w14:textId="0129CA7E" w:rsidR="00CE270F" w:rsidRPr="00D948C1" w:rsidRDefault="00CE270F" w:rsidP="00CE270F">
            <w:pPr>
              <w:tabs>
                <w:tab w:val="left" w:pos="720"/>
                <w:tab w:val="right" w:pos="7920"/>
              </w:tabs>
              <w:rPr>
                <w:szCs w:val="24"/>
              </w:rPr>
            </w:pPr>
            <w:r w:rsidRPr="00D948C1">
              <w:rPr>
                <w:szCs w:val="24"/>
              </w:rPr>
              <w:t>Director of People &amp; Development – Robert Warren</w:t>
            </w:r>
          </w:p>
        </w:tc>
        <w:tc>
          <w:tcPr>
            <w:tcW w:w="1134" w:type="dxa"/>
            <w:vAlign w:val="center"/>
          </w:tcPr>
          <w:p w14:paraId="25FE0EA1" w14:textId="1973EA96" w:rsidR="00CE270F" w:rsidRPr="001578FE" w:rsidRDefault="00CE270F" w:rsidP="00CE270F">
            <w:pPr>
              <w:tabs>
                <w:tab w:val="left" w:pos="1168"/>
                <w:tab w:val="right" w:pos="7920"/>
              </w:tabs>
              <w:jc w:val="right"/>
              <w:rPr>
                <w:szCs w:val="24"/>
              </w:rPr>
            </w:pPr>
            <w:r w:rsidRPr="001578FE">
              <w:rPr>
                <w:szCs w:val="24"/>
              </w:rPr>
              <w:t>126,351</w:t>
            </w:r>
          </w:p>
        </w:tc>
        <w:tc>
          <w:tcPr>
            <w:tcW w:w="1434" w:type="dxa"/>
            <w:vAlign w:val="center"/>
          </w:tcPr>
          <w:p w14:paraId="1E83FEDF" w14:textId="7065124F" w:rsidR="00CE270F" w:rsidRPr="001578FE" w:rsidRDefault="00CE270F" w:rsidP="00CE270F">
            <w:pPr>
              <w:tabs>
                <w:tab w:val="left" w:pos="720"/>
                <w:tab w:val="right" w:pos="7920"/>
              </w:tabs>
              <w:jc w:val="right"/>
              <w:rPr>
                <w:szCs w:val="24"/>
              </w:rPr>
            </w:pPr>
            <w:r w:rsidRPr="001578FE">
              <w:rPr>
                <w:szCs w:val="24"/>
              </w:rPr>
              <w:t>-</w:t>
            </w:r>
          </w:p>
        </w:tc>
        <w:tc>
          <w:tcPr>
            <w:tcW w:w="2256" w:type="dxa"/>
            <w:vAlign w:val="center"/>
          </w:tcPr>
          <w:p w14:paraId="48D57652" w14:textId="4072BF9D" w:rsidR="00CE270F" w:rsidRPr="001578FE" w:rsidRDefault="00CE270F" w:rsidP="00CE270F">
            <w:pPr>
              <w:tabs>
                <w:tab w:val="left" w:pos="1168"/>
                <w:tab w:val="right" w:pos="7920"/>
              </w:tabs>
              <w:jc w:val="right"/>
              <w:rPr>
                <w:szCs w:val="24"/>
              </w:rPr>
            </w:pPr>
            <w:r w:rsidRPr="001578FE">
              <w:rPr>
                <w:szCs w:val="24"/>
              </w:rPr>
              <w:t>126,351</w:t>
            </w:r>
          </w:p>
        </w:tc>
        <w:tc>
          <w:tcPr>
            <w:tcW w:w="2687" w:type="dxa"/>
            <w:vAlign w:val="center"/>
          </w:tcPr>
          <w:p w14:paraId="4029024E" w14:textId="23FEE650" w:rsidR="00CE270F" w:rsidRPr="001578FE" w:rsidRDefault="00CE270F" w:rsidP="00CE270F">
            <w:pPr>
              <w:jc w:val="right"/>
              <w:rPr>
                <w:rFonts w:cs="Arial"/>
                <w:szCs w:val="24"/>
              </w:rPr>
            </w:pPr>
            <w:r w:rsidRPr="001578FE">
              <w:rPr>
                <w:rFonts w:cs="Arial"/>
                <w:szCs w:val="24"/>
              </w:rPr>
              <w:t>3,499</w:t>
            </w:r>
          </w:p>
        </w:tc>
        <w:tc>
          <w:tcPr>
            <w:tcW w:w="1956" w:type="dxa"/>
            <w:vAlign w:val="center"/>
          </w:tcPr>
          <w:p w14:paraId="004A2E00" w14:textId="36DB1CFE" w:rsidR="00CE270F" w:rsidRPr="001578FE" w:rsidRDefault="00CE270F" w:rsidP="00CE270F">
            <w:pPr>
              <w:jc w:val="right"/>
              <w:rPr>
                <w:rFonts w:cs="Arial"/>
                <w:szCs w:val="24"/>
              </w:rPr>
            </w:pPr>
            <w:r w:rsidRPr="001578FE">
              <w:rPr>
                <w:rFonts w:cs="Arial"/>
                <w:szCs w:val="24"/>
              </w:rPr>
              <w:t>129,850</w:t>
            </w:r>
          </w:p>
        </w:tc>
      </w:tr>
      <w:tr w:rsidR="00CE270F" w:rsidRPr="00D948C1" w14:paraId="696F6AE6" w14:textId="77777777" w:rsidTr="00233A66">
        <w:tc>
          <w:tcPr>
            <w:tcW w:w="5987" w:type="dxa"/>
          </w:tcPr>
          <w:p w14:paraId="47405158" w14:textId="124E26FE" w:rsidR="00CE270F" w:rsidRPr="00D948C1" w:rsidRDefault="00CE270F" w:rsidP="00CE270F">
            <w:pPr>
              <w:pStyle w:val="CommentText"/>
              <w:tabs>
                <w:tab w:val="left" w:pos="720"/>
                <w:tab w:val="right" w:pos="7920"/>
              </w:tabs>
              <w:rPr>
                <w:sz w:val="24"/>
                <w:szCs w:val="24"/>
              </w:rPr>
            </w:pPr>
            <w:r w:rsidRPr="00D948C1">
              <w:rPr>
                <w:sz w:val="24"/>
                <w:szCs w:val="24"/>
              </w:rPr>
              <w:t xml:space="preserve">Director of Corporate Services – </w:t>
            </w:r>
            <w:r w:rsidR="00250435">
              <w:rPr>
                <w:sz w:val="24"/>
                <w:szCs w:val="24"/>
              </w:rPr>
              <w:t>Steven Brown</w:t>
            </w:r>
          </w:p>
        </w:tc>
        <w:tc>
          <w:tcPr>
            <w:tcW w:w="1134" w:type="dxa"/>
            <w:vAlign w:val="center"/>
          </w:tcPr>
          <w:p w14:paraId="097D79CF" w14:textId="560467E9" w:rsidR="00CE270F" w:rsidRPr="001578FE" w:rsidRDefault="00CE270F" w:rsidP="00CE270F">
            <w:pPr>
              <w:tabs>
                <w:tab w:val="left" w:pos="1168"/>
                <w:tab w:val="right" w:pos="7920"/>
              </w:tabs>
              <w:jc w:val="right"/>
              <w:rPr>
                <w:szCs w:val="24"/>
              </w:rPr>
            </w:pPr>
            <w:r w:rsidRPr="001578FE">
              <w:rPr>
                <w:szCs w:val="24"/>
              </w:rPr>
              <w:t>94,361</w:t>
            </w:r>
          </w:p>
        </w:tc>
        <w:tc>
          <w:tcPr>
            <w:tcW w:w="1434" w:type="dxa"/>
            <w:vAlign w:val="center"/>
          </w:tcPr>
          <w:p w14:paraId="2DB6AFB3" w14:textId="5305A457" w:rsidR="00CE270F" w:rsidRPr="001578FE" w:rsidRDefault="00CE270F" w:rsidP="00CE270F">
            <w:pPr>
              <w:tabs>
                <w:tab w:val="left" w:pos="720"/>
                <w:tab w:val="right" w:pos="7920"/>
              </w:tabs>
              <w:jc w:val="right"/>
              <w:rPr>
                <w:szCs w:val="24"/>
              </w:rPr>
            </w:pPr>
            <w:r w:rsidRPr="001578FE">
              <w:rPr>
                <w:szCs w:val="24"/>
              </w:rPr>
              <w:t>-</w:t>
            </w:r>
          </w:p>
        </w:tc>
        <w:tc>
          <w:tcPr>
            <w:tcW w:w="2256" w:type="dxa"/>
            <w:vAlign w:val="center"/>
          </w:tcPr>
          <w:p w14:paraId="547F3407" w14:textId="5832186E" w:rsidR="00CE270F" w:rsidRPr="001578FE" w:rsidRDefault="00CE270F" w:rsidP="00CE270F">
            <w:pPr>
              <w:tabs>
                <w:tab w:val="left" w:pos="1168"/>
                <w:tab w:val="right" w:pos="7920"/>
              </w:tabs>
              <w:jc w:val="right"/>
              <w:rPr>
                <w:szCs w:val="24"/>
              </w:rPr>
            </w:pPr>
            <w:r w:rsidRPr="001578FE">
              <w:rPr>
                <w:szCs w:val="24"/>
              </w:rPr>
              <w:t>94,361</w:t>
            </w:r>
          </w:p>
        </w:tc>
        <w:tc>
          <w:tcPr>
            <w:tcW w:w="2687" w:type="dxa"/>
            <w:vAlign w:val="center"/>
          </w:tcPr>
          <w:p w14:paraId="2EFBCDC1" w14:textId="724D6557" w:rsidR="00CE270F" w:rsidRPr="001578FE" w:rsidRDefault="00CE270F" w:rsidP="00CE270F">
            <w:pPr>
              <w:jc w:val="right"/>
              <w:rPr>
                <w:rFonts w:cs="Arial"/>
                <w:szCs w:val="24"/>
              </w:rPr>
            </w:pPr>
            <w:r w:rsidRPr="001578FE">
              <w:rPr>
                <w:szCs w:val="24"/>
              </w:rPr>
              <w:t>2,737</w:t>
            </w:r>
          </w:p>
        </w:tc>
        <w:tc>
          <w:tcPr>
            <w:tcW w:w="1956" w:type="dxa"/>
            <w:vAlign w:val="center"/>
          </w:tcPr>
          <w:p w14:paraId="0D113D75" w14:textId="383EC0CA" w:rsidR="00CE270F" w:rsidRPr="001578FE" w:rsidRDefault="00CE270F" w:rsidP="00CE270F">
            <w:pPr>
              <w:jc w:val="right"/>
              <w:rPr>
                <w:rFonts w:cs="Arial"/>
                <w:szCs w:val="24"/>
              </w:rPr>
            </w:pPr>
            <w:r w:rsidRPr="001578FE">
              <w:rPr>
                <w:rFonts w:cs="Arial"/>
                <w:szCs w:val="24"/>
              </w:rPr>
              <w:t>97,098</w:t>
            </w:r>
          </w:p>
        </w:tc>
      </w:tr>
      <w:tr w:rsidR="00CE270F" w:rsidRPr="00D948C1" w14:paraId="6A827045" w14:textId="77777777" w:rsidTr="00233A66">
        <w:tc>
          <w:tcPr>
            <w:tcW w:w="5987" w:type="dxa"/>
          </w:tcPr>
          <w:p w14:paraId="176F3147" w14:textId="283455B3" w:rsidR="00CE270F" w:rsidRPr="00D948C1" w:rsidRDefault="00CE270F" w:rsidP="00CE270F">
            <w:pPr>
              <w:pStyle w:val="CommentText"/>
              <w:tabs>
                <w:tab w:val="left" w:pos="720"/>
                <w:tab w:val="right" w:pos="7920"/>
              </w:tabs>
              <w:rPr>
                <w:sz w:val="24"/>
                <w:szCs w:val="24"/>
              </w:rPr>
            </w:pPr>
            <w:r w:rsidRPr="00D948C1">
              <w:rPr>
                <w:sz w:val="24"/>
                <w:szCs w:val="24"/>
              </w:rPr>
              <w:t>Total</w:t>
            </w:r>
          </w:p>
        </w:tc>
        <w:tc>
          <w:tcPr>
            <w:tcW w:w="1134" w:type="dxa"/>
            <w:vAlign w:val="center"/>
          </w:tcPr>
          <w:p w14:paraId="1FC22312" w14:textId="36C38631" w:rsidR="00CE270F" w:rsidRPr="001578FE" w:rsidRDefault="00CE270F" w:rsidP="00CE270F">
            <w:pPr>
              <w:tabs>
                <w:tab w:val="left" w:pos="1168"/>
                <w:tab w:val="right" w:pos="7920"/>
              </w:tabs>
              <w:jc w:val="right"/>
              <w:rPr>
                <w:szCs w:val="24"/>
              </w:rPr>
            </w:pPr>
            <w:r w:rsidRPr="001578FE">
              <w:rPr>
                <w:szCs w:val="24"/>
              </w:rPr>
              <w:t>702,141</w:t>
            </w:r>
          </w:p>
        </w:tc>
        <w:tc>
          <w:tcPr>
            <w:tcW w:w="1434" w:type="dxa"/>
            <w:vAlign w:val="center"/>
          </w:tcPr>
          <w:p w14:paraId="75C83ECE" w14:textId="0B8515BC" w:rsidR="00CE270F" w:rsidRPr="001578FE" w:rsidRDefault="00CE270F" w:rsidP="00CE270F">
            <w:pPr>
              <w:tabs>
                <w:tab w:val="left" w:pos="720"/>
                <w:tab w:val="right" w:pos="7920"/>
              </w:tabs>
              <w:jc w:val="right"/>
              <w:rPr>
                <w:szCs w:val="24"/>
              </w:rPr>
            </w:pPr>
            <w:r w:rsidRPr="001578FE">
              <w:rPr>
                <w:szCs w:val="24"/>
              </w:rPr>
              <w:t>-</w:t>
            </w:r>
          </w:p>
        </w:tc>
        <w:tc>
          <w:tcPr>
            <w:tcW w:w="2256" w:type="dxa"/>
            <w:vAlign w:val="center"/>
          </w:tcPr>
          <w:p w14:paraId="1E1E59CD" w14:textId="74091687" w:rsidR="00CE270F" w:rsidRPr="001578FE" w:rsidRDefault="00CE270F" w:rsidP="00CE270F">
            <w:pPr>
              <w:tabs>
                <w:tab w:val="left" w:pos="1168"/>
                <w:tab w:val="right" w:pos="7920"/>
              </w:tabs>
              <w:jc w:val="right"/>
              <w:rPr>
                <w:szCs w:val="24"/>
              </w:rPr>
            </w:pPr>
            <w:r w:rsidRPr="001578FE">
              <w:rPr>
                <w:szCs w:val="24"/>
              </w:rPr>
              <w:t>702,141</w:t>
            </w:r>
          </w:p>
        </w:tc>
        <w:tc>
          <w:tcPr>
            <w:tcW w:w="2687" w:type="dxa"/>
            <w:vAlign w:val="center"/>
          </w:tcPr>
          <w:p w14:paraId="0D67D5C8" w14:textId="542E37BE" w:rsidR="00CE270F" w:rsidRPr="001578FE" w:rsidRDefault="00CE270F" w:rsidP="00CE270F">
            <w:pPr>
              <w:jc w:val="right"/>
              <w:rPr>
                <w:szCs w:val="24"/>
              </w:rPr>
            </w:pPr>
            <w:r w:rsidRPr="001578FE">
              <w:rPr>
                <w:rFonts w:cs="Arial"/>
                <w:szCs w:val="24"/>
              </w:rPr>
              <w:t>144,8</w:t>
            </w:r>
            <w:r w:rsidR="00D174D6">
              <w:rPr>
                <w:rFonts w:cs="Arial"/>
                <w:szCs w:val="24"/>
              </w:rPr>
              <w:t>7</w:t>
            </w:r>
            <w:r w:rsidR="00714476">
              <w:rPr>
                <w:rFonts w:cs="Arial"/>
                <w:szCs w:val="24"/>
              </w:rPr>
              <w:t>1</w:t>
            </w:r>
          </w:p>
        </w:tc>
        <w:tc>
          <w:tcPr>
            <w:tcW w:w="1956" w:type="dxa"/>
            <w:vAlign w:val="center"/>
          </w:tcPr>
          <w:p w14:paraId="638117FF" w14:textId="7C809F75" w:rsidR="00CE270F" w:rsidRPr="001578FE" w:rsidRDefault="00CE270F" w:rsidP="00CE270F">
            <w:pPr>
              <w:jc w:val="right"/>
              <w:rPr>
                <w:szCs w:val="24"/>
              </w:rPr>
            </w:pPr>
            <w:r w:rsidRPr="001578FE">
              <w:rPr>
                <w:rFonts w:cs="Arial"/>
                <w:szCs w:val="24"/>
              </w:rPr>
              <w:t>847,0</w:t>
            </w:r>
            <w:r w:rsidR="00714476">
              <w:rPr>
                <w:rFonts w:cs="Arial"/>
                <w:szCs w:val="24"/>
              </w:rPr>
              <w:t>11</w:t>
            </w:r>
          </w:p>
        </w:tc>
      </w:tr>
    </w:tbl>
    <w:p w14:paraId="449DC5C7" w14:textId="77777777" w:rsidR="00BE3C0F" w:rsidRPr="00D948C1" w:rsidRDefault="00BE3C0F" w:rsidP="00FA71D8">
      <w:pPr>
        <w:pStyle w:val="Heading3"/>
        <w:ind w:firstLine="720"/>
        <w:rPr>
          <w:sz w:val="23"/>
          <w:szCs w:val="23"/>
        </w:rPr>
        <w:sectPr w:rsidR="00BE3C0F" w:rsidRPr="00D948C1" w:rsidSect="0050229D">
          <w:pgSz w:w="16840" w:h="11907" w:orient="landscape" w:code="9"/>
          <w:pgMar w:top="567" w:right="454" w:bottom="567" w:left="397" w:header="720" w:footer="720" w:gutter="0"/>
          <w:cols w:space="720"/>
          <w:docGrid w:linePitch="326"/>
        </w:sectPr>
      </w:pPr>
    </w:p>
    <w:p w14:paraId="02E40330" w14:textId="77777777" w:rsidR="002035C7" w:rsidRPr="00D948C1" w:rsidRDefault="002035C7" w:rsidP="003278CF">
      <w:pPr>
        <w:ind w:firstLine="720"/>
        <w:rPr>
          <w:b/>
          <w:bCs/>
        </w:rPr>
      </w:pPr>
      <w:r w:rsidRPr="00D948C1">
        <w:rPr>
          <w:b/>
          <w:bCs/>
        </w:rPr>
        <w:lastRenderedPageBreak/>
        <w:t>Exit Packages</w:t>
      </w:r>
    </w:p>
    <w:p w14:paraId="005B0BCD" w14:textId="77777777" w:rsidR="002035C7" w:rsidRPr="00D948C1" w:rsidRDefault="002035C7" w:rsidP="00FA71D8">
      <w:pPr>
        <w:ind w:left="720"/>
        <w:rPr>
          <w:sz w:val="22"/>
        </w:rPr>
      </w:pPr>
    </w:p>
    <w:p w14:paraId="2125E16C" w14:textId="262B921E" w:rsidR="001937A3" w:rsidRPr="00BD2C0D" w:rsidRDefault="007B5A51" w:rsidP="77119DA7">
      <w:pPr>
        <w:ind w:left="720"/>
      </w:pPr>
      <w:r w:rsidRPr="00BD2C0D">
        <w:t>In 2024/25 t</w:t>
      </w:r>
      <w:r w:rsidR="00794E08" w:rsidRPr="00BD2C0D">
        <w:t>here w</w:t>
      </w:r>
      <w:r w:rsidR="00C956D9" w:rsidRPr="00BD2C0D">
        <w:t xml:space="preserve">as one </w:t>
      </w:r>
      <w:r w:rsidRPr="00BD2C0D">
        <w:t>c</w:t>
      </w:r>
      <w:r w:rsidR="00A7477D" w:rsidRPr="00BD2C0D">
        <w:t xml:space="preserve">ompulsory </w:t>
      </w:r>
      <w:r w:rsidRPr="00BD2C0D">
        <w:t xml:space="preserve">redundancy </w:t>
      </w:r>
      <w:r w:rsidR="00A24044" w:rsidRPr="00BD2C0D">
        <w:t>in the banding of £20,001-£40,000</w:t>
      </w:r>
      <w:r w:rsidR="1F772757" w:rsidRPr="00BD2C0D">
        <w:t xml:space="preserve">. </w:t>
      </w:r>
      <w:r w:rsidR="2D6E0112" w:rsidRPr="00BD2C0D">
        <w:t>In</w:t>
      </w:r>
      <w:r w:rsidR="00794E08" w:rsidRPr="00BD2C0D">
        <w:t xml:space="preserve"> 2023/24</w:t>
      </w:r>
      <w:r w:rsidR="50C12F87" w:rsidRPr="00BD2C0D">
        <w:t xml:space="preserve"> there was one compulsory redundancy</w:t>
      </w:r>
      <w:r w:rsidR="00794E08" w:rsidRPr="00BD2C0D">
        <w:t xml:space="preserve"> which </w:t>
      </w:r>
      <w:r w:rsidR="00A34243" w:rsidRPr="00BD2C0D">
        <w:t>was in the banding of £40,001-£60,000.</w:t>
      </w:r>
    </w:p>
    <w:p w14:paraId="00C01FD0" w14:textId="77777777" w:rsidR="00C7098F" w:rsidRPr="00D948C1" w:rsidRDefault="00C7098F" w:rsidP="00C7098F">
      <w:pPr>
        <w:ind w:left="720"/>
        <w:rPr>
          <w:b/>
          <w:sz w:val="22"/>
        </w:rPr>
      </w:pPr>
    </w:p>
    <w:p w14:paraId="4545A3D5" w14:textId="77777777" w:rsidR="00D90216" w:rsidRPr="00D948C1" w:rsidRDefault="00C72C44" w:rsidP="00FA71D8">
      <w:pPr>
        <w:pStyle w:val="Heading2"/>
        <w:jc w:val="left"/>
        <w:rPr>
          <w:sz w:val="24"/>
          <w:szCs w:val="24"/>
        </w:rPr>
      </w:pPr>
      <w:bookmarkStart w:id="34" w:name="_Toc215593395"/>
      <w:r w:rsidRPr="00D948C1">
        <w:rPr>
          <w:sz w:val="24"/>
          <w:szCs w:val="24"/>
        </w:rPr>
        <w:t>4</w:t>
      </w:r>
      <w:r w:rsidR="00D90216" w:rsidRPr="00D948C1">
        <w:rPr>
          <w:sz w:val="24"/>
          <w:szCs w:val="24"/>
        </w:rPr>
        <w:tab/>
        <w:t>External Auditors Fees</w:t>
      </w:r>
      <w:bookmarkEnd w:id="34"/>
    </w:p>
    <w:p w14:paraId="1BAAF3AE" w14:textId="77777777" w:rsidR="00D90216" w:rsidRPr="00D948C1" w:rsidRDefault="00D90216" w:rsidP="00FA71D8">
      <w:pPr>
        <w:rPr>
          <w:b/>
          <w:sz w:val="22"/>
        </w:rPr>
      </w:pPr>
    </w:p>
    <w:p w14:paraId="75B6C54E" w14:textId="37DA5F9E" w:rsidR="00D90216" w:rsidRPr="00D948C1" w:rsidRDefault="00D90216" w:rsidP="77119DA7">
      <w:pPr>
        <w:pStyle w:val="BodyTextIndent"/>
        <w:rPr>
          <w:lang w:val="en-GB"/>
        </w:rPr>
      </w:pPr>
      <w:r w:rsidRPr="77119DA7">
        <w:rPr>
          <w:lang w:val="en-GB"/>
        </w:rPr>
        <w:t xml:space="preserve">In </w:t>
      </w:r>
      <w:r w:rsidR="004A2156" w:rsidRPr="77119DA7">
        <w:rPr>
          <w:caps/>
          <w:lang w:val="en-GB"/>
        </w:rPr>
        <w:t>20</w:t>
      </w:r>
      <w:r w:rsidR="00C72C44" w:rsidRPr="77119DA7">
        <w:rPr>
          <w:caps/>
          <w:lang w:val="en-GB"/>
        </w:rPr>
        <w:t>2</w:t>
      </w:r>
      <w:r w:rsidR="55E37597" w:rsidRPr="77119DA7">
        <w:rPr>
          <w:caps/>
          <w:lang w:val="en-GB"/>
        </w:rPr>
        <w:t>4</w:t>
      </w:r>
      <w:r w:rsidR="002A48DC" w:rsidRPr="77119DA7">
        <w:rPr>
          <w:caps/>
          <w:lang w:val="en-GB"/>
        </w:rPr>
        <w:t>/2</w:t>
      </w:r>
      <w:r w:rsidR="246612D0" w:rsidRPr="77119DA7">
        <w:rPr>
          <w:caps/>
          <w:lang w:val="en-GB"/>
        </w:rPr>
        <w:t>5</w:t>
      </w:r>
      <w:r w:rsidRPr="77119DA7">
        <w:rPr>
          <w:lang w:val="en-GB"/>
        </w:rPr>
        <w:t xml:space="preserve">, the Fire Authority paid a total of </w:t>
      </w:r>
      <w:r w:rsidRPr="00B84BB9">
        <w:rPr>
          <w:lang w:val="en-GB"/>
        </w:rPr>
        <w:t>£0.</w:t>
      </w:r>
      <w:r w:rsidR="00A34243" w:rsidRPr="00B84BB9">
        <w:rPr>
          <w:lang w:val="en-GB"/>
        </w:rPr>
        <w:t>10</w:t>
      </w:r>
      <w:r w:rsidR="00157845" w:rsidRPr="00B84BB9">
        <w:rPr>
          <w:lang w:val="en-GB"/>
        </w:rPr>
        <w:t>3</w:t>
      </w:r>
      <w:r w:rsidR="00C91FE8" w:rsidRPr="00B84BB9">
        <w:rPr>
          <w:lang w:val="en-GB"/>
        </w:rPr>
        <w:t>m</w:t>
      </w:r>
      <w:r w:rsidR="00C91FE8" w:rsidRPr="77119DA7">
        <w:rPr>
          <w:lang w:val="en-GB"/>
        </w:rPr>
        <w:t xml:space="preserve"> </w:t>
      </w:r>
      <w:r w:rsidRPr="77119DA7">
        <w:rPr>
          <w:lang w:val="en-GB"/>
        </w:rPr>
        <w:t xml:space="preserve">to its external auditors, </w:t>
      </w:r>
      <w:r w:rsidR="00B20B8E" w:rsidRPr="77119DA7">
        <w:rPr>
          <w:lang w:val="en-GB"/>
        </w:rPr>
        <w:t xml:space="preserve">Grant Thornton </w:t>
      </w:r>
      <w:r w:rsidR="00B20B8E" w:rsidRPr="00382278">
        <w:rPr>
          <w:lang w:val="en-GB"/>
        </w:rPr>
        <w:t>(</w:t>
      </w:r>
      <w:r w:rsidR="00B20B8E" w:rsidRPr="00B84BB9">
        <w:rPr>
          <w:lang w:val="en-GB"/>
        </w:rPr>
        <w:t>20</w:t>
      </w:r>
      <w:r w:rsidR="002A48DC" w:rsidRPr="00B84BB9">
        <w:rPr>
          <w:lang w:val="en-GB"/>
        </w:rPr>
        <w:t>2</w:t>
      </w:r>
      <w:r w:rsidR="1F67FF72" w:rsidRPr="00B84BB9">
        <w:rPr>
          <w:lang w:val="en-GB"/>
        </w:rPr>
        <w:t>3</w:t>
      </w:r>
      <w:r w:rsidR="002A48DC" w:rsidRPr="00B84BB9">
        <w:rPr>
          <w:lang w:val="en-GB"/>
        </w:rPr>
        <w:t>/2</w:t>
      </w:r>
      <w:r w:rsidR="24938923" w:rsidRPr="00B84BB9">
        <w:rPr>
          <w:lang w:val="en-GB"/>
        </w:rPr>
        <w:t>4</w:t>
      </w:r>
      <w:r w:rsidR="00A01C10" w:rsidRPr="00B84BB9">
        <w:rPr>
          <w:lang w:val="en-GB"/>
        </w:rPr>
        <w:t>: £0.</w:t>
      </w:r>
      <w:r w:rsidR="6A8E6017" w:rsidRPr="00B84BB9">
        <w:rPr>
          <w:lang w:val="en-GB"/>
        </w:rPr>
        <w:t>106</w:t>
      </w:r>
      <w:r w:rsidR="00C91FE8" w:rsidRPr="00B84BB9">
        <w:rPr>
          <w:lang w:val="en-GB"/>
        </w:rPr>
        <w:t>m</w:t>
      </w:r>
      <w:r w:rsidR="00B20B8E" w:rsidRPr="00B84BB9">
        <w:rPr>
          <w:lang w:val="en-GB"/>
        </w:rPr>
        <w:t>)</w:t>
      </w:r>
      <w:r w:rsidRPr="00B84BB9">
        <w:rPr>
          <w:lang w:val="en-GB"/>
        </w:rPr>
        <w:t>, as follows:</w:t>
      </w:r>
    </w:p>
    <w:p w14:paraId="29DE5C10" w14:textId="77777777" w:rsidR="00212DBF" w:rsidRPr="00D948C1" w:rsidRDefault="00212DBF" w:rsidP="002D6690">
      <w:pPr>
        <w:pStyle w:val="BodyTextIndent"/>
        <w:rPr>
          <w:szCs w:val="24"/>
          <w:lang w:val="en-GB"/>
        </w:rPr>
      </w:pPr>
    </w:p>
    <w:tbl>
      <w:tblPr>
        <w:tblW w:w="85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890"/>
        <w:gridCol w:w="1890"/>
      </w:tblGrid>
      <w:tr w:rsidR="00212DBF" w:rsidRPr="00D948C1" w14:paraId="6F38F5C8" w14:textId="77777777" w:rsidTr="00F7299E">
        <w:trPr>
          <w:trHeight w:hRule="exact" w:val="578"/>
          <w:tblHeader/>
        </w:trPr>
        <w:tc>
          <w:tcPr>
            <w:tcW w:w="4770" w:type="dxa"/>
            <w:shd w:val="clear" w:color="auto" w:fill="BD2716"/>
          </w:tcPr>
          <w:p w14:paraId="09C0897E" w14:textId="77777777" w:rsidR="00212DBF" w:rsidRPr="00D948C1" w:rsidRDefault="00212DBF" w:rsidP="00F7299E">
            <w:pPr>
              <w:pStyle w:val="Footer"/>
              <w:tabs>
                <w:tab w:val="clear" w:pos="4153"/>
                <w:tab w:val="clear" w:pos="8306"/>
              </w:tabs>
              <w:spacing w:line="360" w:lineRule="auto"/>
              <w:rPr>
                <w:color w:val="FFFFFF" w:themeColor="background1"/>
                <w:szCs w:val="24"/>
              </w:rPr>
            </w:pPr>
          </w:p>
        </w:tc>
        <w:tc>
          <w:tcPr>
            <w:tcW w:w="1890" w:type="dxa"/>
            <w:shd w:val="clear" w:color="auto" w:fill="BD2716"/>
            <w:vAlign w:val="center"/>
          </w:tcPr>
          <w:p w14:paraId="3A675933" w14:textId="7FC66110" w:rsidR="00212DBF" w:rsidRPr="00D948C1" w:rsidRDefault="00212DBF" w:rsidP="00F7299E">
            <w:pPr>
              <w:jc w:val="right"/>
              <w:rPr>
                <w:color w:val="FFFFFF" w:themeColor="background1"/>
                <w:szCs w:val="24"/>
              </w:rPr>
            </w:pPr>
            <w:r w:rsidRPr="00D948C1">
              <w:rPr>
                <w:color w:val="FFFFFF" w:themeColor="background1"/>
                <w:szCs w:val="24"/>
              </w:rPr>
              <w:t>202</w:t>
            </w:r>
            <w:r w:rsidR="00CE270F">
              <w:rPr>
                <w:color w:val="FFFFFF" w:themeColor="background1"/>
                <w:szCs w:val="24"/>
              </w:rPr>
              <w:t>4</w:t>
            </w:r>
            <w:r w:rsidRPr="00D948C1">
              <w:rPr>
                <w:color w:val="FFFFFF" w:themeColor="background1"/>
                <w:szCs w:val="24"/>
              </w:rPr>
              <w:t>/2</w:t>
            </w:r>
            <w:r w:rsidR="00CE270F">
              <w:rPr>
                <w:color w:val="FFFFFF" w:themeColor="background1"/>
                <w:szCs w:val="24"/>
              </w:rPr>
              <w:t>5</w:t>
            </w:r>
          </w:p>
          <w:p w14:paraId="29D5DCBC" w14:textId="77777777" w:rsidR="00212DBF" w:rsidRPr="00D948C1" w:rsidRDefault="00212DBF" w:rsidP="00F7299E">
            <w:pPr>
              <w:jc w:val="right"/>
              <w:rPr>
                <w:rFonts w:cs="Arial"/>
                <w:color w:val="FFFFFF" w:themeColor="background1"/>
                <w:szCs w:val="24"/>
              </w:rPr>
            </w:pPr>
            <w:r w:rsidRPr="00D948C1">
              <w:rPr>
                <w:color w:val="FFFFFF" w:themeColor="background1"/>
                <w:szCs w:val="24"/>
              </w:rPr>
              <w:t>£000</w:t>
            </w:r>
          </w:p>
        </w:tc>
        <w:tc>
          <w:tcPr>
            <w:tcW w:w="1890" w:type="dxa"/>
            <w:shd w:val="clear" w:color="auto" w:fill="BD2716"/>
            <w:vAlign w:val="center"/>
          </w:tcPr>
          <w:p w14:paraId="0C81DEA8" w14:textId="7A7DF15E" w:rsidR="00212DBF" w:rsidRPr="00D948C1" w:rsidRDefault="00212DBF" w:rsidP="00F7299E">
            <w:pPr>
              <w:jc w:val="right"/>
              <w:rPr>
                <w:rFonts w:cs="Arial"/>
                <w:color w:val="FFFFFF" w:themeColor="background1"/>
                <w:szCs w:val="24"/>
              </w:rPr>
            </w:pPr>
            <w:r w:rsidRPr="00D948C1">
              <w:rPr>
                <w:rFonts w:cs="Arial"/>
                <w:color w:val="FFFFFF" w:themeColor="background1"/>
                <w:szCs w:val="24"/>
              </w:rPr>
              <w:t>202</w:t>
            </w:r>
            <w:r w:rsidR="00CE270F">
              <w:rPr>
                <w:rFonts w:cs="Arial"/>
                <w:color w:val="FFFFFF" w:themeColor="background1"/>
                <w:szCs w:val="24"/>
              </w:rPr>
              <w:t>3</w:t>
            </w:r>
            <w:r w:rsidRPr="00D948C1">
              <w:rPr>
                <w:rFonts w:cs="Arial"/>
                <w:color w:val="FFFFFF" w:themeColor="background1"/>
                <w:szCs w:val="24"/>
              </w:rPr>
              <w:t>/2</w:t>
            </w:r>
            <w:r w:rsidR="00CE270F">
              <w:rPr>
                <w:rFonts w:cs="Arial"/>
                <w:color w:val="FFFFFF" w:themeColor="background1"/>
                <w:szCs w:val="24"/>
              </w:rPr>
              <w:t>4</w:t>
            </w:r>
          </w:p>
          <w:p w14:paraId="6D479C02" w14:textId="77777777" w:rsidR="00212DBF" w:rsidRPr="00D948C1" w:rsidRDefault="00212DBF" w:rsidP="00F7299E">
            <w:pPr>
              <w:jc w:val="right"/>
              <w:rPr>
                <w:rFonts w:cs="Arial"/>
                <w:color w:val="FFFFFF" w:themeColor="background1"/>
                <w:szCs w:val="24"/>
              </w:rPr>
            </w:pPr>
            <w:r w:rsidRPr="00D948C1">
              <w:rPr>
                <w:rFonts w:cs="Arial"/>
                <w:color w:val="FFFFFF" w:themeColor="background1"/>
                <w:szCs w:val="24"/>
              </w:rPr>
              <w:t>£000</w:t>
            </w:r>
          </w:p>
        </w:tc>
      </w:tr>
      <w:tr w:rsidR="00212DBF" w:rsidRPr="00D948C1" w14:paraId="19F18F79" w14:textId="77777777" w:rsidTr="00F7299E">
        <w:trPr>
          <w:trHeight w:hRule="exact" w:val="300"/>
        </w:trPr>
        <w:tc>
          <w:tcPr>
            <w:tcW w:w="4770" w:type="dxa"/>
          </w:tcPr>
          <w:p w14:paraId="7739D9A3" w14:textId="77777777" w:rsidR="00212DBF" w:rsidRPr="00D948C1" w:rsidRDefault="00212DBF" w:rsidP="00F7299E">
            <w:pPr>
              <w:pStyle w:val="Footer"/>
              <w:tabs>
                <w:tab w:val="clear" w:pos="4153"/>
                <w:tab w:val="clear" w:pos="8306"/>
                <w:tab w:val="left" w:pos="702"/>
              </w:tabs>
              <w:rPr>
                <w:szCs w:val="24"/>
              </w:rPr>
            </w:pPr>
            <w:r w:rsidRPr="00D948C1">
              <w:rPr>
                <w:szCs w:val="24"/>
              </w:rPr>
              <w:t>Audit fees – Grant Thornton</w:t>
            </w:r>
          </w:p>
        </w:tc>
        <w:tc>
          <w:tcPr>
            <w:tcW w:w="1890" w:type="dxa"/>
            <w:vAlign w:val="center"/>
          </w:tcPr>
          <w:p w14:paraId="015F3648" w14:textId="307B5160" w:rsidR="00212DBF" w:rsidRPr="00D948C1" w:rsidRDefault="00157845" w:rsidP="00F7299E">
            <w:pPr>
              <w:pStyle w:val="Footer"/>
              <w:tabs>
                <w:tab w:val="clear" w:pos="4153"/>
                <w:tab w:val="clear" w:pos="8306"/>
                <w:tab w:val="decimal" w:pos="1080"/>
              </w:tabs>
              <w:jc w:val="right"/>
              <w:rPr>
                <w:szCs w:val="24"/>
              </w:rPr>
            </w:pPr>
            <w:r>
              <w:rPr>
                <w:szCs w:val="24"/>
              </w:rPr>
              <w:t>103</w:t>
            </w:r>
          </w:p>
        </w:tc>
        <w:tc>
          <w:tcPr>
            <w:tcW w:w="1890" w:type="dxa"/>
            <w:vAlign w:val="center"/>
          </w:tcPr>
          <w:p w14:paraId="3CB22992" w14:textId="36248DB5" w:rsidR="00212DBF" w:rsidRPr="00D948C1" w:rsidRDefault="00CE270F" w:rsidP="00F7299E">
            <w:pPr>
              <w:pStyle w:val="Footer"/>
              <w:tabs>
                <w:tab w:val="clear" w:pos="4153"/>
                <w:tab w:val="clear" w:pos="8306"/>
                <w:tab w:val="decimal" w:pos="1080"/>
              </w:tabs>
              <w:jc w:val="right"/>
              <w:rPr>
                <w:szCs w:val="24"/>
              </w:rPr>
            </w:pPr>
            <w:r w:rsidRPr="00B84BB9">
              <w:rPr>
                <w:szCs w:val="24"/>
              </w:rPr>
              <w:t>106</w:t>
            </w:r>
          </w:p>
        </w:tc>
      </w:tr>
    </w:tbl>
    <w:p w14:paraId="605DF968" w14:textId="77777777" w:rsidR="00212DBF" w:rsidRPr="00D948C1" w:rsidRDefault="00212DBF" w:rsidP="77119DA7">
      <w:pPr>
        <w:pStyle w:val="BodyTextIndent"/>
        <w:rPr>
          <w:highlight w:val="yellow"/>
          <w:lang w:val="en-GB"/>
        </w:rPr>
      </w:pPr>
    </w:p>
    <w:p w14:paraId="02A10A9F" w14:textId="7C0205B3" w:rsidR="00212DBF" w:rsidRPr="00B84BB9" w:rsidRDefault="00212DBF" w:rsidP="77119DA7">
      <w:pPr>
        <w:pStyle w:val="BodyTextIndent"/>
      </w:pPr>
      <w:r w:rsidRPr="00B84BB9">
        <w:t>The 2023/24 audit fee charge includes additional charges of £8,300 relating to 2022/23.</w:t>
      </w:r>
    </w:p>
    <w:p w14:paraId="35C4F60B" w14:textId="77777777" w:rsidR="00A34243" w:rsidRPr="00D948C1" w:rsidRDefault="00A34243">
      <w:pPr>
        <w:rPr>
          <w:bCs/>
          <w:szCs w:val="24"/>
        </w:rPr>
      </w:pPr>
    </w:p>
    <w:p w14:paraId="086AD790" w14:textId="77777777" w:rsidR="00D90216" w:rsidRPr="00B84BB9" w:rsidRDefault="00C72C44" w:rsidP="095637AE">
      <w:pPr>
        <w:pStyle w:val="Heading2"/>
        <w:jc w:val="left"/>
        <w:rPr>
          <w:sz w:val="24"/>
          <w:szCs w:val="24"/>
        </w:rPr>
      </w:pPr>
      <w:bookmarkStart w:id="35" w:name="_Toc215593396"/>
      <w:r w:rsidRPr="095637AE">
        <w:rPr>
          <w:sz w:val="24"/>
          <w:szCs w:val="24"/>
        </w:rPr>
        <w:t>5</w:t>
      </w:r>
      <w:r>
        <w:tab/>
      </w:r>
      <w:r w:rsidR="00D90216" w:rsidRPr="00B84BB9">
        <w:rPr>
          <w:sz w:val="24"/>
          <w:szCs w:val="24"/>
        </w:rPr>
        <w:t>Related Parties Transactions</w:t>
      </w:r>
      <w:bookmarkEnd w:id="35"/>
    </w:p>
    <w:p w14:paraId="05DC5801" w14:textId="77777777" w:rsidR="00D90216" w:rsidRPr="00B84BB9" w:rsidRDefault="00D90216" w:rsidP="095637AE">
      <w:pPr>
        <w:rPr>
          <w:b/>
          <w:bCs/>
          <w:u w:val="single"/>
        </w:rPr>
      </w:pPr>
    </w:p>
    <w:p w14:paraId="7128C3AD" w14:textId="0064C938" w:rsidR="00D90216" w:rsidRPr="00B84BB9" w:rsidRDefault="00D90216" w:rsidP="095637AE">
      <w:pPr>
        <w:pStyle w:val="BodyTextIndent"/>
        <w:rPr>
          <w:lang w:val="en-GB"/>
        </w:rPr>
      </w:pPr>
      <w:r w:rsidRPr="00B84BB9">
        <w:rPr>
          <w:lang w:val="en-GB"/>
        </w:rPr>
        <w:t>The Authority is required to disclose material transactions with related parties – bodies or individuals that have the potential to control or influence the authority or to be controlled or influenced by the Authority. Disclosure of these transactions allows readers to assess the extent to which the Authority might have been constrained in its ability to operate independently or might have secured the ability to limit another party’s ability to bargain freely with the authority.</w:t>
      </w:r>
      <w:r w:rsidR="00000C47" w:rsidRPr="00B84BB9">
        <w:rPr>
          <w:lang w:val="en-GB"/>
        </w:rPr>
        <w:t xml:space="preserve"> Consideration must be given to materiality from both the viewpoint of the Authority and the related party.</w:t>
      </w:r>
    </w:p>
    <w:p w14:paraId="43E7AF38" w14:textId="77777777" w:rsidR="00D90216" w:rsidRPr="00B84BB9" w:rsidRDefault="00D90216" w:rsidP="095637AE">
      <w:pPr>
        <w:pStyle w:val="BodyTextIndent"/>
        <w:ind w:left="0"/>
        <w:rPr>
          <w:lang w:val="en-GB"/>
        </w:rPr>
      </w:pPr>
    </w:p>
    <w:p w14:paraId="2A39DC6C" w14:textId="77777777" w:rsidR="00D90216" w:rsidRPr="00B84BB9" w:rsidRDefault="00D90216" w:rsidP="095637AE">
      <w:pPr>
        <w:ind w:firstLine="720"/>
        <w:rPr>
          <w:b/>
          <w:bCs/>
        </w:rPr>
      </w:pPr>
      <w:r w:rsidRPr="00B84BB9">
        <w:rPr>
          <w:b/>
          <w:bCs/>
        </w:rPr>
        <w:t>Central Government</w:t>
      </w:r>
    </w:p>
    <w:p w14:paraId="08C9F65A" w14:textId="77777777" w:rsidR="00D90216" w:rsidRPr="00B84BB9" w:rsidRDefault="00D90216" w:rsidP="095637AE">
      <w:pPr>
        <w:pStyle w:val="BodyTextIndent"/>
        <w:rPr>
          <w:lang w:val="en-GB"/>
        </w:rPr>
      </w:pPr>
    </w:p>
    <w:p w14:paraId="46FC8960" w14:textId="71565033" w:rsidR="00D90216" w:rsidRPr="00B84BB9" w:rsidRDefault="00D90216" w:rsidP="095637AE">
      <w:pPr>
        <w:pStyle w:val="BodyTextIndent"/>
        <w:rPr>
          <w:lang w:val="en-GB"/>
        </w:rPr>
      </w:pPr>
      <w:r w:rsidRPr="00B84BB9">
        <w:rPr>
          <w:lang w:val="en-GB"/>
        </w:rPr>
        <w:t xml:space="preserve">Central government has effective control over the general operations of the Authority – it is responsible for providing the statutory framework within which the Authority operates, provides </w:t>
      </w:r>
      <w:r w:rsidR="00D21F6D" w:rsidRPr="00B84BB9">
        <w:rPr>
          <w:lang w:val="en-GB"/>
        </w:rPr>
        <w:t>most of</w:t>
      </w:r>
      <w:r w:rsidRPr="00B84BB9">
        <w:rPr>
          <w:lang w:val="en-GB"/>
        </w:rPr>
        <w:t xml:space="preserve"> its funding in the form of grants and prescribes the terms of many of the transactions that the Authority has with other parties (</w:t>
      </w:r>
      <w:r w:rsidR="00AA3FF8" w:rsidRPr="00B84BB9">
        <w:rPr>
          <w:lang w:val="en-GB"/>
        </w:rPr>
        <w:t>for example</w:t>
      </w:r>
      <w:r w:rsidRPr="00B84BB9">
        <w:rPr>
          <w:lang w:val="en-GB"/>
        </w:rPr>
        <w:t xml:space="preserve"> council tax bills).</w:t>
      </w:r>
    </w:p>
    <w:p w14:paraId="612F07EE" w14:textId="77777777" w:rsidR="00D90216" w:rsidRPr="00B84BB9" w:rsidRDefault="00D90216" w:rsidP="095637AE">
      <w:pPr>
        <w:pStyle w:val="BodyTextIndent"/>
        <w:ind w:left="0"/>
        <w:rPr>
          <w:lang w:val="en-GB"/>
        </w:rPr>
      </w:pPr>
    </w:p>
    <w:p w14:paraId="6450306B" w14:textId="77777777" w:rsidR="00D90216" w:rsidRPr="00B84BB9" w:rsidRDefault="00D90216" w:rsidP="095637AE">
      <w:pPr>
        <w:ind w:firstLine="720"/>
        <w:rPr>
          <w:b/>
          <w:bCs/>
        </w:rPr>
      </w:pPr>
      <w:r w:rsidRPr="00B84BB9">
        <w:rPr>
          <w:b/>
          <w:bCs/>
        </w:rPr>
        <w:t>Members</w:t>
      </w:r>
    </w:p>
    <w:p w14:paraId="735E557B" w14:textId="77777777" w:rsidR="00D90216" w:rsidRPr="00B84BB9" w:rsidRDefault="00D90216" w:rsidP="095637AE">
      <w:pPr>
        <w:pStyle w:val="BodyTextIndent"/>
        <w:rPr>
          <w:lang w:val="en-GB"/>
        </w:rPr>
      </w:pPr>
    </w:p>
    <w:p w14:paraId="05023D02" w14:textId="378CB1E4" w:rsidR="00D90216" w:rsidRPr="00B84BB9" w:rsidRDefault="00D90216" w:rsidP="095637AE">
      <w:pPr>
        <w:pStyle w:val="BodyTextIndent"/>
        <w:rPr>
          <w:lang w:val="en-GB"/>
        </w:rPr>
      </w:pPr>
      <w:r w:rsidRPr="00B84BB9">
        <w:rPr>
          <w:lang w:val="en-GB"/>
        </w:rPr>
        <w:t>Members of the Authority have direct control over the Authority’s financial and operating policies. The total of members’ allowances paid in 20</w:t>
      </w:r>
      <w:r w:rsidR="00C72C44" w:rsidRPr="00B84BB9">
        <w:rPr>
          <w:lang w:val="en-GB"/>
        </w:rPr>
        <w:t>2</w:t>
      </w:r>
      <w:r w:rsidR="00D146D9" w:rsidRPr="00B84BB9">
        <w:rPr>
          <w:lang w:val="en-GB"/>
        </w:rPr>
        <w:t>4</w:t>
      </w:r>
      <w:r w:rsidR="002A48DC" w:rsidRPr="00B84BB9">
        <w:rPr>
          <w:lang w:val="en-GB"/>
        </w:rPr>
        <w:t>/2</w:t>
      </w:r>
      <w:r w:rsidR="00D146D9" w:rsidRPr="00B84BB9">
        <w:rPr>
          <w:lang w:val="en-GB"/>
        </w:rPr>
        <w:t>5</w:t>
      </w:r>
      <w:r w:rsidRPr="00B84BB9">
        <w:rPr>
          <w:lang w:val="en-GB"/>
        </w:rPr>
        <w:t xml:space="preserve"> is shown in </w:t>
      </w:r>
      <w:hyperlink w:anchor="N2">
        <w:r w:rsidR="00C72C44" w:rsidRPr="00B84BB9">
          <w:rPr>
            <w:rStyle w:val="Hyperlink"/>
            <w:lang w:val="en-GB"/>
          </w:rPr>
          <w:t>N</w:t>
        </w:r>
        <w:r w:rsidRPr="00B84BB9">
          <w:rPr>
            <w:rStyle w:val="Hyperlink"/>
            <w:lang w:val="en-GB"/>
          </w:rPr>
          <w:t xml:space="preserve">ote </w:t>
        </w:r>
        <w:r w:rsidR="001B72DF" w:rsidRPr="00B84BB9">
          <w:rPr>
            <w:rStyle w:val="Hyperlink"/>
            <w:lang w:val="en-GB"/>
          </w:rPr>
          <w:t>2</w:t>
        </w:r>
      </w:hyperlink>
      <w:r w:rsidRPr="00B84BB9">
        <w:rPr>
          <w:lang w:val="en-GB"/>
        </w:rPr>
        <w:t xml:space="preserve">. As required under Section 81 of the Local Government Act 2000, </w:t>
      </w:r>
      <w:proofErr w:type="gramStart"/>
      <w:r w:rsidRPr="00B84BB9">
        <w:rPr>
          <w:lang w:val="en-GB"/>
        </w:rPr>
        <w:t>members’</w:t>
      </w:r>
      <w:proofErr w:type="gramEnd"/>
      <w:r w:rsidRPr="00B84BB9">
        <w:rPr>
          <w:lang w:val="en-GB"/>
        </w:rPr>
        <w:t xml:space="preserve"> outside interests are recorded in a formal register and the Code of Conduct operated by the Authority requires members to declare any related interests they have, and to take no part in meetings or decisions on issues concerning those related interests.</w:t>
      </w:r>
      <w:r w:rsidRPr="00382278">
        <w:rPr>
          <w:lang w:val="en-GB"/>
        </w:rPr>
        <w:t xml:space="preserve"> </w:t>
      </w:r>
    </w:p>
    <w:p w14:paraId="41EB29CD" w14:textId="77777777" w:rsidR="00D90216" w:rsidRPr="00B84BB9" w:rsidRDefault="00D90216" w:rsidP="095637AE">
      <w:pPr>
        <w:pStyle w:val="BodyTextIndent"/>
        <w:rPr>
          <w:lang w:val="en-GB"/>
        </w:rPr>
      </w:pPr>
    </w:p>
    <w:p w14:paraId="75AF8086" w14:textId="77777777" w:rsidR="00D90216" w:rsidRPr="00B84BB9" w:rsidRDefault="00D90216" w:rsidP="095637AE">
      <w:pPr>
        <w:pStyle w:val="BodyTextIndent"/>
        <w:rPr>
          <w:lang w:val="en-GB"/>
        </w:rPr>
      </w:pPr>
      <w:r w:rsidRPr="00B84BB9">
        <w:rPr>
          <w:lang w:val="en-GB"/>
        </w:rPr>
        <w:t>In addition, a survey of the related party interests of members and their immediate family members was carried out in preparing the Statement of Accounts. This survey showed that members have outside interests in bodies that have transactions with the Authority, such as:</w:t>
      </w:r>
    </w:p>
    <w:p w14:paraId="68E299D3" w14:textId="77777777" w:rsidR="00D90216" w:rsidRPr="00B84BB9" w:rsidRDefault="00D90216" w:rsidP="095637AE">
      <w:pPr>
        <w:pStyle w:val="BodyTextIndent"/>
        <w:rPr>
          <w:lang w:val="en-GB"/>
        </w:rPr>
      </w:pPr>
    </w:p>
    <w:p w14:paraId="58342B50" w14:textId="77777777" w:rsidR="00D90216" w:rsidRPr="00B84BB9" w:rsidRDefault="00D90216" w:rsidP="095637AE">
      <w:pPr>
        <w:pStyle w:val="BodyTextIndent"/>
        <w:rPr>
          <w:lang w:val="en-GB"/>
        </w:rPr>
      </w:pPr>
      <w:r w:rsidRPr="00B84BB9">
        <w:rPr>
          <w:lang w:val="en-GB"/>
        </w:rPr>
        <w:t xml:space="preserve">- roles as members of Lancashire County Council, the district and unitary </w:t>
      </w:r>
      <w:proofErr w:type="gramStart"/>
      <w:r w:rsidRPr="00B84BB9">
        <w:rPr>
          <w:lang w:val="en-GB"/>
        </w:rPr>
        <w:t>authorities;</w:t>
      </w:r>
      <w:proofErr w:type="gramEnd"/>
    </w:p>
    <w:p w14:paraId="646E78F9" w14:textId="77777777" w:rsidR="00D90216" w:rsidRPr="00B84BB9" w:rsidRDefault="00D90216" w:rsidP="095637AE">
      <w:pPr>
        <w:pStyle w:val="BodyTextIndent"/>
        <w:rPr>
          <w:lang w:val="en-GB"/>
        </w:rPr>
      </w:pPr>
      <w:r w:rsidRPr="00B84BB9">
        <w:rPr>
          <w:lang w:val="en-GB"/>
        </w:rPr>
        <w:t xml:space="preserve">- roles with voluntary </w:t>
      </w:r>
      <w:proofErr w:type="gramStart"/>
      <w:r w:rsidRPr="00B84BB9">
        <w:rPr>
          <w:lang w:val="en-GB"/>
        </w:rPr>
        <w:t>organisations;</w:t>
      </w:r>
      <w:proofErr w:type="gramEnd"/>
    </w:p>
    <w:p w14:paraId="7D23CB49" w14:textId="77777777" w:rsidR="00D90216" w:rsidRPr="00D948C1" w:rsidRDefault="00D90216" w:rsidP="00FA71D8">
      <w:pPr>
        <w:pStyle w:val="BodyTextIndent"/>
        <w:rPr>
          <w:szCs w:val="24"/>
          <w:lang w:val="en-GB"/>
        </w:rPr>
      </w:pPr>
    </w:p>
    <w:p w14:paraId="313AFB53" w14:textId="79CF9A1B" w:rsidR="00F641AC" w:rsidRPr="00D948C1" w:rsidRDefault="00A40290" w:rsidP="095637AE">
      <w:pPr>
        <w:pStyle w:val="BodyTextIndent"/>
        <w:rPr>
          <w:lang w:val="en-GB"/>
        </w:rPr>
      </w:pPr>
      <w:r w:rsidRPr="095637AE">
        <w:rPr>
          <w:lang w:val="en-GB"/>
        </w:rPr>
        <w:t xml:space="preserve">There is no evidence in these cases of control of one party by the other, however material </w:t>
      </w:r>
      <w:r w:rsidRPr="001F23E6">
        <w:rPr>
          <w:lang w:val="en-GB"/>
        </w:rPr>
        <w:t xml:space="preserve">transactions of </w:t>
      </w:r>
      <w:r w:rsidRPr="00B84BB9">
        <w:rPr>
          <w:lang w:val="en-GB"/>
        </w:rPr>
        <w:t>£1.0</w:t>
      </w:r>
      <w:r w:rsidR="00022360" w:rsidRPr="00B84BB9">
        <w:rPr>
          <w:lang w:val="en-GB"/>
        </w:rPr>
        <w:t>29</w:t>
      </w:r>
      <w:r w:rsidRPr="00B84BB9">
        <w:rPr>
          <w:lang w:val="en-GB"/>
        </w:rPr>
        <w:t>m</w:t>
      </w:r>
      <w:r w:rsidRPr="001F23E6">
        <w:rPr>
          <w:lang w:val="en-GB"/>
        </w:rPr>
        <w:t xml:space="preserve"> spend</w:t>
      </w:r>
      <w:r w:rsidRPr="095637AE">
        <w:rPr>
          <w:lang w:val="en-GB"/>
        </w:rPr>
        <w:t xml:space="preserve"> with Lancashire County Council requires disclosure in this </w:t>
      </w:r>
      <w:r w:rsidRPr="095637AE">
        <w:rPr>
          <w:lang w:val="en-GB"/>
        </w:rPr>
        <w:lastRenderedPageBreak/>
        <w:t>note. Most of this sum relates to maintenance of the Authority’s vehicle fleet, in addition to services provided under Service Level Agreements.</w:t>
      </w:r>
    </w:p>
    <w:p w14:paraId="2356C24B" w14:textId="2BC5B259" w:rsidR="003278CF" w:rsidRPr="00D948C1" w:rsidRDefault="003278CF" w:rsidP="095637AE">
      <w:pPr>
        <w:rPr>
          <w:b/>
          <w:bCs/>
          <w:highlight w:val="green"/>
        </w:rPr>
      </w:pPr>
    </w:p>
    <w:p w14:paraId="781ABF28" w14:textId="08FB14B9" w:rsidR="00D90216" w:rsidRPr="00B84BB9" w:rsidRDefault="00D90216" w:rsidP="095637AE">
      <w:pPr>
        <w:ind w:firstLine="720"/>
        <w:rPr>
          <w:b/>
          <w:bCs/>
        </w:rPr>
      </w:pPr>
      <w:r w:rsidRPr="00B84BB9">
        <w:rPr>
          <w:b/>
          <w:bCs/>
        </w:rPr>
        <w:t>Officers</w:t>
      </w:r>
    </w:p>
    <w:p w14:paraId="35244ACE" w14:textId="77777777" w:rsidR="00D90216" w:rsidRPr="00B84BB9" w:rsidRDefault="00D90216" w:rsidP="095637AE">
      <w:pPr>
        <w:pStyle w:val="BodyTextIndent"/>
        <w:rPr>
          <w:lang w:val="en-GB"/>
        </w:rPr>
      </w:pPr>
    </w:p>
    <w:p w14:paraId="69F9E87F" w14:textId="3059695E" w:rsidR="00A40290" w:rsidRPr="00B84BB9" w:rsidRDefault="00797087" w:rsidP="095637AE">
      <w:pPr>
        <w:pStyle w:val="BodyTextIndent"/>
        <w:rPr>
          <w:lang w:val="en-GB"/>
        </w:rPr>
      </w:pPr>
      <w:r w:rsidRPr="00B84BB9">
        <w:t xml:space="preserve">Officers of the Authority are required to declare </w:t>
      </w:r>
      <w:proofErr w:type="gramStart"/>
      <w:r w:rsidRPr="00B84BB9">
        <w:t>interests</w:t>
      </w:r>
      <w:proofErr w:type="gramEnd"/>
      <w:r w:rsidRPr="00B84BB9">
        <w:t xml:space="preserve"> in related parties on an annual basis in respect of the financial statements. There were no reported material related party transactions regarding 202</w:t>
      </w:r>
      <w:r w:rsidR="5E017D4F" w:rsidRPr="00B84BB9">
        <w:t>4</w:t>
      </w:r>
      <w:r w:rsidRPr="00B84BB9">
        <w:t>/2</w:t>
      </w:r>
      <w:r w:rsidR="46FEFF8A" w:rsidRPr="00B84BB9">
        <w:t>5</w:t>
      </w:r>
      <w:r w:rsidRPr="00B84BB9">
        <w:t xml:space="preserve">. </w:t>
      </w:r>
      <w:r w:rsidR="70725731" w:rsidRPr="00B84BB9">
        <w:t>This is consistent with 2023/24</w:t>
      </w:r>
      <w:r w:rsidR="00A40290" w:rsidRPr="00B84BB9">
        <w:rPr>
          <w:lang w:val="en-GB"/>
        </w:rPr>
        <w:t>.</w:t>
      </w:r>
    </w:p>
    <w:p w14:paraId="32A962D0" w14:textId="77777777" w:rsidR="00FB42CA" w:rsidRPr="00D948C1" w:rsidRDefault="00FB42CA" w:rsidP="00FA71D8">
      <w:pPr>
        <w:pStyle w:val="BodyTextIndent"/>
        <w:rPr>
          <w:szCs w:val="24"/>
          <w:lang w:val="en-GB"/>
        </w:rPr>
      </w:pPr>
    </w:p>
    <w:p w14:paraId="2C0DE753" w14:textId="77777777" w:rsidR="00D90216" w:rsidRPr="00D948C1" w:rsidRDefault="00C72C44" w:rsidP="00FA71D8">
      <w:pPr>
        <w:pStyle w:val="Heading2"/>
        <w:jc w:val="left"/>
        <w:rPr>
          <w:sz w:val="24"/>
          <w:szCs w:val="24"/>
        </w:rPr>
      </w:pPr>
      <w:bookmarkStart w:id="36" w:name="_6_Property,_Plant"/>
      <w:bookmarkStart w:id="37" w:name="_Toc215593397"/>
      <w:bookmarkEnd w:id="36"/>
      <w:r w:rsidRPr="00D948C1">
        <w:rPr>
          <w:sz w:val="24"/>
          <w:szCs w:val="24"/>
        </w:rPr>
        <w:t>6</w:t>
      </w:r>
      <w:r w:rsidR="00D90216" w:rsidRPr="00D948C1">
        <w:rPr>
          <w:sz w:val="24"/>
          <w:szCs w:val="24"/>
        </w:rPr>
        <w:tab/>
        <w:t>Property, Plant &amp; Equipment</w:t>
      </w:r>
      <w:bookmarkEnd w:id="37"/>
    </w:p>
    <w:p w14:paraId="2C702376" w14:textId="77777777" w:rsidR="00D90216" w:rsidRPr="00D948C1" w:rsidRDefault="00D90216" w:rsidP="00FA71D8">
      <w:pPr>
        <w:ind w:left="720"/>
        <w:rPr>
          <w:szCs w:val="24"/>
        </w:rPr>
      </w:pPr>
    </w:p>
    <w:p w14:paraId="650D2435" w14:textId="62B736CD" w:rsidR="00D90216" w:rsidRPr="003B41EF" w:rsidRDefault="00D90216" w:rsidP="095637AE">
      <w:pPr>
        <w:ind w:left="720"/>
      </w:pPr>
      <w:r w:rsidRPr="003B41EF">
        <w:t xml:space="preserve">Details on policies can be seen in </w:t>
      </w:r>
      <w:hyperlink w:anchor="_30_Accounting_Policies">
        <w:r w:rsidR="00C06D8B">
          <w:rPr>
            <w:rStyle w:val="Hyperlink"/>
          </w:rPr>
          <w:t>Note 30</w:t>
        </w:r>
      </w:hyperlink>
      <w:r w:rsidR="00B16EF7" w:rsidRPr="003B41EF">
        <w:t>,</w:t>
      </w:r>
      <w:r w:rsidRPr="003B41EF">
        <w:t xml:space="preserve"> Accounting Policies.</w:t>
      </w:r>
    </w:p>
    <w:p w14:paraId="4432E3E3" w14:textId="77777777" w:rsidR="00D90216" w:rsidRPr="00D948C1" w:rsidRDefault="00D90216" w:rsidP="00FA71D8">
      <w:pPr>
        <w:ind w:left="720"/>
        <w:rPr>
          <w:szCs w:val="24"/>
        </w:rPr>
      </w:pPr>
    </w:p>
    <w:p w14:paraId="6F5D651C" w14:textId="4CAABC5E" w:rsidR="00D90216" w:rsidRPr="00D948C1" w:rsidRDefault="00D90216" w:rsidP="003278CF">
      <w:pPr>
        <w:ind w:firstLine="720"/>
        <w:rPr>
          <w:b/>
          <w:bCs/>
        </w:rPr>
      </w:pPr>
      <w:r w:rsidRPr="095637AE">
        <w:rPr>
          <w:b/>
          <w:bCs/>
        </w:rPr>
        <w:t>Movements during the Year</w:t>
      </w:r>
    </w:p>
    <w:p w14:paraId="6CFCE7B8" w14:textId="77777777" w:rsidR="00D90216" w:rsidRPr="00D948C1" w:rsidRDefault="00D90216" w:rsidP="00FA71D8">
      <w:pPr>
        <w:ind w:left="720"/>
        <w:rPr>
          <w:szCs w:val="24"/>
        </w:rPr>
      </w:pPr>
    </w:p>
    <w:p w14:paraId="79C712CF" w14:textId="29E79B37" w:rsidR="00F74E7D" w:rsidRPr="004C63B6" w:rsidRDefault="00D90216" w:rsidP="004C63B6">
      <w:pPr>
        <w:pStyle w:val="BodyTextIndent"/>
        <w:ind w:left="709" w:right="425"/>
        <w:rPr>
          <w:lang w:val="en-GB"/>
        </w:rPr>
      </w:pPr>
      <w:r w:rsidRPr="00D948C1">
        <w:rPr>
          <w:szCs w:val="24"/>
          <w:lang w:val="en-GB"/>
        </w:rPr>
        <w:t xml:space="preserve">The table below summarises the movements in Property, Plant and Equipment during the year. Land and buildings, vehicles, plant, </w:t>
      </w:r>
      <w:r w:rsidR="000F28B4" w:rsidRPr="00D948C1">
        <w:rPr>
          <w:szCs w:val="24"/>
          <w:lang w:val="en-GB"/>
        </w:rPr>
        <w:t>furniture,</w:t>
      </w:r>
      <w:r w:rsidRPr="00D948C1">
        <w:rPr>
          <w:szCs w:val="24"/>
          <w:lang w:val="en-GB"/>
        </w:rPr>
        <w:t xml:space="preserve"> and equipment are all disclosed at their net current value. All additions (new expenditure) are shown at cost.</w:t>
      </w:r>
      <w:r w:rsidR="004C63B6">
        <w:rPr>
          <w:szCs w:val="24"/>
          <w:lang w:val="en-GB"/>
        </w:rPr>
        <w:t xml:space="preserve"> </w:t>
      </w:r>
      <w:r w:rsidR="004C63B6">
        <w:rPr>
          <w:lang w:val="en-GB"/>
        </w:rPr>
        <w:t xml:space="preserve">Assets under construction </w:t>
      </w:r>
      <w:r w:rsidR="00EC7C79">
        <w:rPr>
          <w:lang w:val="en-GB"/>
        </w:rPr>
        <w:t xml:space="preserve">(AUC) </w:t>
      </w:r>
      <w:r w:rsidR="004C63B6">
        <w:rPr>
          <w:lang w:val="en-GB"/>
        </w:rPr>
        <w:t>are held at cost and not depreciated until they come into service.</w:t>
      </w:r>
    </w:p>
    <w:p w14:paraId="7622E5AC" w14:textId="59A7EC1F" w:rsidR="00F74E7D" w:rsidRPr="00D948C1" w:rsidRDefault="00F74E7D" w:rsidP="008B00BF">
      <w:pPr>
        <w:jc w:val="both"/>
        <w:rPr>
          <w:szCs w:val="24"/>
        </w:rPr>
      </w:pPr>
    </w:p>
    <w:p w14:paraId="7A9C42A4" w14:textId="77777777" w:rsidR="004C63B6" w:rsidRDefault="004C63B6" w:rsidP="00210760">
      <w:pPr>
        <w:ind w:left="709"/>
        <w:rPr>
          <w:szCs w:val="24"/>
        </w:rPr>
        <w:sectPr w:rsidR="004C63B6" w:rsidSect="0050229D">
          <w:pgSz w:w="11907" w:h="16840" w:code="9"/>
          <w:pgMar w:top="454" w:right="567" w:bottom="397" w:left="567" w:header="720" w:footer="720" w:gutter="0"/>
          <w:cols w:space="720"/>
          <w:docGrid w:linePitch="326"/>
        </w:sectPr>
      </w:pPr>
    </w:p>
    <w:p w14:paraId="68491591" w14:textId="229DB6D9" w:rsidR="002C5D98" w:rsidRDefault="00D90216" w:rsidP="00210760">
      <w:pPr>
        <w:ind w:left="709"/>
        <w:rPr>
          <w:szCs w:val="24"/>
        </w:rPr>
      </w:pPr>
      <w:r w:rsidRPr="00D948C1">
        <w:rPr>
          <w:szCs w:val="24"/>
        </w:rPr>
        <w:lastRenderedPageBreak/>
        <w:t>Movements in Property, Plant and Equipment analysed into their different categories</w:t>
      </w:r>
      <w:r w:rsidR="00B16EF7" w:rsidRPr="00D948C1">
        <w:rPr>
          <w:szCs w:val="24"/>
        </w:rPr>
        <w:t xml:space="preserve"> for 20</w:t>
      </w:r>
      <w:r w:rsidR="00C72C44" w:rsidRPr="00D948C1">
        <w:rPr>
          <w:szCs w:val="24"/>
        </w:rPr>
        <w:t>2</w:t>
      </w:r>
      <w:r w:rsidR="001D3375">
        <w:rPr>
          <w:szCs w:val="24"/>
        </w:rPr>
        <w:t>4</w:t>
      </w:r>
      <w:r w:rsidR="00F26A44" w:rsidRPr="00D948C1">
        <w:rPr>
          <w:szCs w:val="24"/>
        </w:rPr>
        <w:t>/2</w:t>
      </w:r>
      <w:r w:rsidR="001D3375">
        <w:rPr>
          <w:szCs w:val="24"/>
        </w:rPr>
        <w:t>5</w:t>
      </w:r>
      <w:r w:rsidRPr="00D948C1">
        <w:rPr>
          <w:szCs w:val="24"/>
        </w:rPr>
        <w:t xml:space="preserve"> are:</w:t>
      </w:r>
    </w:p>
    <w:p w14:paraId="1CE5A02B" w14:textId="77777777" w:rsidR="001305B2" w:rsidRPr="00D948C1" w:rsidRDefault="001305B2" w:rsidP="00210760">
      <w:pPr>
        <w:ind w:left="709"/>
        <w:rPr>
          <w:szCs w:val="24"/>
        </w:rPr>
      </w:pPr>
    </w:p>
    <w:tbl>
      <w:tblPr>
        <w:tblW w:w="134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7"/>
        <w:gridCol w:w="1565"/>
        <w:gridCol w:w="1563"/>
        <w:gridCol w:w="1564"/>
        <w:gridCol w:w="1562"/>
        <w:gridCol w:w="1565"/>
      </w:tblGrid>
      <w:tr w:rsidR="00C44B33" w:rsidRPr="00D948C1" w14:paraId="5B0B89D7" w14:textId="77777777" w:rsidTr="00580079">
        <w:trPr>
          <w:trHeight w:val="425"/>
          <w:tblHeader/>
        </w:trPr>
        <w:tc>
          <w:tcPr>
            <w:tcW w:w="5667" w:type="dxa"/>
            <w:shd w:val="clear" w:color="auto" w:fill="BD2716"/>
            <w:noWrap/>
            <w:vAlign w:val="center"/>
          </w:tcPr>
          <w:p w14:paraId="56CD4506" w14:textId="68199C39" w:rsidR="00C44B33" w:rsidRPr="00D948C1" w:rsidRDefault="00C44B33" w:rsidP="00600E41">
            <w:pPr>
              <w:ind w:left="175"/>
              <w:jc w:val="right"/>
              <w:rPr>
                <w:rFonts w:cs="Arial"/>
                <w:color w:val="FFFFFF" w:themeColor="background1"/>
                <w:szCs w:val="24"/>
                <w:lang w:eastAsia="en-GB"/>
              </w:rPr>
            </w:pPr>
          </w:p>
        </w:tc>
        <w:tc>
          <w:tcPr>
            <w:tcW w:w="1565" w:type="dxa"/>
            <w:shd w:val="clear" w:color="auto" w:fill="BD2716"/>
            <w:vAlign w:val="center"/>
          </w:tcPr>
          <w:p w14:paraId="4E9CCAC0" w14:textId="77777777"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1BDDDFDB" w14:textId="4B2D8F4F"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3" w:type="dxa"/>
            <w:shd w:val="clear" w:color="auto" w:fill="BD2716"/>
            <w:vAlign w:val="center"/>
          </w:tcPr>
          <w:p w14:paraId="7929E470" w14:textId="77777777"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29E1A4E2" w14:textId="5A4B3A5E"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4" w:type="dxa"/>
            <w:shd w:val="clear" w:color="auto" w:fill="BD2716"/>
            <w:vAlign w:val="center"/>
          </w:tcPr>
          <w:p w14:paraId="68CFD4D0" w14:textId="139163D5" w:rsidR="00C44B33" w:rsidRPr="00D948C1" w:rsidRDefault="00600E41" w:rsidP="00600E41">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2" w:type="dxa"/>
            <w:shd w:val="clear" w:color="auto" w:fill="BD2716"/>
            <w:vAlign w:val="center"/>
          </w:tcPr>
          <w:p w14:paraId="2912F02D" w14:textId="4A20D673"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507F4126" w14:textId="0CEF9526"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5" w:type="dxa"/>
            <w:shd w:val="clear" w:color="auto" w:fill="BD2716"/>
            <w:noWrap/>
            <w:vAlign w:val="center"/>
          </w:tcPr>
          <w:p w14:paraId="61EF5229" w14:textId="77777777"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3CF340D9" w14:textId="2543F98B" w:rsidR="00C44B33" w:rsidRPr="00D948C1" w:rsidRDefault="00C44B33" w:rsidP="00600E41">
            <w:pPr>
              <w:jc w:val="right"/>
              <w:rPr>
                <w:color w:val="FFFFFF" w:themeColor="background1"/>
                <w:lang w:eastAsia="en-GB"/>
              </w:rPr>
            </w:pPr>
            <w:r w:rsidRPr="00D948C1">
              <w:rPr>
                <w:rFonts w:cs="Arial"/>
                <w:color w:val="FFFFFF" w:themeColor="background1"/>
                <w:szCs w:val="24"/>
                <w:lang w:eastAsia="en-GB"/>
              </w:rPr>
              <w:t>£000</w:t>
            </w:r>
          </w:p>
        </w:tc>
      </w:tr>
      <w:tr w:rsidR="00E439FD" w:rsidRPr="00D948C1" w14:paraId="6146FB86" w14:textId="77777777" w:rsidTr="007E05E3">
        <w:trPr>
          <w:trHeight w:val="212"/>
        </w:trPr>
        <w:tc>
          <w:tcPr>
            <w:tcW w:w="13486" w:type="dxa"/>
            <w:gridSpan w:val="6"/>
            <w:shd w:val="clear" w:color="auto" w:fill="D9D9D9" w:themeFill="background1" w:themeFillShade="D9"/>
            <w:noWrap/>
            <w:vAlign w:val="bottom"/>
          </w:tcPr>
          <w:p w14:paraId="4915B82A" w14:textId="661BF35C" w:rsidR="00E439FD" w:rsidRPr="00D948C1" w:rsidRDefault="00E439FD" w:rsidP="00BC6C4F">
            <w:pPr>
              <w:rPr>
                <w:rFonts w:cs="Arial"/>
                <w:szCs w:val="24"/>
                <w:lang w:eastAsia="en-GB"/>
              </w:rPr>
            </w:pPr>
            <w:r w:rsidRPr="00D948C1">
              <w:rPr>
                <w:rFonts w:cs="Arial"/>
                <w:b/>
                <w:bCs/>
                <w:szCs w:val="24"/>
                <w:lang w:eastAsia="en-GB"/>
              </w:rPr>
              <w:t>Cost or valuation</w:t>
            </w:r>
          </w:p>
        </w:tc>
      </w:tr>
      <w:tr w:rsidR="00C44B33" w:rsidRPr="00D948C1" w14:paraId="2AAF4C72" w14:textId="77777777" w:rsidTr="00580079">
        <w:trPr>
          <w:trHeight w:val="272"/>
        </w:trPr>
        <w:tc>
          <w:tcPr>
            <w:tcW w:w="5667" w:type="dxa"/>
            <w:noWrap/>
            <w:vAlign w:val="bottom"/>
          </w:tcPr>
          <w:p w14:paraId="7B2C1C77" w14:textId="390A9F9B" w:rsidR="00C44B33" w:rsidRPr="00D948C1" w:rsidRDefault="00C44B33" w:rsidP="00C93FB3">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4</w:t>
            </w:r>
          </w:p>
        </w:tc>
        <w:tc>
          <w:tcPr>
            <w:tcW w:w="1565" w:type="dxa"/>
            <w:noWrap/>
            <w:vAlign w:val="center"/>
          </w:tcPr>
          <w:p w14:paraId="664D0ACC" w14:textId="294BEC71" w:rsidR="00C44B33" w:rsidRPr="00BD2C0D" w:rsidRDefault="00C44B33" w:rsidP="00C93FB3">
            <w:pPr>
              <w:jc w:val="right"/>
              <w:rPr>
                <w:rFonts w:cs="Arial"/>
                <w:szCs w:val="24"/>
                <w:lang w:eastAsia="en-GB"/>
              </w:rPr>
            </w:pPr>
            <w:r w:rsidRPr="00BD2C0D">
              <w:rPr>
                <w:rFonts w:cs="Arial"/>
                <w:szCs w:val="24"/>
                <w:lang w:eastAsia="en-GB"/>
              </w:rPr>
              <w:t>79,242</w:t>
            </w:r>
          </w:p>
        </w:tc>
        <w:tc>
          <w:tcPr>
            <w:tcW w:w="1563" w:type="dxa"/>
            <w:vAlign w:val="center"/>
          </w:tcPr>
          <w:p w14:paraId="34A420D5" w14:textId="63851C3D" w:rsidR="00C44B33" w:rsidRPr="00BD2C0D" w:rsidRDefault="00C44B33" w:rsidP="00C93FB3">
            <w:pPr>
              <w:jc w:val="right"/>
              <w:rPr>
                <w:rFonts w:cs="Arial"/>
                <w:szCs w:val="24"/>
                <w:lang w:eastAsia="en-GB"/>
              </w:rPr>
            </w:pPr>
            <w:r w:rsidRPr="00BD2C0D">
              <w:rPr>
                <w:rFonts w:cs="Arial"/>
                <w:szCs w:val="24"/>
                <w:lang w:eastAsia="en-GB"/>
              </w:rPr>
              <w:t>36,270</w:t>
            </w:r>
          </w:p>
        </w:tc>
        <w:tc>
          <w:tcPr>
            <w:tcW w:w="1564" w:type="dxa"/>
            <w:vAlign w:val="center"/>
          </w:tcPr>
          <w:p w14:paraId="6D0B676D" w14:textId="6955DD26" w:rsidR="00C44B33" w:rsidRPr="00C10CC1" w:rsidRDefault="00E3108A" w:rsidP="00E3108A">
            <w:pPr>
              <w:jc w:val="right"/>
              <w:rPr>
                <w:rFonts w:cs="Arial"/>
                <w:szCs w:val="24"/>
                <w:lang w:eastAsia="en-GB"/>
              </w:rPr>
            </w:pPr>
            <w:r>
              <w:rPr>
                <w:rFonts w:cs="Arial"/>
                <w:szCs w:val="24"/>
                <w:lang w:eastAsia="en-GB"/>
              </w:rPr>
              <w:t>1,274</w:t>
            </w:r>
          </w:p>
        </w:tc>
        <w:tc>
          <w:tcPr>
            <w:tcW w:w="1562" w:type="dxa"/>
            <w:vAlign w:val="center"/>
          </w:tcPr>
          <w:p w14:paraId="178C545D" w14:textId="68B75AA5" w:rsidR="00C44B33" w:rsidRPr="00BD2C0D" w:rsidRDefault="00C44B33" w:rsidP="00C93FB3">
            <w:pPr>
              <w:jc w:val="right"/>
              <w:rPr>
                <w:rFonts w:cs="Arial"/>
                <w:szCs w:val="24"/>
                <w:lang w:eastAsia="en-GB"/>
              </w:rPr>
            </w:pPr>
            <w:r w:rsidRPr="00BD2C0D">
              <w:rPr>
                <w:rFonts w:cs="Arial"/>
                <w:szCs w:val="24"/>
                <w:lang w:eastAsia="en-GB"/>
              </w:rPr>
              <w:t>2</w:t>
            </w:r>
            <w:r w:rsidR="00F25CDD">
              <w:rPr>
                <w:rFonts w:cs="Arial"/>
                <w:szCs w:val="24"/>
                <w:lang w:eastAsia="en-GB"/>
              </w:rPr>
              <w:t>7</w:t>
            </w:r>
            <w:r w:rsidRPr="00BD2C0D">
              <w:rPr>
                <w:rFonts w:cs="Arial"/>
                <w:szCs w:val="24"/>
                <w:lang w:eastAsia="en-GB"/>
              </w:rPr>
              <w:t>,</w:t>
            </w:r>
            <w:r w:rsidR="00F25CDD">
              <w:rPr>
                <w:rFonts w:cs="Arial"/>
                <w:szCs w:val="24"/>
                <w:lang w:eastAsia="en-GB"/>
              </w:rPr>
              <w:t>940</w:t>
            </w:r>
          </w:p>
        </w:tc>
        <w:tc>
          <w:tcPr>
            <w:tcW w:w="1565" w:type="dxa"/>
            <w:noWrap/>
            <w:vAlign w:val="center"/>
          </w:tcPr>
          <w:p w14:paraId="7D8D241C" w14:textId="7C0F39CE" w:rsidR="00C44B33" w:rsidRPr="00BD2C0D" w:rsidRDefault="00C44B33" w:rsidP="00C93FB3">
            <w:pPr>
              <w:jc w:val="right"/>
              <w:rPr>
                <w:rFonts w:cs="Arial"/>
                <w:szCs w:val="24"/>
                <w:lang w:eastAsia="en-GB"/>
              </w:rPr>
            </w:pPr>
            <w:r w:rsidRPr="00BD2C0D">
              <w:rPr>
                <w:rFonts w:cs="Arial"/>
                <w:szCs w:val="24"/>
                <w:lang w:eastAsia="en-GB"/>
              </w:rPr>
              <w:t>144,727</w:t>
            </w:r>
          </w:p>
        </w:tc>
      </w:tr>
      <w:tr w:rsidR="00C44B33" w:rsidRPr="00D948C1" w14:paraId="2E2D0131" w14:textId="77777777" w:rsidTr="00580079">
        <w:trPr>
          <w:trHeight w:val="212"/>
        </w:trPr>
        <w:tc>
          <w:tcPr>
            <w:tcW w:w="5667" w:type="dxa"/>
            <w:noWrap/>
            <w:vAlign w:val="bottom"/>
          </w:tcPr>
          <w:p w14:paraId="38892235" w14:textId="2B72B1FD" w:rsidR="00C44B33" w:rsidRPr="00D948C1" w:rsidRDefault="00C44B33" w:rsidP="009A6091">
            <w:pPr>
              <w:ind w:left="175"/>
              <w:rPr>
                <w:rFonts w:cs="Arial"/>
                <w:szCs w:val="24"/>
                <w:lang w:eastAsia="en-GB"/>
              </w:rPr>
            </w:pPr>
            <w:r>
              <w:rPr>
                <w:rFonts w:cs="Arial"/>
                <w:szCs w:val="24"/>
                <w:lang w:eastAsia="en-GB"/>
              </w:rPr>
              <w:t>IFRS 16 PFI Transition Remeasurement &amp; Indexation</w:t>
            </w:r>
          </w:p>
        </w:tc>
        <w:tc>
          <w:tcPr>
            <w:tcW w:w="1565" w:type="dxa"/>
            <w:noWrap/>
            <w:vAlign w:val="center"/>
          </w:tcPr>
          <w:p w14:paraId="7FF20A7D" w14:textId="7FAF32B6" w:rsidR="00C44B33" w:rsidRPr="00BD2C0D" w:rsidRDefault="00C44B33" w:rsidP="009A6091">
            <w:pPr>
              <w:jc w:val="right"/>
              <w:rPr>
                <w:szCs w:val="24"/>
              </w:rPr>
            </w:pPr>
            <w:r w:rsidRPr="00BD2C0D">
              <w:rPr>
                <w:szCs w:val="24"/>
              </w:rPr>
              <w:t>-</w:t>
            </w:r>
          </w:p>
        </w:tc>
        <w:tc>
          <w:tcPr>
            <w:tcW w:w="1563" w:type="dxa"/>
            <w:vAlign w:val="center"/>
          </w:tcPr>
          <w:p w14:paraId="0389694E" w14:textId="729F4729" w:rsidR="00C44B33" w:rsidRPr="00BD2C0D" w:rsidRDefault="00C44B33" w:rsidP="009A6091">
            <w:pPr>
              <w:jc w:val="right"/>
              <w:rPr>
                <w:szCs w:val="24"/>
              </w:rPr>
            </w:pPr>
            <w:r w:rsidRPr="00BD2C0D">
              <w:rPr>
                <w:szCs w:val="24"/>
              </w:rPr>
              <w:t>1,178</w:t>
            </w:r>
          </w:p>
        </w:tc>
        <w:tc>
          <w:tcPr>
            <w:tcW w:w="1564" w:type="dxa"/>
            <w:vAlign w:val="center"/>
          </w:tcPr>
          <w:p w14:paraId="2A5794AB" w14:textId="1E11E86D" w:rsidR="00C44B33" w:rsidRPr="00C10CC1" w:rsidRDefault="00E3108A" w:rsidP="00E3108A">
            <w:pPr>
              <w:jc w:val="right"/>
              <w:rPr>
                <w:rFonts w:cs="Arial"/>
                <w:szCs w:val="24"/>
                <w:lang w:eastAsia="en-GB"/>
              </w:rPr>
            </w:pPr>
            <w:r>
              <w:rPr>
                <w:rFonts w:cs="Arial"/>
                <w:szCs w:val="24"/>
                <w:lang w:eastAsia="en-GB"/>
              </w:rPr>
              <w:t>-</w:t>
            </w:r>
          </w:p>
        </w:tc>
        <w:tc>
          <w:tcPr>
            <w:tcW w:w="1562" w:type="dxa"/>
            <w:vAlign w:val="center"/>
          </w:tcPr>
          <w:p w14:paraId="49998D9B" w14:textId="01580F82" w:rsidR="00C44B33" w:rsidRPr="00BD2C0D" w:rsidRDefault="00C44B33" w:rsidP="009A6091">
            <w:pPr>
              <w:jc w:val="right"/>
              <w:rPr>
                <w:szCs w:val="24"/>
              </w:rPr>
            </w:pPr>
            <w:r w:rsidRPr="00BD2C0D">
              <w:rPr>
                <w:szCs w:val="24"/>
              </w:rPr>
              <w:t>-</w:t>
            </w:r>
          </w:p>
        </w:tc>
        <w:tc>
          <w:tcPr>
            <w:tcW w:w="1565" w:type="dxa"/>
            <w:noWrap/>
            <w:vAlign w:val="center"/>
          </w:tcPr>
          <w:p w14:paraId="22DA5CF6" w14:textId="1762D594" w:rsidR="00C44B33" w:rsidRPr="00BD2C0D" w:rsidRDefault="00C44B33" w:rsidP="009A6091">
            <w:pPr>
              <w:jc w:val="right"/>
              <w:rPr>
                <w:szCs w:val="24"/>
              </w:rPr>
            </w:pPr>
            <w:r w:rsidRPr="00BD2C0D">
              <w:rPr>
                <w:szCs w:val="24"/>
              </w:rPr>
              <w:t>1,178</w:t>
            </w:r>
          </w:p>
        </w:tc>
      </w:tr>
      <w:tr w:rsidR="00C44B33" w:rsidRPr="00D948C1" w14:paraId="15342E43" w14:textId="77777777" w:rsidTr="00580079">
        <w:trPr>
          <w:trHeight w:val="272"/>
        </w:trPr>
        <w:tc>
          <w:tcPr>
            <w:tcW w:w="5667" w:type="dxa"/>
            <w:noWrap/>
            <w:vAlign w:val="bottom"/>
          </w:tcPr>
          <w:p w14:paraId="26362223" w14:textId="491DDF66" w:rsidR="00C44B33" w:rsidRPr="00D948C1" w:rsidRDefault="00C44B33" w:rsidP="009A6091">
            <w:pPr>
              <w:ind w:left="175"/>
              <w:rPr>
                <w:rFonts w:cs="Arial"/>
                <w:szCs w:val="24"/>
                <w:lang w:eastAsia="en-GB"/>
              </w:rPr>
            </w:pPr>
            <w:r>
              <w:rPr>
                <w:rFonts w:cs="Arial"/>
                <w:szCs w:val="24"/>
                <w:lang w:eastAsia="en-GB"/>
              </w:rPr>
              <w:t>IFRS 16 Lease Transition</w:t>
            </w:r>
          </w:p>
        </w:tc>
        <w:tc>
          <w:tcPr>
            <w:tcW w:w="1565" w:type="dxa"/>
            <w:noWrap/>
            <w:vAlign w:val="center"/>
          </w:tcPr>
          <w:p w14:paraId="05C8533D" w14:textId="5C693B33" w:rsidR="00C44B33" w:rsidRPr="00BD2C0D" w:rsidRDefault="00C44B33" w:rsidP="009A6091">
            <w:pPr>
              <w:jc w:val="right"/>
              <w:rPr>
                <w:rFonts w:cs="Arial"/>
                <w:szCs w:val="24"/>
                <w:lang w:eastAsia="en-GB"/>
              </w:rPr>
            </w:pPr>
            <w:r w:rsidRPr="00BD2C0D">
              <w:rPr>
                <w:rFonts w:cs="Arial"/>
                <w:szCs w:val="24"/>
                <w:lang w:eastAsia="en-GB"/>
              </w:rPr>
              <w:t>103</w:t>
            </w:r>
          </w:p>
        </w:tc>
        <w:tc>
          <w:tcPr>
            <w:tcW w:w="1563" w:type="dxa"/>
            <w:vAlign w:val="center"/>
          </w:tcPr>
          <w:p w14:paraId="712DF950" w14:textId="026DF5CF" w:rsidR="00C44B33" w:rsidRPr="00BD2C0D" w:rsidRDefault="00C44B33" w:rsidP="009A6091">
            <w:pPr>
              <w:jc w:val="right"/>
              <w:rPr>
                <w:rFonts w:cs="Arial"/>
                <w:szCs w:val="24"/>
                <w:lang w:eastAsia="en-GB"/>
              </w:rPr>
            </w:pPr>
            <w:r w:rsidRPr="00BD2C0D">
              <w:rPr>
                <w:rFonts w:cs="Arial"/>
                <w:szCs w:val="24"/>
                <w:lang w:eastAsia="en-GB"/>
              </w:rPr>
              <w:t>-</w:t>
            </w:r>
          </w:p>
        </w:tc>
        <w:tc>
          <w:tcPr>
            <w:tcW w:w="1564" w:type="dxa"/>
            <w:vAlign w:val="center"/>
          </w:tcPr>
          <w:p w14:paraId="02592A8C" w14:textId="300E6D79" w:rsidR="00C44B33" w:rsidRPr="00C10CC1" w:rsidRDefault="00E3108A" w:rsidP="00E3108A">
            <w:pPr>
              <w:jc w:val="right"/>
              <w:rPr>
                <w:rFonts w:cs="Arial"/>
                <w:szCs w:val="24"/>
                <w:lang w:eastAsia="en-GB"/>
              </w:rPr>
            </w:pPr>
            <w:r>
              <w:rPr>
                <w:rFonts w:cs="Arial"/>
                <w:szCs w:val="24"/>
                <w:lang w:eastAsia="en-GB"/>
              </w:rPr>
              <w:t>-</w:t>
            </w:r>
          </w:p>
        </w:tc>
        <w:tc>
          <w:tcPr>
            <w:tcW w:w="1562" w:type="dxa"/>
            <w:vAlign w:val="center"/>
          </w:tcPr>
          <w:p w14:paraId="0BC26E13" w14:textId="1B6EBD19" w:rsidR="00C44B33" w:rsidRPr="00BD2C0D" w:rsidRDefault="00C44B33" w:rsidP="009A6091">
            <w:pPr>
              <w:jc w:val="right"/>
              <w:rPr>
                <w:rFonts w:cs="Arial"/>
                <w:szCs w:val="24"/>
                <w:lang w:eastAsia="en-GB"/>
              </w:rPr>
            </w:pPr>
            <w:r w:rsidRPr="00BD2C0D">
              <w:rPr>
                <w:rFonts w:cs="Arial"/>
                <w:szCs w:val="24"/>
                <w:lang w:eastAsia="en-GB"/>
              </w:rPr>
              <w:t>-</w:t>
            </w:r>
          </w:p>
        </w:tc>
        <w:tc>
          <w:tcPr>
            <w:tcW w:w="1565" w:type="dxa"/>
            <w:noWrap/>
            <w:vAlign w:val="center"/>
          </w:tcPr>
          <w:p w14:paraId="3D0573B1" w14:textId="498BD182" w:rsidR="00C44B33" w:rsidRPr="00BD2C0D" w:rsidRDefault="00C44B33" w:rsidP="009A6091">
            <w:pPr>
              <w:jc w:val="right"/>
              <w:rPr>
                <w:rFonts w:cs="Arial"/>
                <w:szCs w:val="24"/>
                <w:lang w:eastAsia="en-GB"/>
              </w:rPr>
            </w:pPr>
            <w:r w:rsidRPr="00BD2C0D">
              <w:rPr>
                <w:rFonts w:cs="Arial"/>
                <w:szCs w:val="24"/>
                <w:lang w:eastAsia="en-GB"/>
              </w:rPr>
              <w:t>103</w:t>
            </w:r>
          </w:p>
        </w:tc>
      </w:tr>
      <w:tr w:rsidR="00C44B33" w:rsidRPr="00D948C1" w14:paraId="418FB422" w14:textId="77777777" w:rsidTr="00580079">
        <w:trPr>
          <w:trHeight w:val="272"/>
        </w:trPr>
        <w:tc>
          <w:tcPr>
            <w:tcW w:w="5667" w:type="dxa"/>
            <w:noWrap/>
            <w:vAlign w:val="bottom"/>
          </w:tcPr>
          <w:p w14:paraId="22147813" w14:textId="16BE21B2" w:rsidR="00C44B33" w:rsidRPr="00D948C1" w:rsidRDefault="00C44B33" w:rsidP="009A6091">
            <w:pPr>
              <w:ind w:left="175"/>
              <w:rPr>
                <w:rFonts w:cs="Arial"/>
                <w:szCs w:val="24"/>
                <w:lang w:eastAsia="en-GB"/>
              </w:rPr>
            </w:pPr>
            <w:r w:rsidRPr="00D948C1">
              <w:rPr>
                <w:rFonts w:cs="Arial"/>
                <w:szCs w:val="24"/>
                <w:lang w:eastAsia="en-GB"/>
              </w:rPr>
              <w:t>Additions</w:t>
            </w:r>
          </w:p>
        </w:tc>
        <w:tc>
          <w:tcPr>
            <w:tcW w:w="1565" w:type="dxa"/>
            <w:noWrap/>
            <w:vAlign w:val="center"/>
          </w:tcPr>
          <w:p w14:paraId="064F2F65" w14:textId="3C4549B7" w:rsidR="00C44B33" w:rsidRPr="00BD2C0D" w:rsidRDefault="00860C2B" w:rsidP="009A6091">
            <w:pPr>
              <w:jc w:val="right"/>
              <w:rPr>
                <w:rFonts w:cs="Arial"/>
                <w:szCs w:val="24"/>
                <w:lang w:eastAsia="en-GB"/>
              </w:rPr>
            </w:pPr>
            <w:r>
              <w:rPr>
                <w:rFonts w:cs="Arial"/>
                <w:szCs w:val="24"/>
                <w:lang w:eastAsia="en-GB"/>
              </w:rPr>
              <w:t>497</w:t>
            </w:r>
          </w:p>
        </w:tc>
        <w:tc>
          <w:tcPr>
            <w:tcW w:w="1563" w:type="dxa"/>
            <w:vAlign w:val="center"/>
          </w:tcPr>
          <w:p w14:paraId="26D9FBE7" w14:textId="36868095" w:rsidR="00C44B33" w:rsidRPr="00BD2C0D" w:rsidRDefault="00C44B33" w:rsidP="009A6091">
            <w:pPr>
              <w:jc w:val="right"/>
              <w:rPr>
                <w:rFonts w:cs="Arial"/>
                <w:szCs w:val="24"/>
                <w:lang w:eastAsia="en-GB"/>
              </w:rPr>
            </w:pPr>
            <w:r w:rsidRPr="00BD2C0D">
              <w:rPr>
                <w:rFonts w:cs="Arial"/>
                <w:szCs w:val="24"/>
                <w:lang w:eastAsia="en-GB"/>
              </w:rPr>
              <w:t>2</w:t>
            </w:r>
          </w:p>
        </w:tc>
        <w:tc>
          <w:tcPr>
            <w:tcW w:w="1564" w:type="dxa"/>
            <w:vAlign w:val="center"/>
          </w:tcPr>
          <w:p w14:paraId="37A5119E" w14:textId="7B760522" w:rsidR="00C44B33" w:rsidRPr="00C10CC1" w:rsidRDefault="00E3108A" w:rsidP="00E3108A">
            <w:pPr>
              <w:jc w:val="right"/>
              <w:rPr>
                <w:rFonts w:cs="Arial"/>
                <w:szCs w:val="24"/>
                <w:lang w:eastAsia="en-GB"/>
              </w:rPr>
            </w:pPr>
            <w:r>
              <w:rPr>
                <w:rFonts w:cs="Arial"/>
                <w:szCs w:val="24"/>
                <w:lang w:eastAsia="en-GB"/>
              </w:rPr>
              <w:t>1,853</w:t>
            </w:r>
          </w:p>
        </w:tc>
        <w:tc>
          <w:tcPr>
            <w:tcW w:w="1562" w:type="dxa"/>
            <w:vAlign w:val="center"/>
          </w:tcPr>
          <w:p w14:paraId="13A187F7" w14:textId="1E44260E" w:rsidR="00C44B33" w:rsidRPr="00BD2C0D" w:rsidRDefault="007E1EF4" w:rsidP="009A6091">
            <w:pPr>
              <w:jc w:val="right"/>
              <w:rPr>
                <w:rFonts w:cs="Arial"/>
                <w:szCs w:val="24"/>
                <w:lang w:eastAsia="en-GB"/>
              </w:rPr>
            </w:pPr>
            <w:r>
              <w:rPr>
                <w:rFonts w:cs="Arial"/>
                <w:szCs w:val="24"/>
                <w:lang w:eastAsia="en-GB"/>
              </w:rPr>
              <w:t>1</w:t>
            </w:r>
            <w:r w:rsidR="00C44B33" w:rsidRPr="00BD2C0D">
              <w:rPr>
                <w:rFonts w:cs="Arial"/>
                <w:szCs w:val="24"/>
                <w:lang w:eastAsia="en-GB"/>
              </w:rPr>
              <w:t>,</w:t>
            </w:r>
            <w:r>
              <w:rPr>
                <w:rFonts w:cs="Arial"/>
                <w:szCs w:val="24"/>
                <w:lang w:eastAsia="en-GB"/>
              </w:rPr>
              <w:t>676</w:t>
            </w:r>
          </w:p>
        </w:tc>
        <w:tc>
          <w:tcPr>
            <w:tcW w:w="1565" w:type="dxa"/>
            <w:noWrap/>
            <w:vAlign w:val="center"/>
          </w:tcPr>
          <w:p w14:paraId="36E9C74D" w14:textId="40C81870" w:rsidR="00C44B33" w:rsidRPr="00BD2C0D" w:rsidRDefault="00C44B33" w:rsidP="009A6091">
            <w:pPr>
              <w:jc w:val="right"/>
              <w:rPr>
                <w:rFonts w:cs="Arial"/>
                <w:szCs w:val="24"/>
                <w:lang w:eastAsia="en-GB"/>
              </w:rPr>
            </w:pPr>
            <w:r w:rsidRPr="00BD2C0D">
              <w:rPr>
                <w:rFonts w:cs="Arial"/>
                <w:szCs w:val="24"/>
                <w:lang w:eastAsia="en-GB"/>
              </w:rPr>
              <w:t>4,028</w:t>
            </w:r>
          </w:p>
        </w:tc>
      </w:tr>
      <w:tr w:rsidR="00C44B33" w:rsidRPr="00D948C1" w14:paraId="73FBCF6A" w14:textId="77777777" w:rsidTr="00580079">
        <w:trPr>
          <w:trHeight w:val="272"/>
        </w:trPr>
        <w:tc>
          <w:tcPr>
            <w:tcW w:w="5667" w:type="dxa"/>
            <w:noWrap/>
            <w:vAlign w:val="bottom"/>
          </w:tcPr>
          <w:p w14:paraId="40FE4A0D" w14:textId="42E3D5D8" w:rsidR="00C44B33" w:rsidRPr="00D948C1" w:rsidRDefault="00C44B33" w:rsidP="009A6091">
            <w:pPr>
              <w:ind w:left="175"/>
              <w:rPr>
                <w:rFonts w:cs="Arial"/>
                <w:szCs w:val="24"/>
                <w:lang w:eastAsia="en-GB"/>
              </w:rPr>
            </w:pPr>
            <w:r w:rsidRPr="00D948C1">
              <w:rPr>
                <w:rFonts w:cs="Arial"/>
                <w:szCs w:val="24"/>
                <w:lang w:eastAsia="en-GB"/>
              </w:rPr>
              <w:t>Disposals</w:t>
            </w:r>
            <w:r>
              <w:rPr>
                <w:rFonts w:cs="Arial"/>
                <w:szCs w:val="24"/>
                <w:lang w:eastAsia="en-GB"/>
              </w:rPr>
              <w:t>/De-recognitions</w:t>
            </w:r>
          </w:p>
        </w:tc>
        <w:tc>
          <w:tcPr>
            <w:tcW w:w="1565" w:type="dxa"/>
            <w:noWrap/>
            <w:vAlign w:val="center"/>
          </w:tcPr>
          <w:p w14:paraId="766BBC6C" w14:textId="124E3B67" w:rsidR="00C44B33" w:rsidRPr="00BD2C0D" w:rsidRDefault="00C44B33" w:rsidP="009A6091">
            <w:pPr>
              <w:jc w:val="right"/>
              <w:rPr>
                <w:rFonts w:cs="Arial"/>
                <w:szCs w:val="24"/>
                <w:lang w:eastAsia="en-GB"/>
              </w:rPr>
            </w:pPr>
            <w:r w:rsidRPr="00BD2C0D">
              <w:rPr>
                <w:rFonts w:cs="Arial"/>
                <w:szCs w:val="24"/>
                <w:lang w:eastAsia="en-GB"/>
              </w:rPr>
              <w:t>-</w:t>
            </w:r>
          </w:p>
        </w:tc>
        <w:tc>
          <w:tcPr>
            <w:tcW w:w="1563" w:type="dxa"/>
            <w:vAlign w:val="center"/>
          </w:tcPr>
          <w:p w14:paraId="1E286410" w14:textId="5E49A393" w:rsidR="00C44B33" w:rsidRPr="00BD2C0D" w:rsidRDefault="00C44B33" w:rsidP="009A6091">
            <w:pPr>
              <w:jc w:val="right"/>
              <w:rPr>
                <w:rFonts w:cs="Arial"/>
                <w:szCs w:val="24"/>
                <w:lang w:eastAsia="en-GB"/>
              </w:rPr>
            </w:pPr>
            <w:r w:rsidRPr="00BD2C0D">
              <w:rPr>
                <w:rFonts w:cs="Arial"/>
                <w:szCs w:val="24"/>
                <w:lang w:eastAsia="en-GB"/>
              </w:rPr>
              <w:t>-</w:t>
            </w:r>
          </w:p>
        </w:tc>
        <w:tc>
          <w:tcPr>
            <w:tcW w:w="1564" w:type="dxa"/>
            <w:vAlign w:val="center"/>
          </w:tcPr>
          <w:p w14:paraId="622FACC5" w14:textId="79AFDDA3" w:rsidR="00C44B33" w:rsidRPr="00C10CC1" w:rsidRDefault="00E3108A" w:rsidP="00E3108A">
            <w:pPr>
              <w:jc w:val="right"/>
              <w:rPr>
                <w:rFonts w:cs="Arial"/>
                <w:szCs w:val="24"/>
                <w:lang w:eastAsia="en-GB"/>
              </w:rPr>
            </w:pPr>
            <w:r>
              <w:rPr>
                <w:rFonts w:cs="Arial"/>
                <w:szCs w:val="24"/>
                <w:lang w:eastAsia="en-GB"/>
              </w:rPr>
              <w:t>-</w:t>
            </w:r>
          </w:p>
        </w:tc>
        <w:tc>
          <w:tcPr>
            <w:tcW w:w="1562" w:type="dxa"/>
            <w:vAlign w:val="center"/>
          </w:tcPr>
          <w:p w14:paraId="0E9371CA" w14:textId="41F4AA22" w:rsidR="00C44B33" w:rsidRPr="00BD2C0D" w:rsidRDefault="00C44B33" w:rsidP="009A6091">
            <w:pPr>
              <w:jc w:val="right"/>
              <w:rPr>
                <w:rFonts w:cs="Arial"/>
                <w:szCs w:val="24"/>
                <w:lang w:eastAsia="en-GB"/>
              </w:rPr>
            </w:pPr>
            <w:r w:rsidRPr="00BD2C0D">
              <w:rPr>
                <w:rFonts w:cs="Arial"/>
                <w:szCs w:val="24"/>
                <w:lang w:eastAsia="en-GB"/>
              </w:rPr>
              <w:t>(1,541)</w:t>
            </w:r>
          </w:p>
        </w:tc>
        <w:tc>
          <w:tcPr>
            <w:tcW w:w="1565" w:type="dxa"/>
            <w:noWrap/>
            <w:vAlign w:val="center"/>
          </w:tcPr>
          <w:p w14:paraId="4980F9CB" w14:textId="689ACA54" w:rsidR="00C44B33" w:rsidRPr="00BD2C0D" w:rsidRDefault="00C44B33" w:rsidP="009A6091">
            <w:pPr>
              <w:jc w:val="right"/>
              <w:rPr>
                <w:rFonts w:cs="Arial"/>
                <w:szCs w:val="24"/>
                <w:lang w:eastAsia="en-GB"/>
              </w:rPr>
            </w:pPr>
            <w:r w:rsidRPr="00BD2C0D">
              <w:rPr>
                <w:rFonts w:cs="Arial"/>
                <w:szCs w:val="24"/>
                <w:lang w:eastAsia="en-GB"/>
              </w:rPr>
              <w:t>(1,541)</w:t>
            </w:r>
          </w:p>
        </w:tc>
      </w:tr>
      <w:tr w:rsidR="00C44B33" w:rsidRPr="00D948C1" w14:paraId="2778CBD6" w14:textId="77777777" w:rsidTr="00580079">
        <w:trPr>
          <w:trHeight w:val="212"/>
        </w:trPr>
        <w:tc>
          <w:tcPr>
            <w:tcW w:w="5667" w:type="dxa"/>
            <w:noWrap/>
            <w:vAlign w:val="bottom"/>
          </w:tcPr>
          <w:p w14:paraId="1E50FA37" w14:textId="3606820E" w:rsidR="00C44B33" w:rsidRPr="00D948C1" w:rsidRDefault="00C44B33" w:rsidP="009A6091">
            <w:pPr>
              <w:ind w:left="175"/>
              <w:rPr>
                <w:rFonts w:cs="Arial"/>
                <w:szCs w:val="24"/>
                <w:lang w:eastAsia="en-GB"/>
              </w:rPr>
            </w:pPr>
            <w:r>
              <w:rPr>
                <w:rFonts w:cs="Arial"/>
                <w:szCs w:val="24"/>
                <w:lang w:eastAsia="en-GB"/>
              </w:rPr>
              <w:t>Downward revaluation</w:t>
            </w:r>
            <w:r w:rsidRPr="00D948C1">
              <w:rPr>
                <w:rFonts w:cs="Arial"/>
                <w:szCs w:val="24"/>
                <w:lang w:eastAsia="en-GB"/>
              </w:rPr>
              <w:t xml:space="preserve"> recognised in the Revaluation Reserve</w:t>
            </w:r>
          </w:p>
        </w:tc>
        <w:tc>
          <w:tcPr>
            <w:tcW w:w="1565" w:type="dxa"/>
            <w:noWrap/>
            <w:vAlign w:val="center"/>
          </w:tcPr>
          <w:p w14:paraId="239BC841" w14:textId="64F87261" w:rsidR="00C44B33" w:rsidRPr="00BD2C0D" w:rsidRDefault="00C44B33" w:rsidP="009A6091">
            <w:pPr>
              <w:jc w:val="right"/>
              <w:rPr>
                <w:szCs w:val="24"/>
              </w:rPr>
            </w:pPr>
            <w:r w:rsidRPr="00BD2C0D">
              <w:rPr>
                <w:szCs w:val="24"/>
              </w:rPr>
              <w:t>(909)</w:t>
            </w:r>
          </w:p>
        </w:tc>
        <w:tc>
          <w:tcPr>
            <w:tcW w:w="1563" w:type="dxa"/>
            <w:vAlign w:val="center"/>
          </w:tcPr>
          <w:p w14:paraId="2A5E28E7" w14:textId="6FF482C7" w:rsidR="00C44B33" w:rsidRPr="00BD2C0D" w:rsidRDefault="00C44B33" w:rsidP="009A6091">
            <w:pPr>
              <w:jc w:val="right"/>
              <w:rPr>
                <w:rFonts w:cs="Arial"/>
                <w:szCs w:val="24"/>
                <w:lang w:eastAsia="en-GB"/>
              </w:rPr>
            </w:pPr>
            <w:r w:rsidRPr="00BD2C0D">
              <w:rPr>
                <w:rFonts w:cs="Arial"/>
                <w:szCs w:val="24"/>
                <w:lang w:eastAsia="en-GB"/>
              </w:rPr>
              <w:t>(1,024)</w:t>
            </w:r>
          </w:p>
        </w:tc>
        <w:tc>
          <w:tcPr>
            <w:tcW w:w="1564" w:type="dxa"/>
            <w:vAlign w:val="center"/>
          </w:tcPr>
          <w:p w14:paraId="2132D82C" w14:textId="6AD6B2D1" w:rsidR="00C44B33" w:rsidRPr="00C10CC1" w:rsidRDefault="00E3108A" w:rsidP="00E3108A">
            <w:pPr>
              <w:jc w:val="right"/>
              <w:rPr>
                <w:rFonts w:cs="Arial"/>
                <w:szCs w:val="24"/>
                <w:lang w:eastAsia="en-GB"/>
              </w:rPr>
            </w:pPr>
            <w:r>
              <w:rPr>
                <w:rFonts w:cs="Arial"/>
                <w:szCs w:val="24"/>
                <w:lang w:eastAsia="en-GB"/>
              </w:rPr>
              <w:t>-</w:t>
            </w:r>
          </w:p>
        </w:tc>
        <w:tc>
          <w:tcPr>
            <w:tcW w:w="1562" w:type="dxa"/>
            <w:vAlign w:val="center"/>
          </w:tcPr>
          <w:p w14:paraId="7953DDBD" w14:textId="0FC2047D" w:rsidR="00C44B33" w:rsidRPr="00BD2C0D" w:rsidRDefault="00C44B33" w:rsidP="009A6091">
            <w:pPr>
              <w:jc w:val="right"/>
              <w:rPr>
                <w:rFonts w:cs="Arial"/>
                <w:szCs w:val="24"/>
                <w:lang w:eastAsia="en-GB"/>
              </w:rPr>
            </w:pPr>
            <w:r w:rsidRPr="00BD2C0D">
              <w:rPr>
                <w:rFonts w:cs="Arial"/>
                <w:szCs w:val="24"/>
                <w:lang w:eastAsia="en-GB"/>
              </w:rPr>
              <w:t>-</w:t>
            </w:r>
          </w:p>
        </w:tc>
        <w:tc>
          <w:tcPr>
            <w:tcW w:w="1565" w:type="dxa"/>
            <w:noWrap/>
            <w:vAlign w:val="center"/>
          </w:tcPr>
          <w:p w14:paraId="216E81DD" w14:textId="42B8EF47" w:rsidR="00C44B33" w:rsidRPr="00BD2C0D" w:rsidRDefault="00C44B33" w:rsidP="009A6091">
            <w:pPr>
              <w:jc w:val="right"/>
              <w:rPr>
                <w:rFonts w:cs="Arial"/>
                <w:szCs w:val="24"/>
                <w:lang w:eastAsia="en-GB"/>
              </w:rPr>
            </w:pPr>
            <w:r w:rsidRPr="00BD2C0D">
              <w:rPr>
                <w:rFonts w:cs="Arial"/>
                <w:szCs w:val="24"/>
                <w:lang w:eastAsia="en-GB"/>
              </w:rPr>
              <w:t>(1,933)</w:t>
            </w:r>
          </w:p>
        </w:tc>
      </w:tr>
      <w:tr w:rsidR="00C44B33" w:rsidRPr="00D948C1" w14:paraId="4F5CC55E" w14:textId="77777777" w:rsidTr="00580079">
        <w:trPr>
          <w:trHeight w:val="499"/>
        </w:trPr>
        <w:tc>
          <w:tcPr>
            <w:tcW w:w="5667" w:type="dxa"/>
            <w:noWrap/>
            <w:vAlign w:val="bottom"/>
          </w:tcPr>
          <w:p w14:paraId="60308E55" w14:textId="25B98699" w:rsidR="00C44B33" w:rsidRPr="00D948C1" w:rsidRDefault="00C44B33" w:rsidP="009A6091">
            <w:pPr>
              <w:ind w:left="175"/>
              <w:rPr>
                <w:rFonts w:cs="Arial"/>
                <w:szCs w:val="24"/>
                <w:lang w:eastAsia="en-GB"/>
              </w:rPr>
            </w:pPr>
            <w:r w:rsidRPr="00D948C1">
              <w:rPr>
                <w:rFonts w:cs="Arial"/>
                <w:szCs w:val="24"/>
                <w:lang w:eastAsia="en-GB"/>
              </w:rPr>
              <w:t>Impairment losses recognised in the CIES Provision of Services</w:t>
            </w:r>
          </w:p>
        </w:tc>
        <w:tc>
          <w:tcPr>
            <w:tcW w:w="1565" w:type="dxa"/>
            <w:noWrap/>
            <w:vAlign w:val="center"/>
          </w:tcPr>
          <w:p w14:paraId="41D1388F" w14:textId="01D028A6" w:rsidR="00C44B33" w:rsidRPr="00BD2C0D" w:rsidRDefault="00C44B33" w:rsidP="009A6091">
            <w:pPr>
              <w:jc w:val="right"/>
              <w:rPr>
                <w:rFonts w:cs="Arial"/>
                <w:szCs w:val="24"/>
                <w:lang w:eastAsia="en-GB"/>
              </w:rPr>
            </w:pPr>
            <w:r w:rsidRPr="00BD2C0D">
              <w:rPr>
                <w:rFonts w:cs="Arial"/>
                <w:szCs w:val="24"/>
                <w:lang w:eastAsia="en-GB"/>
              </w:rPr>
              <w:t>(71)</w:t>
            </w:r>
          </w:p>
        </w:tc>
        <w:tc>
          <w:tcPr>
            <w:tcW w:w="1563" w:type="dxa"/>
            <w:vAlign w:val="center"/>
          </w:tcPr>
          <w:p w14:paraId="12738C16" w14:textId="437BA649" w:rsidR="00C44B33" w:rsidRPr="00BD2C0D" w:rsidRDefault="00C44B33" w:rsidP="009A6091">
            <w:pPr>
              <w:jc w:val="right"/>
              <w:rPr>
                <w:rFonts w:cs="Arial"/>
                <w:szCs w:val="24"/>
                <w:lang w:eastAsia="en-GB"/>
              </w:rPr>
            </w:pPr>
            <w:r w:rsidRPr="00BD2C0D">
              <w:rPr>
                <w:rFonts w:cs="Arial"/>
                <w:szCs w:val="24"/>
                <w:lang w:eastAsia="en-GB"/>
              </w:rPr>
              <w:t>-</w:t>
            </w:r>
          </w:p>
        </w:tc>
        <w:tc>
          <w:tcPr>
            <w:tcW w:w="1564" w:type="dxa"/>
            <w:vAlign w:val="center"/>
          </w:tcPr>
          <w:p w14:paraId="16309142" w14:textId="4996FED3" w:rsidR="00C44B33" w:rsidRPr="00C10CC1" w:rsidRDefault="00E3108A" w:rsidP="00E3108A">
            <w:pPr>
              <w:jc w:val="right"/>
              <w:rPr>
                <w:rFonts w:cs="Arial"/>
                <w:szCs w:val="24"/>
                <w:lang w:eastAsia="en-GB"/>
              </w:rPr>
            </w:pPr>
            <w:r>
              <w:rPr>
                <w:rFonts w:cs="Arial"/>
                <w:szCs w:val="24"/>
                <w:lang w:eastAsia="en-GB"/>
              </w:rPr>
              <w:t>-</w:t>
            </w:r>
          </w:p>
        </w:tc>
        <w:tc>
          <w:tcPr>
            <w:tcW w:w="1562" w:type="dxa"/>
            <w:vAlign w:val="center"/>
          </w:tcPr>
          <w:p w14:paraId="75D1DC10" w14:textId="0AE5350B" w:rsidR="00C44B33" w:rsidRPr="00BD2C0D" w:rsidRDefault="00C44B33" w:rsidP="009A6091">
            <w:pPr>
              <w:jc w:val="right"/>
              <w:rPr>
                <w:rFonts w:cs="Arial"/>
                <w:szCs w:val="24"/>
                <w:lang w:eastAsia="en-GB"/>
              </w:rPr>
            </w:pPr>
            <w:r w:rsidRPr="00BD2C0D">
              <w:rPr>
                <w:rFonts w:cs="Arial"/>
                <w:szCs w:val="24"/>
                <w:lang w:eastAsia="en-GB"/>
              </w:rPr>
              <w:t>-</w:t>
            </w:r>
          </w:p>
        </w:tc>
        <w:tc>
          <w:tcPr>
            <w:tcW w:w="1565" w:type="dxa"/>
            <w:noWrap/>
            <w:vAlign w:val="center"/>
          </w:tcPr>
          <w:p w14:paraId="0EF45B3C" w14:textId="07B50AB5" w:rsidR="00C44B33" w:rsidRPr="00BD2C0D" w:rsidRDefault="00C44B33" w:rsidP="009A6091">
            <w:pPr>
              <w:jc w:val="right"/>
              <w:rPr>
                <w:rFonts w:cs="Arial"/>
                <w:szCs w:val="24"/>
                <w:lang w:eastAsia="en-GB"/>
              </w:rPr>
            </w:pPr>
            <w:r w:rsidRPr="00BD2C0D">
              <w:rPr>
                <w:rFonts w:cs="Arial"/>
                <w:szCs w:val="24"/>
                <w:lang w:eastAsia="en-GB"/>
              </w:rPr>
              <w:t>(71)</w:t>
            </w:r>
          </w:p>
        </w:tc>
      </w:tr>
      <w:tr w:rsidR="002A042C" w:rsidRPr="00D948C1" w14:paraId="21386093" w14:textId="77777777" w:rsidTr="00580079">
        <w:trPr>
          <w:trHeight w:val="272"/>
        </w:trPr>
        <w:tc>
          <w:tcPr>
            <w:tcW w:w="5667" w:type="dxa"/>
            <w:noWrap/>
            <w:vAlign w:val="bottom"/>
          </w:tcPr>
          <w:p w14:paraId="5E318E89" w14:textId="0B7044C7" w:rsidR="002A042C" w:rsidRPr="00D948C1" w:rsidRDefault="002A042C" w:rsidP="002A042C">
            <w:pPr>
              <w:ind w:left="175"/>
              <w:rPr>
                <w:rFonts w:cs="Arial"/>
                <w:szCs w:val="24"/>
                <w:lang w:eastAsia="en-GB"/>
              </w:rPr>
            </w:pPr>
            <w:r>
              <w:rPr>
                <w:rFonts w:cs="Arial"/>
                <w:szCs w:val="24"/>
                <w:lang w:eastAsia="en-GB"/>
              </w:rPr>
              <w:t>Movement from AUC</w:t>
            </w:r>
          </w:p>
        </w:tc>
        <w:tc>
          <w:tcPr>
            <w:tcW w:w="1565" w:type="dxa"/>
            <w:noWrap/>
            <w:vAlign w:val="center"/>
          </w:tcPr>
          <w:p w14:paraId="2E35F37D" w14:textId="34F4CECE" w:rsidR="002A042C" w:rsidRPr="00BD2C0D" w:rsidRDefault="00791B76" w:rsidP="002A042C">
            <w:pPr>
              <w:jc w:val="right"/>
              <w:rPr>
                <w:rFonts w:cs="Arial"/>
                <w:szCs w:val="24"/>
                <w:lang w:eastAsia="en-GB"/>
              </w:rPr>
            </w:pPr>
            <w:r>
              <w:rPr>
                <w:rFonts w:cs="Arial"/>
                <w:szCs w:val="24"/>
                <w:lang w:eastAsia="en-GB"/>
              </w:rPr>
              <w:t>-</w:t>
            </w:r>
          </w:p>
        </w:tc>
        <w:tc>
          <w:tcPr>
            <w:tcW w:w="1563" w:type="dxa"/>
            <w:vAlign w:val="center"/>
          </w:tcPr>
          <w:p w14:paraId="66CAD474" w14:textId="2EAE8011" w:rsidR="002A042C" w:rsidRPr="00BD2C0D" w:rsidRDefault="00791B76" w:rsidP="002A042C">
            <w:pPr>
              <w:jc w:val="right"/>
              <w:rPr>
                <w:rFonts w:cs="Arial"/>
                <w:szCs w:val="24"/>
                <w:lang w:eastAsia="en-GB"/>
              </w:rPr>
            </w:pPr>
            <w:r>
              <w:rPr>
                <w:rFonts w:cs="Arial"/>
                <w:szCs w:val="24"/>
                <w:lang w:eastAsia="en-GB"/>
              </w:rPr>
              <w:t>-</w:t>
            </w:r>
          </w:p>
        </w:tc>
        <w:tc>
          <w:tcPr>
            <w:tcW w:w="1564" w:type="dxa"/>
            <w:vAlign w:val="center"/>
          </w:tcPr>
          <w:p w14:paraId="0E456260" w14:textId="6D0B4109" w:rsidR="002A042C" w:rsidRDefault="002A042C" w:rsidP="002A042C">
            <w:pPr>
              <w:jc w:val="right"/>
              <w:rPr>
                <w:rFonts w:cs="Arial"/>
                <w:szCs w:val="24"/>
                <w:lang w:eastAsia="en-GB"/>
              </w:rPr>
            </w:pPr>
            <w:r>
              <w:rPr>
                <w:rFonts w:cs="Arial"/>
                <w:szCs w:val="24"/>
                <w:lang w:eastAsia="en-GB"/>
              </w:rPr>
              <w:t>(991)</w:t>
            </w:r>
          </w:p>
        </w:tc>
        <w:tc>
          <w:tcPr>
            <w:tcW w:w="1562" w:type="dxa"/>
            <w:vAlign w:val="center"/>
          </w:tcPr>
          <w:p w14:paraId="16DBB67F" w14:textId="72E1A303" w:rsidR="002A042C" w:rsidRPr="00BD2C0D" w:rsidRDefault="00637C6D" w:rsidP="002A042C">
            <w:pPr>
              <w:jc w:val="right"/>
              <w:rPr>
                <w:rFonts w:cs="Arial"/>
                <w:szCs w:val="24"/>
                <w:lang w:eastAsia="en-GB"/>
              </w:rPr>
            </w:pPr>
            <w:r>
              <w:rPr>
                <w:rFonts w:cs="Arial"/>
                <w:szCs w:val="24"/>
                <w:lang w:eastAsia="en-GB"/>
              </w:rPr>
              <w:t>991</w:t>
            </w:r>
          </w:p>
        </w:tc>
        <w:tc>
          <w:tcPr>
            <w:tcW w:w="1565" w:type="dxa"/>
            <w:noWrap/>
            <w:vAlign w:val="center"/>
          </w:tcPr>
          <w:p w14:paraId="05F4F3C4" w14:textId="11DFFC05" w:rsidR="002A042C" w:rsidRPr="00BD2C0D" w:rsidRDefault="00B64B51" w:rsidP="002A042C">
            <w:pPr>
              <w:jc w:val="right"/>
              <w:rPr>
                <w:rFonts w:cs="Arial"/>
                <w:szCs w:val="24"/>
                <w:lang w:eastAsia="en-GB"/>
              </w:rPr>
            </w:pPr>
            <w:r>
              <w:rPr>
                <w:rFonts w:cs="Arial"/>
                <w:szCs w:val="24"/>
                <w:lang w:eastAsia="en-GB"/>
              </w:rPr>
              <w:t>-</w:t>
            </w:r>
          </w:p>
        </w:tc>
      </w:tr>
      <w:tr w:rsidR="002A042C" w:rsidRPr="00D948C1" w14:paraId="5A39695D" w14:textId="77777777" w:rsidTr="00580079">
        <w:trPr>
          <w:trHeight w:val="272"/>
        </w:trPr>
        <w:tc>
          <w:tcPr>
            <w:tcW w:w="5667" w:type="dxa"/>
            <w:noWrap/>
            <w:vAlign w:val="bottom"/>
          </w:tcPr>
          <w:p w14:paraId="3351E5D0" w14:textId="77777777" w:rsidR="002A042C" w:rsidRPr="00D948C1" w:rsidRDefault="002A042C" w:rsidP="002A042C">
            <w:pPr>
              <w:ind w:left="175"/>
              <w:rPr>
                <w:rFonts w:cs="Arial"/>
                <w:szCs w:val="24"/>
                <w:lang w:eastAsia="en-GB"/>
              </w:rPr>
            </w:pPr>
            <w:r w:rsidRPr="00D948C1">
              <w:rPr>
                <w:rFonts w:cs="Arial"/>
                <w:szCs w:val="24"/>
                <w:lang w:eastAsia="en-GB"/>
              </w:rPr>
              <w:t>Revaluations</w:t>
            </w:r>
          </w:p>
        </w:tc>
        <w:tc>
          <w:tcPr>
            <w:tcW w:w="1565" w:type="dxa"/>
            <w:noWrap/>
            <w:vAlign w:val="center"/>
          </w:tcPr>
          <w:p w14:paraId="67EA1AE7" w14:textId="775EA171" w:rsidR="002A042C" w:rsidRPr="00BD2C0D" w:rsidRDefault="002A042C" w:rsidP="002A042C">
            <w:pPr>
              <w:jc w:val="right"/>
              <w:rPr>
                <w:rFonts w:cs="Arial"/>
                <w:szCs w:val="24"/>
                <w:lang w:eastAsia="en-GB"/>
              </w:rPr>
            </w:pPr>
            <w:r w:rsidRPr="00BD2C0D">
              <w:rPr>
                <w:rFonts w:cs="Arial"/>
                <w:szCs w:val="24"/>
                <w:lang w:eastAsia="en-GB"/>
              </w:rPr>
              <w:t>1,804</w:t>
            </w:r>
          </w:p>
        </w:tc>
        <w:tc>
          <w:tcPr>
            <w:tcW w:w="1563" w:type="dxa"/>
            <w:vAlign w:val="center"/>
          </w:tcPr>
          <w:p w14:paraId="1B16EE8E" w14:textId="5E65D8F3" w:rsidR="002A042C" w:rsidRPr="00BD2C0D" w:rsidRDefault="002A042C" w:rsidP="002A042C">
            <w:pPr>
              <w:jc w:val="right"/>
              <w:rPr>
                <w:rFonts w:cs="Arial"/>
                <w:szCs w:val="24"/>
                <w:lang w:eastAsia="en-GB"/>
              </w:rPr>
            </w:pPr>
            <w:r w:rsidRPr="00BD2C0D">
              <w:rPr>
                <w:rFonts w:cs="Arial"/>
                <w:szCs w:val="24"/>
                <w:lang w:eastAsia="en-GB"/>
              </w:rPr>
              <w:t>(694)</w:t>
            </w:r>
          </w:p>
        </w:tc>
        <w:tc>
          <w:tcPr>
            <w:tcW w:w="1564" w:type="dxa"/>
            <w:vAlign w:val="center"/>
          </w:tcPr>
          <w:p w14:paraId="0081A01A" w14:textId="69A04451" w:rsidR="002A042C" w:rsidRPr="00C10CC1" w:rsidRDefault="002A042C" w:rsidP="002A042C">
            <w:pPr>
              <w:jc w:val="right"/>
              <w:rPr>
                <w:rFonts w:cs="Arial"/>
                <w:szCs w:val="24"/>
                <w:lang w:eastAsia="en-GB"/>
              </w:rPr>
            </w:pPr>
            <w:r>
              <w:rPr>
                <w:rFonts w:cs="Arial"/>
                <w:szCs w:val="24"/>
                <w:lang w:eastAsia="en-GB"/>
              </w:rPr>
              <w:t>-</w:t>
            </w:r>
          </w:p>
        </w:tc>
        <w:tc>
          <w:tcPr>
            <w:tcW w:w="1562" w:type="dxa"/>
            <w:vAlign w:val="center"/>
          </w:tcPr>
          <w:p w14:paraId="59CA80DF" w14:textId="25DF3F06" w:rsidR="002A042C" w:rsidRPr="00BD2C0D" w:rsidRDefault="002A042C" w:rsidP="002A042C">
            <w:pPr>
              <w:jc w:val="right"/>
              <w:rPr>
                <w:rFonts w:cs="Arial"/>
                <w:szCs w:val="24"/>
                <w:lang w:eastAsia="en-GB"/>
              </w:rPr>
            </w:pPr>
            <w:r w:rsidRPr="00BD2C0D">
              <w:rPr>
                <w:rFonts w:cs="Arial"/>
                <w:szCs w:val="24"/>
                <w:lang w:eastAsia="en-GB"/>
              </w:rPr>
              <w:t>-</w:t>
            </w:r>
          </w:p>
        </w:tc>
        <w:tc>
          <w:tcPr>
            <w:tcW w:w="1565" w:type="dxa"/>
            <w:noWrap/>
            <w:vAlign w:val="center"/>
          </w:tcPr>
          <w:p w14:paraId="48BEC932" w14:textId="4C417D6E" w:rsidR="002A042C" w:rsidRPr="00BD2C0D" w:rsidRDefault="002A042C" w:rsidP="002A042C">
            <w:pPr>
              <w:jc w:val="right"/>
              <w:rPr>
                <w:rFonts w:cs="Arial"/>
                <w:szCs w:val="24"/>
                <w:lang w:eastAsia="en-GB"/>
              </w:rPr>
            </w:pPr>
            <w:r w:rsidRPr="00BD2C0D">
              <w:rPr>
                <w:rFonts w:cs="Arial"/>
                <w:szCs w:val="24"/>
                <w:lang w:eastAsia="en-GB"/>
              </w:rPr>
              <w:t>1,110</w:t>
            </w:r>
          </w:p>
        </w:tc>
      </w:tr>
      <w:tr w:rsidR="002A042C" w:rsidRPr="00D948C1" w14:paraId="0C553F21" w14:textId="77777777" w:rsidTr="00580079">
        <w:trPr>
          <w:trHeight w:val="272"/>
        </w:trPr>
        <w:tc>
          <w:tcPr>
            <w:tcW w:w="5667" w:type="dxa"/>
            <w:noWrap/>
            <w:vAlign w:val="bottom"/>
          </w:tcPr>
          <w:p w14:paraId="678C0BB2" w14:textId="19669699" w:rsidR="002A042C" w:rsidRPr="00D948C1" w:rsidRDefault="002A042C" w:rsidP="002A042C">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noWrap/>
            <w:vAlign w:val="center"/>
          </w:tcPr>
          <w:p w14:paraId="02A98F9F" w14:textId="0696CEF4" w:rsidR="002A042C" w:rsidRPr="00BD2C0D" w:rsidRDefault="002A042C" w:rsidP="002A042C">
            <w:pPr>
              <w:jc w:val="right"/>
              <w:rPr>
                <w:rFonts w:cs="Arial"/>
                <w:szCs w:val="24"/>
                <w:lang w:eastAsia="en-GB"/>
              </w:rPr>
            </w:pPr>
            <w:r w:rsidRPr="00BD2C0D">
              <w:rPr>
                <w:rFonts w:cs="Arial"/>
                <w:szCs w:val="24"/>
                <w:lang w:eastAsia="en-GB"/>
              </w:rPr>
              <w:t>80,6</w:t>
            </w:r>
            <w:r w:rsidR="00860C2B">
              <w:rPr>
                <w:rFonts w:cs="Arial"/>
                <w:szCs w:val="24"/>
                <w:lang w:eastAsia="en-GB"/>
              </w:rPr>
              <w:t>66</w:t>
            </w:r>
          </w:p>
        </w:tc>
        <w:tc>
          <w:tcPr>
            <w:tcW w:w="1563" w:type="dxa"/>
            <w:vAlign w:val="center"/>
          </w:tcPr>
          <w:p w14:paraId="3DF78614" w14:textId="42A84933" w:rsidR="002A042C" w:rsidRPr="00BD2C0D" w:rsidRDefault="002A042C" w:rsidP="002A042C">
            <w:pPr>
              <w:jc w:val="right"/>
              <w:rPr>
                <w:rFonts w:cs="Arial"/>
                <w:szCs w:val="24"/>
                <w:lang w:eastAsia="en-GB"/>
              </w:rPr>
            </w:pPr>
            <w:r w:rsidRPr="00BD2C0D">
              <w:rPr>
                <w:rFonts w:cs="Arial"/>
                <w:szCs w:val="24"/>
                <w:lang w:eastAsia="en-GB"/>
              </w:rPr>
              <w:t>35,732</w:t>
            </w:r>
          </w:p>
        </w:tc>
        <w:tc>
          <w:tcPr>
            <w:tcW w:w="1564" w:type="dxa"/>
            <w:vAlign w:val="center"/>
          </w:tcPr>
          <w:p w14:paraId="0D19D594" w14:textId="03D24B4C" w:rsidR="002A042C" w:rsidRPr="00C10CC1" w:rsidRDefault="002A042C" w:rsidP="002A042C">
            <w:pPr>
              <w:jc w:val="right"/>
              <w:rPr>
                <w:rFonts w:cs="Arial"/>
                <w:szCs w:val="24"/>
                <w:lang w:eastAsia="en-GB"/>
              </w:rPr>
            </w:pPr>
            <w:r>
              <w:rPr>
                <w:rFonts w:cs="Arial"/>
                <w:szCs w:val="24"/>
                <w:lang w:eastAsia="en-GB"/>
              </w:rPr>
              <w:t>2,136</w:t>
            </w:r>
          </w:p>
        </w:tc>
        <w:tc>
          <w:tcPr>
            <w:tcW w:w="1562" w:type="dxa"/>
            <w:vAlign w:val="center"/>
          </w:tcPr>
          <w:p w14:paraId="5BDF7366" w14:textId="4927D972" w:rsidR="002A042C" w:rsidRPr="00BD2C0D" w:rsidRDefault="00FD0D8D" w:rsidP="002A042C">
            <w:pPr>
              <w:jc w:val="right"/>
              <w:rPr>
                <w:rFonts w:cs="Arial"/>
                <w:szCs w:val="24"/>
                <w:lang w:eastAsia="en-GB"/>
              </w:rPr>
            </w:pPr>
            <w:r>
              <w:rPr>
                <w:rFonts w:cs="Arial"/>
                <w:szCs w:val="24"/>
                <w:lang w:eastAsia="en-GB"/>
              </w:rPr>
              <w:t>29</w:t>
            </w:r>
            <w:r w:rsidR="002A042C" w:rsidRPr="00BD2C0D">
              <w:rPr>
                <w:rFonts w:cs="Arial"/>
                <w:szCs w:val="24"/>
                <w:lang w:eastAsia="en-GB"/>
              </w:rPr>
              <w:t>,</w:t>
            </w:r>
            <w:r>
              <w:rPr>
                <w:rFonts w:cs="Arial"/>
                <w:szCs w:val="24"/>
                <w:lang w:eastAsia="en-GB"/>
              </w:rPr>
              <w:t>067</w:t>
            </w:r>
          </w:p>
        </w:tc>
        <w:tc>
          <w:tcPr>
            <w:tcW w:w="1565" w:type="dxa"/>
            <w:noWrap/>
            <w:vAlign w:val="center"/>
          </w:tcPr>
          <w:p w14:paraId="265B017F" w14:textId="7E5AFE69" w:rsidR="002A042C" w:rsidRPr="00BD2C0D" w:rsidRDefault="002A042C" w:rsidP="002A042C">
            <w:pPr>
              <w:jc w:val="right"/>
              <w:rPr>
                <w:rFonts w:cs="Arial"/>
                <w:szCs w:val="24"/>
                <w:lang w:eastAsia="en-GB"/>
              </w:rPr>
            </w:pPr>
            <w:r w:rsidRPr="00BD2C0D">
              <w:rPr>
                <w:rFonts w:cs="Arial"/>
                <w:szCs w:val="24"/>
                <w:lang w:eastAsia="en-GB"/>
              </w:rPr>
              <w:t>147,601</w:t>
            </w:r>
          </w:p>
        </w:tc>
      </w:tr>
    </w:tbl>
    <w:p w14:paraId="43720E67" w14:textId="77777777" w:rsidR="00372872" w:rsidRPr="00D948C1" w:rsidRDefault="00372872"/>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E439FD" w:rsidRPr="00D948C1" w14:paraId="44D9A6FB" w14:textId="77777777" w:rsidTr="00003B42">
        <w:trPr>
          <w:trHeight w:val="212"/>
        </w:trPr>
        <w:tc>
          <w:tcPr>
            <w:tcW w:w="13492" w:type="dxa"/>
            <w:gridSpan w:val="6"/>
            <w:shd w:val="clear" w:color="auto" w:fill="D9D9D9" w:themeFill="background1" w:themeFillShade="D9"/>
            <w:noWrap/>
            <w:vAlign w:val="bottom"/>
          </w:tcPr>
          <w:p w14:paraId="6718FE1E" w14:textId="1A395382" w:rsidR="00E439FD" w:rsidRPr="00D948C1" w:rsidRDefault="00E439FD" w:rsidP="00BC6C4F">
            <w:pPr>
              <w:rPr>
                <w:rFonts w:cs="Arial"/>
                <w:szCs w:val="24"/>
                <w:lang w:eastAsia="en-GB"/>
              </w:rPr>
            </w:pPr>
            <w:r w:rsidRPr="00D948C1">
              <w:rPr>
                <w:rFonts w:cs="Arial"/>
                <w:b/>
                <w:bCs/>
                <w:szCs w:val="24"/>
                <w:lang w:eastAsia="en-GB"/>
              </w:rPr>
              <w:t>Depreciation and impairments</w:t>
            </w:r>
          </w:p>
        </w:tc>
      </w:tr>
      <w:tr w:rsidR="00600E41" w:rsidRPr="00D948C1" w14:paraId="3074F9E6" w14:textId="77777777" w:rsidTr="00580079">
        <w:trPr>
          <w:trHeight w:val="272"/>
        </w:trPr>
        <w:tc>
          <w:tcPr>
            <w:tcW w:w="5668" w:type="dxa"/>
            <w:noWrap/>
            <w:vAlign w:val="bottom"/>
          </w:tcPr>
          <w:p w14:paraId="6CE7BC1B" w14:textId="5883DBE1" w:rsidR="00600E41" w:rsidRPr="00D948C1" w:rsidRDefault="00600E41" w:rsidP="009010CF">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4</w:t>
            </w:r>
          </w:p>
        </w:tc>
        <w:tc>
          <w:tcPr>
            <w:tcW w:w="1565" w:type="dxa"/>
            <w:noWrap/>
            <w:vAlign w:val="center"/>
          </w:tcPr>
          <w:p w14:paraId="1128383F" w14:textId="582A3996" w:rsidR="00600E41" w:rsidRPr="00BD2C0D" w:rsidRDefault="00600E41" w:rsidP="009010CF">
            <w:pPr>
              <w:jc w:val="right"/>
              <w:rPr>
                <w:rFonts w:cs="Arial"/>
                <w:szCs w:val="24"/>
                <w:lang w:eastAsia="en-GB"/>
              </w:rPr>
            </w:pPr>
            <w:r w:rsidRPr="00BD2C0D">
              <w:rPr>
                <w:rFonts w:cs="Arial"/>
                <w:szCs w:val="24"/>
                <w:lang w:eastAsia="en-GB"/>
              </w:rPr>
              <w:t>-</w:t>
            </w:r>
          </w:p>
        </w:tc>
        <w:tc>
          <w:tcPr>
            <w:tcW w:w="1564" w:type="dxa"/>
            <w:vAlign w:val="center"/>
          </w:tcPr>
          <w:p w14:paraId="4F0273AC" w14:textId="19470276" w:rsidR="00600E41" w:rsidRPr="00BD2C0D" w:rsidRDefault="00600E41" w:rsidP="009010CF">
            <w:pPr>
              <w:jc w:val="right"/>
              <w:rPr>
                <w:rFonts w:cs="Arial"/>
                <w:szCs w:val="24"/>
                <w:lang w:eastAsia="en-GB"/>
              </w:rPr>
            </w:pPr>
            <w:r w:rsidRPr="00BD2C0D">
              <w:rPr>
                <w:rFonts w:cs="Arial"/>
                <w:szCs w:val="24"/>
                <w:lang w:eastAsia="en-GB"/>
              </w:rPr>
              <w:t>-</w:t>
            </w:r>
          </w:p>
        </w:tc>
        <w:tc>
          <w:tcPr>
            <w:tcW w:w="1565" w:type="dxa"/>
            <w:vAlign w:val="center"/>
          </w:tcPr>
          <w:p w14:paraId="46BCD356" w14:textId="6F01F2BB" w:rsidR="00600E41" w:rsidRPr="00C10CC1" w:rsidRDefault="00897F99" w:rsidP="00E3108A">
            <w:pPr>
              <w:jc w:val="right"/>
              <w:rPr>
                <w:rFonts w:cs="Arial"/>
                <w:szCs w:val="24"/>
                <w:lang w:eastAsia="en-GB"/>
              </w:rPr>
            </w:pPr>
            <w:r>
              <w:rPr>
                <w:rFonts w:cs="Arial"/>
                <w:szCs w:val="24"/>
                <w:lang w:eastAsia="en-GB"/>
              </w:rPr>
              <w:t>-</w:t>
            </w:r>
          </w:p>
        </w:tc>
        <w:tc>
          <w:tcPr>
            <w:tcW w:w="1565" w:type="dxa"/>
            <w:vAlign w:val="center"/>
          </w:tcPr>
          <w:p w14:paraId="2C1C5C76" w14:textId="1FC79571" w:rsidR="00600E41" w:rsidRPr="00BD2C0D" w:rsidRDefault="00600E41" w:rsidP="009010CF">
            <w:pPr>
              <w:jc w:val="right"/>
              <w:rPr>
                <w:rFonts w:cs="Arial"/>
                <w:szCs w:val="24"/>
                <w:lang w:eastAsia="en-GB"/>
              </w:rPr>
            </w:pPr>
            <w:r w:rsidRPr="00BD2C0D">
              <w:rPr>
                <w:rFonts w:cs="Arial"/>
                <w:szCs w:val="24"/>
                <w:lang w:eastAsia="en-GB"/>
              </w:rPr>
              <w:t>(17,378)</w:t>
            </w:r>
          </w:p>
        </w:tc>
        <w:tc>
          <w:tcPr>
            <w:tcW w:w="1565" w:type="dxa"/>
            <w:noWrap/>
            <w:vAlign w:val="center"/>
          </w:tcPr>
          <w:p w14:paraId="5713DF93" w14:textId="13B4A4A8" w:rsidR="00600E41" w:rsidRPr="00BD2C0D" w:rsidRDefault="00600E41" w:rsidP="009010CF">
            <w:pPr>
              <w:jc w:val="right"/>
              <w:rPr>
                <w:rFonts w:cs="Arial"/>
                <w:szCs w:val="24"/>
                <w:lang w:eastAsia="en-GB"/>
              </w:rPr>
            </w:pPr>
            <w:r w:rsidRPr="00BD2C0D">
              <w:rPr>
                <w:rFonts w:cs="Arial"/>
                <w:szCs w:val="24"/>
                <w:lang w:eastAsia="en-GB"/>
              </w:rPr>
              <w:t>(17,378)</w:t>
            </w:r>
          </w:p>
        </w:tc>
      </w:tr>
      <w:tr w:rsidR="00600E41" w:rsidRPr="00D948C1" w14:paraId="4F529EF0" w14:textId="77777777" w:rsidTr="00580079">
        <w:trPr>
          <w:trHeight w:val="272"/>
        </w:trPr>
        <w:tc>
          <w:tcPr>
            <w:tcW w:w="5668" w:type="dxa"/>
            <w:noWrap/>
            <w:vAlign w:val="bottom"/>
          </w:tcPr>
          <w:p w14:paraId="12A3AAD3" w14:textId="39BE0B81" w:rsidR="00600E41" w:rsidRPr="00D948C1" w:rsidRDefault="00600E41" w:rsidP="009A6091">
            <w:pPr>
              <w:ind w:left="175"/>
              <w:rPr>
                <w:rFonts w:cs="Arial"/>
                <w:szCs w:val="24"/>
                <w:lang w:eastAsia="en-GB"/>
              </w:rPr>
            </w:pPr>
            <w:r w:rsidRPr="00D948C1">
              <w:rPr>
                <w:rFonts w:cs="Arial"/>
                <w:szCs w:val="24"/>
                <w:lang w:eastAsia="en-GB"/>
              </w:rPr>
              <w:t>Depreciation charge for 202</w:t>
            </w:r>
            <w:r>
              <w:rPr>
                <w:rFonts w:cs="Arial"/>
                <w:szCs w:val="24"/>
                <w:lang w:eastAsia="en-GB"/>
              </w:rPr>
              <w:t>4</w:t>
            </w:r>
            <w:r w:rsidRPr="00D948C1">
              <w:rPr>
                <w:rFonts w:cs="Arial"/>
                <w:szCs w:val="24"/>
                <w:lang w:eastAsia="en-GB"/>
              </w:rPr>
              <w:t>/2</w:t>
            </w:r>
            <w:r>
              <w:rPr>
                <w:rFonts w:cs="Arial"/>
                <w:szCs w:val="24"/>
                <w:lang w:eastAsia="en-GB"/>
              </w:rPr>
              <w:t>5</w:t>
            </w:r>
          </w:p>
        </w:tc>
        <w:tc>
          <w:tcPr>
            <w:tcW w:w="1565" w:type="dxa"/>
            <w:noWrap/>
            <w:vAlign w:val="center"/>
          </w:tcPr>
          <w:p w14:paraId="2BDD11F5" w14:textId="0351C087" w:rsidR="00600E41" w:rsidRPr="00BD2C0D" w:rsidRDefault="00600E41" w:rsidP="009A6091">
            <w:pPr>
              <w:jc w:val="right"/>
              <w:rPr>
                <w:rFonts w:cs="Arial"/>
                <w:szCs w:val="24"/>
                <w:lang w:eastAsia="en-GB"/>
              </w:rPr>
            </w:pPr>
            <w:r w:rsidRPr="00BD2C0D">
              <w:rPr>
                <w:rFonts w:cs="Arial"/>
                <w:szCs w:val="24"/>
                <w:lang w:eastAsia="en-GB"/>
              </w:rPr>
              <w:t>(3,400)</w:t>
            </w:r>
          </w:p>
        </w:tc>
        <w:tc>
          <w:tcPr>
            <w:tcW w:w="1564" w:type="dxa"/>
            <w:vAlign w:val="center"/>
          </w:tcPr>
          <w:p w14:paraId="5B06AB69" w14:textId="5D89E68D" w:rsidR="00600E41" w:rsidRPr="00BD2C0D" w:rsidRDefault="00600E41" w:rsidP="009A6091">
            <w:pPr>
              <w:jc w:val="right"/>
              <w:rPr>
                <w:rFonts w:cs="Arial"/>
                <w:szCs w:val="24"/>
                <w:lang w:eastAsia="en-GB"/>
              </w:rPr>
            </w:pPr>
            <w:r w:rsidRPr="00BD2C0D">
              <w:rPr>
                <w:rFonts w:cs="Arial"/>
                <w:szCs w:val="24"/>
                <w:lang w:eastAsia="en-GB"/>
              </w:rPr>
              <w:t>(1,068)</w:t>
            </w:r>
          </w:p>
        </w:tc>
        <w:tc>
          <w:tcPr>
            <w:tcW w:w="1565" w:type="dxa"/>
            <w:vAlign w:val="center"/>
          </w:tcPr>
          <w:p w14:paraId="260CC3C6" w14:textId="38C9DC5B" w:rsidR="00600E41" w:rsidRPr="00C10CC1" w:rsidRDefault="00897F99" w:rsidP="00E3108A">
            <w:pPr>
              <w:jc w:val="right"/>
              <w:rPr>
                <w:rFonts w:cs="Arial"/>
                <w:szCs w:val="24"/>
                <w:lang w:eastAsia="en-GB"/>
              </w:rPr>
            </w:pPr>
            <w:r>
              <w:rPr>
                <w:rFonts w:cs="Arial"/>
                <w:szCs w:val="24"/>
                <w:lang w:eastAsia="en-GB"/>
              </w:rPr>
              <w:t>-</w:t>
            </w:r>
          </w:p>
        </w:tc>
        <w:tc>
          <w:tcPr>
            <w:tcW w:w="1565" w:type="dxa"/>
            <w:vAlign w:val="center"/>
          </w:tcPr>
          <w:p w14:paraId="29EAB8F5" w14:textId="64C9A005" w:rsidR="00600E41" w:rsidRPr="00BD2C0D" w:rsidRDefault="00600E41" w:rsidP="009A6091">
            <w:pPr>
              <w:jc w:val="right"/>
              <w:rPr>
                <w:rFonts w:cs="Arial"/>
                <w:szCs w:val="24"/>
                <w:lang w:eastAsia="en-GB"/>
              </w:rPr>
            </w:pPr>
            <w:r w:rsidRPr="00BD2C0D">
              <w:rPr>
                <w:rFonts w:cs="Arial"/>
                <w:szCs w:val="24"/>
                <w:lang w:eastAsia="en-GB"/>
              </w:rPr>
              <w:t>(2,180)</w:t>
            </w:r>
          </w:p>
        </w:tc>
        <w:tc>
          <w:tcPr>
            <w:tcW w:w="1565" w:type="dxa"/>
            <w:noWrap/>
            <w:vAlign w:val="center"/>
          </w:tcPr>
          <w:p w14:paraId="2CC6525E" w14:textId="3520FECC" w:rsidR="00600E41" w:rsidRPr="00BD2C0D" w:rsidRDefault="00600E41" w:rsidP="009A6091">
            <w:pPr>
              <w:jc w:val="right"/>
              <w:rPr>
                <w:rFonts w:cs="Arial"/>
                <w:szCs w:val="24"/>
                <w:lang w:eastAsia="en-GB"/>
              </w:rPr>
            </w:pPr>
            <w:r w:rsidRPr="00BD2C0D">
              <w:rPr>
                <w:rFonts w:cs="Arial"/>
                <w:szCs w:val="24"/>
                <w:lang w:eastAsia="en-GB"/>
              </w:rPr>
              <w:t>(6,648)</w:t>
            </w:r>
          </w:p>
        </w:tc>
      </w:tr>
      <w:tr w:rsidR="00600E41" w:rsidRPr="00D948C1" w14:paraId="4E32CA31" w14:textId="77777777" w:rsidTr="00580079">
        <w:trPr>
          <w:trHeight w:val="272"/>
        </w:trPr>
        <w:tc>
          <w:tcPr>
            <w:tcW w:w="5668" w:type="dxa"/>
            <w:noWrap/>
            <w:vAlign w:val="bottom"/>
          </w:tcPr>
          <w:p w14:paraId="2FA83F45" w14:textId="56636D13" w:rsidR="00600E41" w:rsidRPr="00D948C1" w:rsidRDefault="00600E41" w:rsidP="009A6091">
            <w:pPr>
              <w:ind w:left="175"/>
              <w:rPr>
                <w:rFonts w:cs="Arial"/>
                <w:szCs w:val="24"/>
                <w:lang w:eastAsia="en-GB"/>
              </w:rPr>
            </w:pPr>
            <w:r w:rsidRPr="00D948C1">
              <w:rPr>
                <w:rFonts w:cs="Arial"/>
                <w:szCs w:val="24"/>
                <w:lang w:eastAsia="en-GB"/>
              </w:rPr>
              <w:t>Disposals</w:t>
            </w:r>
            <w:r>
              <w:rPr>
                <w:rFonts w:cs="Arial"/>
                <w:szCs w:val="24"/>
                <w:lang w:eastAsia="en-GB"/>
              </w:rPr>
              <w:t>/De-recognitions</w:t>
            </w:r>
          </w:p>
        </w:tc>
        <w:tc>
          <w:tcPr>
            <w:tcW w:w="1565" w:type="dxa"/>
            <w:noWrap/>
            <w:vAlign w:val="center"/>
          </w:tcPr>
          <w:p w14:paraId="64900AFD" w14:textId="6A4B6A3D" w:rsidR="00600E41" w:rsidRPr="00BD2C0D" w:rsidRDefault="00600E41" w:rsidP="009A6091">
            <w:pPr>
              <w:jc w:val="right"/>
              <w:rPr>
                <w:rFonts w:cs="Arial"/>
                <w:szCs w:val="24"/>
                <w:lang w:eastAsia="en-GB"/>
              </w:rPr>
            </w:pPr>
            <w:r w:rsidRPr="00BD2C0D">
              <w:rPr>
                <w:rFonts w:cs="Arial"/>
                <w:szCs w:val="24"/>
                <w:lang w:eastAsia="en-GB"/>
              </w:rPr>
              <w:t>-</w:t>
            </w:r>
          </w:p>
        </w:tc>
        <w:tc>
          <w:tcPr>
            <w:tcW w:w="1564" w:type="dxa"/>
            <w:vAlign w:val="center"/>
          </w:tcPr>
          <w:p w14:paraId="05026C59" w14:textId="6A3784F1" w:rsidR="00600E41" w:rsidRPr="00BD2C0D" w:rsidRDefault="00600E41" w:rsidP="009A6091">
            <w:pPr>
              <w:jc w:val="right"/>
              <w:rPr>
                <w:rFonts w:cs="Arial"/>
                <w:szCs w:val="24"/>
                <w:lang w:eastAsia="en-GB"/>
              </w:rPr>
            </w:pPr>
            <w:r w:rsidRPr="00BD2C0D">
              <w:rPr>
                <w:rFonts w:cs="Arial"/>
                <w:szCs w:val="24"/>
                <w:lang w:eastAsia="en-GB"/>
              </w:rPr>
              <w:t>-</w:t>
            </w:r>
          </w:p>
        </w:tc>
        <w:tc>
          <w:tcPr>
            <w:tcW w:w="1565" w:type="dxa"/>
            <w:vAlign w:val="center"/>
          </w:tcPr>
          <w:p w14:paraId="173C0BAC" w14:textId="3317629B" w:rsidR="00600E41" w:rsidRPr="00C10CC1" w:rsidRDefault="00897F99" w:rsidP="00E3108A">
            <w:pPr>
              <w:jc w:val="right"/>
              <w:rPr>
                <w:rFonts w:cs="Arial"/>
                <w:szCs w:val="24"/>
                <w:lang w:eastAsia="en-GB"/>
              </w:rPr>
            </w:pPr>
            <w:r>
              <w:rPr>
                <w:rFonts w:cs="Arial"/>
                <w:szCs w:val="24"/>
                <w:lang w:eastAsia="en-GB"/>
              </w:rPr>
              <w:t>-</w:t>
            </w:r>
          </w:p>
        </w:tc>
        <w:tc>
          <w:tcPr>
            <w:tcW w:w="1565" w:type="dxa"/>
            <w:vAlign w:val="center"/>
          </w:tcPr>
          <w:p w14:paraId="49033D0A" w14:textId="282E6742" w:rsidR="00600E41" w:rsidRPr="00BD2C0D" w:rsidRDefault="00600E41" w:rsidP="009A6091">
            <w:pPr>
              <w:jc w:val="right"/>
              <w:rPr>
                <w:rFonts w:cs="Arial"/>
                <w:szCs w:val="24"/>
                <w:lang w:eastAsia="en-GB"/>
              </w:rPr>
            </w:pPr>
            <w:r w:rsidRPr="00BD2C0D">
              <w:rPr>
                <w:rFonts w:cs="Arial"/>
                <w:szCs w:val="24"/>
                <w:lang w:eastAsia="en-GB"/>
              </w:rPr>
              <w:t>1,534</w:t>
            </w:r>
          </w:p>
        </w:tc>
        <w:tc>
          <w:tcPr>
            <w:tcW w:w="1565" w:type="dxa"/>
            <w:noWrap/>
            <w:vAlign w:val="center"/>
          </w:tcPr>
          <w:p w14:paraId="1C499701" w14:textId="3105142D" w:rsidR="00600E41" w:rsidRPr="00BD2C0D" w:rsidRDefault="00600E41" w:rsidP="009A6091">
            <w:pPr>
              <w:jc w:val="right"/>
              <w:rPr>
                <w:rFonts w:cs="Arial"/>
                <w:szCs w:val="24"/>
                <w:lang w:eastAsia="en-GB"/>
              </w:rPr>
            </w:pPr>
            <w:r w:rsidRPr="00BD2C0D">
              <w:rPr>
                <w:rFonts w:cs="Arial"/>
                <w:szCs w:val="24"/>
                <w:lang w:eastAsia="en-GB"/>
              </w:rPr>
              <w:t>1,534</w:t>
            </w:r>
          </w:p>
        </w:tc>
      </w:tr>
      <w:tr w:rsidR="00600E41" w:rsidRPr="00D948C1" w14:paraId="377D3D36" w14:textId="77777777" w:rsidTr="00580079">
        <w:trPr>
          <w:trHeight w:val="272"/>
        </w:trPr>
        <w:tc>
          <w:tcPr>
            <w:tcW w:w="5668" w:type="dxa"/>
            <w:noWrap/>
            <w:vAlign w:val="bottom"/>
          </w:tcPr>
          <w:p w14:paraId="50718B95" w14:textId="11ECF5F6" w:rsidR="00600E41" w:rsidRPr="00D948C1" w:rsidRDefault="00600E41" w:rsidP="009A6091">
            <w:pPr>
              <w:ind w:left="175"/>
              <w:rPr>
                <w:rFonts w:cs="Arial"/>
                <w:szCs w:val="24"/>
                <w:lang w:eastAsia="en-GB"/>
              </w:rPr>
            </w:pPr>
            <w:r w:rsidRPr="00D948C1">
              <w:rPr>
                <w:rFonts w:cs="Arial"/>
                <w:szCs w:val="24"/>
                <w:lang w:eastAsia="en-GB"/>
              </w:rPr>
              <w:t>Revaluations</w:t>
            </w:r>
          </w:p>
        </w:tc>
        <w:tc>
          <w:tcPr>
            <w:tcW w:w="1565" w:type="dxa"/>
            <w:noWrap/>
            <w:vAlign w:val="center"/>
          </w:tcPr>
          <w:p w14:paraId="2F04B2AA" w14:textId="5D4B8287" w:rsidR="00600E41" w:rsidRPr="00BD2C0D" w:rsidRDefault="00600E41" w:rsidP="009A6091">
            <w:pPr>
              <w:jc w:val="right"/>
              <w:rPr>
                <w:rFonts w:cs="Arial"/>
                <w:szCs w:val="24"/>
              </w:rPr>
            </w:pPr>
            <w:r w:rsidRPr="00BD2C0D">
              <w:rPr>
                <w:rFonts w:cs="Arial"/>
                <w:szCs w:val="24"/>
              </w:rPr>
              <w:t>3,400</w:t>
            </w:r>
          </w:p>
        </w:tc>
        <w:tc>
          <w:tcPr>
            <w:tcW w:w="1564" w:type="dxa"/>
            <w:vAlign w:val="center"/>
          </w:tcPr>
          <w:p w14:paraId="6246EDEF" w14:textId="0D741DCA" w:rsidR="00600E41" w:rsidRPr="00BD2C0D" w:rsidRDefault="00600E41" w:rsidP="009A6091">
            <w:pPr>
              <w:jc w:val="right"/>
              <w:rPr>
                <w:rFonts w:cs="Arial"/>
                <w:szCs w:val="24"/>
              </w:rPr>
            </w:pPr>
            <w:r w:rsidRPr="00BD2C0D">
              <w:rPr>
                <w:rFonts w:cs="Arial"/>
                <w:szCs w:val="24"/>
              </w:rPr>
              <w:t>1,068</w:t>
            </w:r>
          </w:p>
        </w:tc>
        <w:tc>
          <w:tcPr>
            <w:tcW w:w="1565" w:type="dxa"/>
            <w:vAlign w:val="center"/>
          </w:tcPr>
          <w:p w14:paraId="551675DD" w14:textId="232E9C18" w:rsidR="00600E41" w:rsidRPr="00C10CC1" w:rsidRDefault="00897F99" w:rsidP="00E3108A">
            <w:pPr>
              <w:jc w:val="right"/>
              <w:rPr>
                <w:rFonts w:cs="Arial"/>
                <w:szCs w:val="24"/>
              </w:rPr>
            </w:pPr>
            <w:r>
              <w:rPr>
                <w:rFonts w:cs="Arial"/>
                <w:szCs w:val="24"/>
              </w:rPr>
              <w:t>-</w:t>
            </w:r>
          </w:p>
        </w:tc>
        <w:tc>
          <w:tcPr>
            <w:tcW w:w="1565" w:type="dxa"/>
            <w:vAlign w:val="center"/>
          </w:tcPr>
          <w:p w14:paraId="5622E348" w14:textId="378A70CF" w:rsidR="00600E41" w:rsidRPr="00BD2C0D" w:rsidRDefault="00600E41" w:rsidP="009A6091">
            <w:pPr>
              <w:jc w:val="right"/>
              <w:rPr>
                <w:rFonts w:cs="Arial"/>
                <w:szCs w:val="24"/>
              </w:rPr>
            </w:pPr>
            <w:r w:rsidRPr="00BD2C0D">
              <w:rPr>
                <w:rFonts w:cs="Arial"/>
                <w:szCs w:val="24"/>
              </w:rPr>
              <w:t>-</w:t>
            </w:r>
          </w:p>
        </w:tc>
        <w:tc>
          <w:tcPr>
            <w:tcW w:w="1565" w:type="dxa"/>
            <w:noWrap/>
            <w:vAlign w:val="center"/>
          </w:tcPr>
          <w:p w14:paraId="13762BDB" w14:textId="7760D495" w:rsidR="00600E41" w:rsidRPr="00BD2C0D" w:rsidRDefault="00600E41" w:rsidP="009A6091">
            <w:pPr>
              <w:jc w:val="right"/>
              <w:rPr>
                <w:rFonts w:cs="Arial"/>
                <w:szCs w:val="24"/>
              </w:rPr>
            </w:pPr>
            <w:r w:rsidRPr="00BD2C0D">
              <w:rPr>
                <w:rFonts w:cs="Arial"/>
                <w:szCs w:val="24"/>
              </w:rPr>
              <w:t>4,468</w:t>
            </w:r>
          </w:p>
        </w:tc>
      </w:tr>
      <w:tr w:rsidR="00600E41" w:rsidRPr="00D948C1" w14:paraId="4F4AEA5C" w14:textId="77777777" w:rsidTr="00580079">
        <w:trPr>
          <w:trHeight w:val="272"/>
        </w:trPr>
        <w:tc>
          <w:tcPr>
            <w:tcW w:w="5668" w:type="dxa"/>
            <w:noWrap/>
            <w:vAlign w:val="bottom"/>
          </w:tcPr>
          <w:p w14:paraId="24F932C1" w14:textId="177D92FF" w:rsidR="00600E41" w:rsidRPr="00D948C1" w:rsidRDefault="00600E41" w:rsidP="009A6091">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noWrap/>
            <w:vAlign w:val="center"/>
          </w:tcPr>
          <w:p w14:paraId="071CD9ED" w14:textId="5407A0C3" w:rsidR="00600E41" w:rsidRPr="00BD2C0D" w:rsidRDefault="00600E41" w:rsidP="009A6091">
            <w:pPr>
              <w:jc w:val="right"/>
              <w:rPr>
                <w:rFonts w:cs="Arial"/>
                <w:szCs w:val="24"/>
                <w:lang w:eastAsia="en-GB"/>
              </w:rPr>
            </w:pPr>
            <w:r w:rsidRPr="00BD2C0D">
              <w:rPr>
                <w:rFonts w:cs="Arial"/>
                <w:szCs w:val="24"/>
                <w:lang w:eastAsia="en-GB"/>
              </w:rPr>
              <w:t>-</w:t>
            </w:r>
          </w:p>
        </w:tc>
        <w:tc>
          <w:tcPr>
            <w:tcW w:w="1564" w:type="dxa"/>
            <w:vAlign w:val="center"/>
          </w:tcPr>
          <w:p w14:paraId="78E11B55" w14:textId="58D074A6" w:rsidR="00600E41" w:rsidRPr="00BD2C0D" w:rsidRDefault="00600E41" w:rsidP="009A6091">
            <w:pPr>
              <w:jc w:val="right"/>
              <w:rPr>
                <w:rFonts w:cs="Arial"/>
                <w:szCs w:val="24"/>
                <w:lang w:eastAsia="en-GB"/>
              </w:rPr>
            </w:pPr>
            <w:r w:rsidRPr="00BD2C0D">
              <w:rPr>
                <w:rFonts w:cs="Arial"/>
                <w:szCs w:val="24"/>
                <w:lang w:eastAsia="en-GB"/>
              </w:rPr>
              <w:t>-</w:t>
            </w:r>
          </w:p>
        </w:tc>
        <w:tc>
          <w:tcPr>
            <w:tcW w:w="1565" w:type="dxa"/>
            <w:vAlign w:val="center"/>
          </w:tcPr>
          <w:p w14:paraId="4E716FE1" w14:textId="4E26F8A5" w:rsidR="00600E41" w:rsidRPr="00C10CC1" w:rsidRDefault="00897F99" w:rsidP="00E3108A">
            <w:pPr>
              <w:jc w:val="right"/>
              <w:rPr>
                <w:rFonts w:cs="Arial"/>
                <w:szCs w:val="24"/>
                <w:lang w:eastAsia="en-GB"/>
              </w:rPr>
            </w:pPr>
            <w:r>
              <w:rPr>
                <w:rFonts w:cs="Arial"/>
                <w:szCs w:val="24"/>
                <w:lang w:eastAsia="en-GB"/>
              </w:rPr>
              <w:t>-</w:t>
            </w:r>
          </w:p>
        </w:tc>
        <w:tc>
          <w:tcPr>
            <w:tcW w:w="1565" w:type="dxa"/>
            <w:vAlign w:val="center"/>
          </w:tcPr>
          <w:p w14:paraId="6EE27B98" w14:textId="287292AB" w:rsidR="00600E41" w:rsidRPr="00BD2C0D" w:rsidRDefault="00600E41" w:rsidP="009A6091">
            <w:pPr>
              <w:jc w:val="right"/>
              <w:rPr>
                <w:rFonts w:cs="Arial"/>
                <w:szCs w:val="24"/>
                <w:lang w:eastAsia="en-GB"/>
              </w:rPr>
            </w:pPr>
            <w:r w:rsidRPr="00BD2C0D">
              <w:rPr>
                <w:rFonts w:cs="Arial"/>
                <w:szCs w:val="24"/>
                <w:lang w:eastAsia="en-GB"/>
              </w:rPr>
              <w:t>(18,025)</w:t>
            </w:r>
          </w:p>
        </w:tc>
        <w:tc>
          <w:tcPr>
            <w:tcW w:w="1565" w:type="dxa"/>
            <w:noWrap/>
            <w:vAlign w:val="center"/>
          </w:tcPr>
          <w:p w14:paraId="01AC6FD5" w14:textId="1D44D100" w:rsidR="00600E41" w:rsidRPr="00BD2C0D" w:rsidRDefault="00600E41" w:rsidP="009A6091">
            <w:pPr>
              <w:jc w:val="right"/>
              <w:rPr>
                <w:rFonts w:cs="Arial"/>
                <w:szCs w:val="24"/>
                <w:lang w:eastAsia="en-GB"/>
              </w:rPr>
            </w:pPr>
            <w:r w:rsidRPr="00BD2C0D">
              <w:rPr>
                <w:rFonts w:cs="Arial"/>
                <w:szCs w:val="24"/>
                <w:lang w:eastAsia="en-GB"/>
              </w:rPr>
              <w:t>(18,025)</w:t>
            </w:r>
          </w:p>
        </w:tc>
      </w:tr>
      <w:tr w:rsidR="00600E41" w:rsidRPr="00D948C1" w14:paraId="2E43B047" w14:textId="77777777" w:rsidTr="00580079">
        <w:trPr>
          <w:trHeight w:val="272"/>
        </w:trPr>
        <w:tc>
          <w:tcPr>
            <w:tcW w:w="5668" w:type="dxa"/>
            <w:noWrap/>
            <w:vAlign w:val="bottom"/>
          </w:tcPr>
          <w:p w14:paraId="7CBB4956" w14:textId="1E941AE2" w:rsidR="00600E41" w:rsidRPr="00D948C1" w:rsidRDefault="00600E41" w:rsidP="009A6091">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noWrap/>
            <w:vAlign w:val="center"/>
          </w:tcPr>
          <w:p w14:paraId="37F952CB" w14:textId="1AC4D8A4" w:rsidR="00600E41" w:rsidRPr="00BD2C0D" w:rsidRDefault="00600E41" w:rsidP="009A6091">
            <w:pPr>
              <w:jc w:val="right"/>
              <w:rPr>
                <w:rFonts w:cs="Arial"/>
                <w:szCs w:val="24"/>
                <w:lang w:eastAsia="en-GB"/>
              </w:rPr>
            </w:pPr>
            <w:r w:rsidRPr="00BD2C0D">
              <w:rPr>
                <w:rFonts w:cs="Arial"/>
                <w:szCs w:val="24"/>
                <w:lang w:eastAsia="en-GB"/>
              </w:rPr>
              <w:t>80,6</w:t>
            </w:r>
            <w:r w:rsidR="0041089C">
              <w:rPr>
                <w:rFonts w:cs="Arial"/>
                <w:szCs w:val="24"/>
                <w:lang w:eastAsia="en-GB"/>
              </w:rPr>
              <w:t>66</w:t>
            </w:r>
          </w:p>
        </w:tc>
        <w:tc>
          <w:tcPr>
            <w:tcW w:w="1564" w:type="dxa"/>
            <w:vAlign w:val="center"/>
          </w:tcPr>
          <w:p w14:paraId="72E9F49C" w14:textId="5953C16A" w:rsidR="00600E41" w:rsidRPr="00BD2C0D" w:rsidRDefault="00600E41" w:rsidP="009A6091">
            <w:pPr>
              <w:jc w:val="right"/>
              <w:rPr>
                <w:rFonts w:cs="Arial"/>
                <w:szCs w:val="24"/>
                <w:lang w:eastAsia="en-GB"/>
              </w:rPr>
            </w:pPr>
            <w:r w:rsidRPr="00BD2C0D">
              <w:rPr>
                <w:rFonts w:cs="Arial"/>
                <w:szCs w:val="24"/>
                <w:lang w:eastAsia="en-GB"/>
              </w:rPr>
              <w:t>35,732</w:t>
            </w:r>
          </w:p>
        </w:tc>
        <w:tc>
          <w:tcPr>
            <w:tcW w:w="1565" w:type="dxa"/>
            <w:vAlign w:val="center"/>
          </w:tcPr>
          <w:p w14:paraId="707A6D83" w14:textId="6C1604BB" w:rsidR="00600E41" w:rsidRPr="00C10CC1" w:rsidRDefault="00897F99" w:rsidP="00E3108A">
            <w:pPr>
              <w:jc w:val="right"/>
              <w:rPr>
                <w:rFonts w:cs="Arial"/>
                <w:szCs w:val="24"/>
                <w:lang w:eastAsia="en-GB"/>
              </w:rPr>
            </w:pPr>
            <w:r>
              <w:rPr>
                <w:rFonts w:cs="Arial"/>
                <w:szCs w:val="24"/>
                <w:lang w:eastAsia="en-GB"/>
              </w:rPr>
              <w:t>2,136</w:t>
            </w:r>
          </w:p>
        </w:tc>
        <w:tc>
          <w:tcPr>
            <w:tcW w:w="1565" w:type="dxa"/>
            <w:vAlign w:val="center"/>
          </w:tcPr>
          <w:p w14:paraId="1459EDB9" w14:textId="47FC43C2" w:rsidR="00600E41" w:rsidRPr="00BD2C0D" w:rsidRDefault="00600E41" w:rsidP="009A6091">
            <w:pPr>
              <w:jc w:val="right"/>
              <w:rPr>
                <w:rFonts w:cs="Arial"/>
                <w:szCs w:val="24"/>
                <w:lang w:eastAsia="en-GB"/>
              </w:rPr>
            </w:pPr>
            <w:r w:rsidRPr="00BD2C0D">
              <w:rPr>
                <w:rFonts w:cs="Arial"/>
                <w:szCs w:val="24"/>
                <w:lang w:eastAsia="en-GB"/>
              </w:rPr>
              <w:t>1</w:t>
            </w:r>
            <w:r w:rsidR="00B027EC">
              <w:rPr>
                <w:rFonts w:cs="Arial"/>
                <w:szCs w:val="24"/>
                <w:lang w:eastAsia="en-GB"/>
              </w:rPr>
              <w:t>1</w:t>
            </w:r>
            <w:r w:rsidRPr="00BD2C0D">
              <w:rPr>
                <w:rFonts w:cs="Arial"/>
                <w:szCs w:val="24"/>
                <w:lang w:eastAsia="en-GB"/>
              </w:rPr>
              <w:t>,</w:t>
            </w:r>
            <w:r w:rsidR="00B027EC">
              <w:rPr>
                <w:rFonts w:cs="Arial"/>
                <w:szCs w:val="24"/>
                <w:lang w:eastAsia="en-GB"/>
              </w:rPr>
              <w:t>042</w:t>
            </w:r>
          </w:p>
        </w:tc>
        <w:tc>
          <w:tcPr>
            <w:tcW w:w="1565" w:type="dxa"/>
            <w:noWrap/>
            <w:vAlign w:val="center"/>
          </w:tcPr>
          <w:p w14:paraId="59019F28" w14:textId="09322AF6" w:rsidR="00600E41" w:rsidRPr="00BD2C0D" w:rsidRDefault="00600E41" w:rsidP="009A6091">
            <w:pPr>
              <w:jc w:val="right"/>
              <w:rPr>
                <w:rFonts w:cs="Arial"/>
                <w:szCs w:val="24"/>
                <w:lang w:eastAsia="en-GB"/>
              </w:rPr>
            </w:pPr>
            <w:r w:rsidRPr="00BD2C0D">
              <w:rPr>
                <w:rFonts w:cs="Arial"/>
                <w:szCs w:val="24"/>
                <w:lang w:eastAsia="en-GB"/>
              </w:rPr>
              <w:t>129,576</w:t>
            </w:r>
          </w:p>
        </w:tc>
      </w:tr>
      <w:tr w:rsidR="00600E41" w:rsidRPr="00D948C1" w14:paraId="531808D5" w14:textId="77777777" w:rsidTr="00580079">
        <w:trPr>
          <w:trHeight w:val="272"/>
        </w:trPr>
        <w:tc>
          <w:tcPr>
            <w:tcW w:w="5668" w:type="dxa"/>
            <w:noWrap/>
            <w:vAlign w:val="bottom"/>
          </w:tcPr>
          <w:p w14:paraId="3703B2BF" w14:textId="2704F44C" w:rsidR="00600E41" w:rsidRPr="00D948C1" w:rsidRDefault="00600E41" w:rsidP="009A6091">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4</w:t>
            </w:r>
          </w:p>
        </w:tc>
        <w:tc>
          <w:tcPr>
            <w:tcW w:w="1565" w:type="dxa"/>
            <w:noWrap/>
            <w:vAlign w:val="center"/>
          </w:tcPr>
          <w:p w14:paraId="23ED14C4" w14:textId="3C607CC4" w:rsidR="00600E41" w:rsidRPr="00BD2C0D" w:rsidRDefault="00600E41" w:rsidP="009A6091">
            <w:pPr>
              <w:jc w:val="right"/>
              <w:rPr>
                <w:rFonts w:cs="Arial"/>
                <w:szCs w:val="24"/>
                <w:lang w:eastAsia="en-GB"/>
              </w:rPr>
            </w:pPr>
            <w:r w:rsidRPr="00BD2C0D">
              <w:rPr>
                <w:rFonts w:cs="Arial"/>
                <w:szCs w:val="24"/>
                <w:lang w:eastAsia="en-GB"/>
              </w:rPr>
              <w:t>79,242</w:t>
            </w:r>
          </w:p>
        </w:tc>
        <w:tc>
          <w:tcPr>
            <w:tcW w:w="1564" w:type="dxa"/>
            <w:vAlign w:val="center"/>
          </w:tcPr>
          <w:p w14:paraId="594272B3" w14:textId="7FBAC079" w:rsidR="00600E41" w:rsidRPr="00BD2C0D" w:rsidRDefault="00600E41" w:rsidP="009A6091">
            <w:pPr>
              <w:jc w:val="right"/>
              <w:rPr>
                <w:rFonts w:cs="Arial"/>
                <w:szCs w:val="24"/>
                <w:lang w:eastAsia="en-GB"/>
              </w:rPr>
            </w:pPr>
            <w:r w:rsidRPr="00BD2C0D">
              <w:rPr>
                <w:rFonts w:cs="Arial"/>
                <w:szCs w:val="24"/>
                <w:lang w:eastAsia="en-GB"/>
              </w:rPr>
              <w:t>36,270</w:t>
            </w:r>
          </w:p>
        </w:tc>
        <w:tc>
          <w:tcPr>
            <w:tcW w:w="1565" w:type="dxa"/>
            <w:vAlign w:val="center"/>
          </w:tcPr>
          <w:p w14:paraId="6AB86D1D" w14:textId="7266F395" w:rsidR="00600E41" w:rsidRPr="00C10CC1" w:rsidRDefault="00897F99" w:rsidP="00E3108A">
            <w:pPr>
              <w:jc w:val="right"/>
              <w:rPr>
                <w:rFonts w:cs="Arial"/>
                <w:szCs w:val="24"/>
                <w:lang w:eastAsia="en-GB"/>
              </w:rPr>
            </w:pPr>
            <w:r>
              <w:rPr>
                <w:rFonts w:cs="Arial"/>
                <w:szCs w:val="24"/>
                <w:lang w:eastAsia="en-GB"/>
              </w:rPr>
              <w:t>1,274</w:t>
            </w:r>
          </w:p>
        </w:tc>
        <w:tc>
          <w:tcPr>
            <w:tcW w:w="1565" w:type="dxa"/>
            <w:vAlign w:val="center"/>
          </w:tcPr>
          <w:p w14:paraId="65373283" w14:textId="77536A22" w:rsidR="00600E41" w:rsidRPr="00BD2C0D" w:rsidRDefault="00600E41" w:rsidP="009A6091">
            <w:pPr>
              <w:jc w:val="right"/>
              <w:rPr>
                <w:rFonts w:cs="Arial"/>
                <w:szCs w:val="24"/>
                <w:lang w:eastAsia="en-GB"/>
              </w:rPr>
            </w:pPr>
            <w:r w:rsidRPr="00BD2C0D">
              <w:rPr>
                <w:rFonts w:cs="Arial"/>
                <w:szCs w:val="24"/>
                <w:lang w:eastAsia="en-GB"/>
              </w:rPr>
              <w:t>1</w:t>
            </w:r>
            <w:r w:rsidR="00807F55">
              <w:rPr>
                <w:rFonts w:cs="Arial"/>
                <w:szCs w:val="24"/>
                <w:lang w:eastAsia="en-GB"/>
              </w:rPr>
              <w:t>0</w:t>
            </w:r>
            <w:r w:rsidRPr="00BD2C0D">
              <w:rPr>
                <w:rFonts w:cs="Arial"/>
                <w:szCs w:val="24"/>
                <w:lang w:eastAsia="en-GB"/>
              </w:rPr>
              <w:t>,</w:t>
            </w:r>
            <w:r w:rsidR="00807F55">
              <w:rPr>
                <w:rFonts w:cs="Arial"/>
                <w:szCs w:val="24"/>
                <w:lang w:eastAsia="en-GB"/>
              </w:rPr>
              <w:t>562</w:t>
            </w:r>
          </w:p>
        </w:tc>
        <w:tc>
          <w:tcPr>
            <w:tcW w:w="1565" w:type="dxa"/>
            <w:noWrap/>
            <w:vAlign w:val="center"/>
          </w:tcPr>
          <w:p w14:paraId="1199C49A" w14:textId="1A0A6EF1" w:rsidR="00600E41" w:rsidRPr="00BD2C0D" w:rsidRDefault="00600E41" w:rsidP="009A6091">
            <w:pPr>
              <w:jc w:val="right"/>
              <w:rPr>
                <w:rFonts w:cs="Arial"/>
                <w:szCs w:val="24"/>
                <w:lang w:eastAsia="en-GB"/>
              </w:rPr>
            </w:pPr>
            <w:r w:rsidRPr="00BD2C0D">
              <w:rPr>
                <w:rFonts w:cs="Arial"/>
                <w:szCs w:val="24"/>
                <w:lang w:eastAsia="en-GB"/>
              </w:rPr>
              <w:t>127,349</w:t>
            </w:r>
          </w:p>
        </w:tc>
      </w:tr>
    </w:tbl>
    <w:p w14:paraId="099F6555" w14:textId="2294CD75" w:rsidR="00BB7765" w:rsidRDefault="00BB7765"/>
    <w:p w14:paraId="419AC9A9" w14:textId="77777777" w:rsidR="00BB7765" w:rsidRDefault="00BB7765">
      <w:r>
        <w:br w:type="page"/>
      </w:r>
    </w:p>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600E41" w:rsidRPr="00D948C1" w14:paraId="3A5229A4" w14:textId="77777777" w:rsidTr="005F0455">
        <w:trPr>
          <w:trHeight w:val="225"/>
        </w:trPr>
        <w:tc>
          <w:tcPr>
            <w:tcW w:w="5668" w:type="dxa"/>
            <w:shd w:val="clear" w:color="auto" w:fill="BD2716"/>
            <w:noWrap/>
            <w:vAlign w:val="center"/>
          </w:tcPr>
          <w:p w14:paraId="671E2706" w14:textId="191166B0" w:rsidR="00600E41" w:rsidRPr="00D948C1" w:rsidRDefault="00600E41" w:rsidP="00600E41">
            <w:pPr>
              <w:ind w:left="175"/>
              <w:jc w:val="right"/>
              <w:rPr>
                <w:rFonts w:cs="Arial"/>
                <w:color w:val="FFFFFF" w:themeColor="background1"/>
                <w:szCs w:val="24"/>
                <w:lang w:eastAsia="en-GB"/>
              </w:rPr>
            </w:pPr>
            <w:r w:rsidRPr="00D948C1">
              <w:lastRenderedPageBreak/>
              <w:br w:type="page"/>
            </w:r>
          </w:p>
        </w:tc>
        <w:tc>
          <w:tcPr>
            <w:tcW w:w="1565" w:type="dxa"/>
            <w:shd w:val="clear" w:color="auto" w:fill="BD2716"/>
            <w:noWrap/>
            <w:vAlign w:val="center"/>
          </w:tcPr>
          <w:p w14:paraId="0ACBED7F" w14:textId="77777777"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4C62CC38" w14:textId="77777777" w:rsidR="00600E41" w:rsidRPr="00D948C1" w:rsidRDefault="00600E41" w:rsidP="00600E41">
            <w:pPr>
              <w:pStyle w:val="CommentText"/>
              <w:jc w:val="right"/>
              <w:rPr>
                <w:rFonts w:cs="Arial"/>
                <w:color w:val="FFFFFF" w:themeColor="background1"/>
                <w:sz w:val="24"/>
                <w:szCs w:val="24"/>
              </w:rPr>
            </w:pPr>
            <w:r w:rsidRPr="00D948C1">
              <w:rPr>
                <w:rFonts w:cs="Arial"/>
                <w:color w:val="FFFFFF" w:themeColor="background1"/>
                <w:sz w:val="24"/>
                <w:szCs w:val="24"/>
                <w:lang w:eastAsia="en-GB"/>
              </w:rPr>
              <w:t>£000</w:t>
            </w:r>
          </w:p>
        </w:tc>
        <w:tc>
          <w:tcPr>
            <w:tcW w:w="1564" w:type="dxa"/>
            <w:shd w:val="clear" w:color="auto" w:fill="BD2716"/>
            <w:vAlign w:val="center"/>
          </w:tcPr>
          <w:p w14:paraId="05416B32" w14:textId="77777777"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39BA1164" w14:textId="77777777" w:rsidR="00600E41" w:rsidRPr="00D948C1" w:rsidRDefault="00600E41" w:rsidP="00600E41">
            <w:pPr>
              <w:jc w:val="right"/>
              <w:rPr>
                <w:rFonts w:cs="Arial"/>
                <w:color w:val="FFFFFF" w:themeColor="background1"/>
                <w:szCs w:val="24"/>
              </w:rPr>
            </w:pPr>
            <w:r w:rsidRPr="00D948C1">
              <w:rPr>
                <w:rFonts w:cs="Arial"/>
                <w:color w:val="FFFFFF" w:themeColor="background1"/>
                <w:szCs w:val="24"/>
                <w:lang w:eastAsia="en-GB"/>
              </w:rPr>
              <w:t>£000</w:t>
            </w:r>
          </w:p>
        </w:tc>
        <w:tc>
          <w:tcPr>
            <w:tcW w:w="1565" w:type="dxa"/>
            <w:shd w:val="clear" w:color="auto" w:fill="BD2716"/>
            <w:vAlign w:val="center"/>
          </w:tcPr>
          <w:p w14:paraId="08F8218C" w14:textId="655F83E2" w:rsidR="00600E41" w:rsidRPr="00D948C1" w:rsidRDefault="00600E41" w:rsidP="00600E41">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5" w:type="dxa"/>
            <w:shd w:val="clear" w:color="auto" w:fill="BD2716"/>
            <w:vAlign w:val="center"/>
          </w:tcPr>
          <w:p w14:paraId="3239F3F5" w14:textId="05E04D0A"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7450D48B" w14:textId="77777777" w:rsidR="00600E41" w:rsidRPr="00D948C1" w:rsidRDefault="00600E41" w:rsidP="00600E41">
            <w:pPr>
              <w:jc w:val="right"/>
              <w:rPr>
                <w:rFonts w:cs="Arial"/>
                <w:color w:val="FFFFFF" w:themeColor="background1"/>
                <w:szCs w:val="24"/>
              </w:rPr>
            </w:pPr>
            <w:r w:rsidRPr="00D948C1">
              <w:rPr>
                <w:rFonts w:cs="Arial"/>
                <w:color w:val="FFFFFF" w:themeColor="background1"/>
                <w:szCs w:val="24"/>
                <w:lang w:eastAsia="en-GB"/>
              </w:rPr>
              <w:t>£000</w:t>
            </w:r>
          </w:p>
        </w:tc>
        <w:tc>
          <w:tcPr>
            <w:tcW w:w="1565" w:type="dxa"/>
            <w:shd w:val="clear" w:color="auto" w:fill="BD2716"/>
            <w:noWrap/>
            <w:vAlign w:val="center"/>
          </w:tcPr>
          <w:p w14:paraId="5BF6D0D4" w14:textId="77777777"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26B64A6E" w14:textId="77777777" w:rsidR="00600E41" w:rsidRPr="00D948C1" w:rsidRDefault="00600E41" w:rsidP="00600E41">
            <w:pPr>
              <w:jc w:val="right"/>
              <w:rPr>
                <w:rFonts w:cs="Arial"/>
                <w:color w:val="FFFFFF" w:themeColor="background1"/>
                <w:szCs w:val="24"/>
              </w:rPr>
            </w:pPr>
            <w:r w:rsidRPr="00D948C1">
              <w:rPr>
                <w:rFonts w:cs="Arial"/>
                <w:color w:val="FFFFFF" w:themeColor="background1"/>
                <w:szCs w:val="24"/>
                <w:lang w:eastAsia="en-GB"/>
              </w:rPr>
              <w:t>£000</w:t>
            </w:r>
          </w:p>
        </w:tc>
      </w:tr>
      <w:tr w:rsidR="00E439FD" w:rsidRPr="00D948C1" w14:paraId="06CA2B96" w14:textId="77777777" w:rsidTr="00320984">
        <w:trPr>
          <w:trHeight w:val="212"/>
        </w:trPr>
        <w:tc>
          <w:tcPr>
            <w:tcW w:w="13492" w:type="dxa"/>
            <w:gridSpan w:val="6"/>
            <w:shd w:val="clear" w:color="auto" w:fill="D9D9D9" w:themeFill="background1" w:themeFillShade="D9"/>
            <w:noWrap/>
            <w:vAlign w:val="bottom"/>
          </w:tcPr>
          <w:p w14:paraId="04CB5009" w14:textId="332F9A25" w:rsidR="00E439FD" w:rsidRPr="00D948C1" w:rsidRDefault="00E439FD" w:rsidP="00BC6C4F">
            <w:pPr>
              <w:rPr>
                <w:rFonts w:cs="Arial"/>
                <w:szCs w:val="24"/>
                <w:lang w:eastAsia="en-GB"/>
              </w:rPr>
            </w:pPr>
            <w:r w:rsidRPr="00D948C1">
              <w:rPr>
                <w:rFonts w:cs="Arial"/>
                <w:b/>
                <w:bCs/>
                <w:szCs w:val="24"/>
                <w:lang w:eastAsia="en-GB"/>
              </w:rPr>
              <w:t>Nature of asset holding</w:t>
            </w:r>
          </w:p>
        </w:tc>
      </w:tr>
      <w:tr w:rsidR="00600E41" w:rsidRPr="00543C89" w14:paraId="6232A57B" w14:textId="77777777" w:rsidTr="005F0455">
        <w:trPr>
          <w:trHeight w:val="272"/>
        </w:trPr>
        <w:tc>
          <w:tcPr>
            <w:tcW w:w="5668" w:type="dxa"/>
            <w:noWrap/>
            <w:vAlign w:val="bottom"/>
          </w:tcPr>
          <w:p w14:paraId="14F6C374" w14:textId="77777777" w:rsidR="00600E41" w:rsidRPr="00543C89" w:rsidRDefault="00600E41" w:rsidP="00BC6C4F">
            <w:pPr>
              <w:ind w:left="175"/>
              <w:rPr>
                <w:rFonts w:cs="Arial"/>
                <w:szCs w:val="24"/>
                <w:lang w:eastAsia="en-GB"/>
              </w:rPr>
            </w:pPr>
            <w:r w:rsidRPr="00543C89">
              <w:rPr>
                <w:rFonts w:cs="Arial"/>
                <w:szCs w:val="24"/>
                <w:lang w:eastAsia="en-GB"/>
              </w:rPr>
              <w:t>Owned</w:t>
            </w:r>
          </w:p>
        </w:tc>
        <w:tc>
          <w:tcPr>
            <w:tcW w:w="1565" w:type="dxa"/>
            <w:noWrap/>
            <w:vAlign w:val="center"/>
          </w:tcPr>
          <w:p w14:paraId="59B50830" w14:textId="1432D379" w:rsidR="00600E41" w:rsidRPr="00BD2C0D" w:rsidRDefault="00600E41" w:rsidP="008B00BF">
            <w:pPr>
              <w:jc w:val="right"/>
              <w:rPr>
                <w:rFonts w:cs="Arial"/>
                <w:szCs w:val="24"/>
                <w:lang w:eastAsia="en-GB"/>
              </w:rPr>
            </w:pPr>
            <w:r w:rsidRPr="00BD2C0D">
              <w:rPr>
                <w:rFonts w:cs="Arial"/>
                <w:szCs w:val="24"/>
                <w:lang w:eastAsia="en-GB"/>
              </w:rPr>
              <w:t>80,</w:t>
            </w:r>
            <w:r w:rsidR="00B2481D">
              <w:rPr>
                <w:rFonts w:cs="Arial"/>
                <w:szCs w:val="24"/>
                <w:lang w:eastAsia="en-GB"/>
              </w:rPr>
              <w:t>576</w:t>
            </w:r>
          </w:p>
        </w:tc>
        <w:tc>
          <w:tcPr>
            <w:tcW w:w="1564" w:type="dxa"/>
            <w:vAlign w:val="center"/>
          </w:tcPr>
          <w:p w14:paraId="11080B7B" w14:textId="4BDEF3D7" w:rsidR="00600E41" w:rsidRPr="00BD2C0D" w:rsidRDefault="00600E41" w:rsidP="008B00BF">
            <w:pPr>
              <w:jc w:val="right"/>
              <w:rPr>
                <w:rFonts w:cs="Arial"/>
                <w:szCs w:val="24"/>
                <w:lang w:eastAsia="en-GB"/>
              </w:rPr>
            </w:pPr>
            <w:r w:rsidRPr="00BD2C0D">
              <w:rPr>
                <w:rFonts w:cs="Arial"/>
                <w:szCs w:val="24"/>
                <w:lang w:eastAsia="en-GB"/>
              </w:rPr>
              <w:t>-</w:t>
            </w:r>
          </w:p>
        </w:tc>
        <w:tc>
          <w:tcPr>
            <w:tcW w:w="1565" w:type="dxa"/>
            <w:vAlign w:val="center"/>
          </w:tcPr>
          <w:p w14:paraId="45E7908A" w14:textId="4F6901E7" w:rsidR="00600E41" w:rsidRPr="00C10CC1" w:rsidRDefault="00DA5A57" w:rsidP="00E3108A">
            <w:pPr>
              <w:jc w:val="right"/>
              <w:rPr>
                <w:rFonts w:cs="Arial"/>
                <w:szCs w:val="24"/>
                <w:lang w:eastAsia="en-GB"/>
              </w:rPr>
            </w:pPr>
            <w:r>
              <w:rPr>
                <w:rFonts w:cs="Arial"/>
                <w:szCs w:val="24"/>
                <w:lang w:eastAsia="en-GB"/>
              </w:rPr>
              <w:t>2,136</w:t>
            </w:r>
          </w:p>
        </w:tc>
        <w:tc>
          <w:tcPr>
            <w:tcW w:w="1565" w:type="dxa"/>
            <w:vAlign w:val="center"/>
          </w:tcPr>
          <w:p w14:paraId="7CAD32B0" w14:textId="715FD86A" w:rsidR="00600E41" w:rsidRPr="00BD2C0D" w:rsidRDefault="00600E41" w:rsidP="008B00BF">
            <w:pPr>
              <w:jc w:val="right"/>
              <w:rPr>
                <w:rFonts w:cs="Arial"/>
                <w:szCs w:val="24"/>
                <w:lang w:eastAsia="en-GB"/>
              </w:rPr>
            </w:pPr>
            <w:r w:rsidRPr="00BD2C0D">
              <w:rPr>
                <w:rFonts w:cs="Arial"/>
                <w:szCs w:val="24"/>
                <w:lang w:eastAsia="en-GB"/>
              </w:rPr>
              <w:t>1</w:t>
            </w:r>
            <w:r w:rsidR="00F11382">
              <w:rPr>
                <w:rFonts w:cs="Arial"/>
                <w:szCs w:val="24"/>
                <w:lang w:eastAsia="en-GB"/>
              </w:rPr>
              <w:t>1</w:t>
            </w:r>
            <w:r w:rsidRPr="00BD2C0D">
              <w:rPr>
                <w:rFonts w:cs="Arial"/>
                <w:szCs w:val="24"/>
                <w:lang w:eastAsia="en-GB"/>
              </w:rPr>
              <w:t>,</w:t>
            </w:r>
            <w:r w:rsidR="00F11382">
              <w:rPr>
                <w:rFonts w:cs="Arial"/>
                <w:szCs w:val="24"/>
                <w:lang w:eastAsia="en-GB"/>
              </w:rPr>
              <w:t>042</w:t>
            </w:r>
          </w:p>
        </w:tc>
        <w:tc>
          <w:tcPr>
            <w:tcW w:w="1565" w:type="dxa"/>
            <w:noWrap/>
            <w:vAlign w:val="center"/>
          </w:tcPr>
          <w:p w14:paraId="1B7E954F" w14:textId="17E79CD0" w:rsidR="00600E41" w:rsidRPr="00BD2C0D" w:rsidRDefault="00600E41" w:rsidP="008B00BF">
            <w:pPr>
              <w:jc w:val="right"/>
              <w:rPr>
                <w:rFonts w:cs="Arial"/>
                <w:szCs w:val="24"/>
                <w:lang w:eastAsia="en-GB"/>
              </w:rPr>
            </w:pPr>
            <w:r w:rsidRPr="00BD2C0D">
              <w:rPr>
                <w:rFonts w:cs="Arial"/>
                <w:szCs w:val="24"/>
                <w:lang w:eastAsia="en-GB"/>
              </w:rPr>
              <w:t>93,7</w:t>
            </w:r>
            <w:r>
              <w:rPr>
                <w:rFonts w:cs="Arial"/>
                <w:szCs w:val="24"/>
                <w:lang w:eastAsia="en-GB"/>
              </w:rPr>
              <w:t>55</w:t>
            </w:r>
          </w:p>
        </w:tc>
      </w:tr>
      <w:tr w:rsidR="00600E41" w:rsidRPr="00543C89" w14:paraId="2E12440D" w14:textId="77777777" w:rsidTr="005F0455">
        <w:trPr>
          <w:trHeight w:val="272"/>
        </w:trPr>
        <w:tc>
          <w:tcPr>
            <w:tcW w:w="5668" w:type="dxa"/>
            <w:noWrap/>
            <w:vAlign w:val="bottom"/>
          </w:tcPr>
          <w:p w14:paraId="4C0338D9" w14:textId="77777777" w:rsidR="00600E41" w:rsidRPr="00543C89" w:rsidRDefault="00600E41" w:rsidP="00BC6C4F">
            <w:pPr>
              <w:ind w:left="175"/>
              <w:rPr>
                <w:rFonts w:cs="Arial"/>
                <w:szCs w:val="24"/>
                <w:lang w:eastAsia="en-GB"/>
              </w:rPr>
            </w:pPr>
            <w:r w:rsidRPr="00543C89">
              <w:rPr>
                <w:rFonts w:cs="Arial"/>
                <w:szCs w:val="24"/>
                <w:lang w:eastAsia="en-GB"/>
              </w:rPr>
              <w:t>Finance lease</w:t>
            </w:r>
          </w:p>
        </w:tc>
        <w:tc>
          <w:tcPr>
            <w:tcW w:w="1565" w:type="dxa"/>
            <w:noWrap/>
            <w:vAlign w:val="center"/>
          </w:tcPr>
          <w:p w14:paraId="32A8BC84" w14:textId="3D7FBE85" w:rsidR="00600E41" w:rsidRPr="00BD2C0D" w:rsidRDefault="00600E41" w:rsidP="008B00BF">
            <w:pPr>
              <w:jc w:val="right"/>
              <w:rPr>
                <w:rFonts w:cs="Arial"/>
                <w:szCs w:val="24"/>
                <w:lang w:eastAsia="en-GB"/>
              </w:rPr>
            </w:pPr>
            <w:r w:rsidRPr="00BD2C0D">
              <w:rPr>
                <w:rFonts w:cs="Arial"/>
                <w:szCs w:val="24"/>
                <w:lang w:eastAsia="en-GB"/>
              </w:rPr>
              <w:t>90</w:t>
            </w:r>
          </w:p>
        </w:tc>
        <w:tc>
          <w:tcPr>
            <w:tcW w:w="1564" w:type="dxa"/>
            <w:vAlign w:val="center"/>
          </w:tcPr>
          <w:p w14:paraId="0E54EC12" w14:textId="415296B6" w:rsidR="00600E41" w:rsidRPr="00BD2C0D" w:rsidRDefault="00600E41" w:rsidP="008B00BF">
            <w:pPr>
              <w:jc w:val="right"/>
              <w:rPr>
                <w:rFonts w:cs="Arial"/>
                <w:szCs w:val="24"/>
                <w:lang w:eastAsia="en-GB"/>
              </w:rPr>
            </w:pPr>
            <w:r w:rsidRPr="00BD2C0D">
              <w:rPr>
                <w:rFonts w:cs="Arial"/>
                <w:szCs w:val="24"/>
                <w:lang w:eastAsia="en-GB"/>
              </w:rPr>
              <w:t>-</w:t>
            </w:r>
          </w:p>
        </w:tc>
        <w:tc>
          <w:tcPr>
            <w:tcW w:w="1565" w:type="dxa"/>
            <w:vAlign w:val="center"/>
          </w:tcPr>
          <w:p w14:paraId="4E7DAF55" w14:textId="06008B7B" w:rsidR="00600E41" w:rsidRPr="00C10CC1" w:rsidRDefault="00EB5502" w:rsidP="00E3108A">
            <w:pPr>
              <w:jc w:val="right"/>
              <w:rPr>
                <w:rFonts w:cs="Arial"/>
                <w:szCs w:val="24"/>
                <w:lang w:eastAsia="en-GB"/>
              </w:rPr>
            </w:pPr>
            <w:r>
              <w:rPr>
                <w:rFonts w:cs="Arial"/>
                <w:szCs w:val="24"/>
                <w:lang w:eastAsia="en-GB"/>
              </w:rPr>
              <w:t>-</w:t>
            </w:r>
          </w:p>
        </w:tc>
        <w:tc>
          <w:tcPr>
            <w:tcW w:w="1565" w:type="dxa"/>
            <w:vAlign w:val="center"/>
          </w:tcPr>
          <w:p w14:paraId="6AF13964" w14:textId="614C7DA9" w:rsidR="00600E41" w:rsidRPr="00BD2C0D" w:rsidRDefault="00600E41" w:rsidP="008B00BF">
            <w:pPr>
              <w:jc w:val="right"/>
              <w:rPr>
                <w:rFonts w:cs="Arial"/>
                <w:szCs w:val="24"/>
                <w:lang w:eastAsia="en-GB"/>
              </w:rPr>
            </w:pPr>
            <w:r w:rsidRPr="00BD2C0D">
              <w:rPr>
                <w:rFonts w:cs="Arial"/>
                <w:szCs w:val="24"/>
                <w:lang w:eastAsia="en-GB"/>
              </w:rPr>
              <w:t>-</w:t>
            </w:r>
          </w:p>
        </w:tc>
        <w:tc>
          <w:tcPr>
            <w:tcW w:w="1565" w:type="dxa"/>
            <w:noWrap/>
            <w:vAlign w:val="center"/>
          </w:tcPr>
          <w:p w14:paraId="43339CC7" w14:textId="755ED735" w:rsidR="00600E41" w:rsidRPr="00BD2C0D" w:rsidRDefault="00600E41" w:rsidP="008B00BF">
            <w:pPr>
              <w:jc w:val="right"/>
              <w:rPr>
                <w:rFonts w:cs="Arial"/>
                <w:szCs w:val="24"/>
                <w:lang w:eastAsia="en-GB"/>
              </w:rPr>
            </w:pPr>
            <w:r>
              <w:rPr>
                <w:rFonts w:cs="Arial"/>
                <w:szCs w:val="24"/>
                <w:lang w:eastAsia="en-GB"/>
              </w:rPr>
              <w:t>90</w:t>
            </w:r>
          </w:p>
        </w:tc>
      </w:tr>
      <w:tr w:rsidR="00600E41" w:rsidRPr="00543C89" w14:paraId="1B2A1A53" w14:textId="77777777" w:rsidTr="005F0455">
        <w:trPr>
          <w:trHeight w:val="272"/>
        </w:trPr>
        <w:tc>
          <w:tcPr>
            <w:tcW w:w="5668" w:type="dxa"/>
            <w:noWrap/>
            <w:vAlign w:val="bottom"/>
          </w:tcPr>
          <w:p w14:paraId="0DC984B0" w14:textId="77777777" w:rsidR="00600E41" w:rsidRPr="00543C89" w:rsidRDefault="00600E41" w:rsidP="00BC6C4F">
            <w:pPr>
              <w:ind w:left="175"/>
              <w:rPr>
                <w:rFonts w:cs="Arial"/>
                <w:szCs w:val="24"/>
                <w:lang w:eastAsia="en-GB"/>
              </w:rPr>
            </w:pPr>
            <w:r w:rsidRPr="00543C89">
              <w:rPr>
                <w:rFonts w:cs="Arial"/>
                <w:szCs w:val="24"/>
                <w:lang w:eastAsia="en-GB"/>
              </w:rPr>
              <w:t>PFI</w:t>
            </w:r>
          </w:p>
        </w:tc>
        <w:tc>
          <w:tcPr>
            <w:tcW w:w="1565" w:type="dxa"/>
            <w:noWrap/>
            <w:vAlign w:val="center"/>
          </w:tcPr>
          <w:p w14:paraId="06F3FEE0" w14:textId="002D35D0" w:rsidR="00600E41" w:rsidRPr="00BD2C0D" w:rsidRDefault="00600E41" w:rsidP="008B00BF">
            <w:pPr>
              <w:jc w:val="right"/>
              <w:rPr>
                <w:rFonts w:cs="Arial"/>
                <w:szCs w:val="24"/>
                <w:lang w:eastAsia="en-GB"/>
              </w:rPr>
            </w:pPr>
            <w:r w:rsidRPr="00BD2C0D">
              <w:rPr>
                <w:rFonts w:cs="Arial"/>
                <w:szCs w:val="24"/>
                <w:lang w:eastAsia="en-GB"/>
              </w:rPr>
              <w:t>-</w:t>
            </w:r>
          </w:p>
        </w:tc>
        <w:tc>
          <w:tcPr>
            <w:tcW w:w="1564" w:type="dxa"/>
            <w:vAlign w:val="center"/>
          </w:tcPr>
          <w:p w14:paraId="59858DEC" w14:textId="3C0343C0" w:rsidR="00600E41" w:rsidRPr="00BD2C0D" w:rsidRDefault="00600E41" w:rsidP="008B00BF">
            <w:pPr>
              <w:jc w:val="right"/>
              <w:rPr>
                <w:rFonts w:cs="Arial"/>
                <w:szCs w:val="24"/>
                <w:lang w:eastAsia="en-GB"/>
              </w:rPr>
            </w:pPr>
            <w:r w:rsidRPr="00BD2C0D">
              <w:rPr>
                <w:rFonts w:cs="Arial"/>
                <w:szCs w:val="24"/>
                <w:lang w:eastAsia="en-GB"/>
              </w:rPr>
              <w:t>35,732</w:t>
            </w:r>
          </w:p>
        </w:tc>
        <w:tc>
          <w:tcPr>
            <w:tcW w:w="1565" w:type="dxa"/>
            <w:vAlign w:val="center"/>
          </w:tcPr>
          <w:p w14:paraId="6E47EE4B" w14:textId="5DF3A5E1" w:rsidR="00600E41" w:rsidRPr="00C10CC1" w:rsidRDefault="00EB5502" w:rsidP="00E3108A">
            <w:pPr>
              <w:jc w:val="right"/>
              <w:rPr>
                <w:rFonts w:cs="Arial"/>
                <w:szCs w:val="24"/>
                <w:lang w:eastAsia="en-GB"/>
              </w:rPr>
            </w:pPr>
            <w:r>
              <w:rPr>
                <w:rFonts w:cs="Arial"/>
                <w:szCs w:val="24"/>
                <w:lang w:eastAsia="en-GB"/>
              </w:rPr>
              <w:t>-</w:t>
            </w:r>
          </w:p>
        </w:tc>
        <w:tc>
          <w:tcPr>
            <w:tcW w:w="1565" w:type="dxa"/>
            <w:vAlign w:val="center"/>
          </w:tcPr>
          <w:p w14:paraId="73A27990" w14:textId="7050FEB2" w:rsidR="00600E41" w:rsidRPr="00BD2C0D" w:rsidRDefault="00600E41" w:rsidP="008B00BF">
            <w:pPr>
              <w:jc w:val="right"/>
              <w:rPr>
                <w:rFonts w:cs="Arial"/>
                <w:szCs w:val="24"/>
                <w:lang w:eastAsia="en-GB"/>
              </w:rPr>
            </w:pPr>
            <w:r w:rsidRPr="00BD2C0D">
              <w:rPr>
                <w:rFonts w:cs="Arial"/>
                <w:szCs w:val="24"/>
                <w:lang w:eastAsia="en-GB"/>
              </w:rPr>
              <w:t>-</w:t>
            </w:r>
          </w:p>
        </w:tc>
        <w:tc>
          <w:tcPr>
            <w:tcW w:w="1565" w:type="dxa"/>
            <w:noWrap/>
            <w:vAlign w:val="center"/>
          </w:tcPr>
          <w:p w14:paraId="3B1E798E" w14:textId="05AAD35C" w:rsidR="00600E41" w:rsidRPr="00BD2C0D" w:rsidRDefault="00600E41" w:rsidP="008B00BF">
            <w:pPr>
              <w:jc w:val="right"/>
              <w:rPr>
                <w:rFonts w:cs="Arial"/>
                <w:szCs w:val="24"/>
                <w:lang w:eastAsia="en-GB"/>
              </w:rPr>
            </w:pPr>
            <w:r w:rsidRPr="00BD2C0D">
              <w:rPr>
                <w:rFonts w:cs="Arial"/>
                <w:szCs w:val="24"/>
                <w:lang w:eastAsia="en-GB"/>
              </w:rPr>
              <w:t>35,732</w:t>
            </w:r>
          </w:p>
        </w:tc>
      </w:tr>
      <w:tr w:rsidR="00600E41" w:rsidRPr="00543C89" w14:paraId="07FFE7EE" w14:textId="77777777" w:rsidTr="005F0455">
        <w:trPr>
          <w:trHeight w:val="272"/>
        </w:trPr>
        <w:tc>
          <w:tcPr>
            <w:tcW w:w="5668" w:type="dxa"/>
            <w:noWrap/>
            <w:vAlign w:val="bottom"/>
          </w:tcPr>
          <w:p w14:paraId="39409E8C" w14:textId="5B3F3BB2" w:rsidR="00600E41" w:rsidRPr="00543C89" w:rsidRDefault="00600E41" w:rsidP="008B00BF">
            <w:pPr>
              <w:ind w:left="175"/>
              <w:rPr>
                <w:rFonts w:cs="Arial"/>
                <w:szCs w:val="24"/>
                <w:lang w:eastAsia="en-GB"/>
              </w:rPr>
            </w:pPr>
            <w:r w:rsidRPr="00543C89">
              <w:rPr>
                <w:rFonts w:cs="Arial"/>
                <w:szCs w:val="24"/>
                <w:lang w:eastAsia="en-GB"/>
              </w:rPr>
              <w:t>Total</w:t>
            </w:r>
          </w:p>
        </w:tc>
        <w:tc>
          <w:tcPr>
            <w:tcW w:w="1565" w:type="dxa"/>
            <w:noWrap/>
            <w:vAlign w:val="center"/>
          </w:tcPr>
          <w:p w14:paraId="7F0F23C4" w14:textId="445AA709" w:rsidR="00600E41" w:rsidRPr="00BD2C0D" w:rsidRDefault="00600E41" w:rsidP="008B00BF">
            <w:pPr>
              <w:pStyle w:val="CommentText"/>
              <w:jc w:val="right"/>
              <w:rPr>
                <w:rFonts w:cs="Arial"/>
                <w:sz w:val="24"/>
                <w:szCs w:val="24"/>
                <w:lang w:eastAsia="en-GB"/>
              </w:rPr>
            </w:pPr>
            <w:r w:rsidRPr="00BD2C0D">
              <w:rPr>
                <w:rFonts w:cs="Arial"/>
                <w:sz w:val="24"/>
                <w:szCs w:val="24"/>
                <w:lang w:eastAsia="en-GB"/>
              </w:rPr>
              <w:t>80,6</w:t>
            </w:r>
            <w:r w:rsidR="00B2481D">
              <w:rPr>
                <w:rFonts w:cs="Arial"/>
                <w:sz w:val="24"/>
                <w:szCs w:val="24"/>
                <w:lang w:eastAsia="en-GB"/>
              </w:rPr>
              <w:t>66</w:t>
            </w:r>
          </w:p>
        </w:tc>
        <w:tc>
          <w:tcPr>
            <w:tcW w:w="1564" w:type="dxa"/>
            <w:vAlign w:val="center"/>
          </w:tcPr>
          <w:p w14:paraId="02DC1E47" w14:textId="31CD35EB" w:rsidR="00600E41" w:rsidRPr="00BD2C0D" w:rsidRDefault="00600E41" w:rsidP="008B00BF">
            <w:pPr>
              <w:jc w:val="right"/>
              <w:rPr>
                <w:rFonts w:cs="Arial"/>
                <w:szCs w:val="24"/>
                <w:lang w:eastAsia="en-GB"/>
              </w:rPr>
            </w:pPr>
            <w:r w:rsidRPr="00BD2C0D">
              <w:rPr>
                <w:rFonts w:cs="Arial"/>
                <w:szCs w:val="24"/>
                <w:lang w:eastAsia="en-GB"/>
              </w:rPr>
              <w:t>35,732</w:t>
            </w:r>
          </w:p>
        </w:tc>
        <w:tc>
          <w:tcPr>
            <w:tcW w:w="1565" w:type="dxa"/>
            <w:vAlign w:val="center"/>
          </w:tcPr>
          <w:p w14:paraId="1714A0BB" w14:textId="79C4D033" w:rsidR="00600E41" w:rsidRPr="00C10CC1" w:rsidRDefault="00F36B18" w:rsidP="00E3108A">
            <w:pPr>
              <w:jc w:val="right"/>
              <w:rPr>
                <w:rFonts w:cs="Arial"/>
                <w:szCs w:val="24"/>
                <w:lang w:eastAsia="en-GB"/>
              </w:rPr>
            </w:pPr>
            <w:r>
              <w:rPr>
                <w:rFonts w:cs="Arial"/>
                <w:szCs w:val="24"/>
                <w:lang w:eastAsia="en-GB"/>
              </w:rPr>
              <w:t>2,136</w:t>
            </w:r>
          </w:p>
        </w:tc>
        <w:tc>
          <w:tcPr>
            <w:tcW w:w="1565" w:type="dxa"/>
            <w:vAlign w:val="center"/>
          </w:tcPr>
          <w:p w14:paraId="518237E0" w14:textId="41CE98B1" w:rsidR="00600E41" w:rsidRPr="00BD2C0D" w:rsidRDefault="00600E41" w:rsidP="008B00BF">
            <w:pPr>
              <w:jc w:val="right"/>
              <w:rPr>
                <w:rFonts w:cs="Arial"/>
                <w:szCs w:val="24"/>
                <w:lang w:eastAsia="en-GB"/>
              </w:rPr>
            </w:pPr>
            <w:r w:rsidRPr="00BD2C0D">
              <w:rPr>
                <w:rFonts w:cs="Arial"/>
                <w:szCs w:val="24"/>
                <w:lang w:eastAsia="en-GB"/>
              </w:rPr>
              <w:t>1</w:t>
            </w:r>
            <w:r w:rsidR="00F11382">
              <w:rPr>
                <w:rFonts w:cs="Arial"/>
                <w:szCs w:val="24"/>
                <w:lang w:eastAsia="en-GB"/>
              </w:rPr>
              <w:t>1</w:t>
            </w:r>
            <w:r w:rsidRPr="00BD2C0D">
              <w:rPr>
                <w:rFonts w:cs="Arial"/>
                <w:szCs w:val="24"/>
                <w:lang w:eastAsia="en-GB"/>
              </w:rPr>
              <w:t>,</w:t>
            </w:r>
            <w:r w:rsidR="00F11382">
              <w:rPr>
                <w:rFonts w:cs="Arial"/>
                <w:szCs w:val="24"/>
                <w:lang w:eastAsia="en-GB"/>
              </w:rPr>
              <w:t>042</w:t>
            </w:r>
          </w:p>
        </w:tc>
        <w:tc>
          <w:tcPr>
            <w:tcW w:w="1565" w:type="dxa"/>
            <w:noWrap/>
            <w:vAlign w:val="center"/>
          </w:tcPr>
          <w:p w14:paraId="0BA65B0E" w14:textId="3D4B052C" w:rsidR="00600E41" w:rsidRPr="00BD2C0D" w:rsidRDefault="00600E41" w:rsidP="008B00BF">
            <w:pPr>
              <w:jc w:val="right"/>
              <w:rPr>
                <w:rFonts w:cs="Arial"/>
                <w:szCs w:val="24"/>
                <w:lang w:eastAsia="en-GB"/>
              </w:rPr>
            </w:pPr>
            <w:r w:rsidRPr="00BD2C0D">
              <w:rPr>
                <w:rFonts w:cs="Arial"/>
                <w:szCs w:val="24"/>
                <w:lang w:eastAsia="en-GB"/>
              </w:rPr>
              <w:t>129,576</w:t>
            </w:r>
          </w:p>
        </w:tc>
      </w:tr>
    </w:tbl>
    <w:p w14:paraId="42FF252D" w14:textId="77777777" w:rsidR="00372872" w:rsidRPr="00543C89" w:rsidRDefault="00372872"/>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E439FD" w:rsidRPr="00543C89" w14:paraId="02FCF334" w14:textId="77777777" w:rsidTr="008E08F7">
        <w:trPr>
          <w:trHeight w:val="104"/>
        </w:trPr>
        <w:tc>
          <w:tcPr>
            <w:tcW w:w="13492" w:type="dxa"/>
            <w:gridSpan w:val="6"/>
            <w:shd w:val="clear" w:color="auto" w:fill="D9D9D9" w:themeFill="background1" w:themeFillShade="D9"/>
            <w:noWrap/>
            <w:vAlign w:val="bottom"/>
          </w:tcPr>
          <w:p w14:paraId="7CCDECA8" w14:textId="6DA5FF36" w:rsidR="00E439FD" w:rsidRPr="00543C89" w:rsidRDefault="00E439FD" w:rsidP="00BC6C4F">
            <w:pPr>
              <w:rPr>
                <w:rFonts w:cs="Arial"/>
                <w:b/>
                <w:bCs/>
                <w:szCs w:val="24"/>
                <w:lang w:eastAsia="en-GB"/>
              </w:rPr>
            </w:pPr>
            <w:r w:rsidRPr="00543C89">
              <w:rPr>
                <w:rFonts w:cs="Arial"/>
                <w:b/>
                <w:bCs/>
                <w:szCs w:val="24"/>
                <w:lang w:eastAsia="en-GB"/>
              </w:rPr>
              <w:t>Historical cost</w:t>
            </w:r>
          </w:p>
        </w:tc>
      </w:tr>
      <w:tr w:rsidR="00600E41" w:rsidRPr="00543C89" w14:paraId="567E91E5" w14:textId="77777777" w:rsidTr="005F0455">
        <w:trPr>
          <w:trHeight w:val="272"/>
        </w:trPr>
        <w:tc>
          <w:tcPr>
            <w:tcW w:w="5668" w:type="dxa"/>
            <w:noWrap/>
            <w:vAlign w:val="bottom"/>
          </w:tcPr>
          <w:p w14:paraId="3D0AC345" w14:textId="77777777" w:rsidR="00600E41" w:rsidRPr="00543C89" w:rsidRDefault="00600E41" w:rsidP="00BC6C4F">
            <w:pPr>
              <w:ind w:left="175"/>
              <w:rPr>
                <w:rFonts w:cs="Arial"/>
                <w:szCs w:val="24"/>
                <w:lang w:eastAsia="en-GB"/>
              </w:rPr>
            </w:pPr>
            <w:r w:rsidRPr="00543C89">
              <w:rPr>
                <w:rFonts w:cs="Arial"/>
                <w:szCs w:val="24"/>
                <w:lang w:eastAsia="en-GB"/>
              </w:rPr>
              <w:t>Carried at historical cost</w:t>
            </w:r>
          </w:p>
        </w:tc>
        <w:tc>
          <w:tcPr>
            <w:tcW w:w="1565" w:type="dxa"/>
            <w:noWrap/>
            <w:vAlign w:val="center"/>
          </w:tcPr>
          <w:p w14:paraId="60F1FC71" w14:textId="002C6588" w:rsidR="00600E41" w:rsidRPr="00BD2C0D" w:rsidRDefault="00600E41" w:rsidP="00E3108A">
            <w:pPr>
              <w:pStyle w:val="CommentText"/>
              <w:jc w:val="right"/>
              <w:rPr>
                <w:rFonts w:cs="Arial"/>
                <w:sz w:val="24"/>
                <w:szCs w:val="24"/>
                <w:lang w:eastAsia="en-GB"/>
              </w:rPr>
            </w:pPr>
            <w:r w:rsidRPr="00BD2C0D">
              <w:rPr>
                <w:rFonts w:cs="Arial"/>
                <w:sz w:val="24"/>
                <w:szCs w:val="24"/>
                <w:lang w:eastAsia="en-GB"/>
              </w:rPr>
              <w:t>-</w:t>
            </w:r>
          </w:p>
        </w:tc>
        <w:tc>
          <w:tcPr>
            <w:tcW w:w="1564" w:type="dxa"/>
            <w:vAlign w:val="center"/>
          </w:tcPr>
          <w:p w14:paraId="3E6E6BBE" w14:textId="1C39D11C" w:rsidR="00600E41" w:rsidRPr="00BD2C0D" w:rsidRDefault="00600E41" w:rsidP="00E3108A">
            <w:pPr>
              <w:jc w:val="right"/>
              <w:rPr>
                <w:rFonts w:cs="Arial"/>
                <w:szCs w:val="24"/>
                <w:lang w:eastAsia="en-GB"/>
              </w:rPr>
            </w:pPr>
            <w:r w:rsidRPr="00BD2C0D">
              <w:rPr>
                <w:rFonts w:cs="Arial"/>
                <w:szCs w:val="24"/>
                <w:lang w:eastAsia="en-GB"/>
              </w:rPr>
              <w:t>-</w:t>
            </w:r>
          </w:p>
        </w:tc>
        <w:tc>
          <w:tcPr>
            <w:tcW w:w="1565" w:type="dxa"/>
            <w:vAlign w:val="center"/>
          </w:tcPr>
          <w:p w14:paraId="024847DE" w14:textId="5B9AD089" w:rsidR="00600E41" w:rsidRPr="00C10CC1" w:rsidRDefault="00814B70" w:rsidP="00E3108A">
            <w:pPr>
              <w:jc w:val="right"/>
              <w:rPr>
                <w:rFonts w:cs="Arial"/>
                <w:szCs w:val="24"/>
                <w:lang w:eastAsia="en-GB"/>
              </w:rPr>
            </w:pPr>
            <w:r>
              <w:rPr>
                <w:rFonts w:cs="Arial"/>
                <w:szCs w:val="24"/>
                <w:lang w:eastAsia="en-GB"/>
              </w:rPr>
              <w:t>2,136</w:t>
            </w:r>
          </w:p>
        </w:tc>
        <w:tc>
          <w:tcPr>
            <w:tcW w:w="1565" w:type="dxa"/>
            <w:vAlign w:val="center"/>
          </w:tcPr>
          <w:p w14:paraId="2D28390F" w14:textId="2E679685" w:rsidR="00600E41" w:rsidRPr="00BD2C0D" w:rsidRDefault="00600E41" w:rsidP="00E3108A">
            <w:pPr>
              <w:jc w:val="right"/>
              <w:rPr>
                <w:rFonts w:cs="Arial"/>
                <w:szCs w:val="24"/>
                <w:lang w:eastAsia="en-GB"/>
              </w:rPr>
            </w:pPr>
            <w:r w:rsidRPr="00BD2C0D">
              <w:rPr>
                <w:rFonts w:cs="Arial"/>
                <w:szCs w:val="24"/>
                <w:lang w:eastAsia="en-GB"/>
              </w:rPr>
              <w:t>1</w:t>
            </w:r>
            <w:r w:rsidR="00F11382">
              <w:rPr>
                <w:rFonts w:cs="Arial"/>
                <w:szCs w:val="24"/>
                <w:lang w:eastAsia="en-GB"/>
              </w:rPr>
              <w:t>1</w:t>
            </w:r>
            <w:r w:rsidRPr="00BD2C0D">
              <w:rPr>
                <w:rFonts w:cs="Arial"/>
                <w:szCs w:val="24"/>
                <w:lang w:eastAsia="en-GB"/>
              </w:rPr>
              <w:t>,</w:t>
            </w:r>
            <w:r w:rsidR="00F11382">
              <w:rPr>
                <w:rFonts w:cs="Arial"/>
                <w:szCs w:val="24"/>
                <w:lang w:eastAsia="en-GB"/>
              </w:rPr>
              <w:t>042</w:t>
            </w:r>
          </w:p>
        </w:tc>
        <w:tc>
          <w:tcPr>
            <w:tcW w:w="1565" w:type="dxa"/>
            <w:noWrap/>
            <w:vAlign w:val="center"/>
          </w:tcPr>
          <w:p w14:paraId="7B21B08A" w14:textId="777BC499" w:rsidR="00600E41" w:rsidRPr="00BD2C0D" w:rsidRDefault="00600E41" w:rsidP="00E3108A">
            <w:pPr>
              <w:jc w:val="right"/>
              <w:rPr>
                <w:rFonts w:cs="Arial"/>
                <w:szCs w:val="24"/>
                <w:lang w:eastAsia="en-GB"/>
              </w:rPr>
            </w:pPr>
            <w:r w:rsidRPr="00BD2C0D">
              <w:rPr>
                <w:rFonts w:cs="Arial"/>
                <w:szCs w:val="24"/>
                <w:lang w:eastAsia="en-GB"/>
              </w:rPr>
              <w:t>1</w:t>
            </w:r>
            <w:r w:rsidR="00814B70">
              <w:rPr>
                <w:rFonts w:cs="Arial"/>
                <w:szCs w:val="24"/>
                <w:lang w:eastAsia="en-GB"/>
              </w:rPr>
              <w:t>3</w:t>
            </w:r>
            <w:r w:rsidRPr="00BD2C0D">
              <w:rPr>
                <w:rFonts w:cs="Arial"/>
                <w:szCs w:val="24"/>
                <w:lang w:eastAsia="en-GB"/>
              </w:rPr>
              <w:t>,</w:t>
            </w:r>
            <w:r w:rsidR="00814B70">
              <w:rPr>
                <w:rFonts w:cs="Arial"/>
                <w:szCs w:val="24"/>
                <w:lang w:eastAsia="en-GB"/>
              </w:rPr>
              <w:t>1</w:t>
            </w:r>
            <w:r w:rsidR="006417B8">
              <w:rPr>
                <w:rFonts w:cs="Arial"/>
                <w:szCs w:val="24"/>
                <w:lang w:eastAsia="en-GB"/>
              </w:rPr>
              <w:t>78</w:t>
            </w:r>
          </w:p>
        </w:tc>
      </w:tr>
    </w:tbl>
    <w:p w14:paraId="4028F99B" w14:textId="77777777" w:rsidR="00372872" w:rsidRPr="00543C89" w:rsidRDefault="00372872"/>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E439FD" w:rsidRPr="00543C89" w14:paraId="427607FC" w14:textId="77777777" w:rsidTr="009E0790">
        <w:trPr>
          <w:trHeight w:val="225"/>
        </w:trPr>
        <w:tc>
          <w:tcPr>
            <w:tcW w:w="13492" w:type="dxa"/>
            <w:gridSpan w:val="6"/>
            <w:shd w:val="clear" w:color="auto" w:fill="D9D9D9" w:themeFill="background1" w:themeFillShade="D9"/>
            <w:noWrap/>
            <w:vAlign w:val="bottom"/>
          </w:tcPr>
          <w:p w14:paraId="75A12785" w14:textId="2B144158" w:rsidR="00E439FD" w:rsidRPr="00543C89" w:rsidRDefault="00E439FD" w:rsidP="00BC6C4F">
            <w:pPr>
              <w:rPr>
                <w:rFonts w:cs="Arial"/>
                <w:b/>
                <w:bCs/>
                <w:szCs w:val="24"/>
                <w:lang w:eastAsia="en-GB"/>
              </w:rPr>
            </w:pPr>
            <w:r w:rsidRPr="00543C89">
              <w:rPr>
                <w:rFonts w:cs="Arial"/>
                <w:b/>
                <w:bCs/>
                <w:szCs w:val="24"/>
                <w:lang w:eastAsia="en-GB"/>
              </w:rPr>
              <w:t>Valued at current value as at:</w:t>
            </w:r>
          </w:p>
        </w:tc>
      </w:tr>
      <w:tr w:rsidR="00600E41" w:rsidRPr="00543C89" w14:paraId="239F3500" w14:textId="77777777" w:rsidTr="005F0455">
        <w:trPr>
          <w:trHeight w:val="272"/>
        </w:trPr>
        <w:tc>
          <w:tcPr>
            <w:tcW w:w="5668" w:type="dxa"/>
            <w:noWrap/>
            <w:vAlign w:val="bottom"/>
          </w:tcPr>
          <w:p w14:paraId="451D3353" w14:textId="60DFA305" w:rsidR="00600E41" w:rsidRPr="00543C89" w:rsidRDefault="00600E41" w:rsidP="00BC6C4F">
            <w:pPr>
              <w:ind w:left="175"/>
              <w:rPr>
                <w:rFonts w:cs="Arial"/>
                <w:szCs w:val="24"/>
                <w:lang w:eastAsia="en-GB"/>
              </w:rPr>
            </w:pPr>
            <w:r w:rsidRPr="00543C89">
              <w:rPr>
                <w:rFonts w:cs="Arial"/>
                <w:szCs w:val="24"/>
                <w:lang w:eastAsia="en-GB"/>
              </w:rPr>
              <w:t>31 March 2025</w:t>
            </w:r>
          </w:p>
        </w:tc>
        <w:tc>
          <w:tcPr>
            <w:tcW w:w="1565" w:type="dxa"/>
            <w:noWrap/>
            <w:vAlign w:val="center"/>
          </w:tcPr>
          <w:p w14:paraId="0C46DCC2" w14:textId="7F61A62B" w:rsidR="00600E41" w:rsidRPr="00BD2C0D" w:rsidRDefault="00600E41" w:rsidP="008B00BF">
            <w:pPr>
              <w:pStyle w:val="CommentText"/>
              <w:jc w:val="right"/>
              <w:rPr>
                <w:rFonts w:cs="Arial"/>
                <w:sz w:val="24"/>
                <w:szCs w:val="24"/>
                <w:lang w:eastAsia="en-GB"/>
              </w:rPr>
            </w:pPr>
            <w:r w:rsidRPr="00BD2C0D">
              <w:rPr>
                <w:rFonts w:cs="Arial"/>
                <w:sz w:val="24"/>
                <w:szCs w:val="24"/>
                <w:lang w:eastAsia="en-GB"/>
              </w:rPr>
              <w:t>80,6</w:t>
            </w:r>
            <w:r w:rsidR="00371A20">
              <w:rPr>
                <w:rFonts w:cs="Arial"/>
                <w:sz w:val="24"/>
                <w:szCs w:val="24"/>
                <w:lang w:eastAsia="en-GB"/>
              </w:rPr>
              <w:t>66</w:t>
            </w:r>
          </w:p>
        </w:tc>
        <w:tc>
          <w:tcPr>
            <w:tcW w:w="1564" w:type="dxa"/>
            <w:vAlign w:val="center"/>
          </w:tcPr>
          <w:p w14:paraId="158FBDA5" w14:textId="1A67B475" w:rsidR="00600E41" w:rsidRPr="00BD2C0D" w:rsidRDefault="00600E41" w:rsidP="008B00BF">
            <w:pPr>
              <w:jc w:val="right"/>
              <w:rPr>
                <w:rFonts w:cs="Arial"/>
                <w:szCs w:val="24"/>
                <w:lang w:eastAsia="en-GB"/>
              </w:rPr>
            </w:pPr>
            <w:r w:rsidRPr="00BD2C0D">
              <w:rPr>
                <w:rFonts w:cs="Arial"/>
                <w:szCs w:val="24"/>
                <w:lang w:eastAsia="en-GB"/>
              </w:rPr>
              <w:t>35,732</w:t>
            </w:r>
          </w:p>
        </w:tc>
        <w:tc>
          <w:tcPr>
            <w:tcW w:w="1565" w:type="dxa"/>
            <w:vAlign w:val="center"/>
          </w:tcPr>
          <w:p w14:paraId="688C27F9" w14:textId="0A564034" w:rsidR="00600E41" w:rsidRPr="00C10CC1" w:rsidRDefault="00814B70" w:rsidP="00E3108A">
            <w:pPr>
              <w:jc w:val="right"/>
              <w:rPr>
                <w:rFonts w:cs="Arial"/>
                <w:szCs w:val="24"/>
                <w:lang w:eastAsia="en-GB"/>
              </w:rPr>
            </w:pPr>
            <w:r>
              <w:rPr>
                <w:rFonts w:cs="Arial"/>
                <w:szCs w:val="24"/>
                <w:lang w:eastAsia="en-GB"/>
              </w:rPr>
              <w:t>-</w:t>
            </w:r>
          </w:p>
        </w:tc>
        <w:tc>
          <w:tcPr>
            <w:tcW w:w="1565" w:type="dxa"/>
            <w:vAlign w:val="center"/>
          </w:tcPr>
          <w:p w14:paraId="466B1B23" w14:textId="4DD4674F" w:rsidR="00600E41" w:rsidRPr="00BD2C0D" w:rsidRDefault="00600E41" w:rsidP="008B00BF">
            <w:pPr>
              <w:jc w:val="right"/>
              <w:rPr>
                <w:rFonts w:cs="Arial"/>
                <w:szCs w:val="24"/>
                <w:lang w:eastAsia="en-GB"/>
              </w:rPr>
            </w:pPr>
            <w:r w:rsidRPr="00BD2C0D">
              <w:rPr>
                <w:rFonts w:cs="Arial"/>
                <w:szCs w:val="24"/>
                <w:lang w:eastAsia="en-GB"/>
              </w:rPr>
              <w:t>-</w:t>
            </w:r>
          </w:p>
        </w:tc>
        <w:tc>
          <w:tcPr>
            <w:tcW w:w="1565" w:type="dxa"/>
            <w:noWrap/>
            <w:vAlign w:val="center"/>
          </w:tcPr>
          <w:p w14:paraId="15FCF066" w14:textId="25D49172" w:rsidR="00600E41" w:rsidRPr="00BD2C0D" w:rsidRDefault="00600E41" w:rsidP="008B00BF">
            <w:pPr>
              <w:jc w:val="right"/>
              <w:rPr>
                <w:rFonts w:cs="Arial"/>
                <w:szCs w:val="24"/>
                <w:lang w:eastAsia="en-GB"/>
              </w:rPr>
            </w:pPr>
            <w:r w:rsidRPr="00BD2C0D">
              <w:rPr>
                <w:rFonts w:cs="Arial"/>
                <w:szCs w:val="24"/>
                <w:lang w:eastAsia="en-GB"/>
              </w:rPr>
              <w:t>11</w:t>
            </w:r>
            <w:r w:rsidR="00814B70">
              <w:rPr>
                <w:rFonts w:cs="Arial"/>
                <w:szCs w:val="24"/>
                <w:lang w:eastAsia="en-GB"/>
              </w:rPr>
              <w:t>6</w:t>
            </w:r>
            <w:r w:rsidRPr="00BD2C0D">
              <w:rPr>
                <w:rFonts w:cs="Arial"/>
                <w:szCs w:val="24"/>
                <w:lang w:eastAsia="en-GB"/>
              </w:rPr>
              <w:t>,</w:t>
            </w:r>
            <w:r w:rsidR="00137BBD">
              <w:rPr>
                <w:rFonts w:cs="Arial"/>
                <w:szCs w:val="24"/>
                <w:lang w:eastAsia="en-GB"/>
              </w:rPr>
              <w:t>398</w:t>
            </w:r>
          </w:p>
        </w:tc>
      </w:tr>
      <w:tr w:rsidR="00600E41" w:rsidRPr="00D948C1" w14:paraId="1356EF90" w14:textId="77777777" w:rsidTr="005F0455">
        <w:trPr>
          <w:trHeight w:val="272"/>
        </w:trPr>
        <w:tc>
          <w:tcPr>
            <w:tcW w:w="5668" w:type="dxa"/>
            <w:noWrap/>
            <w:vAlign w:val="bottom"/>
          </w:tcPr>
          <w:p w14:paraId="12A82107" w14:textId="77777777" w:rsidR="00600E41" w:rsidRPr="00543C89" w:rsidRDefault="00600E41" w:rsidP="00BC6C4F">
            <w:pPr>
              <w:ind w:left="175"/>
              <w:rPr>
                <w:rFonts w:cs="Arial"/>
                <w:szCs w:val="24"/>
                <w:lang w:eastAsia="en-GB"/>
              </w:rPr>
            </w:pPr>
            <w:r w:rsidRPr="00543C89">
              <w:rPr>
                <w:rFonts w:cs="Arial"/>
                <w:szCs w:val="24"/>
                <w:lang w:eastAsia="en-GB"/>
              </w:rPr>
              <w:t>Total cost or valuation</w:t>
            </w:r>
          </w:p>
        </w:tc>
        <w:tc>
          <w:tcPr>
            <w:tcW w:w="1565" w:type="dxa"/>
            <w:noWrap/>
            <w:vAlign w:val="center"/>
          </w:tcPr>
          <w:p w14:paraId="5707B4DA" w14:textId="45680AD0" w:rsidR="00600E41" w:rsidRPr="00BD2C0D" w:rsidRDefault="00600E41" w:rsidP="008B00BF">
            <w:pPr>
              <w:pStyle w:val="CommentText"/>
              <w:jc w:val="right"/>
              <w:rPr>
                <w:rFonts w:cs="Arial"/>
                <w:sz w:val="24"/>
                <w:szCs w:val="24"/>
                <w:lang w:eastAsia="en-GB"/>
              </w:rPr>
            </w:pPr>
            <w:r w:rsidRPr="00BD2C0D">
              <w:rPr>
                <w:rFonts w:cs="Arial"/>
                <w:sz w:val="24"/>
                <w:szCs w:val="24"/>
                <w:lang w:eastAsia="en-GB"/>
              </w:rPr>
              <w:t>80,6</w:t>
            </w:r>
            <w:r w:rsidR="00371A20">
              <w:rPr>
                <w:rFonts w:cs="Arial"/>
                <w:sz w:val="24"/>
                <w:szCs w:val="24"/>
                <w:lang w:eastAsia="en-GB"/>
              </w:rPr>
              <w:t>66</w:t>
            </w:r>
          </w:p>
        </w:tc>
        <w:tc>
          <w:tcPr>
            <w:tcW w:w="1564" w:type="dxa"/>
            <w:vAlign w:val="center"/>
          </w:tcPr>
          <w:p w14:paraId="5DB1E895" w14:textId="78EA7921" w:rsidR="00600E41" w:rsidRPr="00BD2C0D" w:rsidRDefault="00600E41" w:rsidP="008B00BF">
            <w:pPr>
              <w:jc w:val="right"/>
              <w:rPr>
                <w:rFonts w:cs="Arial"/>
                <w:szCs w:val="24"/>
                <w:lang w:eastAsia="en-GB"/>
              </w:rPr>
            </w:pPr>
            <w:r w:rsidRPr="00BD2C0D">
              <w:rPr>
                <w:rFonts w:cs="Arial"/>
                <w:szCs w:val="24"/>
                <w:lang w:eastAsia="en-GB"/>
              </w:rPr>
              <w:t>35,732</w:t>
            </w:r>
          </w:p>
        </w:tc>
        <w:tc>
          <w:tcPr>
            <w:tcW w:w="1565" w:type="dxa"/>
            <w:vAlign w:val="center"/>
          </w:tcPr>
          <w:p w14:paraId="7A9B88A6" w14:textId="1B7FDDCA" w:rsidR="00600E41" w:rsidRPr="00C10CC1" w:rsidRDefault="00371A20" w:rsidP="00E3108A">
            <w:pPr>
              <w:jc w:val="right"/>
              <w:rPr>
                <w:rFonts w:cs="Arial"/>
                <w:szCs w:val="24"/>
                <w:lang w:eastAsia="en-GB"/>
              </w:rPr>
            </w:pPr>
            <w:r>
              <w:rPr>
                <w:rFonts w:cs="Arial"/>
                <w:szCs w:val="24"/>
                <w:lang w:eastAsia="en-GB"/>
              </w:rPr>
              <w:t>2,136</w:t>
            </w:r>
          </w:p>
        </w:tc>
        <w:tc>
          <w:tcPr>
            <w:tcW w:w="1565" w:type="dxa"/>
            <w:vAlign w:val="center"/>
          </w:tcPr>
          <w:p w14:paraId="0D3490B9" w14:textId="57E863CE" w:rsidR="00600E41" w:rsidRPr="00BD2C0D" w:rsidRDefault="00600E41" w:rsidP="008B00BF">
            <w:pPr>
              <w:jc w:val="right"/>
              <w:rPr>
                <w:rFonts w:cs="Arial"/>
                <w:szCs w:val="24"/>
                <w:lang w:eastAsia="en-GB"/>
              </w:rPr>
            </w:pPr>
            <w:r w:rsidRPr="00BD2C0D">
              <w:rPr>
                <w:rFonts w:cs="Arial"/>
                <w:szCs w:val="24"/>
                <w:lang w:eastAsia="en-GB"/>
              </w:rPr>
              <w:t>1</w:t>
            </w:r>
            <w:r w:rsidR="00AB5E18">
              <w:rPr>
                <w:rFonts w:cs="Arial"/>
                <w:szCs w:val="24"/>
                <w:lang w:eastAsia="en-GB"/>
              </w:rPr>
              <w:t>1</w:t>
            </w:r>
            <w:r w:rsidRPr="00BD2C0D">
              <w:rPr>
                <w:rFonts w:cs="Arial"/>
                <w:szCs w:val="24"/>
                <w:lang w:eastAsia="en-GB"/>
              </w:rPr>
              <w:t>,</w:t>
            </w:r>
            <w:r w:rsidR="00AB5E18">
              <w:rPr>
                <w:rFonts w:cs="Arial"/>
                <w:szCs w:val="24"/>
                <w:lang w:eastAsia="en-GB"/>
              </w:rPr>
              <w:t>042</w:t>
            </w:r>
          </w:p>
        </w:tc>
        <w:tc>
          <w:tcPr>
            <w:tcW w:w="1565" w:type="dxa"/>
            <w:noWrap/>
            <w:vAlign w:val="center"/>
          </w:tcPr>
          <w:p w14:paraId="34A0AE99" w14:textId="6E84A53B" w:rsidR="00600E41" w:rsidRPr="00BD2C0D" w:rsidRDefault="00600E41" w:rsidP="008B00BF">
            <w:pPr>
              <w:jc w:val="right"/>
              <w:rPr>
                <w:rFonts w:cs="Arial"/>
                <w:szCs w:val="24"/>
                <w:lang w:eastAsia="en-GB"/>
              </w:rPr>
            </w:pPr>
            <w:r w:rsidRPr="00BD2C0D">
              <w:rPr>
                <w:rFonts w:cs="Arial"/>
                <w:szCs w:val="24"/>
                <w:lang w:eastAsia="en-GB"/>
              </w:rPr>
              <w:t>129,576</w:t>
            </w:r>
          </w:p>
        </w:tc>
      </w:tr>
    </w:tbl>
    <w:p w14:paraId="5F97BB5F" w14:textId="77777777" w:rsidR="00F74E7D" w:rsidRPr="00D948C1" w:rsidRDefault="00F74E7D" w:rsidP="00210760">
      <w:pPr>
        <w:pStyle w:val="BodyTextIndent"/>
        <w:ind w:left="0" w:right="425"/>
        <w:jc w:val="both"/>
        <w:rPr>
          <w:szCs w:val="24"/>
          <w:lang w:val="en-GB"/>
        </w:rPr>
      </w:pPr>
    </w:p>
    <w:p w14:paraId="3CEBBCE6" w14:textId="787B8C3D" w:rsidR="003D4B58" w:rsidRDefault="004E6BCF" w:rsidP="22FF31C3">
      <w:pPr>
        <w:pStyle w:val="BodyTextIndent"/>
        <w:ind w:left="709" w:right="425"/>
        <w:rPr>
          <w:lang w:val="en-GB"/>
        </w:rPr>
      </w:pPr>
      <w:r w:rsidRPr="003B41EF">
        <w:rPr>
          <w:lang w:val="en-GB"/>
        </w:rPr>
        <w:t>On 31 March 20</w:t>
      </w:r>
      <w:r w:rsidR="0095101D" w:rsidRPr="003B41EF">
        <w:rPr>
          <w:lang w:val="en-GB"/>
        </w:rPr>
        <w:t>2</w:t>
      </w:r>
      <w:r w:rsidR="00D13642" w:rsidRPr="003B41EF">
        <w:rPr>
          <w:lang w:val="en-GB"/>
        </w:rPr>
        <w:t>5</w:t>
      </w:r>
      <w:r w:rsidRPr="003B41EF">
        <w:rPr>
          <w:lang w:val="en-GB"/>
        </w:rPr>
        <w:t xml:space="preserve"> the Authority undertook a </w:t>
      </w:r>
      <w:r w:rsidR="002B7458" w:rsidRPr="003B41EF">
        <w:rPr>
          <w:lang w:val="en-GB"/>
        </w:rPr>
        <w:t xml:space="preserve">full </w:t>
      </w:r>
      <w:r w:rsidRPr="003B41EF">
        <w:rPr>
          <w:lang w:val="en-GB"/>
        </w:rPr>
        <w:t xml:space="preserve">revaluation review on </w:t>
      </w:r>
      <w:r w:rsidR="002E480C" w:rsidRPr="003B41EF">
        <w:rPr>
          <w:lang w:val="en-GB"/>
        </w:rPr>
        <w:t xml:space="preserve">approximately one </w:t>
      </w:r>
      <w:r w:rsidR="002C5D98" w:rsidRPr="003B41EF">
        <w:rPr>
          <w:lang w:val="en-GB"/>
        </w:rPr>
        <w:t>fifth</w:t>
      </w:r>
      <w:r w:rsidRPr="003B41EF">
        <w:rPr>
          <w:lang w:val="en-GB"/>
        </w:rPr>
        <w:t xml:space="preserve"> of its land and buildings, </w:t>
      </w:r>
      <w:r w:rsidR="00DB413B" w:rsidRPr="003B41EF">
        <w:rPr>
          <w:lang w:val="en-GB"/>
        </w:rPr>
        <w:t>and in addition carried out a</w:t>
      </w:r>
      <w:r w:rsidR="00091649" w:rsidRPr="003B41EF">
        <w:rPr>
          <w:lang w:val="en-GB"/>
        </w:rPr>
        <w:t xml:space="preserve"> desktop revaluation</w:t>
      </w:r>
      <w:r w:rsidR="00DB413B" w:rsidRPr="003B41EF">
        <w:rPr>
          <w:lang w:val="en-GB"/>
        </w:rPr>
        <w:t xml:space="preserve"> exercise on the remainder, </w:t>
      </w:r>
      <w:r w:rsidRPr="003B41EF">
        <w:rPr>
          <w:lang w:val="en-GB"/>
        </w:rPr>
        <w:t xml:space="preserve">which resulted in </w:t>
      </w:r>
      <w:r w:rsidR="00F70B51" w:rsidRPr="003B41EF">
        <w:rPr>
          <w:lang w:val="en-GB"/>
        </w:rPr>
        <w:t xml:space="preserve">a </w:t>
      </w:r>
      <w:r w:rsidR="00720A2A">
        <w:rPr>
          <w:lang w:val="en-GB"/>
        </w:rPr>
        <w:t>gross</w:t>
      </w:r>
      <w:r w:rsidR="00F70B51" w:rsidRPr="003B41EF">
        <w:rPr>
          <w:lang w:val="en-GB"/>
        </w:rPr>
        <w:t xml:space="preserve"> </w:t>
      </w:r>
      <w:r w:rsidR="001A2087" w:rsidRPr="003B41EF">
        <w:rPr>
          <w:lang w:val="en-GB"/>
        </w:rPr>
        <w:t xml:space="preserve">revaluation </w:t>
      </w:r>
      <w:r w:rsidR="00315414" w:rsidRPr="00543C89">
        <w:rPr>
          <w:lang w:val="en-GB"/>
        </w:rPr>
        <w:t>gain</w:t>
      </w:r>
      <w:r w:rsidR="00F70B51" w:rsidRPr="00543C89">
        <w:rPr>
          <w:lang w:val="en-GB"/>
        </w:rPr>
        <w:t xml:space="preserve"> of </w:t>
      </w:r>
      <w:r w:rsidR="00750768" w:rsidRPr="00BD2C0D">
        <w:rPr>
          <w:lang w:val="en-GB"/>
        </w:rPr>
        <w:t>£</w:t>
      </w:r>
      <w:r w:rsidR="00FE6CCB" w:rsidRPr="00BD2C0D">
        <w:rPr>
          <w:lang w:val="en-GB"/>
        </w:rPr>
        <w:t>5.</w:t>
      </w:r>
      <w:r w:rsidR="002F22A5" w:rsidRPr="00BD2C0D">
        <w:rPr>
          <w:lang w:val="en-GB"/>
        </w:rPr>
        <w:t>579</w:t>
      </w:r>
      <w:r w:rsidR="00FE6CCB" w:rsidRPr="00BD2C0D">
        <w:rPr>
          <w:lang w:val="en-GB"/>
        </w:rPr>
        <w:t>m</w:t>
      </w:r>
      <w:r w:rsidR="003F791B" w:rsidRPr="00543C89">
        <w:rPr>
          <w:lang w:val="en-GB"/>
        </w:rPr>
        <w:t xml:space="preserve"> (</w:t>
      </w:r>
      <w:r w:rsidR="002E3F7A" w:rsidRPr="003B41EF">
        <w:rPr>
          <w:lang w:val="en-GB"/>
        </w:rPr>
        <w:t>202</w:t>
      </w:r>
      <w:r w:rsidR="002F22A5" w:rsidRPr="003B41EF">
        <w:rPr>
          <w:lang w:val="en-GB"/>
        </w:rPr>
        <w:t>3</w:t>
      </w:r>
      <w:r w:rsidR="002E3F7A" w:rsidRPr="003B41EF">
        <w:rPr>
          <w:lang w:val="en-GB"/>
        </w:rPr>
        <w:t>/2</w:t>
      </w:r>
      <w:r w:rsidR="002F22A5" w:rsidRPr="003B41EF">
        <w:rPr>
          <w:lang w:val="en-GB"/>
        </w:rPr>
        <w:t>4</w:t>
      </w:r>
      <w:r w:rsidR="00D66F6A" w:rsidRPr="003B41EF">
        <w:rPr>
          <w:lang w:val="en-GB"/>
        </w:rPr>
        <w:t xml:space="preserve">: net </w:t>
      </w:r>
      <w:r w:rsidR="00B81C41" w:rsidRPr="003B41EF">
        <w:rPr>
          <w:lang w:val="en-GB"/>
        </w:rPr>
        <w:t>gain</w:t>
      </w:r>
      <w:r w:rsidR="00D66F6A" w:rsidRPr="003B41EF">
        <w:rPr>
          <w:lang w:val="en-GB"/>
        </w:rPr>
        <w:t xml:space="preserve"> of £</w:t>
      </w:r>
      <w:r w:rsidR="002F22A5" w:rsidRPr="003B41EF">
        <w:rPr>
          <w:lang w:val="en-GB"/>
        </w:rPr>
        <w:t>5.441</w:t>
      </w:r>
      <w:r w:rsidR="00DF5C98" w:rsidRPr="003B41EF">
        <w:rPr>
          <w:lang w:val="en-GB"/>
        </w:rPr>
        <w:t>m</w:t>
      </w:r>
      <w:r w:rsidR="003F791B" w:rsidRPr="003B41EF">
        <w:rPr>
          <w:lang w:val="en-GB"/>
        </w:rPr>
        <w:t>)</w:t>
      </w:r>
      <w:r w:rsidR="00F70B51" w:rsidRPr="003B41EF">
        <w:rPr>
          <w:lang w:val="en-GB"/>
        </w:rPr>
        <w:t>.</w:t>
      </w:r>
    </w:p>
    <w:p w14:paraId="36BFF75F" w14:textId="77777777" w:rsidR="003D4B58" w:rsidRDefault="003D4B58">
      <w:r>
        <w:br w:type="page"/>
      </w:r>
    </w:p>
    <w:p w14:paraId="2394049C" w14:textId="48E2684D" w:rsidR="00B16EF7" w:rsidRPr="00D948C1" w:rsidRDefault="00B16EF7" w:rsidP="22FF31C3">
      <w:pPr>
        <w:pStyle w:val="BodyTextIndent"/>
        <w:ind w:left="709" w:right="425"/>
        <w:rPr>
          <w:lang w:val="en-GB"/>
        </w:rPr>
      </w:pPr>
      <w:r w:rsidRPr="22FF31C3">
        <w:rPr>
          <w:lang w:val="en-GB"/>
        </w:rPr>
        <w:lastRenderedPageBreak/>
        <w:t xml:space="preserve">The </w:t>
      </w:r>
      <w:r w:rsidR="00AD4558">
        <w:rPr>
          <w:lang w:val="en-GB"/>
        </w:rPr>
        <w:t>restated</w:t>
      </w:r>
      <w:r w:rsidR="00E91290">
        <w:rPr>
          <w:lang w:val="en-GB"/>
        </w:rPr>
        <w:t>*</w:t>
      </w:r>
      <w:r w:rsidR="00AD4558">
        <w:rPr>
          <w:lang w:val="en-GB"/>
        </w:rPr>
        <w:t xml:space="preserve"> </w:t>
      </w:r>
      <w:r w:rsidRPr="22FF31C3">
        <w:rPr>
          <w:lang w:val="en-GB"/>
        </w:rPr>
        <w:t>comparative figures detailing the movement during 20</w:t>
      </w:r>
      <w:r w:rsidR="001F4E9F" w:rsidRPr="22FF31C3">
        <w:rPr>
          <w:lang w:val="en-GB"/>
        </w:rPr>
        <w:t>2</w:t>
      </w:r>
      <w:r w:rsidR="538F463E" w:rsidRPr="22FF31C3">
        <w:rPr>
          <w:lang w:val="en-GB"/>
        </w:rPr>
        <w:t>3</w:t>
      </w:r>
      <w:r w:rsidR="001F4E9F" w:rsidRPr="22FF31C3">
        <w:rPr>
          <w:lang w:val="en-GB"/>
        </w:rPr>
        <w:t>/</w:t>
      </w:r>
      <w:r w:rsidR="009010CF" w:rsidRPr="22FF31C3">
        <w:rPr>
          <w:lang w:val="en-GB"/>
        </w:rPr>
        <w:t>2</w:t>
      </w:r>
      <w:r w:rsidR="4C3F2C68" w:rsidRPr="22FF31C3">
        <w:rPr>
          <w:lang w:val="en-GB"/>
        </w:rPr>
        <w:t>4</w:t>
      </w:r>
      <w:r w:rsidR="00A10006" w:rsidRPr="22FF31C3">
        <w:rPr>
          <w:lang w:val="en-GB"/>
        </w:rPr>
        <w:t>:</w:t>
      </w:r>
    </w:p>
    <w:p w14:paraId="074BED65" w14:textId="77777777" w:rsidR="00F74E7D" w:rsidRPr="00D948C1" w:rsidRDefault="00F74E7D" w:rsidP="00400584">
      <w:pPr>
        <w:pStyle w:val="BodyTextIndent"/>
        <w:ind w:left="709" w:right="425"/>
        <w:jc w:val="both"/>
        <w:rPr>
          <w:szCs w:val="24"/>
          <w:lang w:val="en-GB"/>
        </w:rPr>
      </w:pPr>
    </w:p>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B879C7" w:rsidRPr="00D948C1" w14:paraId="507E9E27" w14:textId="77777777" w:rsidTr="00F06E9F">
        <w:trPr>
          <w:trHeight w:val="507"/>
          <w:tblHeader/>
        </w:trPr>
        <w:tc>
          <w:tcPr>
            <w:tcW w:w="5669" w:type="dxa"/>
            <w:tcBorders>
              <w:top w:val="single" w:sz="4" w:space="0" w:color="auto"/>
              <w:left w:val="single" w:sz="4" w:space="0" w:color="auto"/>
              <w:bottom w:val="single" w:sz="4" w:space="0" w:color="auto"/>
              <w:right w:val="single" w:sz="4" w:space="0" w:color="auto"/>
            </w:tcBorders>
            <w:shd w:val="clear" w:color="auto" w:fill="BD2716"/>
            <w:noWrap/>
            <w:vAlign w:val="center"/>
          </w:tcPr>
          <w:p w14:paraId="652465C0" w14:textId="398B3436" w:rsidR="00B879C7" w:rsidRPr="00D948C1" w:rsidRDefault="00B879C7" w:rsidP="008117BF">
            <w:pPr>
              <w:ind w:left="175"/>
              <w:jc w:val="right"/>
              <w:rPr>
                <w:rFonts w:cs="Arial"/>
                <w:color w:val="FFFFFF" w:themeColor="background1"/>
                <w:szCs w:val="24"/>
                <w:lang w:eastAsia="en-GB"/>
              </w:rPr>
            </w:pP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6EBD15B2" w14:textId="77777777"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40605310" w14:textId="66F63A3C"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174916B3" w14:textId="77777777"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4A5F5E42" w14:textId="69F885B3"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5" w:type="dxa"/>
            <w:shd w:val="clear" w:color="auto" w:fill="BD2716"/>
            <w:vAlign w:val="center"/>
          </w:tcPr>
          <w:p w14:paraId="3CC2BE78" w14:textId="525AA50A" w:rsidR="00B879C7" w:rsidRPr="00D948C1" w:rsidRDefault="008117BF" w:rsidP="008117BF">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496D7169" w14:textId="5788F8EF"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47AFF4D3" w14:textId="06A49D71"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3" w:type="dxa"/>
            <w:tcBorders>
              <w:top w:val="single" w:sz="4" w:space="0" w:color="auto"/>
              <w:left w:val="single" w:sz="4" w:space="0" w:color="auto"/>
              <w:bottom w:val="single" w:sz="4" w:space="0" w:color="auto"/>
              <w:right w:val="single" w:sz="4" w:space="0" w:color="auto"/>
            </w:tcBorders>
            <w:shd w:val="clear" w:color="auto" w:fill="BD2716"/>
            <w:noWrap/>
            <w:vAlign w:val="center"/>
          </w:tcPr>
          <w:p w14:paraId="3F15F4D3" w14:textId="77777777"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44501D3E" w14:textId="485E1B98" w:rsidR="00B879C7" w:rsidRPr="00D948C1" w:rsidRDefault="00B879C7" w:rsidP="008117BF">
            <w:pPr>
              <w:pStyle w:val="CommentSubject"/>
              <w:jc w:val="right"/>
              <w:rPr>
                <w:rFonts w:ascii="Arial" w:hAnsi="Arial" w:cs="Arial"/>
                <w:b w:val="0"/>
                <w:color w:val="FFFFFF" w:themeColor="background1"/>
                <w:sz w:val="24"/>
                <w:szCs w:val="24"/>
                <w:lang w:eastAsia="en-GB"/>
              </w:rPr>
            </w:pPr>
            <w:r w:rsidRPr="00D948C1">
              <w:rPr>
                <w:rFonts w:ascii="Arial" w:hAnsi="Arial" w:cs="Arial"/>
                <w:b w:val="0"/>
                <w:color w:val="FFFFFF" w:themeColor="background1"/>
                <w:sz w:val="24"/>
                <w:szCs w:val="24"/>
                <w:lang w:eastAsia="en-GB"/>
              </w:rPr>
              <w:t>£000</w:t>
            </w:r>
          </w:p>
        </w:tc>
      </w:tr>
      <w:tr w:rsidR="00A47861" w:rsidRPr="00D948C1" w14:paraId="42BC0A01" w14:textId="77777777" w:rsidTr="00CA769E">
        <w:trPr>
          <w:trHeight w:val="253"/>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0CD108" w14:textId="61551CE9" w:rsidR="00A47861" w:rsidRPr="00D948C1" w:rsidRDefault="00A47861" w:rsidP="00F7299E">
            <w:pPr>
              <w:rPr>
                <w:rFonts w:cs="Arial"/>
                <w:szCs w:val="24"/>
                <w:lang w:eastAsia="en-GB"/>
              </w:rPr>
            </w:pPr>
            <w:r w:rsidRPr="00D948C1">
              <w:rPr>
                <w:rFonts w:cs="Arial"/>
                <w:b/>
                <w:bCs/>
                <w:szCs w:val="24"/>
                <w:lang w:eastAsia="en-GB"/>
              </w:rPr>
              <w:t>Cost or valuation</w:t>
            </w:r>
          </w:p>
        </w:tc>
      </w:tr>
      <w:tr w:rsidR="00B879C7" w:rsidRPr="00D948C1" w14:paraId="33EB7D6B"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42D8A9FF" w14:textId="3E04F452" w:rsidR="00B879C7" w:rsidRPr="00D948C1" w:rsidRDefault="00B879C7" w:rsidP="001D3375">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3</w:t>
            </w:r>
          </w:p>
        </w:tc>
        <w:tc>
          <w:tcPr>
            <w:tcW w:w="1565" w:type="dxa"/>
            <w:tcBorders>
              <w:top w:val="single" w:sz="4" w:space="0" w:color="auto"/>
              <w:left w:val="single" w:sz="4" w:space="0" w:color="auto"/>
              <w:bottom w:val="single" w:sz="4" w:space="0" w:color="auto"/>
              <w:right w:val="single" w:sz="4" w:space="0" w:color="auto"/>
            </w:tcBorders>
            <w:noWrap/>
            <w:vAlign w:val="center"/>
          </w:tcPr>
          <w:p w14:paraId="0CFE691E" w14:textId="62AE6EE8" w:rsidR="00B879C7" w:rsidRPr="00D13642" w:rsidRDefault="00B879C7" w:rsidP="001D3375">
            <w:pPr>
              <w:jc w:val="right"/>
              <w:rPr>
                <w:rFonts w:cs="Arial"/>
                <w:szCs w:val="24"/>
                <w:lang w:eastAsia="en-GB"/>
              </w:rPr>
            </w:pPr>
            <w:r w:rsidRPr="00D13642">
              <w:rPr>
                <w:szCs w:val="24"/>
              </w:rPr>
              <w:t>81,875</w:t>
            </w:r>
          </w:p>
        </w:tc>
        <w:tc>
          <w:tcPr>
            <w:tcW w:w="1565" w:type="dxa"/>
            <w:tcBorders>
              <w:top w:val="single" w:sz="4" w:space="0" w:color="auto"/>
              <w:left w:val="single" w:sz="4" w:space="0" w:color="auto"/>
              <w:bottom w:val="single" w:sz="4" w:space="0" w:color="auto"/>
              <w:right w:val="single" w:sz="4" w:space="0" w:color="auto"/>
            </w:tcBorders>
            <w:vAlign w:val="center"/>
          </w:tcPr>
          <w:p w14:paraId="17135055" w14:textId="65744776" w:rsidR="00B879C7" w:rsidRPr="00D13642" w:rsidRDefault="00B879C7" w:rsidP="001D3375">
            <w:pPr>
              <w:jc w:val="right"/>
              <w:rPr>
                <w:rFonts w:cs="Arial"/>
                <w:szCs w:val="24"/>
                <w:lang w:eastAsia="en-GB"/>
              </w:rPr>
            </w:pPr>
            <w:r w:rsidRPr="00D13642">
              <w:rPr>
                <w:szCs w:val="24"/>
              </w:rPr>
              <w:t>36,432</w:t>
            </w:r>
          </w:p>
        </w:tc>
        <w:tc>
          <w:tcPr>
            <w:tcW w:w="1565" w:type="dxa"/>
            <w:tcBorders>
              <w:top w:val="single" w:sz="4" w:space="0" w:color="auto"/>
              <w:bottom w:val="single" w:sz="4" w:space="0" w:color="auto"/>
            </w:tcBorders>
            <w:vAlign w:val="center"/>
          </w:tcPr>
          <w:p w14:paraId="678E5CA8" w14:textId="419C2782" w:rsidR="00B879C7" w:rsidRPr="00D13642" w:rsidRDefault="001B5867" w:rsidP="008117BF">
            <w:pPr>
              <w:jc w:val="right"/>
              <w:rPr>
                <w:szCs w:val="24"/>
              </w:rPr>
            </w:pPr>
            <w:r>
              <w:rPr>
                <w:szCs w:val="24"/>
              </w:rPr>
              <w:t>123</w:t>
            </w:r>
          </w:p>
        </w:tc>
        <w:tc>
          <w:tcPr>
            <w:tcW w:w="1565" w:type="dxa"/>
            <w:tcBorders>
              <w:top w:val="single" w:sz="4" w:space="0" w:color="auto"/>
              <w:left w:val="single" w:sz="4" w:space="0" w:color="auto"/>
              <w:bottom w:val="single" w:sz="4" w:space="0" w:color="auto"/>
              <w:right w:val="single" w:sz="4" w:space="0" w:color="auto"/>
            </w:tcBorders>
            <w:vAlign w:val="center"/>
          </w:tcPr>
          <w:p w14:paraId="5AFD9BB4" w14:textId="18E806B1" w:rsidR="00B879C7" w:rsidRPr="00D13642" w:rsidRDefault="00B879C7" w:rsidP="001D3375">
            <w:pPr>
              <w:jc w:val="right"/>
              <w:rPr>
                <w:rFonts w:cs="Arial"/>
                <w:szCs w:val="24"/>
                <w:lang w:eastAsia="en-GB"/>
              </w:rPr>
            </w:pPr>
            <w:r w:rsidRPr="00D13642">
              <w:rPr>
                <w:szCs w:val="24"/>
              </w:rPr>
              <w:t>24,</w:t>
            </w:r>
            <w:r w:rsidR="00C64B6C">
              <w:rPr>
                <w:szCs w:val="24"/>
              </w:rPr>
              <w:t>585</w:t>
            </w:r>
          </w:p>
        </w:tc>
        <w:tc>
          <w:tcPr>
            <w:tcW w:w="1563" w:type="dxa"/>
            <w:tcBorders>
              <w:top w:val="single" w:sz="4" w:space="0" w:color="auto"/>
              <w:left w:val="single" w:sz="4" w:space="0" w:color="auto"/>
              <w:bottom w:val="single" w:sz="4" w:space="0" w:color="auto"/>
              <w:right w:val="single" w:sz="4" w:space="0" w:color="auto"/>
            </w:tcBorders>
            <w:noWrap/>
            <w:vAlign w:val="center"/>
          </w:tcPr>
          <w:p w14:paraId="4E4B2587" w14:textId="6A06DE8A" w:rsidR="00B879C7" w:rsidRPr="00D13642" w:rsidRDefault="00B879C7" w:rsidP="001D3375">
            <w:pPr>
              <w:jc w:val="right"/>
              <w:rPr>
                <w:rFonts w:cs="Arial"/>
                <w:szCs w:val="24"/>
                <w:lang w:eastAsia="en-GB"/>
              </w:rPr>
            </w:pPr>
            <w:r w:rsidRPr="00D13642">
              <w:rPr>
                <w:szCs w:val="24"/>
              </w:rPr>
              <w:t xml:space="preserve">143,015 </w:t>
            </w:r>
          </w:p>
        </w:tc>
      </w:tr>
      <w:tr w:rsidR="00B879C7" w:rsidRPr="00D948C1" w14:paraId="6CDBE9DC"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6C372F63" w14:textId="639946C1" w:rsidR="00B879C7" w:rsidRPr="00D948C1" w:rsidRDefault="00B879C7" w:rsidP="001D3375">
            <w:pPr>
              <w:ind w:left="175"/>
              <w:rPr>
                <w:rFonts w:cs="Arial"/>
                <w:szCs w:val="24"/>
                <w:lang w:eastAsia="en-GB"/>
              </w:rPr>
            </w:pPr>
            <w:r w:rsidRPr="00D948C1">
              <w:rPr>
                <w:rFonts w:cs="Arial"/>
                <w:szCs w:val="24"/>
                <w:lang w:eastAsia="en-GB"/>
              </w:rPr>
              <w:t>Ad</w:t>
            </w:r>
            <w:r>
              <w:rPr>
                <w:rFonts w:cs="Arial"/>
                <w:szCs w:val="24"/>
                <w:lang w:eastAsia="en-GB"/>
              </w:rPr>
              <w:t>justment to opening balance</w:t>
            </w:r>
          </w:p>
        </w:tc>
        <w:tc>
          <w:tcPr>
            <w:tcW w:w="1565" w:type="dxa"/>
            <w:tcBorders>
              <w:top w:val="single" w:sz="4" w:space="0" w:color="auto"/>
              <w:left w:val="single" w:sz="4" w:space="0" w:color="auto"/>
              <w:bottom w:val="single" w:sz="4" w:space="0" w:color="auto"/>
              <w:right w:val="single" w:sz="4" w:space="0" w:color="auto"/>
            </w:tcBorders>
            <w:noWrap/>
            <w:vAlign w:val="center"/>
          </w:tcPr>
          <w:p w14:paraId="1C21C7AD" w14:textId="684C263C" w:rsidR="00B879C7" w:rsidRPr="00D13642" w:rsidRDefault="00B879C7" w:rsidP="001D3375">
            <w:pPr>
              <w:jc w:val="right"/>
              <w:rPr>
                <w:rFonts w:cs="Arial"/>
                <w:szCs w:val="24"/>
                <w:lang w:eastAsia="en-GB"/>
              </w:rPr>
            </w:pPr>
            <w:r w:rsidRPr="00D13642">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56F6021A" w14:textId="2623CC66" w:rsidR="00B879C7" w:rsidRPr="00D13642" w:rsidRDefault="00B879C7" w:rsidP="001D3375">
            <w:pPr>
              <w:jc w:val="right"/>
              <w:rPr>
                <w:rFonts w:cs="Arial"/>
                <w:szCs w:val="24"/>
                <w:lang w:eastAsia="en-GB"/>
              </w:rPr>
            </w:pPr>
            <w:r w:rsidRPr="00D13642">
              <w:rPr>
                <w:szCs w:val="24"/>
              </w:rPr>
              <w:t>-</w:t>
            </w:r>
          </w:p>
        </w:tc>
        <w:tc>
          <w:tcPr>
            <w:tcW w:w="1565" w:type="dxa"/>
            <w:tcBorders>
              <w:top w:val="single" w:sz="4" w:space="0" w:color="auto"/>
              <w:bottom w:val="single" w:sz="4" w:space="0" w:color="auto"/>
            </w:tcBorders>
            <w:vAlign w:val="center"/>
          </w:tcPr>
          <w:p w14:paraId="3C4F03E4" w14:textId="2AC39957" w:rsidR="00B879C7" w:rsidRPr="00D13642" w:rsidRDefault="00786193" w:rsidP="008117BF">
            <w:pPr>
              <w:jc w:val="right"/>
              <w:rPr>
                <w:szCs w:val="24"/>
              </w:rPr>
            </w:pPr>
            <w:r>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36BB7983" w14:textId="55A52A27" w:rsidR="00B879C7" w:rsidRPr="00D13642" w:rsidRDefault="00B879C7" w:rsidP="001D3375">
            <w:pPr>
              <w:jc w:val="right"/>
              <w:rPr>
                <w:rFonts w:cs="Arial"/>
                <w:szCs w:val="24"/>
                <w:lang w:eastAsia="en-GB"/>
              </w:rPr>
            </w:pPr>
            <w:r w:rsidRPr="00D13642">
              <w:rPr>
                <w:szCs w:val="24"/>
              </w:rPr>
              <w:t>714</w:t>
            </w:r>
          </w:p>
        </w:tc>
        <w:tc>
          <w:tcPr>
            <w:tcW w:w="1563" w:type="dxa"/>
            <w:tcBorders>
              <w:top w:val="single" w:sz="4" w:space="0" w:color="auto"/>
              <w:left w:val="single" w:sz="4" w:space="0" w:color="auto"/>
              <w:bottom w:val="single" w:sz="4" w:space="0" w:color="auto"/>
              <w:right w:val="single" w:sz="4" w:space="0" w:color="auto"/>
            </w:tcBorders>
            <w:noWrap/>
            <w:vAlign w:val="center"/>
          </w:tcPr>
          <w:p w14:paraId="513156CD" w14:textId="0501E956" w:rsidR="00B879C7" w:rsidRPr="00D13642" w:rsidRDefault="00B879C7" w:rsidP="001D3375">
            <w:pPr>
              <w:jc w:val="right"/>
              <w:rPr>
                <w:rFonts w:cs="Arial"/>
                <w:szCs w:val="24"/>
                <w:lang w:eastAsia="en-GB"/>
              </w:rPr>
            </w:pPr>
            <w:r w:rsidRPr="00D13642">
              <w:rPr>
                <w:szCs w:val="24"/>
              </w:rPr>
              <w:t>714</w:t>
            </w:r>
          </w:p>
        </w:tc>
      </w:tr>
      <w:tr w:rsidR="00B879C7" w:rsidRPr="00D948C1" w14:paraId="35ECFFE1"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4BA792A2" w14:textId="5A922537" w:rsidR="00B879C7" w:rsidRPr="00D948C1" w:rsidRDefault="00B879C7" w:rsidP="00A04586">
            <w:pPr>
              <w:ind w:left="175"/>
              <w:rPr>
                <w:rFonts w:cs="Arial"/>
                <w:szCs w:val="24"/>
                <w:lang w:eastAsia="en-GB"/>
              </w:rPr>
            </w:pPr>
            <w:r w:rsidRPr="00D948C1">
              <w:rPr>
                <w:rFonts w:cs="Arial"/>
                <w:szCs w:val="24"/>
                <w:lang w:eastAsia="en-GB"/>
              </w:rPr>
              <w:t>Additions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76B13879" w14:textId="108E8E1B" w:rsidR="00B879C7" w:rsidRPr="00D13642" w:rsidRDefault="00B879C7" w:rsidP="00A04586">
            <w:pPr>
              <w:jc w:val="right"/>
              <w:rPr>
                <w:rFonts w:cs="Arial"/>
                <w:szCs w:val="24"/>
                <w:lang w:eastAsia="en-GB"/>
              </w:rPr>
            </w:pPr>
            <w:r w:rsidRPr="00D13642">
              <w:rPr>
                <w:szCs w:val="24"/>
              </w:rPr>
              <w:t>228</w:t>
            </w:r>
          </w:p>
        </w:tc>
        <w:tc>
          <w:tcPr>
            <w:tcW w:w="1565" w:type="dxa"/>
            <w:tcBorders>
              <w:top w:val="single" w:sz="4" w:space="0" w:color="auto"/>
              <w:left w:val="single" w:sz="4" w:space="0" w:color="auto"/>
              <w:bottom w:val="single" w:sz="4" w:space="0" w:color="auto"/>
              <w:right w:val="single" w:sz="4" w:space="0" w:color="auto"/>
            </w:tcBorders>
            <w:vAlign w:val="center"/>
          </w:tcPr>
          <w:p w14:paraId="07D0822E" w14:textId="1D89E059" w:rsidR="00B879C7" w:rsidRPr="00D13642" w:rsidRDefault="00B879C7" w:rsidP="00A04586">
            <w:pPr>
              <w:jc w:val="right"/>
              <w:rPr>
                <w:rFonts w:cs="Arial"/>
                <w:szCs w:val="24"/>
                <w:lang w:eastAsia="en-GB"/>
              </w:rPr>
            </w:pPr>
            <w:r w:rsidRPr="00D13642">
              <w:rPr>
                <w:szCs w:val="24"/>
              </w:rPr>
              <w:t>27</w:t>
            </w:r>
          </w:p>
        </w:tc>
        <w:tc>
          <w:tcPr>
            <w:tcW w:w="1565" w:type="dxa"/>
            <w:tcBorders>
              <w:top w:val="single" w:sz="4" w:space="0" w:color="auto"/>
              <w:bottom w:val="single" w:sz="4" w:space="0" w:color="auto"/>
            </w:tcBorders>
            <w:vAlign w:val="center"/>
          </w:tcPr>
          <w:p w14:paraId="4F68AC8F" w14:textId="40310B8D" w:rsidR="00B879C7" w:rsidRPr="00D13642" w:rsidRDefault="009520AB" w:rsidP="008117BF">
            <w:pPr>
              <w:jc w:val="right"/>
              <w:rPr>
                <w:szCs w:val="24"/>
              </w:rPr>
            </w:pPr>
            <w:r>
              <w:rPr>
                <w:szCs w:val="24"/>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651EDAE0" w14:textId="06EB1533" w:rsidR="00B879C7" w:rsidRPr="00D13642" w:rsidRDefault="00D56FB5" w:rsidP="00A04586">
            <w:pPr>
              <w:jc w:val="right"/>
              <w:rPr>
                <w:rFonts w:cs="Arial"/>
                <w:szCs w:val="24"/>
                <w:lang w:eastAsia="en-GB"/>
              </w:rPr>
            </w:pPr>
            <w:r>
              <w:rPr>
                <w:szCs w:val="24"/>
              </w:rPr>
              <w:t>4,352</w:t>
            </w:r>
          </w:p>
        </w:tc>
        <w:tc>
          <w:tcPr>
            <w:tcW w:w="1563" w:type="dxa"/>
            <w:tcBorders>
              <w:top w:val="single" w:sz="4" w:space="0" w:color="auto"/>
              <w:left w:val="single" w:sz="4" w:space="0" w:color="auto"/>
              <w:bottom w:val="single" w:sz="4" w:space="0" w:color="auto"/>
              <w:right w:val="single" w:sz="4" w:space="0" w:color="auto"/>
            </w:tcBorders>
            <w:noWrap/>
            <w:vAlign w:val="center"/>
          </w:tcPr>
          <w:p w14:paraId="6BBFBE1B" w14:textId="661D0FB7" w:rsidR="00B879C7" w:rsidRPr="00D13642" w:rsidRDefault="00B879C7" w:rsidP="00A04586">
            <w:pPr>
              <w:jc w:val="right"/>
              <w:rPr>
                <w:rFonts w:cs="Arial"/>
                <w:szCs w:val="24"/>
                <w:lang w:eastAsia="en-GB"/>
              </w:rPr>
            </w:pPr>
            <w:r w:rsidRPr="00D13642">
              <w:rPr>
                <w:szCs w:val="24"/>
              </w:rPr>
              <w:t>5,881</w:t>
            </w:r>
          </w:p>
        </w:tc>
      </w:tr>
      <w:tr w:rsidR="00B879C7" w:rsidRPr="00D948C1" w14:paraId="2B3A41F5"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60212E22" w14:textId="03D878B2" w:rsidR="00B879C7" w:rsidRPr="00D948C1" w:rsidRDefault="00B879C7" w:rsidP="00A04586">
            <w:pPr>
              <w:ind w:left="175"/>
              <w:rPr>
                <w:rFonts w:cs="Arial"/>
                <w:szCs w:val="24"/>
                <w:lang w:eastAsia="en-GB"/>
              </w:rPr>
            </w:pPr>
            <w:r w:rsidRPr="00D948C1">
              <w:rPr>
                <w:rFonts w:cs="Arial"/>
                <w:szCs w:val="24"/>
                <w:lang w:eastAsia="en-GB"/>
              </w:rPr>
              <w:t>Disposals</w:t>
            </w:r>
            <w:r>
              <w:rPr>
                <w:rFonts w:cs="Arial"/>
                <w:szCs w:val="24"/>
                <w:lang w:eastAsia="en-GB"/>
              </w:rPr>
              <w:t>/De-recognitions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73F3AE8F" w14:textId="50D50B5A" w:rsidR="00B879C7" w:rsidRPr="00D13642" w:rsidRDefault="00B879C7" w:rsidP="00A04586">
            <w:pPr>
              <w:jc w:val="right"/>
              <w:rPr>
                <w:rFonts w:cs="Arial"/>
                <w:szCs w:val="24"/>
                <w:lang w:eastAsia="en-GB"/>
              </w:rPr>
            </w:pPr>
            <w:r w:rsidRPr="00D13642">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667C867A" w14:textId="513481F1" w:rsidR="00B879C7" w:rsidRPr="00D13642" w:rsidRDefault="00B879C7" w:rsidP="00A04586">
            <w:pPr>
              <w:jc w:val="right"/>
              <w:rPr>
                <w:rFonts w:cs="Arial"/>
                <w:szCs w:val="24"/>
                <w:lang w:eastAsia="en-GB"/>
              </w:rPr>
            </w:pPr>
            <w:r w:rsidRPr="00D13642">
              <w:rPr>
                <w:szCs w:val="24"/>
              </w:rPr>
              <w:t>-</w:t>
            </w:r>
          </w:p>
        </w:tc>
        <w:tc>
          <w:tcPr>
            <w:tcW w:w="1565" w:type="dxa"/>
            <w:tcBorders>
              <w:top w:val="single" w:sz="4" w:space="0" w:color="auto"/>
              <w:bottom w:val="single" w:sz="4" w:space="0" w:color="auto"/>
            </w:tcBorders>
            <w:vAlign w:val="center"/>
          </w:tcPr>
          <w:p w14:paraId="393716B2" w14:textId="2CDE6929" w:rsidR="00B879C7" w:rsidRPr="00D13642" w:rsidRDefault="00786193" w:rsidP="008117BF">
            <w:pPr>
              <w:jc w:val="right"/>
              <w:rPr>
                <w:szCs w:val="24"/>
              </w:rPr>
            </w:pPr>
            <w:r>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523FF121" w14:textId="25B20358" w:rsidR="00B879C7" w:rsidRPr="00D13642" w:rsidRDefault="00B879C7" w:rsidP="00A04586">
            <w:pPr>
              <w:jc w:val="right"/>
              <w:rPr>
                <w:rFonts w:cs="Arial"/>
                <w:szCs w:val="24"/>
                <w:lang w:eastAsia="en-GB"/>
              </w:rPr>
            </w:pPr>
            <w:r w:rsidRPr="00D13642">
              <w:rPr>
                <w:szCs w:val="24"/>
              </w:rPr>
              <w:t>(1,833)</w:t>
            </w:r>
          </w:p>
        </w:tc>
        <w:tc>
          <w:tcPr>
            <w:tcW w:w="1563" w:type="dxa"/>
            <w:tcBorders>
              <w:top w:val="single" w:sz="4" w:space="0" w:color="auto"/>
              <w:left w:val="single" w:sz="4" w:space="0" w:color="auto"/>
              <w:bottom w:val="single" w:sz="4" w:space="0" w:color="auto"/>
              <w:right w:val="single" w:sz="4" w:space="0" w:color="auto"/>
            </w:tcBorders>
            <w:noWrap/>
            <w:vAlign w:val="center"/>
          </w:tcPr>
          <w:p w14:paraId="7A124DA9" w14:textId="33FB9844" w:rsidR="00B879C7" w:rsidRPr="00D13642" w:rsidRDefault="00B879C7" w:rsidP="00A04586">
            <w:pPr>
              <w:jc w:val="right"/>
              <w:rPr>
                <w:rFonts w:cs="Arial"/>
                <w:szCs w:val="24"/>
                <w:lang w:eastAsia="en-GB"/>
              </w:rPr>
            </w:pPr>
            <w:r w:rsidRPr="00D13642">
              <w:rPr>
                <w:szCs w:val="24"/>
              </w:rPr>
              <w:t>(1,833)</w:t>
            </w:r>
          </w:p>
        </w:tc>
      </w:tr>
      <w:tr w:rsidR="00B879C7" w:rsidRPr="00D948C1" w14:paraId="7D21803B"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75012DB1" w14:textId="00E522FF" w:rsidR="00B879C7" w:rsidRPr="00D948C1" w:rsidRDefault="00B879C7" w:rsidP="00A04586">
            <w:pPr>
              <w:ind w:left="175"/>
              <w:rPr>
                <w:rFonts w:cs="Arial"/>
                <w:szCs w:val="24"/>
                <w:lang w:eastAsia="en-GB"/>
              </w:rPr>
            </w:pPr>
            <w:r>
              <w:rPr>
                <w:rFonts w:cs="Arial"/>
                <w:szCs w:val="24"/>
                <w:lang w:eastAsia="en-GB"/>
              </w:rPr>
              <w:t>Downward revaluation</w:t>
            </w:r>
            <w:r w:rsidRPr="00D948C1">
              <w:rPr>
                <w:rFonts w:cs="Arial"/>
                <w:szCs w:val="24"/>
                <w:lang w:eastAsia="en-GB"/>
              </w:rPr>
              <w:t xml:space="preserve"> recognised in the Revaluation Reserve</w:t>
            </w:r>
          </w:p>
        </w:tc>
        <w:tc>
          <w:tcPr>
            <w:tcW w:w="1565" w:type="dxa"/>
            <w:tcBorders>
              <w:top w:val="single" w:sz="4" w:space="0" w:color="auto"/>
              <w:left w:val="single" w:sz="4" w:space="0" w:color="auto"/>
              <w:bottom w:val="single" w:sz="4" w:space="0" w:color="auto"/>
              <w:right w:val="single" w:sz="4" w:space="0" w:color="auto"/>
            </w:tcBorders>
            <w:noWrap/>
            <w:vAlign w:val="center"/>
          </w:tcPr>
          <w:p w14:paraId="4942C966" w14:textId="52044B1A" w:rsidR="00B879C7" w:rsidRPr="00D13642" w:rsidRDefault="00B879C7" w:rsidP="00A04586">
            <w:pPr>
              <w:jc w:val="right"/>
              <w:rPr>
                <w:rFonts w:cs="Arial"/>
                <w:szCs w:val="24"/>
                <w:lang w:eastAsia="en-GB"/>
              </w:rPr>
            </w:pPr>
            <w:r w:rsidRPr="00D13642">
              <w:rPr>
                <w:szCs w:val="24"/>
              </w:rPr>
              <w:t>(3,870)</w:t>
            </w:r>
          </w:p>
        </w:tc>
        <w:tc>
          <w:tcPr>
            <w:tcW w:w="1565" w:type="dxa"/>
            <w:tcBorders>
              <w:top w:val="single" w:sz="4" w:space="0" w:color="auto"/>
              <w:left w:val="single" w:sz="4" w:space="0" w:color="auto"/>
              <w:bottom w:val="single" w:sz="4" w:space="0" w:color="auto"/>
              <w:right w:val="single" w:sz="4" w:space="0" w:color="auto"/>
            </w:tcBorders>
            <w:vAlign w:val="center"/>
          </w:tcPr>
          <w:p w14:paraId="22352FB0" w14:textId="76051CFE" w:rsidR="00B879C7" w:rsidRPr="00D13642" w:rsidRDefault="00B879C7" w:rsidP="00A04586">
            <w:pPr>
              <w:jc w:val="right"/>
              <w:rPr>
                <w:rFonts w:cs="Arial"/>
                <w:szCs w:val="24"/>
                <w:lang w:eastAsia="en-GB"/>
              </w:rPr>
            </w:pPr>
            <w:r w:rsidRPr="00D13642">
              <w:rPr>
                <w:szCs w:val="24"/>
              </w:rPr>
              <w:t>(365)</w:t>
            </w:r>
          </w:p>
        </w:tc>
        <w:tc>
          <w:tcPr>
            <w:tcW w:w="1565" w:type="dxa"/>
            <w:tcBorders>
              <w:top w:val="single" w:sz="4" w:space="0" w:color="auto"/>
              <w:bottom w:val="single" w:sz="4" w:space="0" w:color="auto"/>
            </w:tcBorders>
            <w:vAlign w:val="center"/>
          </w:tcPr>
          <w:p w14:paraId="58746658" w14:textId="6B751977" w:rsidR="00B879C7" w:rsidRPr="00D13642" w:rsidRDefault="00786193" w:rsidP="008117BF">
            <w:pPr>
              <w:jc w:val="right"/>
              <w:rPr>
                <w:szCs w:val="24"/>
              </w:rPr>
            </w:pPr>
            <w:r>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6D734069" w14:textId="00FF2D2A" w:rsidR="00B879C7" w:rsidRPr="00D13642" w:rsidRDefault="00B879C7" w:rsidP="00A04586">
            <w:pPr>
              <w:jc w:val="right"/>
              <w:rPr>
                <w:rFonts w:cs="Arial"/>
                <w:szCs w:val="24"/>
                <w:lang w:eastAsia="en-GB"/>
              </w:rPr>
            </w:pPr>
            <w:r w:rsidRPr="00D13642">
              <w:rPr>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797AF54D" w14:textId="1F01AF3B" w:rsidR="00B879C7" w:rsidRPr="00D13642" w:rsidRDefault="00B879C7" w:rsidP="00A04586">
            <w:pPr>
              <w:jc w:val="right"/>
              <w:rPr>
                <w:rFonts w:cs="Arial"/>
                <w:szCs w:val="24"/>
                <w:lang w:eastAsia="en-GB"/>
              </w:rPr>
            </w:pPr>
            <w:r w:rsidRPr="00D13642">
              <w:rPr>
                <w:szCs w:val="24"/>
              </w:rPr>
              <w:t>(4,235)</w:t>
            </w:r>
          </w:p>
        </w:tc>
      </w:tr>
      <w:tr w:rsidR="00B879C7" w:rsidRPr="00D948C1" w14:paraId="6CC0B35D"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094161FB" w14:textId="53733E58" w:rsidR="00B879C7" w:rsidRPr="00D948C1" w:rsidRDefault="00B879C7" w:rsidP="00A04586">
            <w:pPr>
              <w:ind w:left="175"/>
              <w:rPr>
                <w:rFonts w:cs="Arial"/>
                <w:szCs w:val="24"/>
                <w:lang w:eastAsia="en-GB"/>
              </w:rPr>
            </w:pPr>
            <w:r w:rsidRPr="00D948C1">
              <w:rPr>
                <w:rFonts w:cs="Arial"/>
                <w:szCs w:val="24"/>
                <w:lang w:eastAsia="en-GB"/>
              </w:rPr>
              <w:t>Impairment losses recognised in the CIES Provision of Services</w:t>
            </w:r>
          </w:p>
        </w:tc>
        <w:tc>
          <w:tcPr>
            <w:tcW w:w="1565" w:type="dxa"/>
            <w:tcBorders>
              <w:top w:val="single" w:sz="4" w:space="0" w:color="auto"/>
              <w:left w:val="single" w:sz="4" w:space="0" w:color="auto"/>
              <w:bottom w:val="single" w:sz="4" w:space="0" w:color="auto"/>
              <w:right w:val="single" w:sz="4" w:space="0" w:color="auto"/>
            </w:tcBorders>
            <w:noWrap/>
            <w:vAlign w:val="center"/>
          </w:tcPr>
          <w:p w14:paraId="2C58881E" w14:textId="4EE70414" w:rsidR="00B879C7" w:rsidRPr="00D13642" w:rsidRDefault="00B879C7" w:rsidP="00A04586">
            <w:pPr>
              <w:jc w:val="right"/>
              <w:rPr>
                <w:rFonts w:cs="Arial"/>
                <w:szCs w:val="24"/>
                <w:lang w:eastAsia="en-GB"/>
              </w:rPr>
            </w:pPr>
            <w:r w:rsidRPr="00D13642">
              <w:rPr>
                <w:rFonts w:cs="Arial"/>
                <w:szCs w:val="24"/>
                <w:lang w:eastAsia="en-GB"/>
              </w:rPr>
              <w:t>(133)</w:t>
            </w:r>
          </w:p>
        </w:tc>
        <w:tc>
          <w:tcPr>
            <w:tcW w:w="1565" w:type="dxa"/>
            <w:tcBorders>
              <w:top w:val="single" w:sz="4" w:space="0" w:color="auto"/>
              <w:left w:val="single" w:sz="4" w:space="0" w:color="auto"/>
              <w:bottom w:val="single" w:sz="4" w:space="0" w:color="auto"/>
              <w:right w:val="single" w:sz="4" w:space="0" w:color="auto"/>
            </w:tcBorders>
            <w:vAlign w:val="center"/>
          </w:tcPr>
          <w:p w14:paraId="5B6AA7A3" w14:textId="498F5D43" w:rsidR="00B879C7" w:rsidRPr="00D13642" w:rsidRDefault="00B879C7" w:rsidP="00A04586">
            <w:pPr>
              <w:jc w:val="right"/>
              <w:rPr>
                <w:rFonts w:cs="Arial"/>
                <w:szCs w:val="24"/>
                <w:lang w:eastAsia="en-GB"/>
              </w:rPr>
            </w:pPr>
            <w:r w:rsidRPr="00D13642">
              <w:rPr>
                <w:rFonts w:cs="Arial"/>
                <w:szCs w:val="24"/>
                <w:lang w:eastAsia="en-GB"/>
              </w:rPr>
              <w:t>-</w:t>
            </w:r>
          </w:p>
        </w:tc>
        <w:tc>
          <w:tcPr>
            <w:tcW w:w="1565" w:type="dxa"/>
            <w:tcBorders>
              <w:top w:val="single" w:sz="4" w:space="0" w:color="auto"/>
              <w:bottom w:val="single" w:sz="4" w:space="0" w:color="auto"/>
            </w:tcBorders>
            <w:vAlign w:val="center"/>
          </w:tcPr>
          <w:p w14:paraId="10B5E969" w14:textId="065EE6B1" w:rsidR="00B879C7" w:rsidRPr="00D13642" w:rsidRDefault="00786193" w:rsidP="008117BF">
            <w:pPr>
              <w:jc w:val="right"/>
              <w:rPr>
                <w:rFonts w:cs="Arial"/>
                <w:szCs w:val="24"/>
                <w:lang w:eastAsia="en-GB"/>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5ADEFA8" w14:textId="19CAB607" w:rsidR="00B879C7" w:rsidRPr="00D13642" w:rsidRDefault="00B879C7" w:rsidP="00A04586">
            <w:pPr>
              <w:jc w:val="right"/>
              <w:rPr>
                <w:rFonts w:cs="Arial"/>
                <w:szCs w:val="24"/>
                <w:lang w:eastAsia="en-GB"/>
              </w:rPr>
            </w:pPr>
            <w:r w:rsidRPr="00D13642">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1CCFD8E6" w14:textId="1B8621C2" w:rsidR="00B879C7" w:rsidRPr="00D13642" w:rsidRDefault="00B879C7" w:rsidP="00A04586">
            <w:pPr>
              <w:jc w:val="right"/>
              <w:rPr>
                <w:rFonts w:cs="Arial"/>
                <w:szCs w:val="24"/>
                <w:lang w:eastAsia="en-GB"/>
              </w:rPr>
            </w:pPr>
            <w:r w:rsidRPr="00D13642">
              <w:rPr>
                <w:rFonts w:cs="Arial"/>
                <w:szCs w:val="24"/>
                <w:lang w:eastAsia="en-GB"/>
              </w:rPr>
              <w:t>(133)</w:t>
            </w:r>
          </w:p>
        </w:tc>
      </w:tr>
      <w:tr w:rsidR="00B879C7" w:rsidRPr="00D948C1" w14:paraId="7152A651"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34B82362" w14:textId="78CA51D8" w:rsidR="00B879C7" w:rsidRPr="00D948C1" w:rsidRDefault="00A47861" w:rsidP="00F863B0">
            <w:pPr>
              <w:ind w:left="175"/>
              <w:rPr>
                <w:rFonts w:cs="Arial"/>
                <w:szCs w:val="24"/>
                <w:lang w:eastAsia="en-GB"/>
              </w:rPr>
            </w:pPr>
            <w:r>
              <w:rPr>
                <w:rFonts w:cs="Arial"/>
                <w:szCs w:val="24"/>
                <w:lang w:eastAsia="en-GB"/>
              </w:rPr>
              <w:t>Movement from AUC</w:t>
            </w:r>
          </w:p>
        </w:tc>
        <w:tc>
          <w:tcPr>
            <w:tcW w:w="1565" w:type="dxa"/>
            <w:tcBorders>
              <w:top w:val="single" w:sz="4" w:space="0" w:color="auto"/>
              <w:left w:val="single" w:sz="4" w:space="0" w:color="auto"/>
              <w:bottom w:val="single" w:sz="4" w:space="0" w:color="auto"/>
              <w:right w:val="single" w:sz="4" w:space="0" w:color="auto"/>
            </w:tcBorders>
            <w:noWrap/>
            <w:vAlign w:val="center"/>
          </w:tcPr>
          <w:p w14:paraId="17322458" w14:textId="286FE83E" w:rsidR="00B879C7" w:rsidRPr="009C0E33" w:rsidRDefault="00AE5B17" w:rsidP="00F863B0">
            <w:pPr>
              <w:jc w:val="right"/>
              <w:rPr>
                <w:szCs w:val="24"/>
              </w:rPr>
            </w:pPr>
            <w:r>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79A91137" w14:textId="682D4F10" w:rsidR="00B879C7" w:rsidRPr="009C0E33" w:rsidRDefault="00AE5B17" w:rsidP="00F863B0">
            <w:pPr>
              <w:jc w:val="right"/>
              <w:rPr>
                <w:szCs w:val="24"/>
              </w:rPr>
            </w:pPr>
            <w:r>
              <w:rPr>
                <w:szCs w:val="24"/>
              </w:rPr>
              <w:t>-</w:t>
            </w:r>
          </w:p>
        </w:tc>
        <w:tc>
          <w:tcPr>
            <w:tcW w:w="1565" w:type="dxa"/>
            <w:tcBorders>
              <w:top w:val="single" w:sz="4" w:space="0" w:color="auto"/>
              <w:bottom w:val="single" w:sz="4" w:space="0" w:color="auto"/>
            </w:tcBorders>
            <w:vAlign w:val="center"/>
          </w:tcPr>
          <w:p w14:paraId="1BC273DF" w14:textId="570DA11E" w:rsidR="00B879C7" w:rsidRPr="009C0E33" w:rsidRDefault="009520AB" w:rsidP="008117BF">
            <w:pPr>
              <w:jc w:val="right"/>
              <w:rPr>
                <w:szCs w:val="24"/>
              </w:rPr>
            </w:pPr>
            <w:r w:rsidRPr="009520AB">
              <w:rPr>
                <w:szCs w:val="24"/>
              </w:rPr>
              <w:t>(123)</w:t>
            </w:r>
          </w:p>
        </w:tc>
        <w:tc>
          <w:tcPr>
            <w:tcW w:w="1565" w:type="dxa"/>
            <w:tcBorders>
              <w:top w:val="single" w:sz="4" w:space="0" w:color="auto"/>
              <w:left w:val="single" w:sz="4" w:space="0" w:color="auto"/>
              <w:bottom w:val="single" w:sz="4" w:space="0" w:color="auto"/>
              <w:right w:val="single" w:sz="4" w:space="0" w:color="auto"/>
            </w:tcBorders>
            <w:vAlign w:val="center"/>
          </w:tcPr>
          <w:p w14:paraId="66067599" w14:textId="70C9D361" w:rsidR="00B879C7" w:rsidRPr="009C0E33" w:rsidRDefault="009520AB" w:rsidP="00F863B0">
            <w:pPr>
              <w:jc w:val="right"/>
              <w:rPr>
                <w:szCs w:val="24"/>
              </w:rPr>
            </w:pPr>
            <w:r>
              <w:rPr>
                <w:szCs w:val="24"/>
              </w:rPr>
              <w:t>123</w:t>
            </w:r>
          </w:p>
        </w:tc>
        <w:tc>
          <w:tcPr>
            <w:tcW w:w="1563" w:type="dxa"/>
            <w:tcBorders>
              <w:top w:val="single" w:sz="4" w:space="0" w:color="auto"/>
              <w:left w:val="single" w:sz="4" w:space="0" w:color="auto"/>
              <w:bottom w:val="single" w:sz="4" w:space="0" w:color="auto"/>
              <w:right w:val="single" w:sz="4" w:space="0" w:color="auto"/>
            </w:tcBorders>
            <w:noWrap/>
            <w:vAlign w:val="center"/>
          </w:tcPr>
          <w:p w14:paraId="20DA49EC" w14:textId="2D3F1006" w:rsidR="00B879C7" w:rsidRPr="009C0E33" w:rsidRDefault="00AE5B17" w:rsidP="00F863B0">
            <w:pPr>
              <w:jc w:val="right"/>
              <w:rPr>
                <w:rFonts w:cs="Arial"/>
                <w:szCs w:val="24"/>
                <w:lang w:eastAsia="en-GB"/>
              </w:rPr>
            </w:pPr>
            <w:r>
              <w:rPr>
                <w:rFonts w:cs="Arial"/>
                <w:szCs w:val="24"/>
                <w:lang w:eastAsia="en-GB"/>
              </w:rPr>
              <w:t>-</w:t>
            </w:r>
          </w:p>
        </w:tc>
      </w:tr>
      <w:tr w:rsidR="00B879C7" w:rsidRPr="00D948C1" w14:paraId="1269FD0F"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028540B7" w14:textId="0DB79B08" w:rsidR="00B879C7" w:rsidRPr="00D948C1" w:rsidRDefault="00B879C7" w:rsidP="00F863B0">
            <w:pPr>
              <w:ind w:left="175"/>
              <w:rPr>
                <w:rFonts w:cs="Arial"/>
                <w:szCs w:val="24"/>
                <w:lang w:eastAsia="en-GB"/>
              </w:rPr>
            </w:pPr>
            <w:r w:rsidRPr="00D948C1">
              <w:rPr>
                <w:rFonts w:cs="Arial"/>
                <w:szCs w:val="24"/>
                <w:lang w:eastAsia="en-GB"/>
              </w:rPr>
              <w:t>Revaluations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4D106F2B" w14:textId="03DD1195" w:rsidR="00B879C7" w:rsidRPr="00D13642" w:rsidRDefault="00B879C7" w:rsidP="00F863B0">
            <w:pPr>
              <w:jc w:val="right"/>
              <w:rPr>
                <w:szCs w:val="24"/>
              </w:rPr>
            </w:pPr>
            <w:r w:rsidRPr="009C0E33">
              <w:rPr>
                <w:szCs w:val="24"/>
              </w:rPr>
              <w:t>1,142</w:t>
            </w:r>
          </w:p>
        </w:tc>
        <w:tc>
          <w:tcPr>
            <w:tcW w:w="1565" w:type="dxa"/>
            <w:tcBorders>
              <w:top w:val="single" w:sz="4" w:space="0" w:color="auto"/>
              <w:left w:val="single" w:sz="4" w:space="0" w:color="auto"/>
              <w:bottom w:val="single" w:sz="4" w:space="0" w:color="auto"/>
              <w:right w:val="single" w:sz="4" w:space="0" w:color="auto"/>
            </w:tcBorders>
            <w:vAlign w:val="center"/>
          </w:tcPr>
          <w:p w14:paraId="0A85916E" w14:textId="52F844CA" w:rsidR="00B879C7" w:rsidRPr="00D13642" w:rsidRDefault="00B879C7" w:rsidP="00F863B0">
            <w:pPr>
              <w:jc w:val="right"/>
              <w:rPr>
                <w:szCs w:val="24"/>
              </w:rPr>
            </w:pPr>
            <w:r w:rsidRPr="009C0E33">
              <w:rPr>
                <w:szCs w:val="24"/>
              </w:rPr>
              <w:t>175</w:t>
            </w:r>
          </w:p>
        </w:tc>
        <w:tc>
          <w:tcPr>
            <w:tcW w:w="1565" w:type="dxa"/>
            <w:tcBorders>
              <w:top w:val="single" w:sz="4" w:space="0" w:color="auto"/>
              <w:bottom w:val="single" w:sz="4" w:space="0" w:color="auto"/>
            </w:tcBorders>
            <w:vAlign w:val="center"/>
          </w:tcPr>
          <w:p w14:paraId="28F15F1E" w14:textId="01C4BC8B" w:rsidR="00B879C7" w:rsidRPr="009C0E33" w:rsidRDefault="00786193" w:rsidP="008117BF">
            <w:pPr>
              <w:jc w:val="right"/>
              <w:rPr>
                <w:szCs w:val="24"/>
              </w:rPr>
            </w:pPr>
            <w:r>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4128D40C" w14:textId="27740505" w:rsidR="00B879C7" w:rsidRPr="00D13642" w:rsidRDefault="00B879C7" w:rsidP="00F863B0">
            <w:pPr>
              <w:jc w:val="right"/>
              <w:rPr>
                <w:szCs w:val="24"/>
              </w:rPr>
            </w:pPr>
            <w:r w:rsidRPr="009C0E33">
              <w:rPr>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565B94D8" w14:textId="0B9AA1F6" w:rsidR="00B879C7" w:rsidRPr="00D13642" w:rsidRDefault="00B879C7" w:rsidP="00F863B0">
            <w:pPr>
              <w:jc w:val="right"/>
              <w:rPr>
                <w:rFonts w:cs="Arial"/>
                <w:szCs w:val="24"/>
                <w:lang w:eastAsia="en-GB"/>
              </w:rPr>
            </w:pPr>
            <w:r w:rsidRPr="009C0E33">
              <w:rPr>
                <w:rFonts w:cs="Arial"/>
                <w:szCs w:val="24"/>
                <w:lang w:eastAsia="en-GB"/>
              </w:rPr>
              <w:t>1,318</w:t>
            </w:r>
          </w:p>
        </w:tc>
      </w:tr>
      <w:tr w:rsidR="00B879C7" w:rsidRPr="00D948C1" w14:paraId="31ED15B3"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37ADDF63" w14:textId="14F337FD" w:rsidR="00B879C7" w:rsidRPr="00D948C1" w:rsidRDefault="00B879C7" w:rsidP="00F863B0">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245FA252" w14:textId="2CA9E91A" w:rsidR="00B879C7" w:rsidRPr="00D13642" w:rsidRDefault="00B879C7" w:rsidP="00F863B0">
            <w:pPr>
              <w:jc w:val="right"/>
              <w:rPr>
                <w:rFonts w:cs="Arial"/>
                <w:szCs w:val="24"/>
                <w:lang w:eastAsia="en-GB"/>
              </w:rPr>
            </w:pPr>
            <w:r>
              <w:rPr>
                <w:szCs w:val="24"/>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03E2F6F7" w14:textId="0BC3786B" w:rsidR="00B879C7" w:rsidRPr="00D13642" w:rsidRDefault="00B879C7" w:rsidP="00F863B0">
            <w:pPr>
              <w:jc w:val="right"/>
              <w:rPr>
                <w:rFonts w:cs="Arial"/>
                <w:szCs w:val="24"/>
                <w:lang w:eastAsia="en-GB"/>
              </w:rPr>
            </w:pPr>
            <w:r>
              <w:rPr>
                <w:szCs w:val="24"/>
              </w:rPr>
              <w:t>36,270</w:t>
            </w:r>
          </w:p>
        </w:tc>
        <w:tc>
          <w:tcPr>
            <w:tcW w:w="1565" w:type="dxa"/>
            <w:tcBorders>
              <w:top w:val="single" w:sz="4" w:space="0" w:color="auto"/>
              <w:bottom w:val="single" w:sz="4" w:space="0" w:color="auto"/>
            </w:tcBorders>
            <w:vAlign w:val="center"/>
          </w:tcPr>
          <w:p w14:paraId="1B946B08" w14:textId="1A9B9E26" w:rsidR="00B879C7" w:rsidRDefault="00AE5B17" w:rsidP="008117BF">
            <w:pPr>
              <w:jc w:val="right"/>
              <w:rPr>
                <w:szCs w:val="24"/>
              </w:rPr>
            </w:pPr>
            <w:r>
              <w:rPr>
                <w:szCs w:val="24"/>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352906AC" w14:textId="0AF5DE7D" w:rsidR="00B879C7" w:rsidRPr="00D13642" w:rsidRDefault="00B879C7" w:rsidP="00F863B0">
            <w:pPr>
              <w:jc w:val="right"/>
              <w:rPr>
                <w:rFonts w:cs="Arial"/>
                <w:szCs w:val="24"/>
                <w:lang w:eastAsia="en-GB"/>
              </w:rPr>
            </w:pPr>
            <w:r>
              <w:rPr>
                <w:szCs w:val="24"/>
              </w:rPr>
              <w:t>2</w:t>
            </w:r>
            <w:r w:rsidR="0020623F">
              <w:rPr>
                <w:szCs w:val="24"/>
              </w:rPr>
              <w:t>7</w:t>
            </w:r>
            <w:r>
              <w:rPr>
                <w:szCs w:val="24"/>
              </w:rPr>
              <w:t>,</w:t>
            </w:r>
            <w:r w:rsidR="0020623F">
              <w:rPr>
                <w:szCs w:val="24"/>
              </w:rPr>
              <w:t>940</w:t>
            </w:r>
          </w:p>
        </w:tc>
        <w:tc>
          <w:tcPr>
            <w:tcW w:w="1563" w:type="dxa"/>
            <w:tcBorders>
              <w:top w:val="single" w:sz="4" w:space="0" w:color="auto"/>
              <w:left w:val="single" w:sz="4" w:space="0" w:color="auto"/>
              <w:bottom w:val="single" w:sz="4" w:space="0" w:color="auto"/>
              <w:right w:val="single" w:sz="4" w:space="0" w:color="auto"/>
            </w:tcBorders>
            <w:noWrap/>
            <w:vAlign w:val="center"/>
          </w:tcPr>
          <w:p w14:paraId="01F1BD05" w14:textId="2C559153" w:rsidR="00B879C7" w:rsidRPr="00D13642" w:rsidRDefault="00B879C7" w:rsidP="00F863B0">
            <w:pPr>
              <w:jc w:val="right"/>
              <w:rPr>
                <w:rFonts w:cs="Arial"/>
                <w:szCs w:val="24"/>
                <w:lang w:eastAsia="en-GB"/>
              </w:rPr>
            </w:pPr>
            <w:r>
              <w:rPr>
                <w:rFonts w:cs="Arial"/>
                <w:szCs w:val="24"/>
                <w:lang w:eastAsia="en-GB"/>
              </w:rPr>
              <w:t>144,727</w:t>
            </w:r>
          </w:p>
        </w:tc>
      </w:tr>
    </w:tbl>
    <w:p w14:paraId="16DE1555" w14:textId="77777777" w:rsidR="00372872" w:rsidRPr="00D948C1" w:rsidRDefault="00372872"/>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A47861" w:rsidRPr="00D948C1" w14:paraId="1B54AA37" w14:textId="77777777" w:rsidTr="00BF5E3B">
        <w:trPr>
          <w:trHeight w:val="253"/>
          <w:tblHeader/>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9130FDE" w14:textId="5195A3F7" w:rsidR="00A47861" w:rsidRPr="00D948C1" w:rsidRDefault="00A47861" w:rsidP="00BC6C4F">
            <w:pPr>
              <w:rPr>
                <w:rFonts w:cs="Arial"/>
                <w:szCs w:val="24"/>
                <w:lang w:eastAsia="en-GB"/>
              </w:rPr>
            </w:pPr>
            <w:r w:rsidRPr="00D948C1">
              <w:rPr>
                <w:rFonts w:cs="Arial"/>
                <w:b/>
                <w:bCs/>
                <w:szCs w:val="24"/>
                <w:lang w:eastAsia="en-GB"/>
              </w:rPr>
              <w:t>Depreciation and impairments</w:t>
            </w:r>
          </w:p>
        </w:tc>
      </w:tr>
      <w:tr w:rsidR="00B879C7" w:rsidRPr="00D948C1" w14:paraId="67FE604B"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1A12CF68" w14:textId="0F5771DC" w:rsidR="00B879C7" w:rsidRPr="00D948C1" w:rsidRDefault="00B879C7" w:rsidP="001D3375">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3</w:t>
            </w:r>
          </w:p>
        </w:tc>
        <w:tc>
          <w:tcPr>
            <w:tcW w:w="1565" w:type="dxa"/>
            <w:tcBorders>
              <w:top w:val="single" w:sz="4" w:space="0" w:color="auto"/>
              <w:left w:val="single" w:sz="4" w:space="0" w:color="auto"/>
              <w:bottom w:val="single" w:sz="4" w:space="0" w:color="auto"/>
              <w:right w:val="single" w:sz="4" w:space="0" w:color="auto"/>
            </w:tcBorders>
            <w:noWrap/>
            <w:vAlign w:val="center"/>
          </w:tcPr>
          <w:p w14:paraId="5EAB90F0" w14:textId="2C30FA9B" w:rsidR="00B879C7" w:rsidRPr="00965B02" w:rsidRDefault="00B879C7" w:rsidP="001D3375">
            <w:pPr>
              <w:jc w:val="right"/>
              <w:rPr>
                <w:rFonts w:cs="Arial"/>
                <w:szCs w:val="24"/>
                <w:lang w:eastAsia="en-GB"/>
              </w:rPr>
            </w:pPr>
            <w:r w:rsidRPr="00965B02">
              <w:rPr>
                <w:rFonts w:cs="Arial"/>
                <w:szCs w:val="24"/>
              </w:rPr>
              <w:t>20</w:t>
            </w:r>
          </w:p>
        </w:tc>
        <w:tc>
          <w:tcPr>
            <w:tcW w:w="1565" w:type="dxa"/>
            <w:tcBorders>
              <w:top w:val="single" w:sz="4" w:space="0" w:color="auto"/>
              <w:left w:val="single" w:sz="4" w:space="0" w:color="auto"/>
              <w:bottom w:val="single" w:sz="4" w:space="0" w:color="auto"/>
              <w:right w:val="single" w:sz="4" w:space="0" w:color="auto"/>
            </w:tcBorders>
            <w:vAlign w:val="center"/>
          </w:tcPr>
          <w:p w14:paraId="76E41DF4" w14:textId="31156988" w:rsidR="00B879C7" w:rsidRPr="00965B02" w:rsidRDefault="00B879C7" w:rsidP="001D3375">
            <w:pPr>
              <w:jc w:val="right"/>
              <w:rPr>
                <w:rFonts w:cs="Arial"/>
                <w:szCs w:val="24"/>
                <w:lang w:eastAsia="en-GB"/>
              </w:rPr>
            </w:pPr>
            <w:r w:rsidRPr="00965B02">
              <w:rPr>
                <w:rFonts w:cs="Arial"/>
                <w:szCs w:val="24"/>
              </w:rPr>
              <w:t>-</w:t>
            </w:r>
          </w:p>
        </w:tc>
        <w:tc>
          <w:tcPr>
            <w:tcW w:w="1565" w:type="dxa"/>
            <w:tcBorders>
              <w:top w:val="single" w:sz="4" w:space="0" w:color="auto"/>
              <w:bottom w:val="single" w:sz="4" w:space="0" w:color="auto"/>
            </w:tcBorders>
            <w:vAlign w:val="center"/>
          </w:tcPr>
          <w:p w14:paraId="3D96A75B" w14:textId="5F0EDF82" w:rsidR="00B879C7" w:rsidRPr="00965B02" w:rsidRDefault="00AE5B17" w:rsidP="008117BF">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285E0085" w14:textId="22AC0DB5" w:rsidR="00B879C7" w:rsidRPr="00965B02" w:rsidRDefault="00B879C7" w:rsidP="001D3375">
            <w:pPr>
              <w:jc w:val="right"/>
              <w:rPr>
                <w:rFonts w:cs="Arial"/>
                <w:szCs w:val="24"/>
                <w:lang w:eastAsia="en-GB"/>
              </w:rPr>
            </w:pPr>
            <w:r w:rsidRPr="00965B02">
              <w:rPr>
                <w:rFonts w:cs="Arial"/>
                <w:szCs w:val="24"/>
              </w:rPr>
              <w:t>(17,318)</w:t>
            </w:r>
          </w:p>
        </w:tc>
        <w:tc>
          <w:tcPr>
            <w:tcW w:w="1563" w:type="dxa"/>
            <w:tcBorders>
              <w:top w:val="single" w:sz="4" w:space="0" w:color="auto"/>
              <w:left w:val="single" w:sz="4" w:space="0" w:color="auto"/>
              <w:bottom w:val="single" w:sz="4" w:space="0" w:color="auto"/>
              <w:right w:val="single" w:sz="4" w:space="0" w:color="auto"/>
            </w:tcBorders>
            <w:noWrap/>
            <w:vAlign w:val="center"/>
          </w:tcPr>
          <w:p w14:paraId="3946B0EE" w14:textId="37FE5196" w:rsidR="00B879C7" w:rsidRPr="00965B02" w:rsidRDefault="00B879C7" w:rsidP="001D3375">
            <w:pPr>
              <w:jc w:val="right"/>
              <w:rPr>
                <w:rFonts w:cs="Arial"/>
                <w:szCs w:val="24"/>
                <w:lang w:eastAsia="en-GB"/>
              </w:rPr>
            </w:pPr>
            <w:r w:rsidRPr="00965B02">
              <w:rPr>
                <w:rFonts w:cs="Arial"/>
                <w:szCs w:val="24"/>
              </w:rPr>
              <w:t>(17,298)</w:t>
            </w:r>
          </w:p>
        </w:tc>
      </w:tr>
      <w:tr w:rsidR="00B879C7" w:rsidRPr="00D948C1" w14:paraId="724D29C0"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02891074" w14:textId="7674E94C" w:rsidR="00B879C7" w:rsidRPr="00D948C1" w:rsidRDefault="00B879C7" w:rsidP="00FD389F">
            <w:pPr>
              <w:ind w:left="175"/>
              <w:rPr>
                <w:rFonts w:cs="Arial"/>
                <w:szCs w:val="24"/>
                <w:lang w:eastAsia="en-GB"/>
              </w:rPr>
            </w:pPr>
            <w:r w:rsidRPr="00D948C1">
              <w:rPr>
                <w:rFonts w:cs="Arial"/>
                <w:szCs w:val="24"/>
                <w:lang w:eastAsia="en-GB"/>
              </w:rPr>
              <w:t>Ad</w:t>
            </w:r>
            <w:r>
              <w:rPr>
                <w:rFonts w:cs="Arial"/>
                <w:szCs w:val="24"/>
                <w:lang w:eastAsia="en-GB"/>
              </w:rPr>
              <w:t>justment to opening balance</w:t>
            </w:r>
          </w:p>
        </w:tc>
        <w:tc>
          <w:tcPr>
            <w:tcW w:w="1565" w:type="dxa"/>
            <w:tcBorders>
              <w:top w:val="single" w:sz="4" w:space="0" w:color="auto"/>
              <w:left w:val="single" w:sz="4" w:space="0" w:color="auto"/>
              <w:bottom w:val="single" w:sz="4" w:space="0" w:color="auto"/>
              <w:right w:val="single" w:sz="4" w:space="0" w:color="auto"/>
            </w:tcBorders>
            <w:noWrap/>
            <w:vAlign w:val="center"/>
          </w:tcPr>
          <w:p w14:paraId="5F48D787" w14:textId="2892319C" w:rsidR="00B879C7" w:rsidRPr="00B8240F" w:rsidRDefault="00B879C7" w:rsidP="00FD389F">
            <w:pPr>
              <w:jc w:val="right"/>
              <w:rPr>
                <w:rFonts w:cs="Arial"/>
                <w:szCs w:val="24"/>
              </w:rPr>
            </w:pPr>
            <w:r w:rsidRPr="00B8240F">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08814864" w14:textId="0B85E86B" w:rsidR="00B879C7" w:rsidRPr="00B8240F" w:rsidRDefault="00B879C7" w:rsidP="00FD389F">
            <w:pPr>
              <w:jc w:val="right"/>
              <w:rPr>
                <w:rFonts w:cs="Arial"/>
                <w:szCs w:val="24"/>
              </w:rPr>
            </w:pPr>
            <w:r w:rsidRPr="00B8240F">
              <w:rPr>
                <w:szCs w:val="24"/>
              </w:rPr>
              <w:t>-</w:t>
            </w:r>
          </w:p>
        </w:tc>
        <w:tc>
          <w:tcPr>
            <w:tcW w:w="1565" w:type="dxa"/>
            <w:tcBorders>
              <w:top w:val="single" w:sz="4" w:space="0" w:color="auto"/>
              <w:bottom w:val="single" w:sz="4" w:space="0" w:color="auto"/>
            </w:tcBorders>
            <w:vAlign w:val="center"/>
          </w:tcPr>
          <w:p w14:paraId="06F91372" w14:textId="58A177E9" w:rsidR="00B879C7" w:rsidRPr="00B8240F" w:rsidRDefault="00AE5B17" w:rsidP="008117BF">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62C2CF7C" w14:textId="2A367A28" w:rsidR="00B879C7" w:rsidRPr="00B8240F" w:rsidRDefault="00B879C7" w:rsidP="00FD389F">
            <w:pPr>
              <w:jc w:val="right"/>
              <w:rPr>
                <w:rFonts w:cs="Arial"/>
                <w:szCs w:val="24"/>
              </w:rPr>
            </w:pPr>
            <w:r w:rsidRPr="00B8240F">
              <w:rPr>
                <w:rFonts w:cs="Arial"/>
                <w:szCs w:val="24"/>
              </w:rPr>
              <w:t>(257)</w:t>
            </w:r>
          </w:p>
        </w:tc>
        <w:tc>
          <w:tcPr>
            <w:tcW w:w="1563" w:type="dxa"/>
            <w:tcBorders>
              <w:top w:val="single" w:sz="4" w:space="0" w:color="auto"/>
              <w:left w:val="single" w:sz="4" w:space="0" w:color="auto"/>
              <w:bottom w:val="single" w:sz="4" w:space="0" w:color="auto"/>
              <w:right w:val="single" w:sz="4" w:space="0" w:color="auto"/>
            </w:tcBorders>
            <w:noWrap/>
            <w:vAlign w:val="center"/>
          </w:tcPr>
          <w:p w14:paraId="669EB9DC" w14:textId="3B33811B" w:rsidR="00B879C7" w:rsidRPr="00B8240F" w:rsidRDefault="00B879C7" w:rsidP="00FD389F">
            <w:pPr>
              <w:jc w:val="right"/>
              <w:rPr>
                <w:rFonts w:cs="Arial"/>
                <w:szCs w:val="24"/>
              </w:rPr>
            </w:pPr>
            <w:r w:rsidRPr="00B8240F">
              <w:rPr>
                <w:rFonts w:cs="Arial"/>
                <w:szCs w:val="24"/>
              </w:rPr>
              <w:t>(257)</w:t>
            </w:r>
          </w:p>
        </w:tc>
      </w:tr>
      <w:tr w:rsidR="00B879C7" w:rsidRPr="00D948C1" w14:paraId="7B878A86"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24C1022D" w14:textId="2BEF418A" w:rsidR="00B879C7" w:rsidRPr="00D948C1" w:rsidRDefault="00B879C7" w:rsidP="00FD389F">
            <w:pPr>
              <w:ind w:left="175"/>
              <w:rPr>
                <w:rFonts w:cs="Arial"/>
                <w:szCs w:val="24"/>
                <w:lang w:eastAsia="en-GB"/>
              </w:rPr>
            </w:pPr>
            <w:r w:rsidRPr="00D948C1">
              <w:rPr>
                <w:rFonts w:cs="Arial"/>
                <w:szCs w:val="24"/>
                <w:lang w:eastAsia="en-GB"/>
              </w:rPr>
              <w:t>Depreciation charge for 202</w:t>
            </w:r>
            <w:r>
              <w:rPr>
                <w:rFonts w:cs="Arial"/>
                <w:szCs w:val="24"/>
                <w:lang w:eastAsia="en-GB"/>
              </w:rPr>
              <w:t>3</w:t>
            </w:r>
            <w:r w:rsidRPr="00D948C1">
              <w:rPr>
                <w:rFonts w:cs="Arial"/>
                <w:szCs w:val="24"/>
                <w:lang w:eastAsia="en-GB"/>
              </w:rPr>
              <w:t>/2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1B7D4587" w14:textId="33578FB2" w:rsidR="00B879C7" w:rsidRPr="00965B02" w:rsidRDefault="00B879C7" w:rsidP="00FD389F">
            <w:pPr>
              <w:jc w:val="right"/>
              <w:rPr>
                <w:rFonts w:cs="Arial"/>
                <w:szCs w:val="24"/>
                <w:lang w:eastAsia="en-GB"/>
              </w:rPr>
            </w:pPr>
            <w:r w:rsidRPr="00BD2C0D">
              <w:rPr>
                <w:rFonts w:cs="Arial"/>
                <w:szCs w:val="24"/>
              </w:rPr>
              <w:t>(3,104)</w:t>
            </w:r>
          </w:p>
        </w:tc>
        <w:tc>
          <w:tcPr>
            <w:tcW w:w="1565" w:type="dxa"/>
            <w:tcBorders>
              <w:top w:val="single" w:sz="4" w:space="0" w:color="auto"/>
              <w:left w:val="single" w:sz="4" w:space="0" w:color="auto"/>
              <w:bottom w:val="single" w:sz="4" w:space="0" w:color="auto"/>
              <w:right w:val="single" w:sz="4" w:space="0" w:color="auto"/>
            </w:tcBorders>
            <w:vAlign w:val="center"/>
          </w:tcPr>
          <w:p w14:paraId="2FE102F7" w14:textId="41307469" w:rsidR="00B879C7" w:rsidRPr="00965B02" w:rsidRDefault="00B879C7" w:rsidP="00FD389F">
            <w:pPr>
              <w:jc w:val="right"/>
              <w:rPr>
                <w:rFonts w:cs="Arial"/>
                <w:szCs w:val="24"/>
                <w:lang w:eastAsia="en-GB"/>
              </w:rPr>
            </w:pPr>
            <w:r w:rsidRPr="00BD2C0D">
              <w:rPr>
                <w:rFonts w:cs="Arial"/>
                <w:szCs w:val="24"/>
              </w:rPr>
              <w:t>(1,040)</w:t>
            </w:r>
          </w:p>
        </w:tc>
        <w:tc>
          <w:tcPr>
            <w:tcW w:w="1565" w:type="dxa"/>
            <w:tcBorders>
              <w:top w:val="single" w:sz="4" w:space="0" w:color="auto"/>
              <w:bottom w:val="single" w:sz="4" w:space="0" w:color="auto"/>
            </w:tcBorders>
            <w:vAlign w:val="center"/>
          </w:tcPr>
          <w:p w14:paraId="08EAB07F" w14:textId="4581FEE2" w:rsidR="00B879C7" w:rsidRPr="00BD2C0D" w:rsidRDefault="00AE5B17" w:rsidP="008117BF">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663B9D0A" w14:textId="113A696A" w:rsidR="00B879C7" w:rsidRPr="00965B02" w:rsidRDefault="00B879C7" w:rsidP="00FD389F">
            <w:pPr>
              <w:jc w:val="right"/>
              <w:rPr>
                <w:rFonts w:cs="Arial"/>
                <w:szCs w:val="24"/>
                <w:lang w:eastAsia="en-GB"/>
              </w:rPr>
            </w:pPr>
            <w:r w:rsidRPr="00BD2C0D">
              <w:rPr>
                <w:rFonts w:cs="Arial"/>
                <w:szCs w:val="24"/>
              </w:rPr>
              <w:t>(1,589)</w:t>
            </w:r>
          </w:p>
        </w:tc>
        <w:tc>
          <w:tcPr>
            <w:tcW w:w="1563" w:type="dxa"/>
            <w:tcBorders>
              <w:top w:val="single" w:sz="4" w:space="0" w:color="auto"/>
              <w:left w:val="single" w:sz="4" w:space="0" w:color="auto"/>
              <w:bottom w:val="single" w:sz="4" w:space="0" w:color="auto"/>
              <w:right w:val="single" w:sz="4" w:space="0" w:color="auto"/>
            </w:tcBorders>
            <w:noWrap/>
            <w:vAlign w:val="center"/>
          </w:tcPr>
          <w:p w14:paraId="18046446" w14:textId="30230F98" w:rsidR="00B879C7" w:rsidRPr="00965B02" w:rsidRDefault="00B879C7" w:rsidP="00FD389F">
            <w:pPr>
              <w:jc w:val="right"/>
              <w:rPr>
                <w:rFonts w:cs="Arial"/>
                <w:szCs w:val="24"/>
                <w:lang w:eastAsia="en-GB"/>
              </w:rPr>
            </w:pPr>
            <w:r w:rsidRPr="00BD2C0D">
              <w:rPr>
                <w:rFonts w:cs="Arial"/>
                <w:szCs w:val="24"/>
              </w:rPr>
              <w:t>(5,732)</w:t>
            </w:r>
          </w:p>
        </w:tc>
      </w:tr>
      <w:tr w:rsidR="00B879C7" w:rsidRPr="00D948C1" w14:paraId="5A48BCDB" w14:textId="77777777" w:rsidTr="00F06E9F">
        <w:trPr>
          <w:trHeight w:val="297"/>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19DA2042" w14:textId="278AEAA8" w:rsidR="00B879C7" w:rsidRPr="00D948C1" w:rsidRDefault="00B879C7" w:rsidP="00FD389F">
            <w:pPr>
              <w:ind w:left="175"/>
              <w:rPr>
                <w:rFonts w:cs="Arial"/>
                <w:szCs w:val="24"/>
                <w:lang w:eastAsia="en-GB"/>
              </w:rPr>
            </w:pPr>
            <w:r w:rsidRPr="00D948C1">
              <w:rPr>
                <w:rFonts w:cs="Arial"/>
                <w:szCs w:val="24"/>
                <w:lang w:eastAsia="en-GB"/>
              </w:rPr>
              <w:t>Disposals</w:t>
            </w:r>
            <w:r>
              <w:rPr>
                <w:rFonts w:cs="Arial"/>
                <w:szCs w:val="24"/>
                <w:lang w:eastAsia="en-GB"/>
              </w:rPr>
              <w:t>/De-recognitions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601434E7" w14:textId="4C1A1568" w:rsidR="00B879C7" w:rsidRPr="00965B02" w:rsidRDefault="00B879C7" w:rsidP="00FD389F">
            <w:pPr>
              <w:jc w:val="right"/>
              <w:rPr>
                <w:rFonts w:cs="Arial"/>
                <w:szCs w:val="24"/>
                <w:lang w:eastAsia="en-GB"/>
              </w:rPr>
            </w:pPr>
            <w:r w:rsidRPr="00BD2C0D">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023E7337" w14:textId="1FB412CC" w:rsidR="00B879C7" w:rsidRPr="00965B02" w:rsidRDefault="00B879C7" w:rsidP="00FD389F">
            <w:pPr>
              <w:jc w:val="right"/>
              <w:rPr>
                <w:rFonts w:cs="Arial"/>
                <w:szCs w:val="24"/>
                <w:lang w:eastAsia="en-GB"/>
              </w:rPr>
            </w:pPr>
            <w:r w:rsidRPr="00BD2C0D">
              <w:rPr>
                <w:rFonts w:cs="Arial"/>
                <w:szCs w:val="24"/>
              </w:rPr>
              <w:t>-</w:t>
            </w:r>
          </w:p>
        </w:tc>
        <w:tc>
          <w:tcPr>
            <w:tcW w:w="1565" w:type="dxa"/>
            <w:tcBorders>
              <w:top w:val="single" w:sz="4" w:space="0" w:color="auto"/>
              <w:bottom w:val="single" w:sz="4" w:space="0" w:color="auto"/>
            </w:tcBorders>
            <w:vAlign w:val="center"/>
          </w:tcPr>
          <w:p w14:paraId="36BC92C6" w14:textId="271C0AC1" w:rsidR="00B879C7" w:rsidRPr="00BD2C0D" w:rsidRDefault="00AE5B17" w:rsidP="008117BF">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30D6AAAC" w14:textId="04CFE623" w:rsidR="00B879C7" w:rsidRPr="00965B02" w:rsidRDefault="00B879C7" w:rsidP="00FD389F">
            <w:pPr>
              <w:jc w:val="right"/>
              <w:rPr>
                <w:rFonts w:cs="Arial"/>
                <w:szCs w:val="24"/>
                <w:lang w:eastAsia="en-GB"/>
              </w:rPr>
            </w:pPr>
            <w:r w:rsidRPr="00BD2C0D">
              <w:rPr>
                <w:rFonts w:cs="Arial"/>
                <w:szCs w:val="24"/>
              </w:rPr>
              <w:t>1,785</w:t>
            </w:r>
          </w:p>
        </w:tc>
        <w:tc>
          <w:tcPr>
            <w:tcW w:w="1563" w:type="dxa"/>
            <w:tcBorders>
              <w:top w:val="single" w:sz="4" w:space="0" w:color="auto"/>
              <w:left w:val="single" w:sz="4" w:space="0" w:color="auto"/>
              <w:bottom w:val="single" w:sz="4" w:space="0" w:color="auto"/>
              <w:right w:val="single" w:sz="4" w:space="0" w:color="auto"/>
            </w:tcBorders>
            <w:noWrap/>
            <w:vAlign w:val="center"/>
          </w:tcPr>
          <w:p w14:paraId="365E49FA" w14:textId="2A15FB8B" w:rsidR="00B879C7" w:rsidRPr="00965B02" w:rsidRDefault="00B879C7" w:rsidP="00FD389F">
            <w:pPr>
              <w:jc w:val="right"/>
              <w:rPr>
                <w:rFonts w:cs="Arial"/>
                <w:szCs w:val="24"/>
                <w:lang w:eastAsia="en-GB"/>
              </w:rPr>
            </w:pPr>
            <w:r w:rsidRPr="00BD2C0D">
              <w:rPr>
                <w:rFonts w:cs="Arial"/>
                <w:szCs w:val="24"/>
                <w:lang w:eastAsia="en-GB"/>
              </w:rPr>
              <w:t>1,785</w:t>
            </w:r>
          </w:p>
        </w:tc>
      </w:tr>
      <w:tr w:rsidR="00B879C7" w:rsidRPr="00D948C1" w14:paraId="3381C2B3"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338210E0" w14:textId="58ACA43A" w:rsidR="00B879C7" w:rsidRPr="00D948C1" w:rsidRDefault="00B879C7" w:rsidP="00FD389F">
            <w:pPr>
              <w:ind w:left="175"/>
              <w:rPr>
                <w:rFonts w:cs="Arial"/>
                <w:szCs w:val="24"/>
                <w:lang w:eastAsia="en-GB"/>
              </w:rPr>
            </w:pPr>
            <w:r w:rsidRPr="00D948C1">
              <w:rPr>
                <w:rFonts w:cs="Arial"/>
                <w:szCs w:val="24"/>
                <w:lang w:eastAsia="en-GB"/>
              </w:rPr>
              <w:t>Revaluations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1FCE29C2" w14:textId="285FDC96" w:rsidR="00B879C7" w:rsidRPr="00965B02" w:rsidRDefault="00B879C7" w:rsidP="00FD389F">
            <w:pPr>
              <w:jc w:val="right"/>
              <w:rPr>
                <w:rFonts w:cs="Arial"/>
                <w:szCs w:val="24"/>
                <w:lang w:eastAsia="en-GB"/>
              </w:rPr>
            </w:pPr>
            <w:r w:rsidRPr="00BD2C0D">
              <w:rPr>
                <w:rFonts w:cs="Arial"/>
                <w:szCs w:val="24"/>
              </w:rPr>
              <w:t>3,084</w:t>
            </w:r>
          </w:p>
        </w:tc>
        <w:tc>
          <w:tcPr>
            <w:tcW w:w="1565" w:type="dxa"/>
            <w:tcBorders>
              <w:top w:val="single" w:sz="4" w:space="0" w:color="auto"/>
              <w:left w:val="single" w:sz="4" w:space="0" w:color="auto"/>
              <w:bottom w:val="single" w:sz="4" w:space="0" w:color="auto"/>
              <w:right w:val="single" w:sz="4" w:space="0" w:color="auto"/>
            </w:tcBorders>
            <w:vAlign w:val="center"/>
          </w:tcPr>
          <w:p w14:paraId="4324BCC9" w14:textId="009E3F36" w:rsidR="00B879C7" w:rsidRPr="00965B02" w:rsidRDefault="00B879C7" w:rsidP="00FD389F">
            <w:pPr>
              <w:jc w:val="right"/>
              <w:rPr>
                <w:rFonts w:cs="Arial"/>
                <w:szCs w:val="24"/>
                <w:lang w:eastAsia="en-GB"/>
              </w:rPr>
            </w:pPr>
            <w:r w:rsidRPr="00BD2C0D">
              <w:rPr>
                <w:rFonts w:cs="Arial"/>
                <w:szCs w:val="24"/>
              </w:rPr>
              <w:t>1,040</w:t>
            </w:r>
          </w:p>
        </w:tc>
        <w:tc>
          <w:tcPr>
            <w:tcW w:w="1565" w:type="dxa"/>
            <w:tcBorders>
              <w:top w:val="single" w:sz="4" w:space="0" w:color="auto"/>
              <w:bottom w:val="single" w:sz="4" w:space="0" w:color="auto"/>
            </w:tcBorders>
            <w:vAlign w:val="center"/>
          </w:tcPr>
          <w:p w14:paraId="4A403115" w14:textId="79D5621B" w:rsidR="00B879C7" w:rsidRPr="00BD2C0D" w:rsidRDefault="00AE5B17" w:rsidP="008117BF">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736B4588" w14:textId="5252B6EB" w:rsidR="00B879C7" w:rsidRPr="00965B02" w:rsidRDefault="00B879C7" w:rsidP="00FD389F">
            <w:pPr>
              <w:jc w:val="right"/>
              <w:rPr>
                <w:rFonts w:cs="Arial"/>
                <w:szCs w:val="24"/>
                <w:lang w:eastAsia="en-GB"/>
              </w:rPr>
            </w:pPr>
            <w:r w:rsidRPr="00BD2C0D">
              <w:rPr>
                <w:rFonts w:cs="Arial"/>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75575C6D" w14:textId="59DE9C41" w:rsidR="00B879C7" w:rsidRPr="00965B02" w:rsidRDefault="00B879C7" w:rsidP="00FD389F">
            <w:pPr>
              <w:jc w:val="right"/>
              <w:rPr>
                <w:rFonts w:cs="Arial"/>
                <w:szCs w:val="24"/>
                <w:lang w:eastAsia="en-GB"/>
              </w:rPr>
            </w:pPr>
            <w:r w:rsidRPr="00BD2C0D">
              <w:rPr>
                <w:rFonts w:cs="Arial"/>
                <w:szCs w:val="24"/>
              </w:rPr>
              <w:t>4,123</w:t>
            </w:r>
          </w:p>
        </w:tc>
      </w:tr>
      <w:tr w:rsidR="00B879C7" w:rsidRPr="00D948C1" w14:paraId="39D5CA07"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141725AC" w14:textId="0E33594F" w:rsidR="00B879C7" w:rsidRPr="00D948C1" w:rsidRDefault="00B879C7" w:rsidP="00FD389F">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570CE663" w14:textId="4C1D3DAF" w:rsidR="00B879C7" w:rsidRPr="00965B02" w:rsidRDefault="00B879C7" w:rsidP="00FD389F">
            <w:pPr>
              <w:jc w:val="right"/>
              <w:rPr>
                <w:rFonts w:cs="Arial"/>
                <w:szCs w:val="24"/>
                <w:lang w:eastAsia="en-GB"/>
              </w:rPr>
            </w:pPr>
            <w:r w:rsidRPr="00BD2C0D">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24EF58EE" w14:textId="18D434C6" w:rsidR="00B879C7" w:rsidRPr="00965B02" w:rsidRDefault="00B879C7" w:rsidP="00FD389F">
            <w:pPr>
              <w:jc w:val="right"/>
              <w:rPr>
                <w:rFonts w:cs="Arial"/>
                <w:szCs w:val="24"/>
                <w:lang w:eastAsia="en-GB"/>
              </w:rPr>
            </w:pPr>
            <w:r w:rsidRPr="00BD2C0D">
              <w:rPr>
                <w:rFonts w:cs="Arial"/>
                <w:szCs w:val="24"/>
              </w:rPr>
              <w:t>-</w:t>
            </w:r>
          </w:p>
        </w:tc>
        <w:tc>
          <w:tcPr>
            <w:tcW w:w="1565" w:type="dxa"/>
            <w:tcBorders>
              <w:top w:val="single" w:sz="4" w:space="0" w:color="auto"/>
              <w:bottom w:val="single" w:sz="4" w:space="0" w:color="auto"/>
            </w:tcBorders>
            <w:vAlign w:val="center"/>
          </w:tcPr>
          <w:p w14:paraId="492E9C02" w14:textId="0A219767" w:rsidR="00B879C7" w:rsidRPr="00BD2C0D" w:rsidRDefault="00AE5B17" w:rsidP="008117BF">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0D336AB2" w14:textId="32462CBA" w:rsidR="00B879C7" w:rsidRPr="00965B02" w:rsidRDefault="00B879C7" w:rsidP="00FD389F">
            <w:pPr>
              <w:jc w:val="right"/>
              <w:rPr>
                <w:rFonts w:cs="Arial"/>
                <w:szCs w:val="24"/>
                <w:lang w:eastAsia="en-GB"/>
              </w:rPr>
            </w:pPr>
            <w:r w:rsidRPr="00BD2C0D">
              <w:rPr>
                <w:rFonts w:cs="Arial"/>
                <w:szCs w:val="24"/>
              </w:rPr>
              <w:t>(17,378)</w:t>
            </w:r>
          </w:p>
        </w:tc>
        <w:tc>
          <w:tcPr>
            <w:tcW w:w="1563" w:type="dxa"/>
            <w:tcBorders>
              <w:top w:val="single" w:sz="4" w:space="0" w:color="auto"/>
              <w:left w:val="single" w:sz="4" w:space="0" w:color="auto"/>
              <w:bottom w:val="single" w:sz="4" w:space="0" w:color="auto"/>
              <w:right w:val="single" w:sz="4" w:space="0" w:color="auto"/>
            </w:tcBorders>
            <w:noWrap/>
            <w:vAlign w:val="center"/>
          </w:tcPr>
          <w:p w14:paraId="0890E60A" w14:textId="3A1A0D41" w:rsidR="00B879C7" w:rsidRPr="00965B02" w:rsidRDefault="00B879C7" w:rsidP="00FD389F">
            <w:pPr>
              <w:jc w:val="right"/>
              <w:rPr>
                <w:rFonts w:cs="Arial"/>
                <w:szCs w:val="24"/>
                <w:lang w:eastAsia="en-GB"/>
              </w:rPr>
            </w:pPr>
            <w:r w:rsidRPr="00BD2C0D">
              <w:rPr>
                <w:rFonts w:cs="Arial"/>
                <w:szCs w:val="24"/>
              </w:rPr>
              <w:t>(17,378)</w:t>
            </w:r>
          </w:p>
        </w:tc>
      </w:tr>
      <w:tr w:rsidR="00B879C7" w:rsidRPr="00D948C1" w14:paraId="561B4F27"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6EECC4A5" w14:textId="0EB04550" w:rsidR="00B879C7" w:rsidRPr="00D948C1" w:rsidRDefault="00B879C7" w:rsidP="00FD389F">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0C40D08D" w14:textId="147B44FE" w:rsidR="00B879C7" w:rsidRPr="00965B02" w:rsidRDefault="00B879C7" w:rsidP="00FD389F">
            <w:pPr>
              <w:jc w:val="right"/>
              <w:rPr>
                <w:rFonts w:cs="Arial"/>
                <w:szCs w:val="24"/>
              </w:rPr>
            </w:pPr>
            <w:r w:rsidRPr="00BD2C0D">
              <w:rPr>
                <w:rFonts w:cs="Arial"/>
                <w:szCs w:val="24"/>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2D8D6633" w14:textId="58127799" w:rsidR="00B879C7" w:rsidRPr="00965B02" w:rsidRDefault="00B879C7" w:rsidP="00FD389F">
            <w:pPr>
              <w:jc w:val="right"/>
              <w:rPr>
                <w:rFonts w:cs="Arial"/>
                <w:szCs w:val="24"/>
              </w:rPr>
            </w:pPr>
            <w:r w:rsidRPr="00BD2C0D">
              <w:rPr>
                <w:rFonts w:cs="Arial"/>
                <w:szCs w:val="24"/>
              </w:rPr>
              <w:t>36,270</w:t>
            </w:r>
          </w:p>
        </w:tc>
        <w:tc>
          <w:tcPr>
            <w:tcW w:w="1565" w:type="dxa"/>
            <w:tcBorders>
              <w:top w:val="single" w:sz="4" w:space="0" w:color="auto"/>
              <w:bottom w:val="single" w:sz="4" w:space="0" w:color="auto"/>
            </w:tcBorders>
            <w:vAlign w:val="center"/>
          </w:tcPr>
          <w:p w14:paraId="1D167655" w14:textId="6CFC6BE1" w:rsidR="00B879C7" w:rsidRPr="00BD2C0D" w:rsidRDefault="00786193" w:rsidP="008117BF">
            <w:pPr>
              <w:jc w:val="right"/>
              <w:rPr>
                <w:rFonts w:cs="Arial"/>
                <w:szCs w:val="24"/>
              </w:rPr>
            </w:pPr>
            <w:r>
              <w:rPr>
                <w:rFonts w:cs="Arial"/>
                <w:szCs w:val="24"/>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2496761D" w14:textId="03DDFEA5" w:rsidR="00B879C7" w:rsidRPr="00965B02" w:rsidRDefault="00B879C7" w:rsidP="00FD389F">
            <w:pPr>
              <w:jc w:val="right"/>
              <w:rPr>
                <w:rFonts w:cs="Arial"/>
                <w:szCs w:val="24"/>
              </w:rPr>
            </w:pPr>
            <w:r w:rsidRPr="00BD2C0D">
              <w:rPr>
                <w:rFonts w:cs="Arial"/>
                <w:szCs w:val="24"/>
              </w:rPr>
              <w:t>1</w:t>
            </w:r>
            <w:r w:rsidR="00170518">
              <w:rPr>
                <w:rFonts w:cs="Arial"/>
                <w:szCs w:val="24"/>
              </w:rPr>
              <w:t>0</w:t>
            </w:r>
            <w:r w:rsidRPr="00BD2C0D">
              <w:rPr>
                <w:rFonts w:cs="Arial"/>
                <w:szCs w:val="24"/>
              </w:rPr>
              <w:t>,</w:t>
            </w:r>
            <w:r w:rsidR="00170518">
              <w:rPr>
                <w:rFonts w:cs="Arial"/>
                <w:szCs w:val="24"/>
              </w:rPr>
              <w:t>562</w:t>
            </w:r>
          </w:p>
        </w:tc>
        <w:tc>
          <w:tcPr>
            <w:tcW w:w="1563" w:type="dxa"/>
            <w:tcBorders>
              <w:top w:val="single" w:sz="4" w:space="0" w:color="auto"/>
              <w:left w:val="single" w:sz="4" w:space="0" w:color="auto"/>
              <w:bottom w:val="single" w:sz="4" w:space="0" w:color="auto"/>
              <w:right w:val="single" w:sz="4" w:space="0" w:color="auto"/>
            </w:tcBorders>
            <w:noWrap/>
            <w:vAlign w:val="center"/>
          </w:tcPr>
          <w:p w14:paraId="3B3E0A3B" w14:textId="5A707ED7" w:rsidR="00B879C7" w:rsidRPr="00965B02" w:rsidRDefault="00B879C7" w:rsidP="00FD389F">
            <w:pPr>
              <w:jc w:val="right"/>
              <w:rPr>
                <w:rFonts w:cs="Arial"/>
                <w:szCs w:val="24"/>
              </w:rPr>
            </w:pPr>
            <w:r w:rsidRPr="00BD2C0D">
              <w:rPr>
                <w:rFonts w:cs="Arial"/>
                <w:szCs w:val="24"/>
                <w:lang w:eastAsia="en-GB"/>
              </w:rPr>
              <w:t>127,349</w:t>
            </w:r>
          </w:p>
        </w:tc>
      </w:tr>
      <w:tr w:rsidR="00B879C7" w:rsidRPr="00D948C1" w14:paraId="7D52BC2C" w14:textId="77777777" w:rsidTr="00F06E9F">
        <w:trPr>
          <w:trHeight w:val="272"/>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22107452" w14:textId="4705F4F9" w:rsidR="00B879C7" w:rsidRPr="00D948C1" w:rsidRDefault="00B879C7" w:rsidP="00FD389F">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3</w:t>
            </w:r>
          </w:p>
        </w:tc>
        <w:tc>
          <w:tcPr>
            <w:tcW w:w="1565" w:type="dxa"/>
            <w:tcBorders>
              <w:top w:val="single" w:sz="4" w:space="0" w:color="auto"/>
              <w:left w:val="single" w:sz="4" w:space="0" w:color="auto"/>
              <w:bottom w:val="single" w:sz="4" w:space="0" w:color="auto"/>
              <w:right w:val="single" w:sz="4" w:space="0" w:color="auto"/>
            </w:tcBorders>
            <w:noWrap/>
            <w:vAlign w:val="center"/>
          </w:tcPr>
          <w:p w14:paraId="6C4B31BF" w14:textId="28BEF1F2" w:rsidR="00B879C7" w:rsidRPr="00965B02" w:rsidRDefault="00B879C7" w:rsidP="00FD389F">
            <w:pPr>
              <w:jc w:val="right"/>
              <w:rPr>
                <w:rFonts w:cs="Arial"/>
                <w:szCs w:val="24"/>
              </w:rPr>
            </w:pPr>
            <w:r w:rsidRPr="00BD2C0D">
              <w:rPr>
                <w:rFonts w:cs="Arial"/>
                <w:szCs w:val="24"/>
              </w:rPr>
              <w:t>81,895</w:t>
            </w:r>
          </w:p>
        </w:tc>
        <w:tc>
          <w:tcPr>
            <w:tcW w:w="1565" w:type="dxa"/>
            <w:tcBorders>
              <w:top w:val="single" w:sz="4" w:space="0" w:color="auto"/>
              <w:left w:val="single" w:sz="4" w:space="0" w:color="auto"/>
              <w:bottom w:val="single" w:sz="4" w:space="0" w:color="auto"/>
              <w:right w:val="single" w:sz="4" w:space="0" w:color="auto"/>
            </w:tcBorders>
            <w:vAlign w:val="center"/>
          </w:tcPr>
          <w:p w14:paraId="1BC062ED" w14:textId="4054A3B6" w:rsidR="00B879C7" w:rsidRPr="00965B02" w:rsidRDefault="00B879C7" w:rsidP="00FD389F">
            <w:pPr>
              <w:jc w:val="right"/>
              <w:rPr>
                <w:rFonts w:cs="Arial"/>
                <w:szCs w:val="24"/>
              </w:rPr>
            </w:pPr>
            <w:r w:rsidRPr="00BD2C0D">
              <w:rPr>
                <w:rFonts w:cs="Arial"/>
                <w:szCs w:val="24"/>
              </w:rPr>
              <w:t>36,432</w:t>
            </w:r>
          </w:p>
        </w:tc>
        <w:tc>
          <w:tcPr>
            <w:tcW w:w="1565" w:type="dxa"/>
            <w:tcBorders>
              <w:top w:val="single" w:sz="4" w:space="0" w:color="auto"/>
              <w:bottom w:val="single" w:sz="4" w:space="0" w:color="auto"/>
            </w:tcBorders>
            <w:vAlign w:val="center"/>
          </w:tcPr>
          <w:p w14:paraId="62F83CFF" w14:textId="2A6BACFF" w:rsidR="00B879C7" w:rsidRPr="00BD2C0D" w:rsidRDefault="00A021D6" w:rsidP="008117BF">
            <w:pPr>
              <w:jc w:val="right"/>
              <w:rPr>
                <w:rFonts w:cs="Arial"/>
                <w:szCs w:val="24"/>
              </w:rPr>
            </w:pPr>
            <w:r>
              <w:rPr>
                <w:rFonts w:cs="Arial"/>
                <w:szCs w:val="24"/>
              </w:rPr>
              <w:t>123</w:t>
            </w:r>
          </w:p>
        </w:tc>
        <w:tc>
          <w:tcPr>
            <w:tcW w:w="1565" w:type="dxa"/>
            <w:tcBorders>
              <w:top w:val="single" w:sz="4" w:space="0" w:color="auto"/>
              <w:left w:val="single" w:sz="4" w:space="0" w:color="auto"/>
              <w:bottom w:val="single" w:sz="4" w:space="0" w:color="auto"/>
              <w:right w:val="single" w:sz="4" w:space="0" w:color="auto"/>
            </w:tcBorders>
            <w:vAlign w:val="center"/>
          </w:tcPr>
          <w:p w14:paraId="3E9FDF5C" w14:textId="177C98AA" w:rsidR="00B879C7" w:rsidRPr="00965B02" w:rsidRDefault="00B879C7" w:rsidP="00FD389F">
            <w:pPr>
              <w:jc w:val="right"/>
              <w:rPr>
                <w:rFonts w:cs="Arial"/>
                <w:szCs w:val="24"/>
              </w:rPr>
            </w:pPr>
            <w:r w:rsidRPr="00BD2C0D">
              <w:rPr>
                <w:rFonts w:cs="Arial"/>
                <w:szCs w:val="24"/>
              </w:rPr>
              <w:t>7,</w:t>
            </w:r>
            <w:r w:rsidR="00FC7F4B">
              <w:rPr>
                <w:rFonts w:cs="Arial"/>
                <w:szCs w:val="24"/>
              </w:rPr>
              <w:t>267</w:t>
            </w:r>
          </w:p>
        </w:tc>
        <w:tc>
          <w:tcPr>
            <w:tcW w:w="1563" w:type="dxa"/>
            <w:tcBorders>
              <w:top w:val="single" w:sz="4" w:space="0" w:color="auto"/>
              <w:left w:val="single" w:sz="4" w:space="0" w:color="auto"/>
              <w:bottom w:val="single" w:sz="4" w:space="0" w:color="auto"/>
              <w:right w:val="single" w:sz="4" w:space="0" w:color="auto"/>
            </w:tcBorders>
            <w:noWrap/>
            <w:vAlign w:val="center"/>
          </w:tcPr>
          <w:p w14:paraId="1648AE48" w14:textId="078339B1" w:rsidR="00B879C7" w:rsidRPr="00965B02" w:rsidRDefault="00B879C7" w:rsidP="00FD389F">
            <w:pPr>
              <w:jc w:val="right"/>
              <w:rPr>
                <w:rFonts w:cs="Arial"/>
                <w:szCs w:val="24"/>
              </w:rPr>
            </w:pPr>
            <w:r w:rsidRPr="00BD2C0D">
              <w:rPr>
                <w:rFonts w:cs="Arial"/>
                <w:szCs w:val="24"/>
                <w:lang w:eastAsia="en-GB"/>
              </w:rPr>
              <w:t>125,717</w:t>
            </w:r>
          </w:p>
        </w:tc>
      </w:tr>
    </w:tbl>
    <w:p w14:paraId="3A6FCCCE" w14:textId="34321E7B" w:rsidR="00C503A2" w:rsidRDefault="00C503A2"/>
    <w:p w14:paraId="01C816A0" w14:textId="77777777" w:rsidR="00C503A2" w:rsidRDefault="00C503A2">
      <w:r>
        <w:br w:type="page"/>
      </w:r>
    </w:p>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B879C7" w:rsidRPr="00D948C1" w14:paraId="2A169FF5" w14:textId="77777777" w:rsidTr="00A47861">
        <w:trPr>
          <w:trHeight w:val="253"/>
        </w:trPr>
        <w:tc>
          <w:tcPr>
            <w:tcW w:w="5669" w:type="dxa"/>
            <w:tcBorders>
              <w:top w:val="single" w:sz="4" w:space="0" w:color="auto"/>
              <w:left w:val="single" w:sz="4" w:space="0" w:color="auto"/>
              <w:bottom w:val="single" w:sz="4" w:space="0" w:color="auto"/>
              <w:right w:val="single" w:sz="4" w:space="0" w:color="auto"/>
            </w:tcBorders>
            <w:shd w:val="clear" w:color="auto" w:fill="BD2716"/>
            <w:noWrap/>
            <w:vAlign w:val="bottom"/>
          </w:tcPr>
          <w:p w14:paraId="20AE13E5" w14:textId="77777777" w:rsidR="00B879C7" w:rsidRPr="00D948C1" w:rsidRDefault="00B879C7" w:rsidP="00C503A2">
            <w:pPr>
              <w:rPr>
                <w:rFonts w:cs="Arial"/>
                <w:b/>
                <w:bCs/>
                <w:szCs w:val="24"/>
                <w:lang w:eastAsia="en-GB"/>
              </w:rPr>
            </w:pP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010FAAB5" w14:textId="77777777"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513E02BF" w14:textId="51148665"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1B74A3B7" w14:textId="77777777"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52FC28F6" w14:textId="64B96C4F"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c>
          <w:tcPr>
            <w:tcW w:w="1565" w:type="dxa"/>
            <w:tcBorders>
              <w:bottom w:val="single" w:sz="4" w:space="0" w:color="auto"/>
            </w:tcBorders>
            <w:shd w:val="clear" w:color="auto" w:fill="BD2716"/>
            <w:vAlign w:val="center"/>
          </w:tcPr>
          <w:p w14:paraId="627430E7" w14:textId="30C82418" w:rsidR="00B879C7" w:rsidRPr="00D948C1" w:rsidRDefault="00A47861" w:rsidP="00A47861">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387D01D2" w14:textId="2D0CE32E"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2EBC3B76" w14:textId="2EBB9714"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c>
          <w:tcPr>
            <w:tcW w:w="1563" w:type="dxa"/>
            <w:tcBorders>
              <w:top w:val="single" w:sz="4" w:space="0" w:color="auto"/>
              <w:left w:val="single" w:sz="4" w:space="0" w:color="auto"/>
              <w:bottom w:val="single" w:sz="4" w:space="0" w:color="auto"/>
              <w:right w:val="single" w:sz="4" w:space="0" w:color="auto"/>
            </w:tcBorders>
            <w:shd w:val="clear" w:color="auto" w:fill="BD2716"/>
            <w:vAlign w:val="center"/>
          </w:tcPr>
          <w:p w14:paraId="6D9FA02C" w14:textId="77777777"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0641EC65" w14:textId="1FD0A3E2"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r>
      <w:tr w:rsidR="00A47861" w:rsidRPr="00D948C1" w14:paraId="45CE38FC" w14:textId="77777777" w:rsidTr="007973DA">
        <w:trPr>
          <w:trHeight w:val="253"/>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1D86602" w14:textId="0E4F2E4A" w:rsidR="00A47861" w:rsidRPr="00D948C1" w:rsidRDefault="00A47861" w:rsidP="00C503A2">
            <w:pPr>
              <w:rPr>
                <w:rFonts w:cs="Arial"/>
                <w:szCs w:val="24"/>
                <w:lang w:eastAsia="en-GB"/>
              </w:rPr>
            </w:pPr>
            <w:r w:rsidRPr="00D948C1">
              <w:rPr>
                <w:rFonts w:cs="Arial"/>
                <w:b/>
                <w:bCs/>
                <w:szCs w:val="24"/>
                <w:lang w:eastAsia="en-GB"/>
              </w:rPr>
              <w:t>Nature of asset holding</w:t>
            </w:r>
          </w:p>
        </w:tc>
      </w:tr>
      <w:tr w:rsidR="00B879C7" w:rsidRPr="00D948C1" w14:paraId="40C94385"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136D08B8" w14:textId="77777777" w:rsidR="00B879C7" w:rsidRPr="00965B02" w:rsidRDefault="00B879C7" w:rsidP="00C503A2">
            <w:pPr>
              <w:ind w:left="175"/>
              <w:rPr>
                <w:rFonts w:cs="Arial"/>
                <w:szCs w:val="24"/>
                <w:lang w:eastAsia="en-GB"/>
              </w:rPr>
            </w:pPr>
            <w:r w:rsidRPr="00965B02">
              <w:rPr>
                <w:rFonts w:cs="Arial"/>
                <w:szCs w:val="24"/>
                <w:lang w:eastAsia="en-GB"/>
              </w:rPr>
              <w:t>Owned</w:t>
            </w:r>
          </w:p>
        </w:tc>
        <w:tc>
          <w:tcPr>
            <w:tcW w:w="1565" w:type="dxa"/>
            <w:tcBorders>
              <w:top w:val="single" w:sz="4" w:space="0" w:color="auto"/>
              <w:left w:val="single" w:sz="4" w:space="0" w:color="auto"/>
              <w:bottom w:val="single" w:sz="4" w:space="0" w:color="auto"/>
              <w:right w:val="single" w:sz="4" w:space="0" w:color="auto"/>
            </w:tcBorders>
            <w:noWrap/>
            <w:vAlign w:val="center"/>
          </w:tcPr>
          <w:p w14:paraId="58F44745" w14:textId="5F4A5C24" w:rsidR="00B879C7" w:rsidRPr="00965B02" w:rsidRDefault="00B879C7" w:rsidP="00C503A2">
            <w:pPr>
              <w:jc w:val="right"/>
              <w:rPr>
                <w:rFonts w:cs="Arial"/>
                <w:szCs w:val="24"/>
              </w:rPr>
            </w:pPr>
            <w:r w:rsidRPr="00965B02">
              <w:rPr>
                <w:rFonts w:cs="Arial"/>
                <w:szCs w:val="24"/>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2E5F0666" w14:textId="0391B12F" w:rsidR="00B879C7" w:rsidRPr="00965B02" w:rsidRDefault="00B879C7" w:rsidP="00C503A2">
            <w:pPr>
              <w:jc w:val="right"/>
              <w:rPr>
                <w:rFonts w:cs="Arial"/>
                <w:szCs w:val="24"/>
              </w:rPr>
            </w:pPr>
            <w:r w:rsidRPr="00965B02">
              <w:rPr>
                <w:rFonts w:cs="Arial"/>
                <w:szCs w:val="24"/>
              </w:rPr>
              <w:t>-</w:t>
            </w:r>
          </w:p>
        </w:tc>
        <w:tc>
          <w:tcPr>
            <w:tcW w:w="1565" w:type="dxa"/>
            <w:tcBorders>
              <w:top w:val="single" w:sz="4" w:space="0" w:color="auto"/>
              <w:bottom w:val="single" w:sz="4" w:space="0" w:color="auto"/>
            </w:tcBorders>
          </w:tcPr>
          <w:p w14:paraId="4162C1A7" w14:textId="0E06A9D5" w:rsidR="00B879C7" w:rsidRPr="00965B02" w:rsidRDefault="001844B8" w:rsidP="00C503A2">
            <w:pPr>
              <w:jc w:val="right"/>
              <w:rPr>
                <w:rFonts w:cs="Arial"/>
                <w:szCs w:val="24"/>
                <w:lang w:eastAsia="en-GB"/>
              </w:rPr>
            </w:pPr>
            <w:r>
              <w:rPr>
                <w:rFonts w:cs="Arial"/>
                <w:szCs w:val="24"/>
                <w:lang w:eastAsia="en-GB"/>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0E8532DA" w14:textId="4E603CF9" w:rsidR="00B879C7" w:rsidRPr="00965B02" w:rsidRDefault="00B879C7" w:rsidP="00C503A2">
            <w:pPr>
              <w:jc w:val="right"/>
              <w:rPr>
                <w:rFonts w:cs="Arial"/>
                <w:szCs w:val="24"/>
              </w:rPr>
            </w:pPr>
            <w:r w:rsidRPr="00965B02">
              <w:rPr>
                <w:rFonts w:cs="Arial"/>
                <w:szCs w:val="24"/>
                <w:lang w:eastAsia="en-GB"/>
              </w:rPr>
              <w:t>1</w:t>
            </w:r>
            <w:r w:rsidR="008C3BC9">
              <w:rPr>
                <w:rFonts w:cs="Arial"/>
                <w:szCs w:val="24"/>
                <w:lang w:eastAsia="en-GB"/>
              </w:rPr>
              <w:t>0</w:t>
            </w:r>
            <w:r w:rsidRPr="00965B02">
              <w:rPr>
                <w:rFonts w:cs="Arial"/>
                <w:szCs w:val="24"/>
                <w:lang w:eastAsia="en-GB"/>
              </w:rPr>
              <w:t>,</w:t>
            </w:r>
            <w:r w:rsidR="008C3BC9">
              <w:rPr>
                <w:rFonts w:cs="Arial"/>
                <w:szCs w:val="24"/>
                <w:lang w:eastAsia="en-GB"/>
              </w:rPr>
              <w:t>562</w:t>
            </w:r>
          </w:p>
        </w:tc>
        <w:tc>
          <w:tcPr>
            <w:tcW w:w="1563" w:type="dxa"/>
            <w:tcBorders>
              <w:top w:val="single" w:sz="4" w:space="0" w:color="auto"/>
              <w:left w:val="single" w:sz="4" w:space="0" w:color="auto"/>
              <w:bottom w:val="single" w:sz="4" w:space="0" w:color="auto"/>
              <w:right w:val="single" w:sz="4" w:space="0" w:color="auto"/>
            </w:tcBorders>
            <w:noWrap/>
            <w:vAlign w:val="center"/>
          </w:tcPr>
          <w:p w14:paraId="26FC86BA" w14:textId="1802900C" w:rsidR="00B879C7" w:rsidRPr="00965B02" w:rsidRDefault="00B879C7" w:rsidP="00C503A2">
            <w:pPr>
              <w:jc w:val="right"/>
              <w:rPr>
                <w:rFonts w:cs="Arial"/>
                <w:szCs w:val="24"/>
              </w:rPr>
            </w:pPr>
            <w:r w:rsidRPr="00965B02">
              <w:rPr>
                <w:rFonts w:cs="Arial"/>
                <w:szCs w:val="24"/>
                <w:lang w:eastAsia="en-GB"/>
              </w:rPr>
              <w:t>91,079</w:t>
            </w:r>
          </w:p>
        </w:tc>
      </w:tr>
      <w:tr w:rsidR="00B879C7" w:rsidRPr="00D948C1" w14:paraId="3D3CE784"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043016C4" w14:textId="77777777" w:rsidR="00B879C7" w:rsidRPr="00965B02" w:rsidRDefault="00B879C7" w:rsidP="00C503A2">
            <w:pPr>
              <w:ind w:left="175"/>
              <w:rPr>
                <w:rFonts w:cs="Arial"/>
                <w:szCs w:val="24"/>
                <w:lang w:eastAsia="en-GB"/>
              </w:rPr>
            </w:pPr>
            <w:r w:rsidRPr="00965B02">
              <w:rPr>
                <w:rFonts w:cs="Arial"/>
                <w:szCs w:val="24"/>
                <w:lang w:eastAsia="en-GB"/>
              </w:rPr>
              <w:t>Finance lease</w:t>
            </w:r>
          </w:p>
        </w:tc>
        <w:tc>
          <w:tcPr>
            <w:tcW w:w="1565" w:type="dxa"/>
            <w:tcBorders>
              <w:top w:val="single" w:sz="4" w:space="0" w:color="auto"/>
              <w:left w:val="single" w:sz="4" w:space="0" w:color="auto"/>
              <w:bottom w:val="single" w:sz="4" w:space="0" w:color="auto"/>
              <w:right w:val="single" w:sz="4" w:space="0" w:color="auto"/>
            </w:tcBorders>
            <w:noWrap/>
            <w:vAlign w:val="center"/>
          </w:tcPr>
          <w:p w14:paraId="43E621B0" w14:textId="6B92AE30" w:rsidR="00B879C7" w:rsidRPr="00965B02" w:rsidRDefault="00B879C7" w:rsidP="00C503A2">
            <w:pPr>
              <w:jc w:val="right"/>
              <w:rPr>
                <w:rFonts w:cs="Arial"/>
                <w:szCs w:val="24"/>
              </w:rPr>
            </w:pPr>
            <w:r w:rsidRPr="00965B02">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6EA73786" w14:textId="00AD0F92" w:rsidR="00B879C7" w:rsidRPr="00965B02" w:rsidRDefault="00B879C7" w:rsidP="00C503A2">
            <w:pPr>
              <w:jc w:val="right"/>
              <w:rPr>
                <w:rFonts w:cs="Arial"/>
                <w:szCs w:val="24"/>
              </w:rPr>
            </w:pPr>
            <w:r w:rsidRPr="00965B02">
              <w:rPr>
                <w:rFonts w:cs="Arial"/>
                <w:szCs w:val="24"/>
              </w:rPr>
              <w:t>-</w:t>
            </w:r>
          </w:p>
        </w:tc>
        <w:tc>
          <w:tcPr>
            <w:tcW w:w="1565" w:type="dxa"/>
            <w:tcBorders>
              <w:top w:val="single" w:sz="4" w:space="0" w:color="auto"/>
              <w:bottom w:val="single" w:sz="4" w:space="0" w:color="auto"/>
            </w:tcBorders>
          </w:tcPr>
          <w:p w14:paraId="02D3EAD4" w14:textId="7381C25C" w:rsidR="00B879C7" w:rsidRPr="00965B02" w:rsidRDefault="00786193" w:rsidP="00C503A2">
            <w:pPr>
              <w:jc w:val="right"/>
              <w:rPr>
                <w:rFonts w:cs="Arial"/>
                <w:szCs w:val="24"/>
                <w:lang w:eastAsia="en-GB"/>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00A00AC" w14:textId="060EDA28" w:rsidR="00B879C7" w:rsidRPr="00965B02" w:rsidRDefault="00B879C7" w:rsidP="00C503A2">
            <w:pPr>
              <w:jc w:val="right"/>
              <w:rPr>
                <w:rFonts w:cs="Arial"/>
                <w:szCs w:val="24"/>
              </w:rPr>
            </w:pPr>
            <w:r w:rsidRPr="00965B02">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3AC89D07" w14:textId="23AF9679" w:rsidR="00B879C7" w:rsidRPr="00965B02" w:rsidRDefault="00B879C7" w:rsidP="00C503A2">
            <w:pPr>
              <w:jc w:val="right"/>
              <w:rPr>
                <w:rFonts w:cs="Arial"/>
                <w:szCs w:val="24"/>
              </w:rPr>
            </w:pPr>
            <w:r w:rsidRPr="00965B02">
              <w:rPr>
                <w:rFonts w:cs="Arial"/>
                <w:szCs w:val="24"/>
              </w:rPr>
              <w:t>-</w:t>
            </w:r>
          </w:p>
        </w:tc>
      </w:tr>
      <w:tr w:rsidR="00B879C7" w:rsidRPr="00D948C1" w14:paraId="23AD389A"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648A81DA" w14:textId="77777777" w:rsidR="00B879C7" w:rsidRPr="00965B02" w:rsidRDefault="00B879C7" w:rsidP="00C503A2">
            <w:pPr>
              <w:ind w:left="175"/>
              <w:rPr>
                <w:rFonts w:cs="Arial"/>
                <w:szCs w:val="24"/>
                <w:lang w:eastAsia="en-GB"/>
              </w:rPr>
            </w:pPr>
            <w:r w:rsidRPr="00965B02">
              <w:rPr>
                <w:rFonts w:cs="Arial"/>
                <w:szCs w:val="24"/>
                <w:lang w:eastAsia="en-GB"/>
              </w:rPr>
              <w:t>PFI</w:t>
            </w:r>
          </w:p>
        </w:tc>
        <w:tc>
          <w:tcPr>
            <w:tcW w:w="1565" w:type="dxa"/>
            <w:tcBorders>
              <w:top w:val="single" w:sz="4" w:space="0" w:color="auto"/>
              <w:left w:val="single" w:sz="4" w:space="0" w:color="auto"/>
              <w:bottom w:val="single" w:sz="4" w:space="0" w:color="auto"/>
              <w:right w:val="single" w:sz="4" w:space="0" w:color="auto"/>
            </w:tcBorders>
            <w:noWrap/>
            <w:vAlign w:val="center"/>
          </w:tcPr>
          <w:p w14:paraId="30A46C4D" w14:textId="1B0959BC" w:rsidR="00B879C7" w:rsidRPr="00965B02" w:rsidRDefault="00B879C7" w:rsidP="00C503A2">
            <w:pPr>
              <w:jc w:val="right"/>
              <w:rPr>
                <w:rFonts w:cs="Arial"/>
                <w:szCs w:val="24"/>
              </w:rPr>
            </w:pPr>
            <w:r w:rsidRPr="00965B02">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2EDB933A" w14:textId="130267D7" w:rsidR="00B879C7" w:rsidRPr="00965B02" w:rsidRDefault="00B879C7" w:rsidP="00C503A2">
            <w:pPr>
              <w:jc w:val="right"/>
              <w:rPr>
                <w:rFonts w:cs="Arial"/>
                <w:szCs w:val="24"/>
              </w:rPr>
            </w:pPr>
            <w:r w:rsidRPr="00965B02">
              <w:rPr>
                <w:rFonts w:cs="Arial"/>
                <w:szCs w:val="24"/>
              </w:rPr>
              <w:t>36,270</w:t>
            </w:r>
          </w:p>
        </w:tc>
        <w:tc>
          <w:tcPr>
            <w:tcW w:w="1565" w:type="dxa"/>
            <w:tcBorders>
              <w:top w:val="single" w:sz="4" w:space="0" w:color="auto"/>
              <w:bottom w:val="single" w:sz="4" w:space="0" w:color="auto"/>
            </w:tcBorders>
          </w:tcPr>
          <w:p w14:paraId="3FED4935" w14:textId="540A4786" w:rsidR="00B879C7" w:rsidRPr="00965B02" w:rsidRDefault="00786193" w:rsidP="00C503A2">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38ABD5F6" w14:textId="2038D919" w:rsidR="00B879C7" w:rsidRPr="00965B02" w:rsidRDefault="00B879C7" w:rsidP="00C503A2">
            <w:pPr>
              <w:jc w:val="right"/>
              <w:rPr>
                <w:rFonts w:cs="Arial"/>
                <w:szCs w:val="24"/>
              </w:rPr>
            </w:pPr>
            <w:r w:rsidRPr="00965B02">
              <w:rPr>
                <w:rFonts w:cs="Arial"/>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333C198E" w14:textId="76D8CBA4" w:rsidR="00B879C7" w:rsidRPr="00965B02" w:rsidRDefault="00B879C7" w:rsidP="00C503A2">
            <w:pPr>
              <w:jc w:val="right"/>
              <w:rPr>
                <w:rFonts w:cs="Arial"/>
                <w:szCs w:val="24"/>
              </w:rPr>
            </w:pPr>
            <w:r w:rsidRPr="00965B02">
              <w:rPr>
                <w:rFonts w:cs="Arial"/>
                <w:szCs w:val="24"/>
              </w:rPr>
              <w:t>36,270</w:t>
            </w:r>
          </w:p>
        </w:tc>
      </w:tr>
      <w:tr w:rsidR="00B879C7" w:rsidRPr="00D948C1" w14:paraId="66371742" w14:textId="77777777" w:rsidTr="00F06E9F">
        <w:trPr>
          <w:trHeight w:val="171"/>
        </w:trPr>
        <w:tc>
          <w:tcPr>
            <w:tcW w:w="5669" w:type="dxa"/>
            <w:tcBorders>
              <w:top w:val="single" w:sz="4" w:space="0" w:color="auto"/>
              <w:left w:val="single" w:sz="4" w:space="0" w:color="auto"/>
              <w:bottom w:val="single" w:sz="4" w:space="0" w:color="auto"/>
              <w:right w:val="single" w:sz="4" w:space="0" w:color="auto"/>
            </w:tcBorders>
            <w:noWrap/>
            <w:vAlign w:val="bottom"/>
          </w:tcPr>
          <w:p w14:paraId="47612185" w14:textId="72C64649" w:rsidR="00B879C7" w:rsidRPr="00965B02" w:rsidRDefault="00B879C7" w:rsidP="00C503A2">
            <w:pPr>
              <w:ind w:left="175"/>
              <w:rPr>
                <w:rFonts w:cs="Arial"/>
                <w:szCs w:val="24"/>
                <w:lang w:eastAsia="en-GB"/>
              </w:rPr>
            </w:pPr>
            <w:r w:rsidRPr="00965B02">
              <w:rPr>
                <w:rFonts w:cs="Arial"/>
                <w:szCs w:val="24"/>
                <w:lang w:eastAsia="en-GB"/>
              </w:rPr>
              <w:t>Total</w:t>
            </w:r>
          </w:p>
        </w:tc>
        <w:tc>
          <w:tcPr>
            <w:tcW w:w="1565" w:type="dxa"/>
            <w:tcBorders>
              <w:top w:val="single" w:sz="4" w:space="0" w:color="auto"/>
              <w:left w:val="single" w:sz="4" w:space="0" w:color="auto"/>
              <w:bottom w:val="single" w:sz="4" w:space="0" w:color="auto"/>
              <w:right w:val="single" w:sz="4" w:space="0" w:color="auto"/>
            </w:tcBorders>
            <w:noWrap/>
            <w:vAlign w:val="center"/>
          </w:tcPr>
          <w:p w14:paraId="744FC048" w14:textId="5E3DF9E3" w:rsidR="00B879C7" w:rsidRPr="00965B02" w:rsidRDefault="00B879C7" w:rsidP="00C503A2">
            <w:pPr>
              <w:pStyle w:val="CommentText"/>
              <w:jc w:val="right"/>
              <w:rPr>
                <w:rFonts w:cs="Arial"/>
                <w:sz w:val="24"/>
                <w:szCs w:val="24"/>
                <w:lang w:eastAsia="en-GB"/>
              </w:rPr>
            </w:pPr>
            <w:r w:rsidRPr="00965B02">
              <w:rPr>
                <w:rFonts w:cs="Arial"/>
                <w:sz w:val="24"/>
                <w:szCs w:val="24"/>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3290899C" w14:textId="7A1180A8" w:rsidR="00B879C7" w:rsidRPr="00965B02" w:rsidRDefault="00B879C7" w:rsidP="00C503A2">
            <w:pPr>
              <w:jc w:val="right"/>
              <w:rPr>
                <w:rFonts w:cs="Arial"/>
                <w:szCs w:val="24"/>
                <w:lang w:eastAsia="en-GB"/>
              </w:rPr>
            </w:pPr>
            <w:r w:rsidRPr="00965B02">
              <w:rPr>
                <w:rFonts w:cs="Arial"/>
                <w:szCs w:val="24"/>
              </w:rPr>
              <w:t>36,270</w:t>
            </w:r>
          </w:p>
        </w:tc>
        <w:tc>
          <w:tcPr>
            <w:tcW w:w="1565" w:type="dxa"/>
            <w:tcBorders>
              <w:top w:val="single" w:sz="4" w:space="0" w:color="auto"/>
              <w:bottom w:val="single" w:sz="4" w:space="0" w:color="auto"/>
            </w:tcBorders>
          </w:tcPr>
          <w:p w14:paraId="7C08C58F" w14:textId="11DC8A02" w:rsidR="00B879C7" w:rsidRPr="00965B02" w:rsidRDefault="001844B8" w:rsidP="00C503A2">
            <w:pPr>
              <w:jc w:val="right"/>
              <w:rPr>
                <w:rFonts w:cs="Arial"/>
                <w:szCs w:val="24"/>
              </w:rPr>
            </w:pPr>
            <w:r>
              <w:rPr>
                <w:rFonts w:cs="Arial"/>
                <w:szCs w:val="24"/>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6DFBFE76" w14:textId="59A04FA1" w:rsidR="00B879C7" w:rsidRPr="00965B02" w:rsidRDefault="00B879C7" w:rsidP="00C503A2">
            <w:pPr>
              <w:jc w:val="right"/>
              <w:rPr>
                <w:rFonts w:cs="Arial"/>
                <w:szCs w:val="24"/>
                <w:lang w:eastAsia="en-GB"/>
              </w:rPr>
            </w:pPr>
            <w:r w:rsidRPr="00965B02">
              <w:rPr>
                <w:rFonts w:cs="Arial"/>
                <w:szCs w:val="24"/>
              </w:rPr>
              <w:t>1</w:t>
            </w:r>
            <w:r w:rsidR="008C3BC9">
              <w:rPr>
                <w:rFonts w:cs="Arial"/>
                <w:szCs w:val="24"/>
              </w:rPr>
              <w:t>0</w:t>
            </w:r>
            <w:r w:rsidRPr="00965B02">
              <w:rPr>
                <w:rFonts w:cs="Arial"/>
                <w:szCs w:val="24"/>
              </w:rPr>
              <w:t>,</w:t>
            </w:r>
            <w:r w:rsidR="008C3BC9">
              <w:rPr>
                <w:rFonts w:cs="Arial"/>
                <w:szCs w:val="24"/>
              </w:rPr>
              <w:t>562</w:t>
            </w:r>
          </w:p>
        </w:tc>
        <w:tc>
          <w:tcPr>
            <w:tcW w:w="1563" w:type="dxa"/>
            <w:tcBorders>
              <w:top w:val="single" w:sz="4" w:space="0" w:color="auto"/>
              <w:left w:val="single" w:sz="4" w:space="0" w:color="auto"/>
              <w:bottom w:val="single" w:sz="4" w:space="0" w:color="auto"/>
              <w:right w:val="single" w:sz="4" w:space="0" w:color="auto"/>
            </w:tcBorders>
            <w:noWrap/>
            <w:vAlign w:val="center"/>
          </w:tcPr>
          <w:p w14:paraId="775DD812" w14:textId="6E0F0B42" w:rsidR="00B879C7" w:rsidRPr="00965B02" w:rsidRDefault="00B879C7" w:rsidP="00C503A2">
            <w:pPr>
              <w:jc w:val="right"/>
              <w:rPr>
                <w:rFonts w:cs="Arial"/>
                <w:szCs w:val="24"/>
                <w:lang w:eastAsia="en-GB"/>
              </w:rPr>
            </w:pPr>
            <w:r w:rsidRPr="00965B02">
              <w:rPr>
                <w:rFonts w:cs="Arial"/>
                <w:szCs w:val="24"/>
              </w:rPr>
              <w:t>127,349</w:t>
            </w:r>
          </w:p>
        </w:tc>
      </w:tr>
    </w:tbl>
    <w:p w14:paraId="7C9DA949" w14:textId="77777777" w:rsidR="00372872" w:rsidRPr="00D948C1" w:rsidRDefault="00372872"/>
    <w:tbl>
      <w:tblPr>
        <w:tblW w:w="13494" w:type="dxa"/>
        <w:tblInd w:w="534" w:type="dxa"/>
        <w:tblLayout w:type="fixed"/>
        <w:tblLook w:val="0000" w:firstRow="0" w:lastRow="0" w:firstColumn="0" w:lastColumn="0" w:noHBand="0" w:noVBand="0"/>
      </w:tblPr>
      <w:tblGrid>
        <w:gridCol w:w="5669"/>
        <w:gridCol w:w="1565"/>
        <w:gridCol w:w="1565"/>
        <w:gridCol w:w="1565"/>
        <w:gridCol w:w="1565"/>
        <w:gridCol w:w="1565"/>
      </w:tblGrid>
      <w:tr w:rsidR="00A47861" w:rsidRPr="00D948C1" w14:paraId="4DF5BA03" w14:textId="77777777" w:rsidTr="006C4BB1">
        <w:trPr>
          <w:trHeight w:val="268"/>
        </w:trPr>
        <w:tc>
          <w:tcPr>
            <w:tcW w:w="134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F465E4" w14:textId="42BC2696" w:rsidR="00A47861" w:rsidRPr="00D948C1" w:rsidRDefault="00A47861" w:rsidP="00372872">
            <w:pPr>
              <w:rPr>
                <w:rFonts w:cs="Arial"/>
                <w:b/>
                <w:bCs/>
                <w:szCs w:val="24"/>
              </w:rPr>
            </w:pPr>
            <w:r w:rsidRPr="00D948C1">
              <w:rPr>
                <w:rFonts w:cs="Arial"/>
                <w:b/>
                <w:bCs/>
                <w:szCs w:val="24"/>
              </w:rPr>
              <w:t>Historical cost</w:t>
            </w:r>
          </w:p>
        </w:tc>
      </w:tr>
      <w:tr w:rsidR="00B879C7" w:rsidRPr="00D948C1" w14:paraId="09CF493C" w14:textId="77777777" w:rsidTr="00F06E9F">
        <w:trPr>
          <w:trHeight w:val="268"/>
        </w:trPr>
        <w:tc>
          <w:tcPr>
            <w:tcW w:w="5669" w:type="dxa"/>
            <w:tcBorders>
              <w:top w:val="single" w:sz="4" w:space="0" w:color="auto"/>
              <w:left w:val="single" w:sz="4" w:space="0" w:color="auto"/>
              <w:bottom w:val="single" w:sz="4" w:space="0" w:color="auto"/>
              <w:right w:val="single" w:sz="4" w:space="0" w:color="auto"/>
            </w:tcBorders>
            <w:noWrap/>
            <w:vAlign w:val="bottom"/>
          </w:tcPr>
          <w:p w14:paraId="521CC157" w14:textId="77777777" w:rsidR="00B879C7" w:rsidRPr="00965B02" w:rsidRDefault="00B879C7" w:rsidP="001D3375">
            <w:pPr>
              <w:ind w:left="175"/>
              <w:rPr>
                <w:rFonts w:cs="Arial"/>
                <w:szCs w:val="24"/>
                <w:lang w:eastAsia="en-GB"/>
              </w:rPr>
            </w:pPr>
            <w:r w:rsidRPr="00965B02">
              <w:rPr>
                <w:rFonts w:cs="Arial"/>
                <w:szCs w:val="24"/>
                <w:lang w:eastAsia="en-GB"/>
              </w:rPr>
              <w:t>Carried at historical cost</w:t>
            </w:r>
          </w:p>
        </w:tc>
        <w:tc>
          <w:tcPr>
            <w:tcW w:w="1565" w:type="dxa"/>
            <w:tcBorders>
              <w:top w:val="single" w:sz="4" w:space="0" w:color="auto"/>
              <w:left w:val="single" w:sz="4" w:space="0" w:color="auto"/>
              <w:bottom w:val="single" w:sz="4" w:space="0" w:color="auto"/>
              <w:right w:val="single" w:sz="4" w:space="0" w:color="auto"/>
            </w:tcBorders>
            <w:noWrap/>
            <w:vAlign w:val="center"/>
          </w:tcPr>
          <w:p w14:paraId="343216C6" w14:textId="2CE9CDAD" w:rsidR="00B879C7" w:rsidRPr="00965B02" w:rsidRDefault="00B879C7" w:rsidP="001D3375">
            <w:pPr>
              <w:pStyle w:val="CommentText"/>
              <w:jc w:val="right"/>
              <w:rPr>
                <w:rFonts w:cs="Arial"/>
                <w:sz w:val="24"/>
                <w:szCs w:val="24"/>
                <w:lang w:eastAsia="en-GB"/>
              </w:rPr>
            </w:pPr>
            <w:r w:rsidRPr="00965B02">
              <w:rPr>
                <w:rFonts w:cs="Arial"/>
                <w:sz w:val="24"/>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00A0808D" w14:textId="091F5C0F" w:rsidR="00B879C7" w:rsidRPr="00965B02" w:rsidRDefault="00B879C7" w:rsidP="001D3375">
            <w:pPr>
              <w:jc w:val="right"/>
              <w:rPr>
                <w:rFonts w:cs="Arial"/>
                <w:szCs w:val="24"/>
                <w:lang w:eastAsia="en-GB"/>
              </w:rPr>
            </w:pPr>
            <w:r w:rsidRPr="00965B02">
              <w:rPr>
                <w:rFonts w:cs="Arial"/>
                <w:szCs w:val="24"/>
              </w:rPr>
              <w:t>-</w:t>
            </w:r>
          </w:p>
        </w:tc>
        <w:tc>
          <w:tcPr>
            <w:tcW w:w="1565" w:type="dxa"/>
            <w:tcBorders>
              <w:top w:val="single" w:sz="4" w:space="0" w:color="auto"/>
              <w:bottom w:val="single" w:sz="4" w:space="0" w:color="auto"/>
            </w:tcBorders>
          </w:tcPr>
          <w:p w14:paraId="61ED544D" w14:textId="29B260AD" w:rsidR="00B879C7" w:rsidRPr="00965B02" w:rsidRDefault="00DD4F55" w:rsidP="001D3375">
            <w:pPr>
              <w:jc w:val="right"/>
              <w:rPr>
                <w:rFonts w:cs="Arial"/>
                <w:szCs w:val="24"/>
                <w:lang w:eastAsia="en-GB"/>
              </w:rPr>
            </w:pPr>
            <w:r>
              <w:rPr>
                <w:rFonts w:cs="Arial"/>
                <w:szCs w:val="24"/>
                <w:lang w:eastAsia="en-GB"/>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287053CD" w14:textId="5A8C70F9" w:rsidR="00B879C7" w:rsidRPr="00965B02" w:rsidRDefault="00B879C7" w:rsidP="001D3375">
            <w:pPr>
              <w:jc w:val="right"/>
              <w:rPr>
                <w:rFonts w:cs="Arial"/>
                <w:szCs w:val="24"/>
                <w:lang w:eastAsia="en-GB"/>
              </w:rPr>
            </w:pPr>
            <w:r w:rsidRPr="00965B02">
              <w:rPr>
                <w:rFonts w:cs="Arial"/>
                <w:szCs w:val="24"/>
                <w:lang w:eastAsia="en-GB"/>
              </w:rPr>
              <w:t>1</w:t>
            </w:r>
            <w:r w:rsidR="008C3BC9">
              <w:rPr>
                <w:rFonts w:cs="Arial"/>
                <w:szCs w:val="24"/>
                <w:lang w:eastAsia="en-GB"/>
              </w:rPr>
              <w:t>0</w:t>
            </w:r>
            <w:r w:rsidRPr="00965B02">
              <w:rPr>
                <w:rFonts w:cs="Arial"/>
                <w:szCs w:val="24"/>
                <w:lang w:eastAsia="en-GB"/>
              </w:rPr>
              <w:t>,</w:t>
            </w:r>
            <w:r w:rsidR="008C3BC9">
              <w:rPr>
                <w:rFonts w:cs="Arial"/>
                <w:szCs w:val="24"/>
                <w:lang w:eastAsia="en-GB"/>
              </w:rPr>
              <w:t>562</w:t>
            </w:r>
          </w:p>
        </w:tc>
        <w:tc>
          <w:tcPr>
            <w:tcW w:w="1565" w:type="dxa"/>
            <w:tcBorders>
              <w:top w:val="single" w:sz="4" w:space="0" w:color="auto"/>
              <w:left w:val="single" w:sz="4" w:space="0" w:color="auto"/>
              <w:bottom w:val="single" w:sz="4" w:space="0" w:color="auto"/>
              <w:right w:val="single" w:sz="4" w:space="0" w:color="auto"/>
            </w:tcBorders>
            <w:noWrap/>
            <w:vAlign w:val="center"/>
          </w:tcPr>
          <w:p w14:paraId="784BAA40" w14:textId="7F335152" w:rsidR="00B879C7" w:rsidRPr="00965B02" w:rsidRDefault="00B879C7" w:rsidP="001D3375">
            <w:pPr>
              <w:jc w:val="right"/>
              <w:rPr>
                <w:rFonts w:cs="Arial"/>
                <w:szCs w:val="24"/>
                <w:lang w:eastAsia="en-GB"/>
              </w:rPr>
            </w:pPr>
            <w:r w:rsidRPr="00965B02">
              <w:rPr>
                <w:rFonts w:cs="Arial"/>
                <w:szCs w:val="24"/>
              </w:rPr>
              <w:t>11,837</w:t>
            </w:r>
          </w:p>
        </w:tc>
      </w:tr>
    </w:tbl>
    <w:p w14:paraId="4F425E50" w14:textId="77777777" w:rsidR="00372872" w:rsidRPr="00D948C1" w:rsidRDefault="00372872"/>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A47861" w:rsidRPr="00D948C1" w14:paraId="5891E77F" w14:textId="77777777" w:rsidTr="00601EA8">
        <w:trPr>
          <w:trHeight w:val="268"/>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50A334" w14:textId="0E4CCA2B" w:rsidR="00A47861" w:rsidRPr="00D948C1" w:rsidRDefault="00A47861" w:rsidP="00BC6C4F">
            <w:pPr>
              <w:rPr>
                <w:rFonts w:cs="Arial"/>
                <w:b/>
                <w:bCs/>
                <w:szCs w:val="24"/>
                <w:lang w:eastAsia="en-GB"/>
              </w:rPr>
            </w:pPr>
            <w:r w:rsidRPr="00D948C1">
              <w:rPr>
                <w:rFonts w:cs="Arial"/>
                <w:b/>
                <w:bCs/>
                <w:szCs w:val="24"/>
                <w:lang w:eastAsia="en-GB"/>
              </w:rPr>
              <w:t>Valued at current value as at:</w:t>
            </w:r>
          </w:p>
        </w:tc>
      </w:tr>
      <w:tr w:rsidR="00B879C7" w:rsidRPr="00D948C1" w14:paraId="5268D23D" w14:textId="77777777" w:rsidTr="00F06E9F">
        <w:trPr>
          <w:trHeight w:val="268"/>
        </w:trPr>
        <w:tc>
          <w:tcPr>
            <w:tcW w:w="5669" w:type="dxa"/>
            <w:tcBorders>
              <w:top w:val="single" w:sz="4" w:space="0" w:color="auto"/>
              <w:left w:val="single" w:sz="4" w:space="0" w:color="auto"/>
              <w:bottom w:val="single" w:sz="4" w:space="0" w:color="auto"/>
              <w:right w:val="single" w:sz="4" w:space="0" w:color="auto"/>
            </w:tcBorders>
            <w:noWrap/>
            <w:vAlign w:val="bottom"/>
          </w:tcPr>
          <w:p w14:paraId="706AC94D" w14:textId="3CCD3A1D" w:rsidR="00B879C7" w:rsidRPr="00965B02" w:rsidRDefault="00B879C7" w:rsidP="001D3375">
            <w:pPr>
              <w:ind w:left="175"/>
              <w:rPr>
                <w:rFonts w:cs="Arial"/>
                <w:szCs w:val="24"/>
                <w:lang w:eastAsia="en-GB"/>
              </w:rPr>
            </w:pPr>
            <w:r w:rsidRPr="00965B02">
              <w:rPr>
                <w:rFonts w:cs="Arial"/>
                <w:szCs w:val="24"/>
                <w:lang w:eastAsia="en-GB"/>
              </w:rPr>
              <w:t>31 March 2023</w:t>
            </w:r>
          </w:p>
        </w:tc>
        <w:tc>
          <w:tcPr>
            <w:tcW w:w="1565" w:type="dxa"/>
            <w:tcBorders>
              <w:top w:val="single" w:sz="4" w:space="0" w:color="auto"/>
              <w:left w:val="single" w:sz="4" w:space="0" w:color="auto"/>
              <w:bottom w:val="single" w:sz="4" w:space="0" w:color="auto"/>
              <w:right w:val="single" w:sz="4" w:space="0" w:color="auto"/>
            </w:tcBorders>
            <w:noWrap/>
            <w:vAlign w:val="center"/>
          </w:tcPr>
          <w:p w14:paraId="4BB98AD4" w14:textId="1A64FDAC" w:rsidR="00B879C7" w:rsidRPr="00965B02" w:rsidRDefault="00B879C7" w:rsidP="001D3375">
            <w:pPr>
              <w:pStyle w:val="CommentText"/>
              <w:jc w:val="right"/>
              <w:rPr>
                <w:rFonts w:cs="Arial"/>
                <w:sz w:val="24"/>
                <w:szCs w:val="24"/>
                <w:lang w:eastAsia="en-GB"/>
              </w:rPr>
            </w:pPr>
            <w:r w:rsidRPr="00965B02">
              <w:rPr>
                <w:rFonts w:cs="Arial"/>
                <w:sz w:val="24"/>
                <w:szCs w:val="24"/>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280FCA99" w14:textId="3C8542E3" w:rsidR="00B879C7" w:rsidRPr="00965B02" w:rsidRDefault="00B879C7" w:rsidP="001D3375">
            <w:pPr>
              <w:jc w:val="right"/>
              <w:rPr>
                <w:rFonts w:cs="Arial"/>
                <w:szCs w:val="24"/>
                <w:lang w:eastAsia="en-GB"/>
              </w:rPr>
            </w:pPr>
            <w:r w:rsidRPr="00965B02">
              <w:rPr>
                <w:rFonts w:cs="Arial"/>
                <w:szCs w:val="24"/>
              </w:rPr>
              <w:t>36,270</w:t>
            </w:r>
          </w:p>
        </w:tc>
        <w:tc>
          <w:tcPr>
            <w:tcW w:w="1565" w:type="dxa"/>
            <w:tcBorders>
              <w:top w:val="single" w:sz="4" w:space="0" w:color="auto"/>
              <w:bottom w:val="single" w:sz="4" w:space="0" w:color="auto"/>
            </w:tcBorders>
          </w:tcPr>
          <w:p w14:paraId="620AFEAD" w14:textId="423EDCC8" w:rsidR="00B879C7" w:rsidRPr="00965B02" w:rsidRDefault="00DD4F55" w:rsidP="001D3375">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00DC126C" w14:textId="6ECDA39F" w:rsidR="00B879C7" w:rsidRPr="00965B02" w:rsidRDefault="00B879C7" w:rsidP="001D3375">
            <w:pPr>
              <w:jc w:val="right"/>
              <w:rPr>
                <w:rFonts w:cs="Arial"/>
                <w:szCs w:val="24"/>
                <w:lang w:eastAsia="en-GB"/>
              </w:rPr>
            </w:pPr>
            <w:r w:rsidRPr="00965B02">
              <w:rPr>
                <w:rFonts w:cs="Arial"/>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15BB6D9D" w14:textId="1D035426" w:rsidR="00B879C7" w:rsidRPr="00965B02" w:rsidRDefault="00B879C7" w:rsidP="001D3375">
            <w:pPr>
              <w:jc w:val="right"/>
              <w:rPr>
                <w:rFonts w:cs="Arial"/>
                <w:szCs w:val="24"/>
                <w:lang w:eastAsia="en-GB"/>
              </w:rPr>
            </w:pPr>
            <w:r w:rsidRPr="00965B02">
              <w:rPr>
                <w:rFonts w:cs="Arial"/>
                <w:szCs w:val="24"/>
              </w:rPr>
              <w:t>115,512</w:t>
            </w:r>
          </w:p>
        </w:tc>
      </w:tr>
      <w:tr w:rsidR="00B879C7" w:rsidRPr="00D948C1" w14:paraId="21C57D4B" w14:textId="77777777" w:rsidTr="00F06E9F">
        <w:trPr>
          <w:trHeight w:val="268"/>
        </w:trPr>
        <w:tc>
          <w:tcPr>
            <w:tcW w:w="5669" w:type="dxa"/>
            <w:tcBorders>
              <w:top w:val="single" w:sz="4" w:space="0" w:color="auto"/>
              <w:left w:val="single" w:sz="4" w:space="0" w:color="auto"/>
              <w:bottom w:val="single" w:sz="4" w:space="0" w:color="auto"/>
              <w:right w:val="single" w:sz="4" w:space="0" w:color="auto"/>
            </w:tcBorders>
            <w:noWrap/>
            <w:vAlign w:val="bottom"/>
          </w:tcPr>
          <w:p w14:paraId="2AB521D3" w14:textId="77777777" w:rsidR="00B879C7" w:rsidRPr="00965B02" w:rsidRDefault="00B879C7" w:rsidP="001D3375">
            <w:pPr>
              <w:ind w:left="175"/>
              <w:rPr>
                <w:rFonts w:cs="Arial"/>
                <w:szCs w:val="24"/>
                <w:lang w:eastAsia="en-GB"/>
              </w:rPr>
            </w:pPr>
            <w:r w:rsidRPr="00965B02">
              <w:rPr>
                <w:rFonts w:cs="Arial"/>
                <w:szCs w:val="24"/>
                <w:lang w:eastAsia="en-GB"/>
              </w:rPr>
              <w:t>Total cost or valuation</w:t>
            </w:r>
          </w:p>
        </w:tc>
        <w:tc>
          <w:tcPr>
            <w:tcW w:w="1565" w:type="dxa"/>
            <w:tcBorders>
              <w:top w:val="single" w:sz="4" w:space="0" w:color="auto"/>
              <w:left w:val="single" w:sz="4" w:space="0" w:color="auto"/>
              <w:bottom w:val="single" w:sz="4" w:space="0" w:color="auto"/>
              <w:right w:val="single" w:sz="4" w:space="0" w:color="auto"/>
            </w:tcBorders>
            <w:noWrap/>
            <w:vAlign w:val="center"/>
          </w:tcPr>
          <w:p w14:paraId="01DF7665" w14:textId="42DD67EE" w:rsidR="00B879C7" w:rsidRPr="00965B02" w:rsidRDefault="00B879C7" w:rsidP="001D3375">
            <w:pPr>
              <w:pStyle w:val="CommentText"/>
              <w:jc w:val="right"/>
              <w:rPr>
                <w:rFonts w:cs="Arial"/>
                <w:sz w:val="24"/>
                <w:szCs w:val="24"/>
                <w:lang w:eastAsia="en-GB"/>
              </w:rPr>
            </w:pPr>
            <w:r w:rsidRPr="00965B02">
              <w:rPr>
                <w:rFonts w:cs="Arial"/>
                <w:sz w:val="24"/>
                <w:szCs w:val="24"/>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74CDB2E4" w14:textId="7E873F40" w:rsidR="00B879C7" w:rsidRPr="00965B02" w:rsidRDefault="00B879C7" w:rsidP="001D3375">
            <w:pPr>
              <w:jc w:val="right"/>
              <w:rPr>
                <w:rFonts w:cs="Arial"/>
                <w:szCs w:val="24"/>
                <w:lang w:eastAsia="en-GB"/>
              </w:rPr>
            </w:pPr>
            <w:r w:rsidRPr="00965B02">
              <w:rPr>
                <w:rFonts w:cs="Arial"/>
                <w:szCs w:val="24"/>
              </w:rPr>
              <w:t>36,270</w:t>
            </w:r>
          </w:p>
        </w:tc>
        <w:tc>
          <w:tcPr>
            <w:tcW w:w="1565" w:type="dxa"/>
            <w:tcBorders>
              <w:top w:val="single" w:sz="4" w:space="0" w:color="auto"/>
              <w:bottom w:val="single" w:sz="4" w:space="0" w:color="auto"/>
            </w:tcBorders>
          </w:tcPr>
          <w:p w14:paraId="50A887D8" w14:textId="5D1E1296" w:rsidR="00B879C7" w:rsidRPr="00965B02" w:rsidRDefault="00DD4F55" w:rsidP="001D3375">
            <w:pPr>
              <w:jc w:val="right"/>
              <w:rPr>
                <w:rFonts w:cs="Arial"/>
                <w:szCs w:val="24"/>
                <w:lang w:eastAsia="en-GB"/>
              </w:rPr>
            </w:pPr>
            <w:r>
              <w:rPr>
                <w:rFonts w:cs="Arial"/>
                <w:szCs w:val="24"/>
                <w:lang w:eastAsia="en-GB"/>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1254C97F" w14:textId="3BF53665" w:rsidR="00B879C7" w:rsidRPr="00965B02" w:rsidRDefault="00B879C7" w:rsidP="001D3375">
            <w:pPr>
              <w:jc w:val="right"/>
              <w:rPr>
                <w:rFonts w:cs="Arial"/>
                <w:szCs w:val="24"/>
                <w:lang w:eastAsia="en-GB"/>
              </w:rPr>
            </w:pPr>
            <w:r w:rsidRPr="00965B02">
              <w:rPr>
                <w:rFonts w:cs="Arial"/>
                <w:szCs w:val="24"/>
                <w:lang w:eastAsia="en-GB"/>
              </w:rPr>
              <w:t>1</w:t>
            </w:r>
            <w:r w:rsidR="00DD4F55">
              <w:rPr>
                <w:rFonts w:cs="Arial"/>
                <w:szCs w:val="24"/>
                <w:lang w:eastAsia="en-GB"/>
              </w:rPr>
              <w:t>0</w:t>
            </w:r>
            <w:r w:rsidRPr="00965B02">
              <w:rPr>
                <w:rFonts w:cs="Arial"/>
                <w:szCs w:val="24"/>
                <w:lang w:eastAsia="en-GB"/>
              </w:rPr>
              <w:t>,</w:t>
            </w:r>
            <w:r w:rsidR="00DD4F55">
              <w:rPr>
                <w:rFonts w:cs="Arial"/>
                <w:szCs w:val="24"/>
                <w:lang w:eastAsia="en-GB"/>
              </w:rPr>
              <w:t>562</w:t>
            </w:r>
          </w:p>
        </w:tc>
        <w:tc>
          <w:tcPr>
            <w:tcW w:w="1563" w:type="dxa"/>
            <w:tcBorders>
              <w:top w:val="single" w:sz="4" w:space="0" w:color="auto"/>
              <w:left w:val="single" w:sz="4" w:space="0" w:color="auto"/>
              <w:bottom w:val="single" w:sz="4" w:space="0" w:color="auto"/>
              <w:right w:val="single" w:sz="4" w:space="0" w:color="auto"/>
            </w:tcBorders>
            <w:noWrap/>
            <w:vAlign w:val="center"/>
          </w:tcPr>
          <w:p w14:paraId="59C2D07F" w14:textId="1A65BFCA" w:rsidR="00B879C7" w:rsidRPr="00965B02" w:rsidRDefault="00B879C7" w:rsidP="001D3375">
            <w:pPr>
              <w:jc w:val="right"/>
              <w:rPr>
                <w:rFonts w:cs="Arial"/>
                <w:szCs w:val="24"/>
                <w:lang w:eastAsia="en-GB"/>
              </w:rPr>
            </w:pPr>
            <w:r w:rsidRPr="00965B02">
              <w:rPr>
                <w:rFonts w:cs="Arial"/>
                <w:szCs w:val="24"/>
              </w:rPr>
              <w:t>127,349</w:t>
            </w:r>
          </w:p>
        </w:tc>
      </w:tr>
    </w:tbl>
    <w:p w14:paraId="0196649E" w14:textId="77777777" w:rsidR="00E91290" w:rsidRDefault="00E91290" w:rsidP="00E91290">
      <w:pPr>
        <w:ind w:left="709"/>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1F7981F6" w14:textId="77777777" w:rsidR="00E91290" w:rsidRDefault="00E91290" w:rsidP="00A729E6">
      <w:pPr>
        <w:pStyle w:val="BodyTextIndent"/>
        <w:ind w:left="709" w:right="425"/>
        <w:rPr>
          <w:lang w:val="en-GB"/>
        </w:rPr>
      </w:pPr>
    </w:p>
    <w:p w14:paraId="47B0BE01" w14:textId="4D145123" w:rsidR="003178F3" w:rsidRDefault="001305B2" w:rsidP="00A729E6">
      <w:pPr>
        <w:pStyle w:val="BodyTextIndent"/>
        <w:ind w:left="709" w:right="425"/>
        <w:rPr>
          <w:lang w:val="en-GB"/>
        </w:rPr>
        <w:sectPr w:rsidR="003178F3" w:rsidSect="003178F3">
          <w:pgSz w:w="16840" w:h="11907" w:orient="landscape" w:code="9"/>
          <w:pgMar w:top="567" w:right="454" w:bottom="567" w:left="397" w:header="720" w:footer="720" w:gutter="0"/>
          <w:cols w:space="720"/>
          <w:docGrid w:linePitch="326"/>
        </w:sectPr>
      </w:pPr>
      <w:r w:rsidRPr="00B8240F">
        <w:rPr>
          <w:lang w:val="en-GB"/>
        </w:rPr>
        <w:t>The vehicle, plant &amp; equipment disposal/de-recognition figures in the above table, include 2022/23 disposals and de-recognitions not previously recognised.</w:t>
      </w:r>
    </w:p>
    <w:p w14:paraId="6968CE45" w14:textId="4DC4F713" w:rsidR="00C5659D" w:rsidRPr="00D948C1" w:rsidRDefault="00C5659D" w:rsidP="003278CF">
      <w:pPr>
        <w:ind w:firstLine="709"/>
        <w:rPr>
          <w:b/>
          <w:bCs/>
        </w:rPr>
      </w:pPr>
      <w:r w:rsidRPr="00D948C1">
        <w:rPr>
          <w:b/>
          <w:bCs/>
        </w:rPr>
        <w:lastRenderedPageBreak/>
        <w:t>Heritage Assets</w:t>
      </w:r>
    </w:p>
    <w:p w14:paraId="74BE22A0" w14:textId="77777777" w:rsidR="00C5659D" w:rsidRPr="00D948C1" w:rsidRDefault="00C5659D" w:rsidP="00BC6C4F">
      <w:pPr>
        <w:pStyle w:val="BodyTextIndent"/>
        <w:rPr>
          <w:b/>
          <w:szCs w:val="24"/>
          <w:lang w:val="en-GB"/>
        </w:rPr>
      </w:pPr>
    </w:p>
    <w:p w14:paraId="517A1625" w14:textId="5AF27D81" w:rsidR="00F74E7D" w:rsidRPr="00D948C1" w:rsidRDefault="00C5659D" w:rsidP="00BC6C4F">
      <w:pPr>
        <w:pStyle w:val="BodyTextIndent"/>
        <w:ind w:left="709" w:right="425"/>
        <w:rPr>
          <w:szCs w:val="24"/>
          <w:lang w:val="en-GB"/>
        </w:rPr>
      </w:pPr>
      <w:r w:rsidRPr="00D948C1">
        <w:rPr>
          <w:szCs w:val="24"/>
          <w:lang w:val="en-GB"/>
        </w:rPr>
        <w:t xml:space="preserve">The Authority holds several heritage assets, in the form of both fire memorabilia such as antique fire extinguishers, </w:t>
      </w:r>
      <w:r w:rsidR="00DF2B00" w:rsidRPr="00D948C1">
        <w:rPr>
          <w:szCs w:val="24"/>
          <w:lang w:val="en-GB"/>
        </w:rPr>
        <w:t>and</w:t>
      </w:r>
      <w:r w:rsidRPr="00D948C1">
        <w:rPr>
          <w:szCs w:val="24"/>
          <w:lang w:val="en-GB"/>
        </w:rPr>
        <w:t xml:space="preserve"> two vintage fire appliances. Due to the nature of these assets, it is not possible to market test the value of these, therefore they are not included in the Property, Plant and Equipment note.</w:t>
      </w:r>
    </w:p>
    <w:p w14:paraId="6DE6AB3C" w14:textId="77777777" w:rsidR="00372872" w:rsidRPr="00D948C1" w:rsidRDefault="00372872" w:rsidP="00BC6C4F">
      <w:pPr>
        <w:pStyle w:val="BodyTextIndent"/>
        <w:ind w:left="709" w:right="425"/>
        <w:rPr>
          <w:szCs w:val="24"/>
          <w:lang w:val="en-GB"/>
        </w:rPr>
      </w:pPr>
    </w:p>
    <w:p w14:paraId="09B690A3" w14:textId="4E531AC1" w:rsidR="00D90216" w:rsidRPr="00D948C1" w:rsidRDefault="00D90216" w:rsidP="003278CF">
      <w:pPr>
        <w:ind w:firstLine="709"/>
        <w:rPr>
          <w:b/>
          <w:bCs/>
        </w:rPr>
      </w:pPr>
      <w:r w:rsidRPr="00D948C1">
        <w:rPr>
          <w:b/>
          <w:bCs/>
        </w:rPr>
        <w:t>Capital Expenditure</w:t>
      </w:r>
    </w:p>
    <w:p w14:paraId="3BD76D2B" w14:textId="77777777" w:rsidR="00D90216" w:rsidRPr="00D948C1" w:rsidRDefault="00D90216" w:rsidP="00210760">
      <w:pPr>
        <w:pStyle w:val="BodyTextIndent"/>
        <w:rPr>
          <w:szCs w:val="24"/>
          <w:lang w:val="en-GB"/>
        </w:rPr>
      </w:pPr>
    </w:p>
    <w:p w14:paraId="5283EE0D" w14:textId="65A1184C" w:rsidR="00D90216" w:rsidRPr="00D948C1" w:rsidRDefault="00D90216" w:rsidP="00210760">
      <w:pPr>
        <w:tabs>
          <w:tab w:val="left" w:pos="720"/>
          <w:tab w:val="right" w:pos="7200"/>
        </w:tabs>
        <w:ind w:left="720"/>
        <w:rPr>
          <w:szCs w:val="24"/>
        </w:rPr>
      </w:pPr>
      <w:r w:rsidRPr="00D948C1">
        <w:rPr>
          <w:szCs w:val="24"/>
        </w:rPr>
        <w:t>The total capital expenditure in 20</w:t>
      </w:r>
      <w:r w:rsidR="006B2155" w:rsidRPr="00D948C1">
        <w:rPr>
          <w:szCs w:val="24"/>
        </w:rPr>
        <w:t>2</w:t>
      </w:r>
      <w:r w:rsidR="004A3B17">
        <w:rPr>
          <w:szCs w:val="24"/>
        </w:rPr>
        <w:t>4</w:t>
      </w:r>
      <w:r w:rsidR="006B2155" w:rsidRPr="00D948C1">
        <w:rPr>
          <w:szCs w:val="24"/>
        </w:rPr>
        <w:t>/2</w:t>
      </w:r>
      <w:r w:rsidR="004A3B17">
        <w:rPr>
          <w:szCs w:val="24"/>
        </w:rPr>
        <w:t>5</w:t>
      </w:r>
      <w:r w:rsidRPr="00D948C1">
        <w:rPr>
          <w:szCs w:val="24"/>
        </w:rPr>
        <w:t xml:space="preserve"> is shown in the table below,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 The CFR is analysed in the second part of this note.</w:t>
      </w:r>
    </w:p>
    <w:p w14:paraId="2A5043FD" w14:textId="77777777" w:rsidR="00D90216" w:rsidRPr="00D948C1" w:rsidRDefault="00D90216" w:rsidP="00D90216">
      <w:pPr>
        <w:tabs>
          <w:tab w:val="left" w:pos="720"/>
          <w:tab w:val="right" w:pos="7200"/>
        </w:tabs>
        <w:ind w:left="720"/>
        <w:jc w:val="both"/>
        <w:rPr>
          <w:sz w:val="22"/>
        </w:rPr>
      </w:pPr>
    </w:p>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174738" w:rsidRPr="00D948C1" w14:paraId="0E929259" w14:textId="77777777" w:rsidTr="009D308D">
        <w:trPr>
          <w:trHeight w:hRule="exact" w:val="867"/>
          <w:tblHeader/>
        </w:trPr>
        <w:tc>
          <w:tcPr>
            <w:tcW w:w="5342" w:type="dxa"/>
            <w:shd w:val="clear" w:color="auto" w:fill="BD2716"/>
          </w:tcPr>
          <w:p w14:paraId="644CFD86" w14:textId="77777777" w:rsidR="00174738" w:rsidRPr="00D948C1" w:rsidRDefault="00174738" w:rsidP="00174738">
            <w:pPr>
              <w:rPr>
                <w:color w:val="FFFFFF" w:themeColor="background1"/>
                <w:szCs w:val="24"/>
              </w:rPr>
            </w:pPr>
          </w:p>
        </w:tc>
        <w:tc>
          <w:tcPr>
            <w:tcW w:w="1512" w:type="dxa"/>
            <w:shd w:val="clear" w:color="auto" w:fill="BD2716"/>
            <w:vAlign w:val="center"/>
          </w:tcPr>
          <w:p w14:paraId="006AD34C" w14:textId="5CBE975B" w:rsidR="00174738" w:rsidRPr="00D948C1" w:rsidRDefault="00670DBF" w:rsidP="00611673">
            <w:pPr>
              <w:pStyle w:val="BodyTextIndent"/>
              <w:ind w:left="0"/>
              <w:jc w:val="right"/>
              <w:rPr>
                <w:color w:val="FFFFFF" w:themeColor="background1"/>
                <w:szCs w:val="24"/>
                <w:lang w:val="en-GB"/>
              </w:rPr>
            </w:pPr>
            <w:r w:rsidRPr="00D948C1">
              <w:rPr>
                <w:color w:val="FFFFFF" w:themeColor="background1"/>
                <w:szCs w:val="24"/>
                <w:lang w:val="en-GB"/>
              </w:rPr>
              <w:t>202</w:t>
            </w:r>
            <w:r w:rsidR="001D3375">
              <w:rPr>
                <w:color w:val="FFFFFF" w:themeColor="background1"/>
                <w:szCs w:val="24"/>
                <w:lang w:val="en-GB"/>
              </w:rPr>
              <w:t>4</w:t>
            </w:r>
            <w:r w:rsidRPr="00D948C1">
              <w:rPr>
                <w:color w:val="FFFFFF" w:themeColor="background1"/>
                <w:szCs w:val="24"/>
                <w:lang w:val="en-GB"/>
              </w:rPr>
              <w:t>/2</w:t>
            </w:r>
            <w:r w:rsidR="001D3375">
              <w:rPr>
                <w:color w:val="FFFFFF" w:themeColor="background1"/>
                <w:szCs w:val="24"/>
                <w:lang w:val="en-GB"/>
              </w:rPr>
              <w:t>5</w:t>
            </w:r>
          </w:p>
          <w:p w14:paraId="78A6FBDB" w14:textId="091B57B2" w:rsidR="00DC7A16" w:rsidRPr="00D948C1" w:rsidRDefault="00DC7A16"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1465" w:type="dxa"/>
            <w:shd w:val="clear" w:color="auto" w:fill="BD2716"/>
            <w:vAlign w:val="center"/>
          </w:tcPr>
          <w:p w14:paraId="08CA2D68" w14:textId="72D8A99B" w:rsidR="009D308D" w:rsidRDefault="009D308D" w:rsidP="00C93FB3">
            <w:pPr>
              <w:pStyle w:val="BodyTextIndent"/>
              <w:ind w:left="0"/>
              <w:jc w:val="right"/>
              <w:rPr>
                <w:color w:val="FFFFFF" w:themeColor="background1"/>
                <w:szCs w:val="24"/>
                <w:lang w:val="en-GB"/>
              </w:rPr>
            </w:pPr>
            <w:r>
              <w:rPr>
                <w:color w:val="FFFFFF" w:themeColor="background1"/>
                <w:szCs w:val="24"/>
                <w:lang w:val="en-GB"/>
              </w:rPr>
              <w:t>Restated</w:t>
            </w:r>
            <w:r w:rsidR="003B11C5">
              <w:rPr>
                <w:color w:val="FFFFFF" w:themeColor="background1"/>
                <w:szCs w:val="24"/>
                <w:lang w:val="en-GB"/>
              </w:rPr>
              <w:t>**</w:t>
            </w:r>
          </w:p>
          <w:p w14:paraId="72E52B96" w14:textId="60647430"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202</w:t>
            </w:r>
            <w:r w:rsidR="001D3375">
              <w:rPr>
                <w:color w:val="FFFFFF" w:themeColor="background1"/>
                <w:szCs w:val="24"/>
                <w:lang w:val="en-GB"/>
              </w:rPr>
              <w:t>3</w:t>
            </w:r>
            <w:r w:rsidRPr="00D948C1">
              <w:rPr>
                <w:color w:val="FFFFFF" w:themeColor="background1"/>
                <w:szCs w:val="24"/>
                <w:lang w:val="en-GB"/>
              </w:rPr>
              <w:t>/2</w:t>
            </w:r>
            <w:r w:rsidR="001D3375">
              <w:rPr>
                <w:color w:val="FFFFFF" w:themeColor="background1"/>
                <w:szCs w:val="24"/>
                <w:lang w:val="en-GB"/>
              </w:rPr>
              <w:t>4</w:t>
            </w:r>
          </w:p>
          <w:p w14:paraId="3FB3C2CD" w14:textId="5CC5FB92" w:rsidR="00DC7A16"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£000</w:t>
            </w:r>
          </w:p>
        </w:tc>
      </w:tr>
      <w:tr w:rsidR="001D3375" w:rsidRPr="00D948C1" w14:paraId="5C01EC35" w14:textId="77777777" w:rsidTr="008B00BF">
        <w:trPr>
          <w:trHeight w:hRule="exact" w:val="300"/>
        </w:trPr>
        <w:tc>
          <w:tcPr>
            <w:tcW w:w="5342" w:type="dxa"/>
          </w:tcPr>
          <w:p w14:paraId="5038A3EC" w14:textId="77777777" w:rsidR="001D3375" w:rsidRPr="00D948C1" w:rsidRDefault="001D3375" w:rsidP="001D3375">
            <w:pPr>
              <w:rPr>
                <w:szCs w:val="24"/>
              </w:rPr>
            </w:pPr>
            <w:r w:rsidRPr="00D948C1">
              <w:rPr>
                <w:szCs w:val="24"/>
              </w:rPr>
              <w:t>Opening Capital Financing Requirement</w:t>
            </w:r>
          </w:p>
        </w:tc>
        <w:tc>
          <w:tcPr>
            <w:tcW w:w="1512" w:type="dxa"/>
            <w:vAlign w:val="center"/>
          </w:tcPr>
          <w:p w14:paraId="27F58282" w14:textId="1B91FDF4" w:rsidR="001D3375" w:rsidRPr="0026417B" w:rsidRDefault="008457EC" w:rsidP="001D3375">
            <w:pPr>
              <w:pStyle w:val="Footer"/>
              <w:tabs>
                <w:tab w:val="clear" w:pos="4153"/>
                <w:tab w:val="clear" w:pos="8306"/>
                <w:tab w:val="decimal" w:pos="1026"/>
              </w:tabs>
              <w:jc w:val="right"/>
              <w:rPr>
                <w:szCs w:val="24"/>
              </w:rPr>
            </w:pPr>
            <w:r w:rsidRPr="00F46B17">
              <w:rPr>
                <w:szCs w:val="24"/>
              </w:rPr>
              <w:t>11,766</w:t>
            </w:r>
          </w:p>
        </w:tc>
        <w:tc>
          <w:tcPr>
            <w:tcW w:w="1465" w:type="dxa"/>
            <w:vAlign w:val="center"/>
          </w:tcPr>
          <w:p w14:paraId="2B564051" w14:textId="28DA8C62" w:rsidR="001D3375" w:rsidRPr="002004D2" w:rsidRDefault="001D3375" w:rsidP="001D3375">
            <w:pPr>
              <w:pStyle w:val="Footer"/>
              <w:tabs>
                <w:tab w:val="clear" w:pos="4153"/>
                <w:tab w:val="clear" w:pos="8306"/>
                <w:tab w:val="decimal" w:pos="1026"/>
              </w:tabs>
              <w:jc w:val="right"/>
              <w:rPr>
                <w:szCs w:val="24"/>
              </w:rPr>
            </w:pPr>
            <w:r w:rsidRPr="002004D2">
              <w:rPr>
                <w:szCs w:val="24"/>
              </w:rPr>
              <w:t>12,283</w:t>
            </w:r>
          </w:p>
        </w:tc>
      </w:tr>
      <w:tr w:rsidR="001D3375" w:rsidRPr="00D948C1" w14:paraId="1FC13FF8" w14:textId="77777777" w:rsidTr="002004D2">
        <w:trPr>
          <w:trHeight w:hRule="exact" w:val="601"/>
        </w:trPr>
        <w:tc>
          <w:tcPr>
            <w:tcW w:w="5342" w:type="dxa"/>
          </w:tcPr>
          <w:p w14:paraId="2C010F3E" w14:textId="4B9EC6CD" w:rsidR="001D3375" w:rsidRPr="00D948C1" w:rsidRDefault="001D3375" w:rsidP="001D3375">
            <w:pPr>
              <w:rPr>
                <w:szCs w:val="24"/>
              </w:rPr>
            </w:pPr>
            <w:r>
              <w:rPr>
                <w:szCs w:val="24"/>
              </w:rPr>
              <w:t>Adjustment for prior year NWFC Capital Financing Requirement</w:t>
            </w:r>
          </w:p>
        </w:tc>
        <w:tc>
          <w:tcPr>
            <w:tcW w:w="1512" w:type="dxa"/>
            <w:vAlign w:val="center"/>
          </w:tcPr>
          <w:p w14:paraId="3FB28C59" w14:textId="2DFBB51E" w:rsidR="001D3375" w:rsidRPr="00886131" w:rsidRDefault="00E6228D" w:rsidP="001D3375">
            <w:pPr>
              <w:pStyle w:val="Footer"/>
              <w:tabs>
                <w:tab w:val="clear" w:pos="4153"/>
                <w:tab w:val="clear" w:pos="8306"/>
                <w:tab w:val="decimal" w:pos="1026"/>
              </w:tabs>
              <w:jc w:val="right"/>
              <w:rPr>
                <w:szCs w:val="24"/>
              </w:rPr>
            </w:pPr>
            <w:r w:rsidRPr="0026417B">
              <w:rPr>
                <w:szCs w:val="24"/>
              </w:rPr>
              <w:t>-</w:t>
            </w:r>
          </w:p>
        </w:tc>
        <w:tc>
          <w:tcPr>
            <w:tcW w:w="1465" w:type="dxa"/>
            <w:vAlign w:val="center"/>
          </w:tcPr>
          <w:p w14:paraId="3FBF0F78" w14:textId="6951C9C6" w:rsidR="001D3375" w:rsidRPr="002004D2" w:rsidRDefault="001D3375" w:rsidP="001D3375">
            <w:pPr>
              <w:pStyle w:val="Footer"/>
              <w:tabs>
                <w:tab w:val="clear" w:pos="4153"/>
                <w:tab w:val="clear" w:pos="8306"/>
                <w:tab w:val="decimal" w:pos="1026"/>
              </w:tabs>
              <w:jc w:val="right"/>
              <w:rPr>
                <w:szCs w:val="24"/>
              </w:rPr>
            </w:pPr>
            <w:r w:rsidRPr="002004D2">
              <w:rPr>
                <w:szCs w:val="24"/>
              </w:rPr>
              <w:t>751</w:t>
            </w:r>
          </w:p>
        </w:tc>
      </w:tr>
      <w:tr w:rsidR="00E6228D" w:rsidRPr="00D948C1" w14:paraId="2E104F2E" w14:textId="77777777" w:rsidTr="002004D2">
        <w:trPr>
          <w:trHeight w:hRule="exact" w:val="300"/>
        </w:trPr>
        <w:tc>
          <w:tcPr>
            <w:tcW w:w="5342" w:type="dxa"/>
          </w:tcPr>
          <w:p w14:paraId="3C1852D0" w14:textId="6441AAC5" w:rsidR="00E6228D" w:rsidRDefault="00E6228D" w:rsidP="001D3375">
            <w:pPr>
              <w:rPr>
                <w:szCs w:val="24"/>
              </w:rPr>
            </w:pPr>
            <w:r>
              <w:rPr>
                <w:szCs w:val="24"/>
              </w:rPr>
              <w:t xml:space="preserve">IFRS 16 </w:t>
            </w:r>
            <w:r w:rsidR="007C4D1F">
              <w:rPr>
                <w:szCs w:val="24"/>
              </w:rPr>
              <w:t xml:space="preserve">transition &amp; </w:t>
            </w:r>
            <w:r w:rsidR="00F36A06">
              <w:rPr>
                <w:szCs w:val="24"/>
              </w:rPr>
              <w:t xml:space="preserve">PFI </w:t>
            </w:r>
            <w:r w:rsidR="007C4D1F">
              <w:rPr>
                <w:szCs w:val="24"/>
              </w:rPr>
              <w:t xml:space="preserve">indexation </w:t>
            </w:r>
          </w:p>
        </w:tc>
        <w:tc>
          <w:tcPr>
            <w:tcW w:w="1512" w:type="dxa"/>
            <w:vAlign w:val="center"/>
          </w:tcPr>
          <w:p w14:paraId="0C2DCA4F" w14:textId="13BBD236" w:rsidR="00E6228D" w:rsidRPr="00886131" w:rsidRDefault="005D0127" w:rsidP="001D3375">
            <w:pPr>
              <w:pStyle w:val="Footer"/>
              <w:tabs>
                <w:tab w:val="clear" w:pos="4153"/>
                <w:tab w:val="clear" w:pos="8306"/>
                <w:tab w:val="decimal" w:pos="1026"/>
              </w:tabs>
              <w:jc w:val="right"/>
              <w:rPr>
                <w:szCs w:val="24"/>
              </w:rPr>
            </w:pPr>
            <w:r w:rsidRPr="0026417B">
              <w:rPr>
                <w:szCs w:val="24"/>
              </w:rPr>
              <w:t>1,280</w:t>
            </w:r>
          </w:p>
        </w:tc>
        <w:tc>
          <w:tcPr>
            <w:tcW w:w="1465" w:type="dxa"/>
            <w:vAlign w:val="center"/>
          </w:tcPr>
          <w:p w14:paraId="53B6FCE2" w14:textId="42BA72D3" w:rsidR="00E6228D" w:rsidRPr="00965B02" w:rsidRDefault="00E6228D" w:rsidP="001D3375">
            <w:pPr>
              <w:pStyle w:val="Footer"/>
              <w:tabs>
                <w:tab w:val="clear" w:pos="4153"/>
                <w:tab w:val="clear" w:pos="8306"/>
                <w:tab w:val="decimal" w:pos="1026"/>
              </w:tabs>
              <w:jc w:val="right"/>
              <w:rPr>
                <w:szCs w:val="24"/>
              </w:rPr>
            </w:pPr>
            <w:r>
              <w:rPr>
                <w:szCs w:val="24"/>
              </w:rPr>
              <w:t>-</w:t>
            </w:r>
          </w:p>
        </w:tc>
      </w:tr>
    </w:tbl>
    <w:p w14:paraId="71DBA62D" w14:textId="06339D69" w:rsidR="000F5E3B" w:rsidRPr="00D948C1" w:rsidRDefault="000F5E3B"/>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0F5E3B" w:rsidRPr="00D948C1" w14:paraId="778427E6" w14:textId="77777777" w:rsidTr="22FF31C3">
        <w:trPr>
          <w:trHeight w:hRule="exact" w:val="578"/>
          <w:tblHeader/>
        </w:trPr>
        <w:tc>
          <w:tcPr>
            <w:tcW w:w="5342" w:type="dxa"/>
            <w:shd w:val="clear" w:color="auto" w:fill="BD2716"/>
          </w:tcPr>
          <w:p w14:paraId="5E3B7FD3" w14:textId="58071E25" w:rsidR="000F5E3B" w:rsidRPr="00D948C1" w:rsidRDefault="000F5E3B" w:rsidP="00F7299E">
            <w:pPr>
              <w:rPr>
                <w:color w:val="FFFFFF" w:themeColor="background1"/>
                <w:szCs w:val="24"/>
              </w:rPr>
            </w:pPr>
            <w:r w:rsidRPr="00D948C1">
              <w:br w:type="page"/>
            </w:r>
          </w:p>
        </w:tc>
        <w:tc>
          <w:tcPr>
            <w:tcW w:w="1512" w:type="dxa"/>
            <w:shd w:val="clear" w:color="auto" w:fill="BD2716"/>
            <w:vAlign w:val="center"/>
          </w:tcPr>
          <w:p w14:paraId="2BA3A54F" w14:textId="618F9F87" w:rsidR="000F5E3B" w:rsidRPr="00D948C1" w:rsidRDefault="000F5E3B" w:rsidP="00F7299E">
            <w:pPr>
              <w:pStyle w:val="BodyTextIndent"/>
              <w:ind w:left="0"/>
              <w:jc w:val="right"/>
              <w:rPr>
                <w:color w:val="FFFFFF" w:themeColor="background1"/>
                <w:szCs w:val="24"/>
                <w:lang w:val="en-GB"/>
              </w:rPr>
            </w:pPr>
            <w:r w:rsidRPr="00D948C1">
              <w:rPr>
                <w:color w:val="FFFFFF" w:themeColor="background1"/>
                <w:szCs w:val="24"/>
                <w:lang w:val="en-GB"/>
              </w:rPr>
              <w:t>202</w:t>
            </w:r>
            <w:r w:rsidR="002A5A6B">
              <w:rPr>
                <w:color w:val="FFFFFF" w:themeColor="background1"/>
                <w:szCs w:val="24"/>
                <w:lang w:val="en-GB"/>
              </w:rPr>
              <w:t>4</w:t>
            </w:r>
            <w:r w:rsidRPr="00D948C1">
              <w:rPr>
                <w:color w:val="FFFFFF" w:themeColor="background1"/>
                <w:szCs w:val="24"/>
                <w:lang w:val="en-GB"/>
              </w:rPr>
              <w:t>/2</w:t>
            </w:r>
            <w:r w:rsidR="002A5A6B">
              <w:rPr>
                <w:color w:val="FFFFFF" w:themeColor="background1"/>
                <w:szCs w:val="24"/>
                <w:lang w:val="en-GB"/>
              </w:rPr>
              <w:t>5</w:t>
            </w:r>
          </w:p>
          <w:p w14:paraId="40099181" w14:textId="77777777" w:rsidR="000F5E3B" w:rsidRPr="00D948C1" w:rsidRDefault="000F5E3B" w:rsidP="00F7299E">
            <w:pPr>
              <w:pStyle w:val="BodyTextIndent"/>
              <w:ind w:left="0"/>
              <w:jc w:val="right"/>
              <w:rPr>
                <w:color w:val="FFFFFF" w:themeColor="background1"/>
                <w:szCs w:val="24"/>
                <w:lang w:val="en-GB"/>
              </w:rPr>
            </w:pPr>
            <w:r w:rsidRPr="00D948C1">
              <w:rPr>
                <w:color w:val="FFFFFF" w:themeColor="background1"/>
                <w:szCs w:val="24"/>
                <w:lang w:val="en-GB"/>
              </w:rPr>
              <w:t>£000</w:t>
            </w:r>
          </w:p>
        </w:tc>
        <w:tc>
          <w:tcPr>
            <w:tcW w:w="1465" w:type="dxa"/>
            <w:shd w:val="clear" w:color="auto" w:fill="BD2716"/>
            <w:vAlign w:val="center"/>
          </w:tcPr>
          <w:p w14:paraId="4A1FD87B" w14:textId="5072A029" w:rsidR="000F5E3B" w:rsidRPr="00D948C1" w:rsidRDefault="3A3F18C6" w:rsidP="22FF31C3">
            <w:pPr>
              <w:pStyle w:val="BodyTextIndent"/>
              <w:ind w:left="0"/>
              <w:jc w:val="right"/>
              <w:rPr>
                <w:color w:val="FFFFFF" w:themeColor="background1"/>
                <w:lang w:val="en-GB"/>
              </w:rPr>
            </w:pPr>
            <w:r w:rsidRPr="22FF31C3">
              <w:rPr>
                <w:color w:val="FFFFFF" w:themeColor="background1"/>
                <w:lang w:val="en-GB"/>
              </w:rPr>
              <w:t>202</w:t>
            </w:r>
            <w:r w:rsidR="58D5EC59" w:rsidRPr="22FF31C3">
              <w:rPr>
                <w:color w:val="FFFFFF" w:themeColor="background1"/>
                <w:lang w:val="en-GB"/>
              </w:rPr>
              <w:t>3</w:t>
            </w:r>
            <w:r w:rsidRPr="22FF31C3">
              <w:rPr>
                <w:color w:val="FFFFFF" w:themeColor="background1"/>
                <w:lang w:val="en-GB"/>
              </w:rPr>
              <w:t>/2</w:t>
            </w:r>
            <w:r w:rsidR="53B594C3" w:rsidRPr="22FF31C3">
              <w:rPr>
                <w:color w:val="FFFFFF" w:themeColor="background1"/>
                <w:lang w:val="en-GB"/>
              </w:rPr>
              <w:t>4</w:t>
            </w:r>
          </w:p>
          <w:p w14:paraId="42C0BFA0" w14:textId="77777777" w:rsidR="000F5E3B" w:rsidRPr="00D948C1" w:rsidRDefault="000F5E3B" w:rsidP="00F7299E">
            <w:pPr>
              <w:pStyle w:val="BodyTextIndent"/>
              <w:ind w:left="0"/>
              <w:jc w:val="right"/>
              <w:rPr>
                <w:color w:val="FFFFFF" w:themeColor="background1"/>
                <w:szCs w:val="24"/>
                <w:lang w:val="en-GB"/>
              </w:rPr>
            </w:pPr>
            <w:r w:rsidRPr="00D948C1">
              <w:rPr>
                <w:color w:val="FFFFFF" w:themeColor="background1"/>
                <w:szCs w:val="24"/>
                <w:lang w:val="en-GB"/>
              </w:rPr>
              <w:t>£000</w:t>
            </w:r>
          </w:p>
        </w:tc>
      </w:tr>
      <w:tr w:rsidR="00210760" w:rsidRPr="00D948C1" w14:paraId="7690EDAF" w14:textId="77777777" w:rsidTr="22FF31C3">
        <w:trPr>
          <w:trHeight w:hRule="exact" w:val="300"/>
        </w:trPr>
        <w:tc>
          <w:tcPr>
            <w:tcW w:w="8319" w:type="dxa"/>
            <w:gridSpan w:val="3"/>
            <w:shd w:val="clear" w:color="auto" w:fill="D9D9D9" w:themeFill="background1" w:themeFillShade="D9"/>
          </w:tcPr>
          <w:p w14:paraId="1A1089A4" w14:textId="4CBF5E2E" w:rsidR="00210760" w:rsidRPr="00D948C1" w:rsidRDefault="00210760" w:rsidP="00BC6C4F">
            <w:pPr>
              <w:pStyle w:val="Footer"/>
              <w:tabs>
                <w:tab w:val="clear" w:pos="4153"/>
                <w:tab w:val="clear" w:pos="8306"/>
                <w:tab w:val="decimal" w:pos="1121"/>
              </w:tabs>
              <w:rPr>
                <w:b/>
                <w:bCs/>
                <w:szCs w:val="24"/>
              </w:rPr>
            </w:pPr>
            <w:r w:rsidRPr="00D948C1">
              <w:rPr>
                <w:b/>
                <w:bCs/>
                <w:szCs w:val="24"/>
              </w:rPr>
              <w:t>Capital investment:</w:t>
            </w:r>
          </w:p>
        </w:tc>
      </w:tr>
      <w:tr w:rsidR="001D3375" w:rsidRPr="00D948C1" w14:paraId="0C727D8C" w14:textId="77777777" w:rsidTr="22FF31C3">
        <w:trPr>
          <w:trHeight w:hRule="exact" w:val="300"/>
        </w:trPr>
        <w:tc>
          <w:tcPr>
            <w:tcW w:w="5342" w:type="dxa"/>
          </w:tcPr>
          <w:p w14:paraId="30FB4A03" w14:textId="77777777" w:rsidR="001D3375" w:rsidRPr="00D948C1" w:rsidRDefault="001D3375" w:rsidP="001D3375">
            <w:pPr>
              <w:rPr>
                <w:szCs w:val="24"/>
              </w:rPr>
            </w:pPr>
            <w:r w:rsidRPr="00D948C1">
              <w:rPr>
                <w:szCs w:val="24"/>
              </w:rPr>
              <w:t>Property, Plant &amp; Equipment*</w:t>
            </w:r>
          </w:p>
        </w:tc>
        <w:tc>
          <w:tcPr>
            <w:tcW w:w="1512" w:type="dxa"/>
            <w:vAlign w:val="center"/>
          </w:tcPr>
          <w:p w14:paraId="33531D3F" w14:textId="2F7CA377" w:rsidR="001D3375" w:rsidRPr="00886131" w:rsidRDefault="005608D5" w:rsidP="001D3375">
            <w:pPr>
              <w:pStyle w:val="Footer"/>
              <w:tabs>
                <w:tab w:val="clear" w:pos="4153"/>
                <w:tab w:val="clear" w:pos="8306"/>
                <w:tab w:val="decimal" w:pos="1026"/>
              </w:tabs>
              <w:jc w:val="right"/>
              <w:rPr>
                <w:szCs w:val="24"/>
              </w:rPr>
            </w:pPr>
            <w:r w:rsidRPr="0026417B">
              <w:rPr>
                <w:szCs w:val="24"/>
              </w:rPr>
              <w:t>4,02</w:t>
            </w:r>
            <w:r w:rsidRPr="00886131">
              <w:rPr>
                <w:szCs w:val="24"/>
              </w:rPr>
              <w:t>8</w:t>
            </w:r>
          </w:p>
        </w:tc>
        <w:tc>
          <w:tcPr>
            <w:tcW w:w="1465" w:type="dxa"/>
            <w:vAlign w:val="center"/>
          </w:tcPr>
          <w:p w14:paraId="63FC3E7B" w14:textId="153C35B3" w:rsidR="001D3375" w:rsidRPr="002004D2" w:rsidRDefault="001D3375" w:rsidP="001D3375">
            <w:pPr>
              <w:pStyle w:val="Footer"/>
              <w:tabs>
                <w:tab w:val="clear" w:pos="4153"/>
                <w:tab w:val="clear" w:pos="8306"/>
                <w:tab w:val="decimal" w:pos="1026"/>
              </w:tabs>
              <w:jc w:val="right"/>
              <w:rPr>
                <w:szCs w:val="24"/>
              </w:rPr>
            </w:pPr>
            <w:r w:rsidRPr="002004D2">
              <w:rPr>
                <w:szCs w:val="24"/>
              </w:rPr>
              <w:t>5,881</w:t>
            </w:r>
          </w:p>
        </w:tc>
      </w:tr>
      <w:tr w:rsidR="001D3375" w:rsidRPr="00D948C1" w14:paraId="5798D909" w14:textId="77777777" w:rsidTr="22FF31C3">
        <w:trPr>
          <w:trHeight w:hRule="exact" w:val="300"/>
        </w:trPr>
        <w:tc>
          <w:tcPr>
            <w:tcW w:w="5342" w:type="dxa"/>
          </w:tcPr>
          <w:p w14:paraId="1F472666" w14:textId="77777777" w:rsidR="001D3375" w:rsidRPr="00D948C1" w:rsidRDefault="001D3375" w:rsidP="001D3375">
            <w:pPr>
              <w:rPr>
                <w:szCs w:val="24"/>
              </w:rPr>
            </w:pPr>
            <w:r w:rsidRPr="00D948C1">
              <w:rPr>
                <w:szCs w:val="24"/>
              </w:rPr>
              <w:t>Intangible assets*</w:t>
            </w:r>
          </w:p>
        </w:tc>
        <w:tc>
          <w:tcPr>
            <w:tcW w:w="1512" w:type="dxa"/>
            <w:vAlign w:val="center"/>
          </w:tcPr>
          <w:p w14:paraId="0798D5EC" w14:textId="548ACF48" w:rsidR="001D3375" w:rsidRPr="00886131" w:rsidRDefault="005608D5" w:rsidP="001D3375">
            <w:pPr>
              <w:pStyle w:val="Footer"/>
              <w:tabs>
                <w:tab w:val="clear" w:pos="4153"/>
                <w:tab w:val="clear" w:pos="8306"/>
                <w:tab w:val="decimal" w:pos="1026"/>
              </w:tabs>
              <w:jc w:val="right"/>
              <w:rPr>
                <w:szCs w:val="24"/>
              </w:rPr>
            </w:pPr>
            <w:r w:rsidRPr="0026417B">
              <w:rPr>
                <w:szCs w:val="24"/>
              </w:rPr>
              <w:t>233</w:t>
            </w:r>
          </w:p>
        </w:tc>
        <w:tc>
          <w:tcPr>
            <w:tcW w:w="1465" w:type="dxa"/>
            <w:vAlign w:val="center"/>
          </w:tcPr>
          <w:p w14:paraId="17A774DA" w14:textId="12C0BF93" w:rsidR="001D3375" w:rsidRPr="002004D2" w:rsidRDefault="001D3375" w:rsidP="001D3375">
            <w:pPr>
              <w:pStyle w:val="Footer"/>
              <w:tabs>
                <w:tab w:val="clear" w:pos="4153"/>
                <w:tab w:val="clear" w:pos="8306"/>
                <w:tab w:val="decimal" w:pos="1026"/>
              </w:tabs>
              <w:jc w:val="right"/>
              <w:rPr>
                <w:szCs w:val="24"/>
              </w:rPr>
            </w:pPr>
            <w:r w:rsidRPr="002004D2">
              <w:rPr>
                <w:szCs w:val="24"/>
              </w:rPr>
              <w:t>193</w:t>
            </w:r>
          </w:p>
        </w:tc>
      </w:tr>
    </w:tbl>
    <w:p w14:paraId="1282F82C" w14:textId="31EDF97A" w:rsidR="00372872" w:rsidRPr="00D948C1" w:rsidRDefault="00372872"/>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210760" w:rsidRPr="00D948C1" w14:paraId="3B476701" w14:textId="77777777" w:rsidTr="007641BA">
        <w:trPr>
          <w:trHeight w:hRule="exact" w:val="300"/>
        </w:trPr>
        <w:tc>
          <w:tcPr>
            <w:tcW w:w="8319" w:type="dxa"/>
            <w:gridSpan w:val="3"/>
            <w:shd w:val="clear" w:color="auto" w:fill="D9D9D9" w:themeFill="background1" w:themeFillShade="D9"/>
          </w:tcPr>
          <w:p w14:paraId="7A0F1FF9" w14:textId="32599159" w:rsidR="00210760" w:rsidRPr="00D948C1" w:rsidRDefault="00210760" w:rsidP="00BC6C4F">
            <w:pPr>
              <w:pStyle w:val="Footer"/>
              <w:tabs>
                <w:tab w:val="clear" w:pos="4153"/>
                <w:tab w:val="clear" w:pos="8306"/>
                <w:tab w:val="decimal" w:pos="1121"/>
              </w:tabs>
              <w:rPr>
                <w:b/>
                <w:bCs/>
                <w:szCs w:val="24"/>
              </w:rPr>
            </w:pPr>
            <w:r w:rsidRPr="00D948C1">
              <w:rPr>
                <w:b/>
                <w:bCs/>
                <w:szCs w:val="24"/>
              </w:rPr>
              <w:t>Sources of Finance:</w:t>
            </w:r>
          </w:p>
        </w:tc>
      </w:tr>
      <w:tr w:rsidR="002A5A6B" w:rsidRPr="00D948C1" w14:paraId="742CCF4D" w14:textId="77777777" w:rsidTr="00C42769">
        <w:trPr>
          <w:trHeight w:hRule="exact" w:val="300"/>
        </w:trPr>
        <w:tc>
          <w:tcPr>
            <w:tcW w:w="5342" w:type="dxa"/>
          </w:tcPr>
          <w:p w14:paraId="6B1C30AB" w14:textId="0BF5DE65" w:rsidR="002A5A6B" w:rsidRPr="00D948C1" w:rsidRDefault="002A5A6B" w:rsidP="002A5A6B">
            <w:pPr>
              <w:pStyle w:val="Footer"/>
              <w:tabs>
                <w:tab w:val="clear" w:pos="4153"/>
                <w:tab w:val="clear" w:pos="8306"/>
              </w:tabs>
              <w:rPr>
                <w:szCs w:val="24"/>
              </w:rPr>
            </w:pPr>
            <w:r w:rsidRPr="00D948C1">
              <w:rPr>
                <w:szCs w:val="24"/>
              </w:rPr>
              <w:t>Revenue contributions to capital*</w:t>
            </w:r>
          </w:p>
        </w:tc>
        <w:tc>
          <w:tcPr>
            <w:tcW w:w="1512" w:type="dxa"/>
            <w:vAlign w:val="center"/>
          </w:tcPr>
          <w:p w14:paraId="33840250" w14:textId="089B4682" w:rsidR="002A5A6B" w:rsidRPr="00886131" w:rsidRDefault="004B468D" w:rsidP="002A5A6B">
            <w:pPr>
              <w:pStyle w:val="Footer"/>
              <w:tabs>
                <w:tab w:val="clear" w:pos="4153"/>
                <w:tab w:val="clear" w:pos="8306"/>
                <w:tab w:val="decimal" w:pos="1026"/>
              </w:tabs>
              <w:jc w:val="right"/>
              <w:rPr>
                <w:szCs w:val="24"/>
              </w:rPr>
            </w:pPr>
            <w:r w:rsidRPr="0026417B">
              <w:rPr>
                <w:szCs w:val="24"/>
              </w:rPr>
              <w:t>(3,000)</w:t>
            </w:r>
          </w:p>
        </w:tc>
        <w:tc>
          <w:tcPr>
            <w:tcW w:w="1465" w:type="dxa"/>
            <w:vAlign w:val="center"/>
          </w:tcPr>
          <w:p w14:paraId="27A90FD5" w14:textId="3A304C28" w:rsidR="002A5A6B" w:rsidRPr="002004D2" w:rsidRDefault="002A5A6B" w:rsidP="002A5A6B">
            <w:pPr>
              <w:pStyle w:val="Footer"/>
              <w:tabs>
                <w:tab w:val="clear" w:pos="4153"/>
                <w:tab w:val="clear" w:pos="8306"/>
                <w:tab w:val="decimal" w:pos="1026"/>
              </w:tabs>
              <w:jc w:val="right"/>
              <w:rPr>
                <w:szCs w:val="24"/>
              </w:rPr>
            </w:pPr>
            <w:r w:rsidRPr="002004D2">
              <w:rPr>
                <w:szCs w:val="24"/>
              </w:rPr>
              <w:t>(4,171)</w:t>
            </w:r>
          </w:p>
        </w:tc>
      </w:tr>
      <w:tr w:rsidR="002A5A6B" w:rsidRPr="00D948C1" w14:paraId="44787C09" w14:textId="77777777" w:rsidTr="00C42769">
        <w:trPr>
          <w:trHeight w:hRule="exact" w:val="300"/>
        </w:trPr>
        <w:tc>
          <w:tcPr>
            <w:tcW w:w="5342" w:type="dxa"/>
          </w:tcPr>
          <w:p w14:paraId="443EEAFA" w14:textId="2413B158" w:rsidR="002A5A6B" w:rsidRPr="00D948C1" w:rsidRDefault="002A5A6B" w:rsidP="002A5A6B">
            <w:pPr>
              <w:pStyle w:val="Footer"/>
              <w:tabs>
                <w:tab w:val="clear" w:pos="4153"/>
                <w:tab w:val="clear" w:pos="8306"/>
              </w:tabs>
              <w:rPr>
                <w:szCs w:val="24"/>
              </w:rPr>
            </w:pPr>
            <w:r w:rsidRPr="00D948C1">
              <w:rPr>
                <w:szCs w:val="24"/>
              </w:rPr>
              <w:t>Funding from earmarked reserves</w:t>
            </w:r>
          </w:p>
        </w:tc>
        <w:tc>
          <w:tcPr>
            <w:tcW w:w="1512" w:type="dxa"/>
            <w:vAlign w:val="center"/>
          </w:tcPr>
          <w:p w14:paraId="3CC95881" w14:textId="7386409A" w:rsidR="002A5A6B" w:rsidRPr="00886131" w:rsidRDefault="003B11C5" w:rsidP="002A5A6B">
            <w:pPr>
              <w:pStyle w:val="Footer"/>
              <w:tabs>
                <w:tab w:val="clear" w:pos="4153"/>
                <w:tab w:val="clear" w:pos="8306"/>
                <w:tab w:val="decimal" w:pos="1026"/>
              </w:tabs>
              <w:jc w:val="right"/>
              <w:rPr>
                <w:szCs w:val="24"/>
              </w:rPr>
            </w:pPr>
            <w:r>
              <w:rPr>
                <w:szCs w:val="24"/>
              </w:rPr>
              <w:t>(1,261)</w:t>
            </w:r>
          </w:p>
        </w:tc>
        <w:tc>
          <w:tcPr>
            <w:tcW w:w="1465" w:type="dxa"/>
            <w:vAlign w:val="center"/>
          </w:tcPr>
          <w:p w14:paraId="135524FB" w14:textId="7710D2CA" w:rsidR="002A5A6B" w:rsidRPr="002004D2" w:rsidRDefault="002A5A6B" w:rsidP="002A5A6B">
            <w:pPr>
              <w:pStyle w:val="Footer"/>
              <w:tabs>
                <w:tab w:val="clear" w:pos="4153"/>
                <w:tab w:val="clear" w:pos="8306"/>
                <w:tab w:val="decimal" w:pos="1026"/>
              </w:tabs>
              <w:jc w:val="right"/>
              <w:rPr>
                <w:szCs w:val="24"/>
              </w:rPr>
            </w:pPr>
            <w:r w:rsidRPr="002004D2">
              <w:rPr>
                <w:szCs w:val="24"/>
              </w:rPr>
              <w:t>(</w:t>
            </w:r>
            <w:r w:rsidR="00372943">
              <w:rPr>
                <w:szCs w:val="24"/>
              </w:rPr>
              <w:t>1,018</w:t>
            </w:r>
            <w:r w:rsidRPr="002004D2">
              <w:rPr>
                <w:szCs w:val="24"/>
              </w:rPr>
              <w:t>)</w:t>
            </w:r>
          </w:p>
        </w:tc>
      </w:tr>
      <w:tr w:rsidR="002A5A6B" w:rsidRPr="00D948C1" w14:paraId="7F7B5646" w14:textId="77777777" w:rsidTr="00C42769">
        <w:trPr>
          <w:trHeight w:hRule="exact" w:val="300"/>
        </w:trPr>
        <w:tc>
          <w:tcPr>
            <w:tcW w:w="5342" w:type="dxa"/>
          </w:tcPr>
          <w:p w14:paraId="4CC4F6CC" w14:textId="76727B99" w:rsidR="002A5A6B" w:rsidRPr="00D948C1" w:rsidRDefault="002A5A6B" w:rsidP="002A5A6B">
            <w:pPr>
              <w:pStyle w:val="Footer"/>
              <w:tabs>
                <w:tab w:val="clear" w:pos="4153"/>
                <w:tab w:val="clear" w:pos="8306"/>
              </w:tabs>
              <w:rPr>
                <w:szCs w:val="24"/>
              </w:rPr>
            </w:pPr>
            <w:r w:rsidRPr="00D948C1">
              <w:rPr>
                <w:szCs w:val="24"/>
              </w:rPr>
              <w:t>Capital receipts</w:t>
            </w:r>
          </w:p>
        </w:tc>
        <w:tc>
          <w:tcPr>
            <w:tcW w:w="1512" w:type="dxa"/>
            <w:vAlign w:val="center"/>
          </w:tcPr>
          <w:p w14:paraId="3B3CCC46" w14:textId="095DBB4D" w:rsidR="002A5A6B" w:rsidRPr="00886131" w:rsidRDefault="00B0290A" w:rsidP="002A5A6B">
            <w:pPr>
              <w:pStyle w:val="Footer"/>
              <w:tabs>
                <w:tab w:val="clear" w:pos="4153"/>
                <w:tab w:val="clear" w:pos="8306"/>
                <w:tab w:val="decimal" w:pos="1026"/>
              </w:tabs>
              <w:jc w:val="right"/>
              <w:rPr>
                <w:szCs w:val="24"/>
              </w:rPr>
            </w:pPr>
            <w:r w:rsidRPr="0026417B">
              <w:rPr>
                <w:szCs w:val="24"/>
              </w:rPr>
              <w:t>-</w:t>
            </w:r>
          </w:p>
        </w:tc>
        <w:tc>
          <w:tcPr>
            <w:tcW w:w="1465" w:type="dxa"/>
            <w:vAlign w:val="center"/>
          </w:tcPr>
          <w:p w14:paraId="26755CF1" w14:textId="1792F632" w:rsidR="002A5A6B" w:rsidRPr="002004D2" w:rsidRDefault="002A5A6B" w:rsidP="002A5A6B">
            <w:pPr>
              <w:pStyle w:val="Footer"/>
              <w:tabs>
                <w:tab w:val="clear" w:pos="4153"/>
                <w:tab w:val="clear" w:pos="8306"/>
                <w:tab w:val="decimal" w:pos="1026"/>
              </w:tabs>
              <w:jc w:val="right"/>
              <w:rPr>
                <w:szCs w:val="24"/>
              </w:rPr>
            </w:pPr>
            <w:r w:rsidRPr="002004D2">
              <w:rPr>
                <w:szCs w:val="24"/>
              </w:rPr>
              <w:t>(1,637)</w:t>
            </w:r>
          </w:p>
        </w:tc>
      </w:tr>
      <w:tr w:rsidR="002A5A6B" w:rsidRPr="00D948C1" w14:paraId="74DEB076" w14:textId="77777777" w:rsidTr="008B00BF">
        <w:trPr>
          <w:trHeight w:hRule="exact" w:val="300"/>
        </w:trPr>
        <w:tc>
          <w:tcPr>
            <w:tcW w:w="5342" w:type="dxa"/>
          </w:tcPr>
          <w:p w14:paraId="7619B574" w14:textId="20B972EF" w:rsidR="002A5A6B" w:rsidRPr="00D948C1" w:rsidRDefault="002A5A6B" w:rsidP="002A5A6B">
            <w:pPr>
              <w:pStyle w:val="Footer"/>
              <w:tabs>
                <w:tab w:val="clear" w:pos="4153"/>
                <w:tab w:val="clear" w:pos="8306"/>
              </w:tabs>
              <w:rPr>
                <w:szCs w:val="24"/>
              </w:rPr>
            </w:pPr>
            <w:r w:rsidRPr="00D948C1">
              <w:rPr>
                <w:szCs w:val="24"/>
              </w:rPr>
              <w:t>MRP</w:t>
            </w:r>
          </w:p>
        </w:tc>
        <w:tc>
          <w:tcPr>
            <w:tcW w:w="1512" w:type="dxa"/>
            <w:vAlign w:val="center"/>
          </w:tcPr>
          <w:p w14:paraId="53532657" w14:textId="71F23405" w:rsidR="002A5A6B" w:rsidRPr="00886131" w:rsidRDefault="00B0290A" w:rsidP="002A5A6B">
            <w:pPr>
              <w:pStyle w:val="Footer"/>
              <w:tabs>
                <w:tab w:val="clear" w:pos="4153"/>
                <w:tab w:val="clear" w:pos="8306"/>
                <w:tab w:val="decimal" w:pos="1026"/>
              </w:tabs>
              <w:jc w:val="right"/>
              <w:rPr>
                <w:szCs w:val="24"/>
              </w:rPr>
            </w:pPr>
            <w:r w:rsidRPr="0026417B">
              <w:rPr>
                <w:szCs w:val="24"/>
              </w:rPr>
              <w:t>(606)</w:t>
            </w:r>
          </w:p>
        </w:tc>
        <w:tc>
          <w:tcPr>
            <w:tcW w:w="1465" w:type="dxa"/>
            <w:vAlign w:val="center"/>
          </w:tcPr>
          <w:p w14:paraId="3F72E70C" w14:textId="7ECAA0D7" w:rsidR="002A5A6B" w:rsidRPr="002004D2" w:rsidRDefault="002A5A6B" w:rsidP="002A5A6B">
            <w:pPr>
              <w:pStyle w:val="Footer"/>
              <w:tabs>
                <w:tab w:val="clear" w:pos="4153"/>
                <w:tab w:val="clear" w:pos="8306"/>
                <w:tab w:val="decimal" w:pos="1026"/>
              </w:tabs>
              <w:jc w:val="right"/>
              <w:rPr>
                <w:szCs w:val="24"/>
              </w:rPr>
            </w:pPr>
            <w:r w:rsidRPr="002004D2">
              <w:rPr>
                <w:szCs w:val="24"/>
              </w:rPr>
              <w:t>(517)</w:t>
            </w:r>
          </w:p>
        </w:tc>
      </w:tr>
      <w:tr w:rsidR="002A5A6B" w:rsidRPr="00D948C1" w14:paraId="4A4BAED0" w14:textId="77777777" w:rsidTr="008B00BF">
        <w:trPr>
          <w:trHeight w:hRule="exact" w:val="300"/>
        </w:trPr>
        <w:tc>
          <w:tcPr>
            <w:tcW w:w="5342" w:type="dxa"/>
          </w:tcPr>
          <w:p w14:paraId="1E249E53" w14:textId="7F12B756" w:rsidR="002A5A6B" w:rsidRPr="00D948C1" w:rsidRDefault="002A5A6B" w:rsidP="002A5A6B">
            <w:pPr>
              <w:rPr>
                <w:szCs w:val="24"/>
              </w:rPr>
            </w:pPr>
            <w:r w:rsidRPr="00D948C1">
              <w:rPr>
                <w:szCs w:val="24"/>
              </w:rPr>
              <w:t>Closing Capital Financing Requirement</w:t>
            </w:r>
          </w:p>
        </w:tc>
        <w:tc>
          <w:tcPr>
            <w:tcW w:w="1512" w:type="dxa"/>
            <w:vAlign w:val="center"/>
          </w:tcPr>
          <w:p w14:paraId="7DDA8893" w14:textId="3F51774C" w:rsidR="002A5A6B" w:rsidRPr="0026417B" w:rsidRDefault="00E32273" w:rsidP="002A5A6B">
            <w:pPr>
              <w:pStyle w:val="Footer"/>
              <w:tabs>
                <w:tab w:val="clear" w:pos="4153"/>
                <w:tab w:val="clear" w:pos="8306"/>
                <w:tab w:val="decimal" w:pos="1026"/>
              </w:tabs>
              <w:jc w:val="right"/>
              <w:rPr>
                <w:szCs w:val="24"/>
              </w:rPr>
            </w:pPr>
            <w:r w:rsidRPr="00F46B17">
              <w:rPr>
                <w:szCs w:val="24"/>
              </w:rPr>
              <w:t>12,440</w:t>
            </w:r>
          </w:p>
        </w:tc>
        <w:tc>
          <w:tcPr>
            <w:tcW w:w="1465" w:type="dxa"/>
            <w:vAlign w:val="center"/>
          </w:tcPr>
          <w:p w14:paraId="1CE0EB47" w14:textId="59A06E2D" w:rsidR="002A5A6B" w:rsidRPr="002004D2" w:rsidRDefault="00F619A5" w:rsidP="002A5A6B">
            <w:pPr>
              <w:pStyle w:val="Footer"/>
              <w:tabs>
                <w:tab w:val="clear" w:pos="4153"/>
                <w:tab w:val="clear" w:pos="8306"/>
                <w:tab w:val="decimal" w:pos="1026"/>
              </w:tabs>
              <w:jc w:val="right"/>
              <w:rPr>
                <w:szCs w:val="24"/>
              </w:rPr>
            </w:pPr>
            <w:r>
              <w:rPr>
                <w:szCs w:val="24"/>
              </w:rPr>
              <w:t>11,766</w:t>
            </w:r>
          </w:p>
        </w:tc>
      </w:tr>
    </w:tbl>
    <w:p w14:paraId="45777225" w14:textId="77777777" w:rsidR="00372872" w:rsidRPr="00D948C1" w:rsidRDefault="00372872"/>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210760" w:rsidRPr="00D948C1" w14:paraId="15B2B2CA" w14:textId="77777777" w:rsidTr="007641BA">
        <w:trPr>
          <w:trHeight w:hRule="exact" w:val="300"/>
        </w:trPr>
        <w:tc>
          <w:tcPr>
            <w:tcW w:w="8319" w:type="dxa"/>
            <w:gridSpan w:val="3"/>
            <w:shd w:val="clear" w:color="auto" w:fill="D9D9D9" w:themeFill="background1" w:themeFillShade="D9"/>
          </w:tcPr>
          <w:p w14:paraId="78750EDA" w14:textId="617CD4EC" w:rsidR="00210760" w:rsidRPr="00D948C1" w:rsidRDefault="00210760" w:rsidP="00BC6C4F">
            <w:pPr>
              <w:pStyle w:val="Footer"/>
              <w:tabs>
                <w:tab w:val="clear" w:pos="4153"/>
                <w:tab w:val="clear" w:pos="8306"/>
                <w:tab w:val="decimal" w:pos="1026"/>
              </w:tabs>
              <w:rPr>
                <w:b/>
                <w:bCs/>
                <w:szCs w:val="24"/>
              </w:rPr>
            </w:pPr>
            <w:r w:rsidRPr="00D948C1">
              <w:rPr>
                <w:b/>
                <w:bCs/>
                <w:szCs w:val="24"/>
              </w:rPr>
              <w:t>Explanation of movements in year</w:t>
            </w:r>
          </w:p>
        </w:tc>
      </w:tr>
      <w:tr w:rsidR="002A5A6B" w:rsidRPr="00D948C1" w14:paraId="202D62FF" w14:textId="77777777" w:rsidTr="00C42769">
        <w:trPr>
          <w:trHeight w:hRule="exact" w:val="856"/>
        </w:trPr>
        <w:tc>
          <w:tcPr>
            <w:tcW w:w="5342" w:type="dxa"/>
          </w:tcPr>
          <w:p w14:paraId="65CC8381" w14:textId="78E8D0F4" w:rsidR="002A5A6B" w:rsidRPr="00D948C1" w:rsidRDefault="002A5A6B" w:rsidP="002A5A6B">
            <w:pPr>
              <w:pStyle w:val="Footer"/>
              <w:tabs>
                <w:tab w:val="clear" w:pos="4153"/>
                <w:tab w:val="clear" w:pos="8306"/>
              </w:tabs>
              <w:rPr>
                <w:szCs w:val="24"/>
              </w:rPr>
            </w:pPr>
            <w:r w:rsidRPr="00D948C1">
              <w:rPr>
                <w:szCs w:val="24"/>
              </w:rPr>
              <w:t>(Decrease)/Increase in underlying need to borrow (supported by Government financial assistance)</w:t>
            </w:r>
          </w:p>
        </w:tc>
        <w:tc>
          <w:tcPr>
            <w:tcW w:w="1512" w:type="dxa"/>
            <w:vAlign w:val="center"/>
          </w:tcPr>
          <w:p w14:paraId="71DDD908" w14:textId="3B400DB1" w:rsidR="002A5A6B" w:rsidRPr="00886131" w:rsidRDefault="00116F62" w:rsidP="002A5A6B">
            <w:pPr>
              <w:pStyle w:val="Footer"/>
              <w:tabs>
                <w:tab w:val="clear" w:pos="4153"/>
                <w:tab w:val="clear" w:pos="8306"/>
                <w:tab w:val="decimal" w:pos="1121"/>
              </w:tabs>
              <w:jc w:val="right"/>
              <w:rPr>
                <w:szCs w:val="24"/>
              </w:rPr>
            </w:pPr>
            <w:r w:rsidRPr="0026417B">
              <w:rPr>
                <w:szCs w:val="24"/>
              </w:rPr>
              <w:t>(606)</w:t>
            </w:r>
          </w:p>
        </w:tc>
        <w:tc>
          <w:tcPr>
            <w:tcW w:w="1465" w:type="dxa"/>
            <w:vAlign w:val="center"/>
          </w:tcPr>
          <w:p w14:paraId="34A860CE" w14:textId="3F91DF30" w:rsidR="002A5A6B" w:rsidRPr="002004D2" w:rsidRDefault="002A5A6B" w:rsidP="002A5A6B">
            <w:pPr>
              <w:pStyle w:val="Footer"/>
              <w:tabs>
                <w:tab w:val="clear" w:pos="4153"/>
                <w:tab w:val="clear" w:pos="8306"/>
                <w:tab w:val="decimal" w:pos="1121"/>
              </w:tabs>
              <w:jc w:val="right"/>
              <w:rPr>
                <w:szCs w:val="24"/>
              </w:rPr>
            </w:pPr>
            <w:r w:rsidRPr="002004D2">
              <w:rPr>
                <w:szCs w:val="24"/>
              </w:rPr>
              <w:t>(517)</w:t>
            </w:r>
          </w:p>
        </w:tc>
      </w:tr>
      <w:tr w:rsidR="002A5A6B" w:rsidRPr="00D948C1" w14:paraId="232FF4FF" w14:textId="77777777" w:rsidTr="00C42769">
        <w:trPr>
          <w:trHeight w:hRule="exact" w:val="300"/>
        </w:trPr>
        <w:tc>
          <w:tcPr>
            <w:tcW w:w="5342" w:type="dxa"/>
          </w:tcPr>
          <w:p w14:paraId="224990EC" w14:textId="28A83579" w:rsidR="002A5A6B" w:rsidRPr="00D948C1" w:rsidRDefault="002A5A6B" w:rsidP="002A5A6B">
            <w:pPr>
              <w:pStyle w:val="Footer"/>
              <w:tabs>
                <w:tab w:val="clear" w:pos="4153"/>
                <w:tab w:val="clear" w:pos="8306"/>
              </w:tabs>
              <w:rPr>
                <w:szCs w:val="24"/>
              </w:rPr>
            </w:pPr>
            <w:r w:rsidRPr="00D948C1">
              <w:rPr>
                <w:szCs w:val="24"/>
              </w:rPr>
              <w:t>Assets acquired under finance lease</w:t>
            </w:r>
          </w:p>
        </w:tc>
        <w:tc>
          <w:tcPr>
            <w:tcW w:w="1512" w:type="dxa"/>
            <w:vAlign w:val="center"/>
          </w:tcPr>
          <w:p w14:paraId="7B496E78" w14:textId="45CF742C" w:rsidR="002A5A6B" w:rsidRPr="0026417B" w:rsidRDefault="00505CC7" w:rsidP="002A5A6B">
            <w:pPr>
              <w:pStyle w:val="Footer"/>
              <w:tabs>
                <w:tab w:val="clear" w:pos="4153"/>
                <w:tab w:val="clear" w:pos="8306"/>
                <w:tab w:val="decimal" w:pos="1026"/>
              </w:tabs>
              <w:jc w:val="right"/>
              <w:rPr>
                <w:szCs w:val="24"/>
              </w:rPr>
            </w:pPr>
            <w:r w:rsidRPr="00F46B17">
              <w:rPr>
                <w:szCs w:val="24"/>
              </w:rPr>
              <w:t>-</w:t>
            </w:r>
          </w:p>
        </w:tc>
        <w:tc>
          <w:tcPr>
            <w:tcW w:w="1465" w:type="dxa"/>
            <w:vAlign w:val="center"/>
          </w:tcPr>
          <w:p w14:paraId="4B1FEF66" w14:textId="6729AB98" w:rsidR="002A5A6B" w:rsidRPr="002004D2" w:rsidRDefault="002A5A6B" w:rsidP="002A5A6B">
            <w:pPr>
              <w:pStyle w:val="Footer"/>
              <w:tabs>
                <w:tab w:val="clear" w:pos="4153"/>
                <w:tab w:val="clear" w:pos="8306"/>
                <w:tab w:val="decimal" w:pos="1026"/>
              </w:tabs>
              <w:jc w:val="right"/>
              <w:rPr>
                <w:szCs w:val="24"/>
              </w:rPr>
            </w:pPr>
            <w:r w:rsidRPr="002004D2">
              <w:rPr>
                <w:szCs w:val="24"/>
              </w:rPr>
              <w:t>-</w:t>
            </w:r>
          </w:p>
        </w:tc>
      </w:tr>
      <w:tr w:rsidR="002A5A6B" w:rsidRPr="00D948C1" w14:paraId="24C0FB82" w14:textId="77777777" w:rsidTr="00C42769">
        <w:trPr>
          <w:trHeight w:hRule="exact" w:val="300"/>
        </w:trPr>
        <w:tc>
          <w:tcPr>
            <w:tcW w:w="5342" w:type="dxa"/>
          </w:tcPr>
          <w:p w14:paraId="6016CF86" w14:textId="3981ED08" w:rsidR="002A5A6B" w:rsidRPr="00D948C1" w:rsidRDefault="002A5A6B" w:rsidP="002A5A6B">
            <w:pPr>
              <w:pStyle w:val="Footer"/>
              <w:tabs>
                <w:tab w:val="clear" w:pos="4153"/>
                <w:tab w:val="clear" w:pos="8306"/>
              </w:tabs>
              <w:rPr>
                <w:szCs w:val="24"/>
              </w:rPr>
            </w:pPr>
            <w:r w:rsidRPr="00D948C1">
              <w:rPr>
                <w:szCs w:val="24"/>
              </w:rPr>
              <w:t>Total</w:t>
            </w:r>
          </w:p>
        </w:tc>
        <w:tc>
          <w:tcPr>
            <w:tcW w:w="1512" w:type="dxa"/>
            <w:vAlign w:val="center"/>
          </w:tcPr>
          <w:p w14:paraId="6624257D" w14:textId="494BCB21" w:rsidR="002A5A6B" w:rsidRPr="0026417B" w:rsidRDefault="00F52EA2" w:rsidP="002A5A6B">
            <w:pPr>
              <w:pStyle w:val="Footer"/>
              <w:tabs>
                <w:tab w:val="clear" w:pos="4153"/>
                <w:tab w:val="clear" w:pos="8306"/>
                <w:tab w:val="decimal" w:pos="1026"/>
              </w:tabs>
              <w:jc w:val="right"/>
              <w:rPr>
                <w:szCs w:val="24"/>
              </w:rPr>
            </w:pPr>
            <w:r w:rsidRPr="00F46B17">
              <w:rPr>
                <w:szCs w:val="24"/>
              </w:rPr>
              <w:t>(606)</w:t>
            </w:r>
          </w:p>
        </w:tc>
        <w:tc>
          <w:tcPr>
            <w:tcW w:w="1465" w:type="dxa"/>
            <w:vAlign w:val="center"/>
          </w:tcPr>
          <w:p w14:paraId="13BF1623" w14:textId="1969AAC9" w:rsidR="002A5A6B" w:rsidRPr="002004D2" w:rsidRDefault="002A5A6B" w:rsidP="002A5A6B">
            <w:pPr>
              <w:pStyle w:val="Footer"/>
              <w:tabs>
                <w:tab w:val="clear" w:pos="4153"/>
                <w:tab w:val="clear" w:pos="8306"/>
                <w:tab w:val="decimal" w:pos="1026"/>
              </w:tabs>
              <w:jc w:val="right"/>
              <w:rPr>
                <w:szCs w:val="24"/>
              </w:rPr>
            </w:pPr>
            <w:r w:rsidRPr="002004D2">
              <w:rPr>
                <w:szCs w:val="24"/>
              </w:rPr>
              <w:t>(517)</w:t>
            </w:r>
          </w:p>
        </w:tc>
      </w:tr>
    </w:tbl>
    <w:p w14:paraId="0EB86AE3" w14:textId="2A590E14" w:rsidR="00CA025A" w:rsidRPr="00891EA6" w:rsidRDefault="00891EA6" w:rsidP="00891EA6">
      <w:pPr>
        <w:ind w:left="720"/>
        <w:rPr>
          <w:szCs w:val="24"/>
        </w:rPr>
      </w:pPr>
      <w:r>
        <w:rPr>
          <w:szCs w:val="24"/>
        </w:rPr>
        <w:t>*</w:t>
      </w:r>
      <w:r w:rsidR="004F149A" w:rsidRPr="00891EA6">
        <w:rPr>
          <w:szCs w:val="24"/>
        </w:rPr>
        <w:t xml:space="preserve">Includes NWFC </w:t>
      </w:r>
      <w:r w:rsidR="005436A9" w:rsidRPr="00891EA6">
        <w:rPr>
          <w:szCs w:val="24"/>
        </w:rPr>
        <w:t>balances.</w:t>
      </w:r>
    </w:p>
    <w:p w14:paraId="2997981F" w14:textId="357DE9F0" w:rsidR="00891EA6" w:rsidRDefault="003B11C5" w:rsidP="00891EA6">
      <w:pPr>
        <w:ind w:left="709"/>
        <w:rPr>
          <w:szCs w:val="24"/>
        </w:rPr>
      </w:pPr>
      <w:r>
        <w:rPr>
          <w:szCs w:val="24"/>
        </w:rPr>
        <w:t>**</w:t>
      </w:r>
      <w:r w:rsidR="00891EA6">
        <w:rPr>
          <w:szCs w:val="24"/>
        </w:rPr>
        <w:t xml:space="preserve">see </w:t>
      </w:r>
      <w:hyperlink w:anchor="_31_Prior_Period" w:history="1">
        <w:r w:rsidR="00891EA6" w:rsidRPr="008A52B6">
          <w:rPr>
            <w:rStyle w:val="Hyperlink"/>
            <w:szCs w:val="24"/>
          </w:rPr>
          <w:t>Note 31</w:t>
        </w:r>
      </w:hyperlink>
      <w:r w:rsidR="00891EA6">
        <w:t>, Prior Year Adjustments</w:t>
      </w:r>
      <w:r w:rsidR="00891EA6">
        <w:rPr>
          <w:szCs w:val="24"/>
        </w:rPr>
        <w:t xml:space="preserve"> for restatement details.</w:t>
      </w:r>
    </w:p>
    <w:p w14:paraId="1E6AF6A1" w14:textId="77777777" w:rsidR="00073CDA" w:rsidRDefault="00073CDA">
      <w:pPr>
        <w:rPr>
          <w:b/>
          <w:bCs/>
        </w:rPr>
      </w:pPr>
      <w:r>
        <w:rPr>
          <w:b/>
          <w:bCs/>
        </w:rPr>
        <w:br w:type="page"/>
      </w:r>
    </w:p>
    <w:p w14:paraId="38B09E12" w14:textId="592C39EA" w:rsidR="00D90216" w:rsidRPr="00D948C1" w:rsidRDefault="00D90216" w:rsidP="003278CF">
      <w:pPr>
        <w:ind w:firstLine="720"/>
        <w:rPr>
          <w:b/>
          <w:bCs/>
        </w:rPr>
      </w:pPr>
      <w:r w:rsidRPr="00D948C1">
        <w:rPr>
          <w:b/>
          <w:bCs/>
        </w:rPr>
        <w:lastRenderedPageBreak/>
        <w:t>Details of Assets Held</w:t>
      </w:r>
    </w:p>
    <w:p w14:paraId="6AACFDD7" w14:textId="77777777" w:rsidR="00D90216" w:rsidRPr="00D948C1" w:rsidRDefault="00D90216" w:rsidP="00210760">
      <w:pPr>
        <w:ind w:left="720"/>
        <w:rPr>
          <w:szCs w:val="24"/>
        </w:rPr>
      </w:pPr>
    </w:p>
    <w:p w14:paraId="09931120" w14:textId="77777777" w:rsidR="00D90216" w:rsidRPr="00D948C1" w:rsidRDefault="00D90216" w:rsidP="00210760">
      <w:pPr>
        <w:ind w:left="720"/>
        <w:rPr>
          <w:szCs w:val="24"/>
        </w:rPr>
      </w:pPr>
      <w:r w:rsidRPr="00D948C1">
        <w:rPr>
          <w:szCs w:val="24"/>
        </w:rPr>
        <w:t>The number of main assets held by the Authority are shown below:</w:t>
      </w:r>
    </w:p>
    <w:p w14:paraId="6A04C14E" w14:textId="77777777" w:rsidR="00D90216" w:rsidRPr="00D948C1" w:rsidRDefault="00D90216" w:rsidP="00D90216">
      <w:pPr>
        <w:ind w:left="720"/>
        <w:rPr>
          <w:sz w:val="22"/>
        </w:rPr>
      </w:pPr>
    </w:p>
    <w:tbl>
      <w:tblPr>
        <w:tblW w:w="86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5"/>
        <w:gridCol w:w="1560"/>
        <w:gridCol w:w="1417"/>
      </w:tblGrid>
      <w:tr w:rsidR="00174738" w:rsidRPr="00D948C1" w14:paraId="63715B59" w14:textId="77777777" w:rsidTr="00611673">
        <w:trPr>
          <w:trHeight w:hRule="exact" w:val="608"/>
          <w:tblHeader/>
        </w:trPr>
        <w:tc>
          <w:tcPr>
            <w:tcW w:w="5625" w:type="dxa"/>
            <w:shd w:val="clear" w:color="auto" w:fill="BD2716"/>
          </w:tcPr>
          <w:p w14:paraId="5378AE84" w14:textId="77777777" w:rsidR="00174738" w:rsidRPr="00D948C1" w:rsidRDefault="00174738" w:rsidP="00174738">
            <w:pPr>
              <w:rPr>
                <w:color w:val="FFFFFF" w:themeColor="background1"/>
                <w:szCs w:val="24"/>
              </w:rPr>
            </w:pPr>
          </w:p>
        </w:tc>
        <w:tc>
          <w:tcPr>
            <w:tcW w:w="1560" w:type="dxa"/>
            <w:shd w:val="clear" w:color="auto" w:fill="BD2716"/>
            <w:vAlign w:val="center"/>
          </w:tcPr>
          <w:p w14:paraId="74013D40" w14:textId="6684274B"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202</w:t>
            </w:r>
            <w:r w:rsidR="002A5A6B">
              <w:rPr>
                <w:color w:val="FFFFFF" w:themeColor="background1"/>
                <w:szCs w:val="24"/>
                <w:lang w:val="en-GB"/>
              </w:rPr>
              <w:t>4</w:t>
            </w:r>
            <w:r w:rsidRPr="00D948C1">
              <w:rPr>
                <w:color w:val="FFFFFF" w:themeColor="background1"/>
                <w:szCs w:val="24"/>
                <w:lang w:val="en-GB"/>
              </w:rPr>
              <w:t>/2</w:t>
            </w:r>
            <w:r w:rsidR="002A5A6B">
              <w:rPr>
                <w:color w:val="FFFFFF" w:themeColor="background1"/>
                <w:szCs w:val="24"/>
                <w:lang w:val="en-GB"/>
              </w:rPr>
              <w:t>5</w:t>
            </w:r>
          </w:p>
          <w:p w14:paraId="57CBEE58" w14:textId="4FD418A8" w:rsidR="00AA6973" w:rsidRPr="00D948C1" w:rsidRDefault="00AA6973" w:rsidP="00611673">
            <w:pPr>
              <w:pStyle w:val="BodyTextIndent"/>
              <w:ind w:left="0"/>
              <w:jc w:val="right"/>
              <w:rPr>
                <w:color w:val="FFFFFF" w:themeColor="background1"/>
                <w:szCs w:val="24"/>
                <w:lang w:val="en-GB"/>
              </w:rPr>
            </w:pPr>
            <w:r w:rsidRPr="00D948C1">
              <w:rPr>
                <w:color w:val="FFFFFF" w:themeColor="background1"/>
                <w:szCs w:val="24"/>
                <w:lang w:val="en-GB"/>
              </w:rPr>
              <w:t>No.</w:t>
            </w:r>
          </w:p>
        </w:tc>
        <w:tc>
          <w:tcPr>
            <w:tcW w:w="1417" w:type="dxa"/>
            <w:shd w:val="clear" w:color="auto" w:fill="BD2716"/>
            <w:vAlign w:val="center"/>
          </w:tcPr>
          <w:p w14:paraId="4BDE779E" w14:textId="21C53F49" w:rsidR="00174738" w:rsidRPr="00D948C1" w:rsidRDefault="00174738" w:rsidP="00611673">
            <w:pPr>
              <w:pStyle w:val="BodyTextIndent"/>
              <w:ind w:left="0"/>
              <w:jc w:val="right"/>
              <w:rPr>
                <w:color w:val="FFFFFF" w:themeColor="background1"/>
                <w:szCs w:val="24"/>
                <w:lang w:val="en-GB"/>
              </w:rPr>
            </w:pPr>
            <w:r w:rsidRPr="00D948C1">
              <w:rPr>
                <w:color w:val="FFFFFF" w:themeColor="background1"/>
                <w:szCs w:val="24"/>
                <w:lang w:val="en-GB"/>
              </w:rPr>
              <w:t>202</w:t>
            </w:r>
            <w:r w:rsidR="002A5A6B">
              <w:rPr>
                <w:color w:val="FFFFFF" w:themeColor="background1"/>
                <w:szCs w:val="24"/>
                <w:lang w:val="en-GB"/>
              </w:rPr>
              <w:t>3</w:t>
            </w:r>
            <w:r w:rsidRPr="00D948C1">
              <w:rPr>
                <w:color w:val="FFFFFF" w:themeColor="background1"/>
                <w:szCs w:val="24"/>
                <w:lang w:val="en-GB"/>
              </w:rPr>
              <w:t>/2</w:t>
            </w:r>
            <w:r w:rsidR="002A5A6B">
              <w:rPr>
                <w:color w:val="FFFFFF" w:themeColor="background1"/>
                <w:szCs w:val="24"/>
                <w:lang w:val="en-GB"/>
              </w:rPr>
              <w:t>4</w:t>
            </w:r>
          </w:p>
          <w:p w14:paraId="5C8D1D8E" w14:textId="62B601A1" w:rsidR="00AA6973" w:rsidRPr="00D948C1" w:rsidRDefault="00AA6973" w:rsidP="00611673">
            <w:pPr>
              <w:pStyle w:val="BodyTextIndent"/>
              <w:ind w:left="0"/>
              <w:jc w:val="right"/>
              <w:rPr>
                <w:color w:val="FFFFFF" w:themeColor="background1"/>
                <w:szCs w:val="24"/>
                <w:lang w:val="en-GB"/>
              </w:rPr>
            </w:pPr>
            <w:r w:rsidRPr="00D948C1">
              <w:rPr>
                <w:color w:val="FFFFFF" w:themeColor="background1"/>
                <w:szCs w:val="24"/>
                <w:lang w:val="en-GB"/>
              </w:rPr>
              <w:t>No.</w:t>
            </w:r>
          </w:p>
        </w:tc>
      </w:tr>
      <w:tr w:rsidR="00174738" w:rsidRPr="00D948C1" w14:paraId="75ECF98F" w14:textId="77777777" w:rsidTr="00372872">
        <w:trPr>
          <w:trHeight w:hRule="exact" w:val="300"/>
        </w:trPr>
        <w:tc>
          <w:tcPr>
            <w:tcW w:w="5625" w:type="dxa"/>
          </w:tcPr>
          <w:p w14:paraId="0ECA579A" w14:textId="77777777" w:rsidR="00174738" w:rsidRPr="00D948C1" w:rsidRDefault="00174738" w:rsidP="00174738">
            <w:pPr>
              <w:rPr>
                <w:szCs w:val="24"/>
              </w:rPr>
            </w:pPr>
            <w:r w:rsidRPr="00D948C1">
              <w:rPr>
                <w:szCs w:val="24"/>
              </w:rPr>
              <w:t>Headquarters</w:t>
            </w:r>
          </w:p>
        </w:tc>
        <w:tc>
          <w:tcPr>
            <w:tcW w:w="1560" w:type="dxa"/>
            <w:vAlign w:val="center"/>
          </w:tcPr>
          <w:p w14:paraId="038F6280" w14:textId="72574356" w:rsidR="00174738" w:rsidRPr="00886131" w:rsidRDefault="00F7719A" w:rsidP="00BC6C4F">
            <w:pPr>
              <w:pStyle w:val="Footer"/>
              <w:tabs>
                <w:tab w:val="clear" w:pos="4153"/>
                <w:tab w:val="clear" w:pos="8306"/>
                <w:tab w:val="decimal" w:pos="979"/>
              </w:tabs>
              <w:jc w:val="right"/>
              <w:rPr>
                <w:szCs w:val="24"/>
              </w:rPr>
            </w:pPr>
            <w:r w:rsidRPr="0026417B">
              <w:rPr>
                <w:szCs w:val="24"/>
              </w:rPr>
              <w:t>1</w:t>
            </w:r>
          </w:p>
        </w:tc>
        <w:tc>
          <w:tcPr>
            <w:tcW w:w="1417" w:type="dxa"/>
            <w:vAlign w:val="center"/>
          </w:tcPr>
          <w:p w14:paraId="0455E0FF" w14:textId="00F9929E" w:rsidR="00174738" w:rsidRPr="002004D2" w:rsidRDefault="00174738" w:rsidP="00BC6C4F">
            <w:pPr>
              <w:pStyle w:val="Footer"/>
              <w:tabs>
                <w:tab w:val="clear" w:pos="4153"/>
                <w:tab w:val="clear" w:pos="8306"/>
                <w:tab w:val="decimal" w:pos="979"/>
              </w:tabs>
              <w:jc w:val="right"/>
              <w:rPr>
                <w:szCs w:val="24"/>
              </w:rPr>
            </w:pPr>
            <w:r w:rsidRPr="002004D2">
              <w:rPr>
                <w:szCs w:val="24"/>
              </w:rPr>
              <w:t>1</w:t>
            </w:r>
          </w:p>
        </w:tc>
      </w:tr>
      <w:tr w:rsidR="00174738" w:rsidRPr="00D948C1" w14:paraId="20428ED7" w14:textId="77777777" w:rsidTr="00372872">
        <w:trPr>
          <w:trHeight w:hRule="exact" w:val="300"/>
        </w:trPr>
        <w:tc>
          <w:tcPr>
            <w:tcW w:w="5625" w:type="dxa"/>
          </w:tcPr>
          <w:p w14:paraId="1F2ED7EA" w14:textId="77777777" w:rsidR="00174738" w:rsidRPr="00D948C1" w:rsidRDefault="00174738" w:rsidP="00174738">
            <w:pPr>
              <w:pStyle w:val="Footer"/>
              <w:tabs>
                <w:tab w:val="clear" w:pos="4153"/>
                <w:tab w:val="clear" w:pos="8306"/>
              </w:tabs>
              <w:rPr>
                <w:szCs w:val="24"/>
              </w:rPr>
            </w:pPr>
            <w:r w:rsidRPr="00D948C1">
              <w:rPr>
                <w:szCs w:val="24"/>
              </w:rPr>
              <w:t>Fire Stations (including Area Headquarters)</w:t>
            </w:r>
          </w:p>
        </w:tc>
        <w:tc>
          <w:tcPr>
            <w:tcW w:w="1560" w:type="dxa"/>
            <w:vAlign w:val="center"/>
          </w:tcPr>
          <w:p w14:paraId="631DF450" w14:textId="76BFAC5F" w:rsidR="00174738" w:rsidRPr="00886131" w:rsidRDefault="00F7719A" w:rsidP="00BC6C4F">
            <w:pPr>
              <w:pStyle w:val="Footer"/>
              <w:tabs>
                <w:tab w:val="clear" w:pos="4153"/>
                <w:tab w:val="clear" w:pos="8306"/>
                <w:tab w:val="decimal" w:pos="979"/>
              </w:tabs>
              <w:jc w:val="right"/>
              <w:rPr>
                <w:szCs w:val="24"/>
              </w:rPr>
            </w:pPr>
            <w:r w:rsidRPr="0026417B">
              <w:rPr>
                <w:szCs w:val="24"/>
              </w:rPr>
              <w:t>39</w:t>
            </w:r>
          </w:p>
        </w:tc>
        <w:tc>
          <w:tcPr>
            <w:tcW w:w="1417" w:type="dxa"/>
            <w:vAlign w:val="center"/>
          </w:tcPr>
          <w:p w14:paraId="79BFC4B4" w14:textId="017A5FCA" w:rsidR="00174738" w:rsidRPr="002004D2" w:rsidRDefault="00174738" w:rsidP="00BC6C4F">
            <w:pPr>
              <w:pStyle w:val="Footer"/>
              <w:tabs>
                <w:tab w:val="clear" w:pos="4153"/>
                <w:tab w:val="clear" w:pos="8306"/>
                <w:tab w:val="decimal" w:pos="979"/>
              </w:tabs>
              <w:jc w:val="right"/>
              <w:rPr>
                <w:szCs w:val="24"/>
              </w:rPr>
            </w:pPr>
            <w:r w:rsidRPr="002004D2">
              <w:rPr>
                <w:szCs w:val="24"/>
              </w:rPr>
              <w:t>39</w:t>
            </w:r>
          </w:p>
        </w:tc>
      </w:tr>
      <w:tr w:rsidR="00174738" w:rsidRPr="00D948C1" w14:paraId="3347464C" w14:textId="77777777" w:rsidTr="00372872">
        <w:trPr>
          <w:trHeight w:hRule="exact" w:val="300"/>
        </w:trPr>
        <w:tc>
          <w:tcPr>
            <w:tcW w:w="5625" w:type="dxa"/>
          </w:tcPr>
          <w:p w14:paraId="346E9164" w14:textId="77777777" w:rsidR="00174738" w:rsidRPr="00D948C1" w:rsidRDefault="00174738" w:rsidP="00174738">
            <w:pPr>
              <w:rPr>
                <w:szCs w:val="24"/>
              </w:rPr>
            </w:pPr>
            <w:r w:rsidRPr="00D948C1">
              <w:rPr>
                <w:szCs w:val="24"/>
              </w:rPr>
              <w:t>Training School</w:t>
            </w:r>
          </w:p>
        </w:tc>
        <w:tc>
          <w:tcPr>
            <w:tcW w:w="1560" w:type="dxa"/>
          </w:tcPr>
          <w:p w14:paraId="10CC8784" w14:textId="3244AD8D" w:rsidR="00174738" w:rsidRPr="00886131" w:rsidRDefault="00F7719A" w:rsidP="00BC6C4F">
            <w:pPr>
              <w:pStyle w:val="Footer"/>
              <w:tabs>
                <w:tab w:val="clear" w:pos="4153"/>
                <w:tab w:val="clear" w:pos="8306"/>
                <w:tab w:val="decimal" w:pos="979"/>
              </w:tabs>
              <w:jc w:val="right"/>
              <w:rPr>
                <w:szCs w:val="24"/>
              </w:rPr>
            </w:pPr>
            <w:r w:rsidRPr="0026417B">
              <w:rPr>
                <w:szCs w:val="24"/>
              </w:rPr>
              <w:t>1</w:t>
            </w:r>
          </w:p>
        </w:tc>
        <w:tc>
          <w:tcPr>
            <w:tcW w:w="1417" w:type="dxa"/>
          </w:tcPr>
          <w:p w14:paraId="4D7F8200" w14:textId="4EB97830" w:rsidR="00174738" w:rsidRPr="002004D2" w:rsidRDefault="00174738" w:rsidP="00BC6C4F">
            <w:pPr>
              <w:pStyle w:val="Footer"/>
              <w:tabs>
                <w:tab w:val="clear" w:pos="4153"/>
                <w:tab w:val="clear" w:pos="8306"/>
                <w:tab w:val="decimal" w:pos="979"/>
              </w:tabs>
              <w:jc w:val="right"/>
              <w:rPr>
                <w:szCs w:val="24"/>
              </w:rPr>
            </w:pPr>
            <w:r w:rsidRPr="002004D2">
              <w:rPr>
                <w:szCs w:val="24"/>
              </w:rPr>
              <w:t>1</w:t>
            </w:r>
          </w:p>
        </w:tc>
      </w:tr>
      <w:tr w:rsidR="00174738" w:rsidRPr="00D948C1" w14:paraId="46695067" w14:textId="77777777" w:rsidTr="00372872">
        <w:trPr>
          <w:trHeight w:hRule="exact" w:val="300"/>
        </w:trPr>
        <w:tc>
          <w:tcPr>
            <w:tcW w:w="5625" w:type="dxa"/>
          </w:tcPr>
          <w:p w14:paraId="50608F33" w14:textId="77777777" w:rsidR="00174738" w:rsidRPr="00D948C1" w:rsidRDefault="00174738" w:rsidP="00174738">
            <w:pPr>
              <w:rPr>
                <w:szCs w:val="24"/>
              </w:rPr>
            </w:pPr>
            <w:r w:rsidRPr="00D948C1">
              <w:rPr>
                <w:szCs w:val="24"/>
              </w:rPr>
              <w:t>Fire houses</w:t>
            </w:r>
          </w:p>
        </w:tc>
        <w:tc>
          <w:tcPr>
            <w:tcW w:w="1560" w:type="dxa"/>
          </w:tcPr>
          <w:p w14:paraId="23627D35" w14:textId="0FC2C993" w:rsidR="00174738" w:rsidRPr="00886131" w:rsidRDefault="00F7719A" w:rsidP="00BC6C4F">
            <w:pPr>
              <w:pStyle w:val="Footer"/>
              <w:tabs>
                <w:tab w:val="clear" w:pos="4153"/>
                <w:tab w:val="clear" w:pos="8306"/>
                <w:tab w:val="decimal" w:pos="979"/>
              </w:tabs>
              <w:jc w:val="right"/>
              <w:rPr>
                <w:szCs w:val="24"/>
              </w:rPr>
            </w:pPr>
            <w:r w:rsidRPr="0026417B">
              <w:rPr>
                <w:szCs w:val="24"/>
              </w:rPr>
              <w:t>1</w:t>
            </w:r>
          </w:p>
        </w:tc>
        <w:tc>
          <w:tcPr>
            <w:tcW w:w="1417" w:type="dxa"/>
          </w:tcPr>
          <w:p w14:paraId="53F67051" w14:textId="3C44AA6E" w:rsidR="00174738" w:rsidRPr="002004D2" w:rsidRDefault="00174738" w:rsidP="00BC6C4F">
            <w:pPr>
              <w:pStyle w:val="Footer"/>
              <w:tabs>
                <w:tab w:val="clear" w:pos="4153"/>
                <w:tab w:val="clear" w:pos="8306"/>
                <w:tab w:val="decimal" w:pos="979"/>
              </w:tabs>
              <w:jc w:val="right"/>
              <w:rPr>
                <w:szCs w:val="24"/>
              </w:rPr>
            </w:pPr>
            <w:r w:rsidRPr="002004D2">
              <w:rPr>
                <w:szCs w:val="24"/>
              </w:rPr>
              <w:t>1</w:t>
            </w:r>
          </w:p>
        </w:tc>
      </w:tr>
    </w:tbl>
    <w:p w14:paraId="48165667" w14:textId="77777777" w:rsidR="00DF2B00" w:rsidRPr="00D948C1" w:rsidRDefault="00DF2B00" w:rsidP="00D90216">
      <w:pPr>
        <w:rPr>
          <w:b/>
          <w:szCs w:val="24"/>
        </w:rPr>
      </w:pPr>
      <w:bookmarkStart w:id="38" w:name="_Hlk140236889"/>
    </w:p>
    <w:p w14:paraId="61549ABD" w14:textId="51E2FB60" w:rsidR="00D90216" w:rsidRPr="00D948C1" w:rsidRDefault="00D90216" w:rsidP="003278CF">
      <w:pPr>
        <w:ind w:firstLine="720"/>
        <w:rPr>
          <w:b/>
          <w:bCs/>
        </w:rPr>
      </w:pPr>
      <w:r w:rsidRPr="00D948C1">
        <w:rPr>
          <w:b/>
          <w:bCs/>
        </w:rPr>
        <w:t xml:space="preserve">Capital Commitments </w:t>
      </w:r>
    </w:p>
    <w:p w14:paraId="05C13C40" w14:textId="77777777" w:rsidR="00D90216" w:rsidRPr="00D948C1" w:rsidRDefault="00D90216" w:rsidP="00210760">
      <w:pPr>
        <w:ind w:left="720"/>
        <w:rPr>
          <w:szCs w:val="24"/>
        </w:rPr>
      </w:pPr>
    </w:p>
    <w:p w14:paraId="613112D4" w14:textId="3EB5C2C3" w:rsidR="00D90216" w:rsidRPr="004C1C83" w:rsidRDefault="00D90216" w:rsidP="77119DA7">
      <w:pPr>
        <w:pStyle w:val="BodyTextIndent"/>
        <w:rPr>
          <w:lang w:val="en-GB"/>
        </w:rPr>
      </w:pPr>
      <w:r w:rsidRPr="001F23E6">
        <w:t xml:space="preserve">Capital projects often take several years to complete, which means that the Authority is committed to capital expenditure in following years arising from contracts </w:t>
      </w:r>
      <w:proofErr w:type="gramStart"/>
      <w:r w:rsidRPr="001F23E6">
        <w:t>entered into</w:t>
      </w:r>
      <w:proofErr w:type="gramEnd"/>
      <w:r w:rsidRPr="001F23E6">
        <w:t xml:space="preserve"> at the Balance Sheet date, but on which all or part of the capital work has yet to be undertaken.</w:t>
      </w:r>
      <w:r w:rsidR="0059581D" w:rsidRPr="001F23E6">
        <w:t xml:space="preserve"> </w:t>
      </w:r>
      <w:r w:rsidRPr="001F23E6">
        <w:rPr>
          <w:lang w:val="en-GB"/>
        </w:rPr>
        <w:t>The estimated capital expen</w:t>
      </w:r>
      <w:r w:rsidR="002A57D5" w:rsidRPr="001F23E6">
        <w:rPr>
          <w:lang w:val="en-GB"/>
        </w:rPr>
        <w:t xml:space="preserve">diture committed </w:t>
      </w:r>
      <w:proofErr w:type="gramStart"/>
      <w:r w:rsidR="002A57D5" w:rsidRPr="001F23E6">
        <w:rPr>
          <w:lang w:val="en-GB"/>
        </w:rPr>
        <w:t>at</w:t>
      </w:r>
      <w:proofErr w:type="gramEnd"/>
      <w:r w:rsidR="002A57D5" w:rsidRPr="001F23E6">
        <w:rPr>
          <w:lang w:val="en-GB"/>
        </w:rPr>
        <w:t xml:space="preserve"> 31 March </w:t>
      </w:r>
      <w:r w:rsidR="002A57D5" w:rsidRPr="003E5739">
        <w:rPr>
          <w:lang w:val="en-GB"/>
        </w:rPr>
        <w:t>202</w:t>
      </w:r>
      <w:r w:rsidR="00085B15" w:rsidRPr="00BD2C0D">
        <w:rPr>
          <w:lang w:val="en-GB"/>
        </w:rPr>
        <w:t>5</w:t>
      </w:r>
      <w:r w:rsidRPr="003E5739">
        <w:rPr>
          <w:lang w:val="en-GB"/>
        </w:rPr>
        <w:t xml:space="preserve"> is </w:t>
      </w:r>
      <w:r w:rsidRPr="00BD2C0D">
        <w:rPr>
          <w:lang w:val="en-GB"/>
        </w:rPr>
        <w:t>£</w:t>
      </w:r>
      <w:r w:rsidR="00414911" w:rsidRPr="00BD2C0D">
        <w:rPr>
          <w:lang w:val="en-GB"/>
        </w:rPr>
        <w:t>1.</w:t>
      </w:r>
      <w:r w:rsidR="003E5739" w:rsidRPr="00BD2C0D">
        <w:rPr>
          <w:lang w:val="en-GB"/>
        </w:rPr>
        <w:t>017</w:t>
      </w:r>
      <w:r w:rsidR="00414911" w:rsidRPr="00BD2C0D">
        <w:rPr>
          <w:lang w:val="en-GB"/>
        </w:rPr>
        <w:t>m</w:t>
      </w:r>
      <w:r w:rsidRPr="00BD2C0D">
        <w:rPr>
          <w:lang w:val="en-GB"/>
        </w:rPr>
        <w:t xml:space="preserve"> </w:t>
      </w:r>
      <w:r w:rsidRPr="003E5739">
        <w:rPr>
          <w:lang w:val="en-GB"/>
        </w:rPr>
        <w:t>(20</w:t>
      </w:r>
      <w:r w:rsidR="006B2155" w:rsidRPr="003E5739">
        <w:rPr>
          <w:lang w:val="en-GB"/>
        </w:rPr>
        <w:t>2</w:t>
      </w:r>
      <w:r w:rsidR="00C80DFC" w:rsidRPr="00BD2C0D">
        <w:rPr>
          <w:lang w:val="en-GB"/>
        </w:rPr>
        <w:t>3</w:t>
      </w:r>
      <w:r w:rsidR="00C93FB3" w:rsidRPr="003E5739">
        <w:rPr>
          <w:lang w:val="en-GB"/>
        </w:rPr>
        <w:t>/2</w:t>
      </w:r>
      <w:r w:rsidR="00C80DFC" w:rsidRPr="00BD2C0D">
        <w:rPr>
          <w:lang w:val="en-GB"/>
        </w:rPr>
        <w:t>4</w:t>
      </w:r>
      <w:r w:rsidRPr="003E5739">
        <w:rPr>
          <w:lang w:val="en-GB"/>
        </w:rPr>
        <w:t>: £</w:t>
      </w:r>
      <w:r w:rsidR="00C80DFC" w:rsidRPr="00BD2C0D">
        <w:rPr>
          <w:lang w:val="en-GB"/>
        </w:rPr>
        <w:t>1.554m</w:t>
      </w:r>
      <w:r w:rsidRPr="003E5739">
        <w:rPr>
          <w:lang w:val="en-GB"/>
        </w:rPr>
        <w:t>).</w:t>
      </w:r>
    </w:p>
    <w:bookmarkEnd w:id="38"/>
    <w:p w14:paraId="5D98DB8F" w14:textId="77777777" w:rsidR="00DF2B00" w:rsidRPr="004C1C83" w:rsidRDefault="00DF2B00" w:rsidP="77119DA7">
      <w:pPr>
        <w:pStyle w:val="Footer"/>
        <w:tabs>
          <w:tab w:val="clear" w:pos="4153"/>
          <w:tab w:val="clear" w:pos="8306"/>
        </w:tabs>
        <w:rPr>
          <w:b/>
          <w:bCs/>
          <w:sz w:val="22"/>
          <w:szCs w:val="22"/>
        </w:rPr>
      </w:pPr>
    </w:p>
    <w:p w14:paraId="32AC35F8" w14:textId="5DAADC46" w:rsidR="00D90216" w:rsidRPr="00D948C1" w:rsidRDefault="007C6DCB" w:rsidP="00210760">
      <w:pPr>
        <w:pStyle w:val="Heading2"/>
        <w:jc w:val="left"/>
        <w:rPr>
          <w:sz w:val="24"/>
          <w:szCs w:val="24"/>
        </w:rPr>
      </w:pPr>
      <w:bookmarkStart w:id="39" w:name="_Toc215593398"/>
      <w:r w:rsidRPr="00D948C1">
        <w:rPr>
          <w:sz w:val="24"/>
          <w:szCs w:val="24"/>
        </w:rPr>
        <w:t>7</w:t>
      </w:r>
      <w:r w:rsidR="00355430" w:rsidRPr="00D948C1">
        <w:rPr>
          <w:sz w:val="24"/>
          <w:szCs w:val="24"/>
        </w:rPr>
        <w:tab/>
      </w:r>
      <w:bookmarkStart w:id="40" w:name="N7"/>
      <w:bookmarkEnd w:id="40"/>
      <w:r w:rsidR="00D90216" w:rsidRPr="00D948C1">
        <w:rPr>
          <w:sz w:val="24"/>
          <w:szCs w:val="24"/>
        </w:rPr>
        <w:t>Intangible Assets</w:t>
      </w:r>
      <w:bookmarkEnd w:id="39"/>
    </w:p>
    <w:p w14:paraId="139F349A" w14:textId="77777777" w:rsidR="00D90216" w:rsidRPr="00D948C1" w:rsidRDefault="00D90216" w:rsidP="00210760">
      <w:pPr>
        <w:pStyle w:val="BodyTextIndent"/>
        <w:rPr>
          <w:szCs w:val="24"/>
        </w:rPr>
      </w:pPr>
    </w:p>
    <w:p w14:paraId="5DB1B2B0" w14:textId="370F4249" w:rsidR="00D90216" w:rsidRPr="00D948C1" w:rsidRDefault="00D90216" w:rsidP="00210760">
      <w:pPr>
        <w:pStyle w:val="BodyTextIndent"/>
        <w:rPr>
          <w:szCs w:val="24"/>
        </w:rPr>
      </w:pPr>
      <w:r w:rsidRPr="00D948C1">
        <w:rPr>
          <w:szCs w:val="24"/>
        </w:rPr>
        <w:t xml:space="preserve">The Authority accounts for its software as </w:t>
      </w:r>
      <w:proofErr w:type="gramStart"/>
      <w:r w:rsidRPr="00D948C1">
        <w:rPr>
          <w:szCs w:val="24"/>
        </w:rPr>
        <w:t>intangible assets</w:t>
      </w:r>
      <w:proofErr w:type="gramEnd"/>
      <w:r w:rsidRPr="00D948C1">
        <w:rPr>
          <w:szCs w:val="24"/>
        </w:rPr>
        <w:t>. All software is given a finite useful life, based on assessments of the period that the software is expected to be of use to the Authority.</w:t>
      </w:r>
    </w:p>
    <w:p w14:paraId="0520F35E" w14:textId="77777777" w:rsidR="00D90216" w:rsidRPr="00D948C1" w:rsidRDefault="00D90216" w:rsidP="00D90216">
      <w:pPr>
        <w:pStyle w:val="BodyTextIndent"/>
        <w:jc w:val="both"/>
        <w:rPr>
          <w:sz w:val="22"/>
        </w:rPr>
      </w:pPr>
    </w:p>
    <w:tbl>
      <w:tblPr>
        <w:tblW w:w="69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1418"/>
      </w:tblGrid>
      <w:tr w:rsidR="00C93FB3" w:rsidRPr="00D948C1" w14:paraId="72E251E9" w14:textId="77777777" w:rsidTr="22FF31C3">
        <w:trPr>
          <w:trHeight w:val="255"/>
          <w:tblHeader/>
        </w:trPr>
        <w:tc>
          <w:tcPr>
            <w:tcW w:w="4111" w:type="dxa"/>
            <w:shd w:val="clear" w:color="auto" w:fill="BD2716"/>
            <w:noWrap/>
            <w:vAlign w:val="bottom"/>
          </w:tcPr>
          <w:p w14:paraId="5C250010" w14:textId="6969BDA3" w:rsidR="00C93FB3" w:rsidRPr="00D948C1" w:rsidRDefault="00C93FB3" w:rsidP="00C93FB3">
            <w:pPr>
              <w:ind w:firstLine="34"/>
              <w:rPr>
                <w:rFonts w:cs="Arial"/>
                <w:b/>
                <w:bCs/>
                <w:color w:val="FFFFFF" w:themeColor="background1"/>
                <w:szCs w:val="24"/>
                <w:lang w:eastAsia="en-GB"/>
              </w:rPr>
            </w:pPr>
          </w:p>
        </w:tc>
        <w:tc>
          <w:tcPr>
            <w:tcW w:w="1418" w:type="dxa"/>
            <w:shd w:val="clear" w:color="auto" w:fill="BD2716"/>
            <w:noWrap/>
            <w:vAlign w:val="center"/>
          </w:tcPr>
          <w:p w14:paraId="38925EF1" w14:textId="13AA0DF6"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202</w:t>
            </w:r>
            <w:r w:rsidR="000811CC">
              <w:rPr>
                <w:color w:val="FFFFFF" w:themeColor="background1"/>
                <w:szCs w:val="24"/>
                <w:lang w:val="en-GB"/>
              </w:rPr>
              <w:t>4/</w:t>
            </w:r>
            <w:r w:rsidRPr="00D948C1">
              <w:rPr>
                <w:color w:val="FFFFFF" w:themeColor="background1"/>
                <w:szCs w:val="24"/>
                <w:lang w:val="en-GB"/>
              </w:rPr>
              <w:t>2</w:t>
            </w:r>
            <w:r w:rsidR="002A5A6B">
              <w:rPr>
                <w:color w:val="FFFFFF" w:themeColor="background1"/>
                <w:szCs w:val="24"/>
                <w:lang w:val="en-GB"/>
              </w:rPr>
              <w:t>5</w:t>
            </w:r>
          </w:p>
          <w:p w14:paraId="12805862" w14:textId="625112F9"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£000</w:t>
            </w:r>
          </w:p>
        </w:tc>
        <w:tc>
          <w:tcPr>
            <w:tcW w:w="1418" w:type="dxa"/>
            <w:shd w:val="clear" w:color="auto" w:fill="BD2716"/>
            <w:vAlign w:val="center"/>
          </w:tcPr>
          <w:p w14:paraId="6B97F596" w14:textId="1732979D"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202</w:t>
            </w:r>
            <w:r w:rsidR="002A5A6B">
              <w:rPr>
                <w:color w:val="FFFFFF" w:themeColor="background1"/>
                <w:szCs w:val="24"/>
                <w:lang w:val="en-GB"/>
              </w:rPr>
              <w:t>3</w:t>
            </w:r>
            <w:r w:rsidRPr="00D948C1">
              <w:rPr>
                <w:color w:val="FFFFFF" w:themeColor="background1"/>
                <w:szCs w:val="24"/>
                <w:lang w:val="en-GB"/>
              </w:rPr>
              <w:t>/2</w:t>
            </w:r>
            <w:r w:rsidR="002A5A6B">
              <w:rPr>
                <w:color w:val="FFFFFF" w:themeColor="background1"/>
                <w:szCs w:val="24"/>
                <w:lang w:val="en-GB"/>
              </w:rPr>
              <w:t>4</w:t>
            </w:r>
          </w:p>
          <w:p w14:paraId="236902F6" w14:textId="3FB5625E"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£000</w:t>
            </w:r>
          </w:p>
        </w:tc>
      </w:tr>
      <w:tr w:rsidR="00210760" w:rsidRPr="00D948C1" w14:paraId="22916A94" w14:textId="77777777" w:rsidTr="22FF31C3">
        <w:trPr>
          <w:trHeight w:val="255"/>
        </w:trPr>
        <w:tc>
          <w:tcPr>
            <w:tcW w:w="6947" w:type="dxa"/>
            <w:gridSpan w:val="3"/>
            <w:shd w:val="clear" w:color="auto" w:fill="D9D9D9" w:themeFill="background1" w:themeFillShade="D9"/>
            <w:noWrap/>
            <w:vAlign w:val="bottom"/>
          </w:tcPr>
          <w:p w14:paraId="11909244" w14:textId="00D66C29" w:rsidR="00210760" w:rsidRPr="00D948C1" w:rsidRDefault="00210760" w:rsidP="00BA53E7">
            <w:pPr>
              <w:rPr>
                <w:rFonts w:cs="Arial"/>
                <w:szCs w:val="24"/>
                <w:lang w:eastAsia="en-GB"/>
              </w:rPr>
            </w:pPr>
            <w:r w:rsidRPr="00D948C1">
              <w:rPr>
                <w:rFonts w:cs="Arial"/>
                <w:b/>
                <w:bCs/>
                <w:szCs w:val="24"/>
                <w:lang w:eastAsia="en-GB"/>
              </w:rPr>
              <w:t>Cost or valuation</w:t>
            </w:r>
          </w:p>
        </w:tc>
      </w:tr>
      <w:tr w:rsidR="00C93FB3" w:rsidRPr="00D915BB" w14:paraId="7FF84931" w14:textId="77777777" w:rsidTr="22FF31C3">
        <w:trPr>
          <w:trHeight w:val="255"/>
        </w:trPr>
        <w:tc>
          <w:tcPr>
            <w:tcW w:w="4111" w:type="dxa"/>
            <w:noWrap/>
            <w:vAlign w:val="bottom"/>
          </w:tcPr>
          <w:p w14:paraId="3FB26830" w14:textId="77777777" w:rsidR="00C93FB3" w:rsidRPr="00D915BB" w:rsidRDefault="00C93FB3" w:rsidP="00C93FB3">
            <w:pPr>
              <w:rPr>
                <w:rFonts w:cs="Arial"/>
                <w:szCs w:val="24"/>
                <w:lang w:eastAsia="en-GB"/>
              </w:rPr>
            </w:pPr>
            <w:proofErr w:type="gramStart"/>
            <w:r w:rsidRPr="00D915BB">
              <w:rPr>
                <w:rFonts w:cs="Arial"/>
                <w:szCs w:val="24"/>
                <w:lang w:eastAsia="en-GB"/>
              </w:rPr>
              <w:t>At</w:t>
            </w:r>
            <w:proofErr w:type="gramEnd"/>
            <w:r w:rsidRPr="00D915BB">
              <w:rPr>
                <w:rFonts w:cs="Arial"/>
                <w:szCs w:val="24"/>
                <w:lang w:eastAsia="en-GB"/>
              </w:rPr>
              <w:t xml:space="preserve"> 1 April </w:t>
            </w:r>
          </w:p>
        </w:tc>
        <w:tc>
          <w:tcPr>
            <w:tcW w:w="1418" w:type="dxa"/>
            <w:noWrap/>
            <w:vAlign w:val="center"/>
          </w:tcPr>
          <w:p w14:paraId="3A53CAA9" w14:textId="2DEABBB9" w:rsidR="00C93FB3" w:rsidRPr="004C1C83" w:rsidRDefault="008C1849" w:rsidP="22FF31C3">
            <w:pPr>
              <w:jc w:val="right"/>
              <w:rPr>
                <w:rFonts w:cs="Arial"/>
                <w:lang w:eastAsia="en-GB"/>
              </w:rPr>
            </w:pPr>
            <w:r w:rsidRPr="004C1C83">
              <w:rPr>
                <w:rFonts w:cs="Arial"/>
                <w:lang w:eastAsia="en-GB"/>
              </w:rPr>
              <w:t>1,909</w:t>
            </w:r>
          </w:p>
        </w:tc>
        <w:tc>
          <w:tcPr>
            <w:tcW w:w="1418" w:type="dxa"/>
            <w:vAlign w:val="center"/>
          </w:tcPr>
          <w:p w14:paraId="4C38B001" w14:textId="30B56F87" w:rsidR="00C93FB3" w:rsidRPr="00D915BB" w:rsidRDefault="000669E5" w:rsidP="00C93FB3">
            <w:pPr>
              <w:jc w:val="right"/>
              <w:rPr>
                <w:rFonts w:cs="Arial"/>
                <w:szCs w:val="24"/>
                <w:lang w:eastAsia="en-GB"/>
              </w:rPr>
            </w:pPr>
            <w:r w:rsidRPr="00D915BB">
              <w:rPr>
                <w:rFonts w:cs="Arial"/>
                <w:szCs w:val="24"/>
                <w:lang w:eastAsia="en-GB"/>
              </w:rPr>
              <w:t>2,899</w:t>
            </w:r>
          </w:p>
        </w:tc>
      </w:tr>
      <w:tr w:rsidR="002D5AF2" w:rsidRPr="00D915BB" w14:paraId="7D617ABB" w14:textId="77777777" w:rsidTr="22FF31C3">
        <w:trPr>
          <w:trHeight w:val="255"/>
        </w:trPr>
        <w:tc>
          <w:tcPr>
            <w:tcW w:w="4111" w:type="dxa"/>
            <w:noWrap/>
            <w:vAlign w:val="bottom"/>
          </w:tcPr>
          <w:p w14:paraId="1AC943D2" w14:textId="2582176F" w:rsidR="002D5AF2" w:rsidRPr="00D915BB" w:rsidRDefault="00B453E8" w:rsidP="00C93FB3">
            <w:pPr>
              <w:pStyle w:val="CommentText"/>
              <w:rPr>
                <w:rFonts w:cs="Arial"/>
                <w:sz w:val="24"/>
                <w:szCs w:val="24"/>
                <w:lang w:eastAsia="en-GB"/>
              </w:rPr>
            </w:pPr>
            <w:r w:rsidRPr="00D915BB">
              <w:rPr>
                <w:rFonts w:cs="Arial"/>
                <w:sz w:val="24"/>
                <w:szCs w:val="24"/>
                <w:lang w:eastAsia="en-GB"/>
              </w:rPr>
              <w:t>Adjustment to opening balance</w:t>
            </w:r>
          </w:p>
        </w:tc>
        <w:tc>
          <w:tcPr>
            <w:tcW w:w="1418" w:type="dxa"/>
            <w:noWrap/>
            <w:vAlign w:val="center"/>
          </w:tcPr>
          <w:p w14:paraId="363B816B" w14:textId="40E8FA65" w:rsidR="002D5AF2" w:rsidRPr="004C1C83" w:rsidRDefault="00E63C1C" w:rsidP="22FF31C3">
            <w:pPr>
              <w:jc w:val="right"/>
              <w:rPr>
                <w:rFonts w:cs="Arial"/>
                <w:lang w:eastAsia="en-GB"/>
              </w:rPr>
            </w:pPr>
            <w:r w:rsidRPr="004C1C83">
              <w:rPr>
                <w:rFonts w:cs="Arial"/>
                <w:lang w:eastAsia="en-GB"/>
              </w:rPr>
              <w:t>-</w:t>
            </w:r>
          </w:p>
        </w:tc>
        <w:tc>
          <w:tcPr>
            <w:tcW w:w="1418" w:type="dxa"/>
            <w:vAlign w:val="center"/>
          </w:tcPr>
          <w:p w14:paraId="23E0AD34" w14:textId="71F255E7" w:rsidR="002D5AF2" w:rsidRPr="00D915BB" w:rsidRDefault="000669E5" w:rsidP="00C93FB3">
            <w:pPr>
              <w:jc w:val="right"/>
              <w:rPr>
                <w:rFonts w:cs="Arial"/>
                <w:szCs w:val="24"/>
                <w:lang w:eastAsia="en-GB"/>
              </w:rPr>
            </w:pPr>
            <w:r w:rsidRPr="00D915BB">
              <w:rPr>
                <w:rFonts w:cs="Arial"/>
                <w:szCs w:val="24"/>
                <w:lang w:eastAsia="en-GB"/>
              </w:rPr>
              <w:t>(714)</w:t>
            </w:r>
          </w:p>
        </w:tc>
      </w:tr>
      <w:tr w:rsidR="00C93FB3" w:rsidRPr="00D915BB" w14:paraId="7586522D" w14:textId="77777777" w:rsidTr="22FF31C3">
        <w:trPr>
          <w:trHeight w:val="255"/>
        </w:trPr>
        <w:tc>
          <w:tcPr>
            <w:tcW w:w="4111" w:type="dxa"/>
            <w:noWrap/>
            <w:vAlign w:val="bottom"/>
          </w:tcPr>
          <w:p w14:paraId="731CCCAA" w14:textId="77777777" w:rsidR="00C93FB3" w:rsidRPr="00D915BB" w:rsidRDefault="00C93FB3" w:rsidP="00C93FB3">
            <w:pPr>
              <w:pStyle w:val="CommentText"/>
              <w:rPr>
                <w:rFonts w:cs="Arial"/>
                <w:sz w:val="24"/>
                <w:szCs w:val="24"/>
                <w:lang w:eastAsia="en-GB"/>
              </w:rPr>
            </w:pPr>
            <w:r w:rsidRPr="00D915BB">
              <w:rPr>
                <w:rFonts w:cs="Arial"/>
                <w:sz w:val="24"/>
                <w:szCs w:val="24"/>
                <w:lang w:eastAsia="en-GB"/>
              </w:rPr>
              <w:t>Additions</w:t>
            </w:r>
          </w:p>
        </w:tc>
        <w:tc>
          <w:tcPr>
            <w:tcW w:w="1418" w:type="dxa"/>
            <w:noWrap/>
            <w:vAlign w:val="center"/>
          </w:tcPr>
          <w:p w14:paraId="32E49D4E" w14:textId="5A1AE2DE" w:rsidR="00C93FB3" w:rsidRPr="004C1C83" w:rsidRDefault="00E63C1C" w:rsidP="22FF31C3">
            <w:pPr>
              <w:jc w:val="right"/>
              <w:rPr>
                <w:rFonts w:cs="Arial"/>
                <w:lang w:eastAsia="en-GB"/>
              </w:rPr>
            </w:pPr>
            <w:r w:rsidRPr="004C1C83">
              <w:rPr>
                <w:rFonts w:cs="Arial"/>
                <w:lang w:eastAsia="en-GB"/>
              </w:rPr>
              <w:t>233</w:t>
            </w:r>
          </w:p>
        </w:tc>
        <w:tc>
          <w:tcPr>
            <w:tcW w:w="1418" w:type="dxa"/>
            <w:vAlign w:val="center"/>
          </w:tcPr>
          <w:p w14:paraId="5F3FCC90" w14:textId="726C565B" w:rsidR="00C93FB3" w:rsidRPr="00D915BB" w:rsidRDefault="000669E5" w:rsidP="00C93FB3">
            <w:pPr>
              <w:jc w:val="right"/>
              <w:rPr>
                <w:rFonts w:cs="Arial"/>
                <w:szCs w:val="24"/>
                <w:lang w:eastAsia="en-GB"/>
              </w:rPr>
            </w:pPr>
            <w:r w:rsidRPr="00D915BB">
              <w:rPr>
                <w:rFonts w:cs="Arial"/>
                <w:szCs w:val="24"/>
                <w:lang w:eastAsia="en-GB"/>
              </w:rPr>
              <w:t>193</w:t>
            </w:r>
          </w:p>
        </w:tc>
      </w:tr>
      <w:tr w:rsidR="004B58BE" w:rsidRPr="00D915BB" w14:paraId="357C36B5" w14:textId="77777777" w:rsidTr="22FF31C3">
        <w:trPr>
          <w:trHeight w:val="255"/>
        </w:trPr>
        <w:tc>
          <w:tcPr>
            <w:tcW w:w="4111" w:type="dxa"/>
            <w:noWrap/>
            <w:vAlign w:val="bottom"/>
          </w:tcPr>
          <w:p w14:paraId="6FFBAC4F" w14:textId="11C816E7" w:rsidR="004B58BE" w:rsidRPr="00D915BB" w:rsidRDefault="004B58BE" w:rsidP="00C93FB3">
            <w:pPr>
              <w:pStyle w:val="CommentText"/>
              <w:rPr>
                <w:rFonts w:cs="Arial"/>
                <w:sz w:val="24"/>
                <w:szCs w:val="24"/>
                <w:lang w:eastAsia="en-GB"/>
              </w:rPr>
            </w:pPr>
            <w:r w:rsidRPr="00D915BB">
              <w:rPr>
                <w:rFonts w:cs="Arial"/>
                <w:sz w:val="24"/>
                <w:szCs w:val="24"/>
                <w:lang w:eastAsia="en-GB"/>
              </w:rPr>
              <w:t>Disposals/De-recognitions</w:t>
            </w:r>
          </w:p>
        </w:tc>
        <w:tc>
          <w:tcPr>
            <w:tcW w:w="1418" w:type="dxa"/>
            <w:noWrap/>
            <w:vAlign w:val="center"/>
          </w:tcPr>
          <w:p w14:paraId="250E4AF6" w14:textId="1D1D7381" w:rsidR="004B58BE" w:rsidRPr="004C1C83" w:rsidRDefault="00E63C1C" w:rsidP="22FF31C3">
            <w:pPr>
              <w:jc w:val="right"/>
              <w:rPr>
                <w:rFonts w:cs="Arial"/>
                <w:lang w:eastAsia="en-GB"/>
              </w:rPr>
            </w:pPr>
            <w:r w:rsidRPr="004C1C83">
              <w:rPr>
                <w:rFonts w:cs="Arial"/>
                <w:lang w:eastAsia="en-GB"/>
              </w:rPr>
              <w:t>-</w:t>
            </w:r>
          </w:p>
        </w:tc>
        <w:tc>
          <w:tcPr>
            <w:tcW w:w="1418" w:type="dxa"/>
            <w:vAlign w:val="center"/>
          </w:tcPr>
          <w:p w14:paraId="305E8760" w14:textId="1B7B807A" w:rsidR="004B58BE" w:rsidRPr="00D915BB" w:rsidRDefault="000669E5" w:rsidP="00C93FB3">
            <w:pPr>
              <w:jc w:val="right"/>
              <w:rPr>
                <w:rFonts w:cs="Arial"/>
                <w:szCs w:val="24"/>
                <w:lang w:eastAsia="en-GB"/>
              </w:rPr>
            </w:pPr>
            <w:r w:rsidRPr="00D915BB">
              <w:rPr>
                <w:rFonts w:cs="Arial"/>
                <w:szCs w:val="24"/>
                <w:lang w:eastAsia="en-GB"/>
              </w:rPr>
              <w:t>(469)</w:t>
            </w:r>
          </w:p>
        </w:tc>
      </w:tr>
      <w:tr w:rsidR="00C93FB3" w:rsidRPr="00D915BB" w14:paraId="4BF3ECE8" w14:textId="77777777" w:rsidTr="22FF31C3">
        <w:trPr>
          <w:trHeight w:val="255"/>
        </w:trPr>
        <w:tc>
          <w:tcPr>
            <w:tcW w:w="4111" w:type="dxa"/>
            <w:noWrap/>
            <w:vAlign w:val="bottom"/>
          </w:tcPr>
          <w:p w14:paraId="2C5E673A" w14:textId="77777777" w:rsidR="00C93FB3" w:rsidRPr="00D915BB" w:rsidRDefault="00C93FB3" w:rsidP="00C93FB3">
            <w:pPr>
              <w:rPr>
                <w:rFonts w:cs="Arial"/>
                <w:szCs w:val="24"/>
                <w:lang w:eastAsia="en-GB"/>
              </w:rPr>
            </w:pPr>
            <w:r w:rsidRPr="00D915BB">
              <w:rPr>
                <w:rFonts w:cs="Arial"/>
                <w:szCs w:val="24"/>
                <w:lang w:eastAsia="en-GB"/>
              </w:rPr>
              <w:t xml:space="preserve">As </w:t>
            </w:r>
            <w:proofErr w:type="gramStart"/>
            <w:r w:rsidRPr="00D915BB">
              <w:rPr>
                <w:rFonts w:cs="Arial"/>
                <w:szCs w:val="24"/>
                <w:lang w:eastAsia="en-GB"/>
              </w:rPr>
              <w:t>at</w:t>
            </w:r>
            <w:proofErr w:type="gramEnd"/>
            <w:r w:rsidRPr="00D915BB">
              <w:rPr>
                <w:rFonts w:cs="Arial"/>
                <w:szCs w:val="24"/>
                <w:lang w:eastAsia="en-GB"/>
              </w:rPr>
              <w:t xml:space="preserve"> 31 March</w:t>
            </w:r>
          </w:p>
        </w:tc>
        <w:tc>
          <w:tcPr>
            <w:tcW w:w="1418" w:type="dxa"/>
            <w:noWrap/>
            <w:vAlign w:val="center"/>
          </w:tcPr>
          <w:p w14:paraId="3CAAD444" w14:textId="37B6D1FE" w:rsidR="00C93FB3" w:rsidRPr="004C1C83" w:rsidRDefault="00E63C1C" w:rsidP="22FF31C3">
            <w:pPr>
              <w:jc w:val="right"/>
              <w:rPr>
                <w:rFonts w:cs="Arial"/>
                <w:lang w:eastAsia="en-GB"/>
              </w:rPr>
            </w:pPr>
            <w:r w:rsidRPr="004C1C83">
              <w:rPr>
                <w:rFonts w:cs="Arial"/>
                <w:lang w:eastAsia="en-GB"/>
              </w:rPr>
              <w:t>2,141</w:t>
            </w:r>
          </w:p>
        </w:tc>
        <w:tc>
          <w:tcPr>
            <w:tcW w:w="1418" w:type="dxa"/>
            <w:vAlign w:val="center"/>
          </w:tcPr>
          <w:p w14:paraId="3C6C8525" w14:textId="06ACE692" w:rsidR="00C93FB3" w:rsidRPr="00D915BB" w:rsidRDefault="000669E5" w:rsidP="00C93FB3">
            <w:pPr>
              <w:jc w:val="right"/>
              <w:rPr>
                <w:rFonts w:cs="Arial"/>
                <w:szCs w:val="24"/>
                <w:lang w:eastAsia="en-GB"/>
              </w:rPr>
            </w:pPr>
            <w:r w:rsidRPr="00D915BB">
              <w:rPr>
                <w:rFonts w:cs="Arial"/>
                <w:szCs w:val="24"/>
                <w:lang w:eastAsia="en-GB"/>
              </w:rPr>
              <w:t>1,909</w:t>
            </w:r>
          </w:p>
        </w:tc>
      </w:tr>
    </w:tbl>
    <w:p w14:paraId="53A86BD4" w14:textId="77777777" w:rsidR="00372872" w:rsidRPr="00D915BB" w:rsidRDefault="00372872"/>
    <w:tbl>
      <w:tblPr>
        <w:tblW w:w="69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1418"/>
      </w:tblGrid>
      <w:tr w:rsidR="00372872" w:rsidRPr="00D915BB" w14:paraId="65DE0E46" w14:textId="77777777" w:rsidTr="22FF31C3">
        <w:trPr>
          <w:trHeight w:val="255"/>
        </w:trPr>
        <w:tc>
          <w:tcPr>
            <w:tcW w:w="6947" w:type="dxa"/>
            <w:gridSpan w:val="3"/>
            <w:shd w:val="clear" w:color="auto" w:fill="D9D9D9" w:themeFill="background1" w:themeFillShade="D9"/>
            <w:noWrap/>
            <w:vAlign w:val="bottom"/>
          </w:tcPr>
          <w:p w14:paraId="6B227E24" w14:textId="6967F17E" w:rsidR="00372872" w:rsidRPr="00D915BB" w:rsidRDefault="00372872" w:rsidP="00372872">
            <w:pPr>
              <w:rPr>
                <w:rFonts w:cs="Arial"/>
                <w:szCs w:val="24"/>
                <w:lang w:eastAsia="en-GB"/>
              </w:rPr>
            </w:pPr>
            <w:r w:rsidRPr="00D915BB">
              <w:rPr>
                <w:rFonts w:cs="Arial"/>
                <w:b/>
                <w:bCs/>
                <w:szCs w:val="24"/>
                <w:lang w:eastAsia="en-GB"/>
              </w:rPr>
              <w:t>Amortisation &amp; impairment</w:t>
            </w:r>
          </w:p>
        </w:tc>
      </w:tr>
      <w:tr w:rsidR="00C93FB3" w:rsidRPr="00D915BB" w14:paraId="79F33B88" w14:textId="77777777" w:rsidTr="22FF31C3">
        <w:trPr>
          <w:trHeight w:val="255"/>
        </w:trPr>
        <w:tc>
          <w:tcPr>
            <w:tcW w:w="4111" w:type="dxa"/>
            <w:noWrap/>
            <w:vAlign w:val="bottom"/>
          </w:tcPr>
          <w:p w14:paraId="12D692D0" w14:textId="3D0023CE" w:rsidR="00C93FB3" w:rsidRPr="00D915BB" w:rsidRDefault="00C93FB3" w:rsidP="00C93FB3">
            <w:pPr>
              <w:rPr>
                <w:rFonts w:cs="Arial"/>
                <w:szCs w:val="24"/>
                <w:lang w:eastAsia="en-GB"/>
              </w:rPr>
            </w:pPr>
            <w:proofErr w:type="gramStart"/>
            <w:r w:rsidRPr="00D915BB">
              <w:rPr>
                <w:rFonts w:cs="Arial"/>
                <w:szCs w:val="24"/>
                <w:lang w:eastAsia="en-GB"/>
              </w:rPr>
              <w:t>At</w:t>
            </w:r>
            <w:proofErr w:type="gramEnd"/>
            <w:r w:rsidRPr="00D915BB">
              <w:rPr>
                <w:rFonts w:cs="Arial"/>
                <w:szCs w:val="24"/>
                <w:lang w:eastAsia="en-GB"/>
              </w:rPr>
              <w:t xml:space="preserve"> 1 April </w:t>
            </w:r>
          </w:p>
        </w:tc>
        <w:tc>
          <w:tcPr>
            <w:tcW w:w="1418" w:type="dxa"/>
            <w:noWrap/>
            <w:vAlign w:val="center"/>
          </w:tcPr>
          <w:p w14:paraId="4CCAE0F2" w14:textId="17EF7958" w:rsidR="00C93FB3" w:rsidRPr="004C1C83" w:rsidRDefault="00E63C1C" w:rsidP="22FF31C3">
            <w:pPr>
              <w:jc w:val="right"/>
              <w:rPr>
                <w:rFonts w:cs="Arial"/>
                <w:lang w:eastAsia="en-GB"/>
              </w:rPr>
            </w:pPr>
            <w:r w:rsidRPr="004C1C83">
              <w:rPr>
                <w:rFonts w:cs="Arial"/>
                <w:lang w:eastAsia="en-GB"/>
              </w:rPr>
              <w:t>(1,456)</w:t>
            </w:r>
          </w:p>
        </w:tc>
        <w:tc>
          <w:tcPr>
            <w:tcW w:w="1418" w:type="dxa"/>
            <w:vAlign w:val="center"/>
          </w:tcPr>
          <w:p w14:paraId="3E3090E8" w14:textId="102116D8" w:rsidR="00C93FB3" w:rsidRPr="00D915BB" w:rsidRDefault="00C93FB3" w:rsidP="00C93FB3">
            <w:pPr>
              <w:jc w:val="right"/>
              <w:rPr>
                <w:rFonts w:cs="Arial"/>
                <w:szCs w:val="24"/>
                <w:lang w:eastAsia="en-GB"/>
              </w:rPr>
            </w:pPr>
            <w:r w:rsidRPr="00D915BB">
              <w:rPr>
                <w:rFonts w:cs="Arial"/>
                <w:szCs w:val="24"/>
                <w:lang w:eastAsia="en-GB"/>
              </w:rPr>
              <w:t>(1,</w:t>
            </w:r>
            <w:r w:rsidR="000669E5" w:rsidRPr="00D915BB">
              <w:rPr>
                <w:rFonts w:cs="Arial"/>
                <w:szCs w:val="24"/>
                <w:lang w:eastAsia="en-GB"/>
              </w:rPr>
              <w:t>993</w:t>
            </w:r>
            <w:r w:rsidRPr="00D915BB">
              <w:rPr>
                <w:rFonts w:cs="Arial"/>
                <w:szCs w:val="24"/>
                <w:lang w:eastAsia="en-GB"/>
              </w:rPr>
              <w:t>)</w:t>
            </w:r>
          </w:p>
        </w:tc>
      </w:tr>
      <w:tr w:rsidR="002D5AF2" w:rsidRPr="00D915BB" w14:paraId="662E540A" w14:textId="77777777" w:rsidTr="22FF31C3">
        <w:trPr>
          <w:trHeight w:val="255"/>
        </w:trPr>
        <w:tc>
          <w:tcPr>
            <w:tcW w:w="4111" w:type="dxa"/>
            <w:noWrap/>
            <w:vAlign w:val="bottom"/>
          </w:tcPr>
          <w:p w14:paraId="26CD5E8A" w14:textId="19AC8A87" w:rsidR="002D5AF2" w:rsidRPr="00D915BB" w:rsidRDefault="00B453E8" w:rsidP="00C93FB3">
            <w:pPr>
              <w:rPr>
                <w:rFonts w:cs="Arial"/>
                <w:szCs w:val="24"/>
                <w:lang w:eastAsia="en-GB"/>
              </w:rPr>
            </w:pPr>
            <w:r w:rsidRPr="00D915BB">
              <w:rPr>
                <w:rFonts w:cs="Arial"/>
                <w:szCs w:val="24"/>
                <w:lang w:eastAsia="en-GB"/>
              </w:rPr>
              <w:t>Adjustment to opening balance</w:t>
            </w:r>
          </w:p>
        </w:tc>
        <w:tc>
          <w:tcPr>
            <w:tcW w:w="1418" w:type="dxa"/>
            <w:noWrap/>
            <w:vAlign w:val="center"/>
          </w:tcPr>
          <w:p w14:paraId="2FB09B04" w14:textId="432AA2B7" w:rsidR="002D5AF2" w:rsidRPr="004C1C83" w:rsidRDefault="00E63C1C" w:rsidP="22FF31C3">
            <w:pPr>
              <w:jc w:val="right"/>
              <w:rPr>
                <w:rFonts w:cs="Arial"/>
                <w:lang w:eastAsia="en-GB"/>
              </w:rPr>
            </w:pPr>
            <w:r w:rsidRPr="004C1C83">
              <w:rPr>
                <w:rFonts w:cs="Arial"/>
                <w:lang w:eastAsia="en-GB"/>
              </w:rPr>
              <w:t>-</w:t>
            </w:r>
          </w:p>
        </w:tc>
        <w:tc>
          <w:tcPr>
            <w:tcW w:w="1418" w:type="dxa"/>
            <w:vAlign w:val="center"/>
          </w:tcPr>
          <w:p w14:paraId="2537BBDA" w14:textId="31B6E7C4" w:rsidR="002D5AF2" w:rsidRPr="00D915BB" w:rsidRDefault="000669E5" w:rsidP="00C93FB3">
            <w:pPr>
              <w:jc w:val="right"/>
              <w:rPr>
                <w:rFonts w:cs="Arial"/>
                <w:szCs w:val="24"/>
                <w:lang w:eastAsia="en-GB"/>
              </w:rPr>
            </w:pPr>
            <w:r w:rsidRPr="00D915BB">
              <w:rPr>
                <w:rFonts w:cs="Arial"/>
                <w:szCs w:val="24"/>
                <w:lang w:eastAsia="en-GB"/>
              </w:rPr>
              <w:t>257</w:t>
            </w:r>
          </w:p>
        </w:tc>
      </w:tr>
      <w:tr w:rsidR="00C93FB3" w:rsidRPr="00D915BB" w14:paraId="266CF08C" w14:textId="77777777" w:rsidTr="22FF31C3">
        <w:trPr>
          <w:trHeight w:val="255"/>
        </w:trPr>
        <w:tc>
          <w:tcPr>
            <w:tcW w:w="4111" w:type="dxa"/>
            <w:noWrap/>
            <w:vAlign w:val="bottom"/>
          </w:tcPr>
          <w:p w14:paraId="033FC2E7" w14:textId="77777777" w:rsidR="00C93FB3" w:rsidRPr="00D915BB" w:rsidRDefault="00C93FB3" w:rsidP="00C93FB3">
            <w:pPr>
              <w:rPr>
                <w:rFonts w:cs="Arial"/>
                <w:szCs w:val="24"/>
                <w:lang w:eastAsia="en-GB"/>
              </w:rPr>
            </w:pPr>
            <w:r w:rsidRPr="00D915BB">
              <w:rPr>
                <w:rFonts w:cs="Arial"/>
                <w:szCs w:val="24"/>
                <w:lang w:eastAsia="en-GB"/>
              </w:rPr>
              <w:t>Amortisation charge for the year</w:t>
            </w:r>
          </w:p>
        </w:tc>
        <w:tc>
          <w:tcPr>
            <w:tcW w:w="1418" w:type="dxa"/>
            <w:noWrap/>
            <w:vAlign w:val="center"/>
          </w:tcPr>
          <w:p w14:paraId="4024BA03" w14:textId="58AEBD1A" w:rsidR="00C93FB3" w:rsidRPr="004C1C83" w:rsidRDefault="00D6198B" w:rsidP="22FF31C3">
            <w:pPr>
              <w:jc w:val="right"/>
              <w:rPr>
                <w:rFonts w:cs="Arial"/>
                <w:lang w:eastAsia="en-GB"/>
              </w:rPr>
            </w:pPr>
            <w:r w:rsidRPr="004C1C83">
              <w:rPr>
                <w:rFonts w:cs="Arial"/>
                <w:lang w:eastAsia="en-GB"/>
              </w:rPr>
              <w:t>(219)</w:t>
            </w:r>
          </w:p>
        </w:tc>
        <w:tc>
          <w:tcPr>
            <w:tcW w:w="1418" w:type="dxa"/>
            <w:vAlign w:val="center"/>
          </w:tcPr>
          <w:p w14:paraId="2C1A833C" w14:textId="3704C737" w:rsidR="00C93FB3" w:rsidRPr="00D915BB" w:rsidRDefault="00C93FB3" w:rsidP="00C93FB3">
            <w:pPr>
              <w:jc w:val="right"/>
              <w:rPr>
                <w:rFonts w:cs="Arial"/>
                <w:szCs w:val="24"/>
                <w:lang w:eastAsia="en-GB"/>
              </w:rPr>
            </w:pPr>
            <w:r w:rsidRPr="00D915BB">
              <w:rPr>
                <w:rFonts w:cs="Arial"/>
                <w:szCs w:val="24"/>
                <w:lang w:eastAsia="en-GB"/>
              </w:rPr>
              <w:t>(</w:t>
            </w:r>
            <w:r w:rsidR="000669E5" w:rsidRPr="00D915BB">
              <w:rPr>
                <w:rFonts w:cs="Arial"/>
                <w:szCs w:val="24"/>
                <w:lang w:eastAsia="en-GB"/>
              </w:rPr>
              <w:t>188</w:t>
            </w:r>
            <w:r w:rsidRPr="00D915BB">
              <w:rPr>
                <w:rFonts w:cs="Arial"/>
                <w:szCs w:val="24"/>
                <w:lang w:eastAsia="en-GB"/>
              </w:rPr>
              <w:t>)</w:t>
            </w:r>
          </w:p>
        </w:tc>
      </w:tr>
      <w:tr w:rsidR="004B58BE" w:rsidRPr="00D915BB" w14:paraId="65269B13" w14:textId="77777777" w:rsidTr="22FF31C3">
        <w:trPr>
          <w:trHeight w:val="255"/>
        </w:trPr>
        <w:tc>
          <w:tcPr>
            <w:tcW w:w="4111" w:type="dxa"/>
            <w:noWrap/>
            <w:vAlign w:val="bottom"/>
          </w:tcPr>
          <w:p w14:paraId="1D16FDFA" w14:textId="19F46401" w:rsidR="004B58BE" w:rsidRPr="00D915BB" w:rsidRDefault="004B58BE" w:rsidP="00C93FB3">
            <w:pPr>
              <w:rPr>
                <w:rFonts w:cs="Arial"/>
                <w:szCs w:val="24"/>
                <w:lang w:eastAsia="en-GB"/>
              </w:rPr>
            </w:pPr>
            <w:r w:rsidRPr="00D915BB">
              <w:rPr>
                <w:rFonts w:cs="Arial"/>
                <w:szCs w:val="24"/>
                <w:lang w:eastAsia="en-GB"/>
              </w:rPr>
              <w:t>Disposals/De-recognitions</w:t>
            </w:r>
          </w:p>
        </w:tc>
        <w:tc>
          <w:tcPr>
            <w:tcW w:w="1418" w:type="dxa"/>
            <w:noWrap/>
            <w:vAlign w:val="center"/>
          </w:tcPr>
          <w:p w14:paraId="161A3325" w14:textId="0F3410BA" w:rsidR="004B58BE" w:rsidRPr="004C1C83" w:rsidRDefault="00D6198B" w:rsidP="22FF31C3">
            <w:pPr>
              <w:jc w:val="right"/>
              <w:rPr>
                <w:rFonts w:cs="Arial"/>
                <w:lang w:eastAsia="en-GB"/>
              </w:rPr>
            </w:pPr>
            <w:r w:rsidRPr="004C1C83">
              <w:rPr>
                <w:rFonts w:cs="Arial"/>
                <w:lang w:eastAsia="en-GB"/>
              </w:rPr>
              <w:t>-</w:t>
            </w:r>
          </w:p>
        </w:tc>
        <w:tc>
          <w:tcPr>
            <w:tcW w:w="1418" w:type="dxa"/>
            <w:vAlign w:val="center"/>
          </w:tcPr>
          <w:p w14:paraId="0628C552" w14:textId="305BA928" w:rsidR="004B58BE" w:rsidRPr="00D915BB" w:rsidRDefault="000669E5" w:rsidP="00C93FB3">
            <w:pPr>
              <w:jc w:val="right"/>
              <w:rPr>
                <w:rFonts w:cs="Arial"/>
                <w:szCs w:val="24"/>
                <w:lang w:eastAsia="en-GB"/>
              </w:rPr>
            </w:pPr>
            <w:r w:rsidRPr="00D915BB">
              <w:rPr>
                <w:rFonts w:cs="Arial"/>
                <w:szCs w:val="24"/>
                <w:lang w:eastAsia="en-GB"/>
              </w:rPr>
              <w:t>469</w:t>
            </w:r>
          </w:p>
        </w:tc>
      </w:tr>
      <w:tr w:rsidR="00C93FB3" w:rsidRPr="00D915BB" w14:paraId="7571EBC6" w14:textId="77777777" w:rsidTr="22FF31C3">
        <w:trPr>
          <w:trHeight w:val="255"/>
        </w:trPr>
        <w:tc>
          <w:tcPr>
            <w:tcW w:w="4111" w:type="dxa"/>
            <w:noWrap/>
            <w:vAlign w:val="bottom"/>
          </w:tcPr>
          <w:p w14:paraId="23A68DD0" w14:textId="77777777" w:rsidR="00C93FB3" w:rsidRPr="00D915BB" w:rsidRDefault="00C93FB3" w:rsidP="00C93FB3">
            <w:pPr>
              <w:rPr>
                <w:rFonts w:cs="Arial"/>
                <w:szCs w:val="24"/>
                <w:lang w:eastAsia="en-GB"/>
              </w:rPr>
            </w:pPr>
            <w:r w:rsidRPr="00D915BB">
              <w:rPr>
                <w:rFonts w:cs="Arial"/>
                <w:szCs w:val="24"/>
                <w:lang w:eastAsia="en-GB"/>
              </w:rPr>
              <w:t xml:space="preserve">As </w:t>
            </w:r>
            <w:proofErr w:type="gramStart"/>
            <w:r w:rsidRPr="00D915BB">
              <w:rPr>
                <w:rFonts w:cs="Arial"/>
                <w:szCs w:val="24"/>
                <w:lang w:eastAsia="en-GB"/>
              </w:rPr>
              <w:t>at</w:t>
            </w:r>
            <w:proofErr w:type="gramEnd"/>
            <w:r w:rsidRPr="00D915BB">
              <w:rPr>
                <w:rFonts w:cs="Arial"/>
                <w:szCs w:val="24"/>
                <w:lang w:eastAsia="en-GB"/>
              </w:rPr>
              <w:t xml:space="preserve"> 31 March </w:t>
            </w:r>
          </w:p>
        </w:tc>
        <w:tc>
          <w:tcPr>
            <w:tcW w:w="1418" w:type="dxa"/>
            <w:noWrap/>
            <w:vAlign w:val="center"/>
          </w:tcPr>
          <w:p w14:paraId="479B23A7" w14:textId="14EC8C31" w:rsidR="00C93FB3" w:rsidRPr="004C1C83" w:rsidRDefault="00D6198B" w:rsidP="22FF31C3">
            <w:pPr>
              <w:jc w:val="right"/>
              <w:rPr>
                <w:rFonts w:cs="Arial"/>
                <w:lang w:eastAsia="en-GB"/>
              </w:rPr>
            </w:pPr>
            <w:r w:rsidRPr="004C1C83">
              <w:rPr>
                <w:rFonts w:cs="Arial"/>
                <w:lang w:eastAsia="en-GB"/>
              </w:rPr>
              <w:t>(1,674)</w:t>
            </w:r>
          </w:p>
        </w:tc>
        <w:tc>
          <w:tcPr>
            <w:tcW w:w="1418" w:type="dxa"/>
            <w:vAlign w:val="center"/>
          </w:tcPr>
          <w:p w14:paraId="6655C5AF" w14:textId="5BAFC1A7" w:rsidR="00C93FB3" w:rsidRPr="00D915BB" w:rsidRDefault="00C93FB3" w:rsidP="00C93FB3">
            <w:pPr>
              <w:jc w:val="right"/>
              <w:rPr>
                <w:rFonts w:cs="Arial"/>
                <w:szCs w:val="24"/>
                <w:lang w:eastAsia="en-GB"/>
              </w:rPr>
            </w:pPr>
            <w:r w:rsidRPr="00D915BB">
              <w:rPr>
                <w:rFonts w:cs="Arial"/>
                <w:szCs w:val="24"/>
                <w:lang w:eastAsia="en-GB"/>
              </w:rPr>
              <w:t>(1</w:t>
            </w:r>
            <w:r w:rsidR="000669E5" w:rsidRPr="00D915BB">
              <w:rPr>
                <w:rFonts w:cs="Arial"/>
                <w:szCs w:val="24"/>
                <w:lang w:eastAsia="en-GB"/>
              </w:rPr>
              <w:t>,456</w:t>
            </w:r>
            <w:r w:rsidRPr="00D915BB">
              <w:rPr>
                <w:rFonts w:cs="Arial"/>
                <w:szCs w:val="24"/>
                <w:lang w:eastAsia="en-GB"/>
              </w:rPr>
              <w:t>)</w:t>
            </w:r>
          </w:p>
        </w:tc>
      </w:tr>
      <w:tr w:rsidR="00C93FB3" w:rsidRPr="00D915BB" w14:paraId="236EF7C9" w14:textId="77777777" w:rsidTr="22FF31C3">
        <w:trPr>
          <w:trHeight w:val="80"/>
        </w:trPr>
        <w:tc>
          <w:tcPr>
            <w:tcW w:w="4111" w:type="dxa"/>
            <w:noWrap/>
            <w:vAlign w:val="bottom"/>
          </w:tcPr>
          <w:p w14:paraId="2AE3FF41" w14:textId="7DEFAF11" w:rsidR="00C93FB3" w:rsidRPr="00D915BB" w:rsidRDefault="00C93FB3" w:rsidP="00C93FB3">
            <w:pPr>
              <w:rPr>
                <w:rFonts w:cs="Arial"/>
                <w:szCs w:val="24"/>
                <w:lang w:eastAsia="en-GB"/>
              </w:rPr>
            </w:pPr>
            <w:r w:rsidRPr="00D915BB">
              <w:rPr>
                <w:rFonts w:cs="Arial"/>
                <w:szCs w:val="24"/>
                <w:lang w:eastAsia="en-GB"/>
              </w:rPr>
              <w:t xml:space="preserve">Balance sheet </w:t>
            </w:r>
            <w:proofErr w:type="gramStart"/>
            <w:r w:rsidRPr="00D915BB">
              <w:rPr>
                <w:rFonts w:cs="Arial"/>
                <w:szCs w:val="24"/>
                <w:lang w:eastAsia="en-GB"/>
              </w:rPr>
              <w:t>at</w:t>
            </w:r>
            <w:proofErr w:type="gramEnd"/>
            <w:r w:rsidRPr="00D915BB">
              <w:rPr>
                <w:rFonts w:cs="Arial"/>
                <w:szCs w:val="24"/>
                <w:lang w:eastAsia="en-GB"/>
              </w:rPr>
              <w:t xml:space="preserve"> 31 March 202</w:t>
            </w:r>
            <w:r w:rsidR="00FB1A89" w:rsidRPr="00D915BB">
              <w:rPr>
                <w:rFonts w:cs="Arial"/>
                <w:szCs w:val="24"/>
                <w:lang w:eastAsia="en-GB"/>
              </w:rPr>
              <w:t>5</w:t>
            </w:r>
          </w:p>
        </w:tc>
        <w:tc>
          <w:tcPr>
            <w:tcW w:w="1418" w:type="dxa"/>
            <w:noWrap/>
            <w:vAlign w:val="center"/>
          </w:tcPr>
          <w:p w14:paraId="07C42088" w14:textId="33D11174" w:rsidR="00C93FB3" w:rsidRPr="004C1C83" w:rsidRDefault="000820ED" w:rsidP="22FF31C3">
            <w:pPr>
              <w:jc w:val="right"/>
              <w:rPr>
                <w:rFonts w:cs="Arial"/>
                <w:lang w:eastAsia="en-GB"/>
              </w:rPr>
            </w:pPr>
            <w:r w:rsidRPr="004C1C83">
              <w:rPr>
                <w:rFonts w:cs="Arial"/>
                <w:lang w:eastAsia="en-GB"/>
              </w:rPr>
              <w:t>467</w:t>
            </w:r>
          </w:p>
        </w:tc>
        <w:tc>
          <w:tcPr>
            <w:tcW w:w="1418" w:type="dxa"/>
            <w:vAlign w:val="center"/>
          </w:tcPr>
          <w:p w14:paraId="1FD5E99F" w14:textId="1CED23CA" w:rsidR="00C93FB3" w:rsidRPr="00D915BB" w:rsidRDefault="000669E5" w:rsidP="00C93FB3">
            <w:pPr>
              <w:jc w:val="right"/>
              <w:rPr>
                <w:rFonts w:cs="Arial"/>
                <w:szCs w:val="24"/>
                <w:lang w:eastAsia="en-GB"/>
              </w:rPr>
            </w:pPr>
            <w:r w:rsidRPr="00D915BB">
              <w:rPr>
                <w:rFonts w:cs="Arial"/>
                <w:szCs w:val="24"/>
                <w:lang w:eastAsia="en-GB"/>
              </w:rPr>
              <w:t>453</w:t>
            </w:r>
          </w:p>
        </w:tc>
      </w:tr>
      <w:tr w:rsidR="00C93FB3" w:rsidRPr="00D948C1" w14:paraId="3D7B5732" w14:textId="77777777" w:rsidTr="22FF31C3">
        <w:trPr>
          <w:trHeight w:val="255"/>
        </w:trPr>
        <w:tc>
          <w:tcPr>
            <w:tcW w:w="4111" w:type="dxa"/>
            <w:noWrap/>
            <w:vAlign w:val="bottom"/>
          </w:tcPr>
          <w:p w14:paraId="5429776B" w14:textId="1E44564B" w:rsidR="00C93FB3" w:rsidRPr="00D915BB" w:rsidRDefault="00C93FB3" w:rsidP="00C93FB3">
            <w:pPr>
              <w:rPr>
                <w:rFonts w:cs="Arial"/>
                <w:szCs w:val="24"/>
                <w:lang w:eastAsia="en-GB"/>
              </w:rPr>
            </w:pPr>
            <w:r w:rsidRPr="00D915BB">
              <w:rPr>
                <w:rFonts w:cs="Arial"/>
                <w:szCs w:val="24"/>
                <w:lang w:eastAsia="en-GB"/>
              </w:rPr>
              <w:t xml:space="preserve">Balance sheet </w:t>
            </w:r>
            <w:proofErr w:type="gramStart"/>
            <w:r w:rsidRPr="00D915BB">
              <w:rPr>
                <w:rFonts w:cs="Arial"/>
                <w:szCs w:val="24"/>
                <w:lang w:eastAsia="en-GB"/>
              </w:rPr>
              <w:t>at</w:t>
            </w:r>
            <w:proofErr w:type="gramEnd"/>
            <w:r w:rsidRPr="00D915BB">
              <w:rPr>
                <w:rFonts w:cs="Arial"/>
                <w:szCs w:val="24"/>
                <w:lang w:eastAsia="en-GB"/>
              </w:rPr>
              <w:t xml:space="preserve"> 31 March 202</w:t>
            </w:r>
            <w:r w:rsidR="00FB1A89" w:rsidRPr="00D915BB">
              <w:rPr>
                <w:rFonts w:cs="Arial"/>
                <w:szCs w:val="24"/>
                <w:lang w:eastAsia="en-GB"/>
              </w:rPr>
              <w:t>4</w:t>
            </w:r>
          </w:p>
        </w:tc>
        <w:tc>
          <w:tcPr>
            <w:tcW w:w="1418" w:type="dxa"/>
            <w:noWrap/>
            <w:vAlign w:val="center"/>
          </w:tcPr>
          <w:p w14:paraId="55D72188" w14:textId="2F3527DD" w:rsidR="00C93FB3" w:rsidRPr="004C1C83" w:rsidRDefault="00E54384" w:rsidP="22FF31C3">
            <w:pPr>
              <w:jc w:val="right"/>
              <w:rPr>
                <w:rFonts w:cs="Arial"/>
                <w:lang w:eastAsia="en-GB"/>
              </w:rPr>
            </w:pPr>
            <w:r w:rsidRPr="004C1C83">
              <w:rPr>
                <w:rFonts w:cs="Arial"/>
                <w:lang w:eastAsia="en-GB"/>
              </w:rPr>
              <w:t>453</w:t>
            </w:r>
          </w:p>
        </w:tc>
        <w:tc>
          <w:tcPr>
            <w:tcW w:w="1418" w:type="dxa"/>
            <w:vAlign w:val="center"/>
          </w:tcPr>
          <w:p w14:paraId="0F629A7E" w14:textId="79FF9291" w:rsidR="00C93FB3" w:rsidRPr="00D948C1" w:rsidRDefault="000669E5" w:rsidP="00C93FB3">
            <w:pPr>
              <w:jc w:val="right"/>
              <w:rPr>
                <w:rFonts w:cs="Arial"/>
                <w:szCs w:val="24"/>
                <w:lang w:eastAsia="en-GB"/>
              </w:rPr>
            </w:pPr>
            <w:r w:rsidRPr="00D915BB">
              <w:rPr>
                <w:rFonts w:cs="Arial"/>
                <w:szCs w:val="24"/>
                <w:lang w:eastAsia="en-GB"/>
              </w:rPr>
              <w:t>906</w:t>
            </w:r>
          </w:p>
        </w:tc>
      </w:tr>
    </w:tbl>
    <w:p w14:paraId="35B2B21A" w14:textId="77777777" w:rsidR="00CA025A" w:rsidRPr="004B58BE" w:rsidRDefault="00CA025A" w:rsidP="00CA025A">
      <w:pPr>
        <w:pStyle w:val="BodyTextIndent"/>
        <w:jc w:val="both"/>
        <w:rPr>
          <w:szCs w:val="24"/>
        </w:rPr>
      </w:pPr>
    </w:p>
    <w:p w14:paraId="1C701A62" w14:textId="47288C37" w:rsidR="00074548" w:rsidRDefault="004B58BE" w:rsidP="00074548">
      <w:pPr>
        <w:pStyle w:val="BodyTextIndent"/>
        <w:ind w:left="709" w:right="425"/>
        <w:rPr>
          <w:szCs w:val="24"/>
          <w:lang w:val="en-GB"/>
        </w:rPr>
      </w:pPr>
      <w:r>
        <w:rPr>
          <w:szCs w:val="24"/>
          <w:lang w:val="en-GB"/>
        </w:rPr>
        <w:t xml:space="preserve">The </w:t>
      </w:r>
      <w:r w:rsidRPr="00D948C1">
        <w:rPr>
          <w:szCs w:val="24"/>
          <w:lang w:val="en-GB"/>
        </w:rPr>
        <w:t>disposal</w:t>
      </w:r>
      <w:r>
        <w:rPr>
          <w:szCs w:val="24"/>
          <w:lang w:val="en-GB"/>
        </w:rPr>
        <w:t>/de-recognition</w:t>
      </w:r>
      <w:r w:rsidRPr="00D948C1">
        <w:rPr>
          <w:szCs w:val="24"/>
          <w:lang w:val="en-GB"/>
        </w:rPr>
        <w:t xml:space="preserve"> figures in the above table, include 2022/23 </w:t>
      </w:r>
      <w:r>
        <w:rPr>
          <w:szCs w:val="24"/>
          <w:lang w:val="en-GB"/>
        </w:rPr>
        <w:t>de-recognitions</w:t>
      </w:r>
      <w:r w:rsidRPr="00D948C1">
        <w:rPr>
          <w:szCs w:val="24"/>
          <w:lang w:val="en-GB"/>
        </w:rPr>
        <w:t xml:space="preserve"> not previously recognised.</w:t>
      </w:r>
    </w:p>
    <w:p w14:paraId="7997F038" w14:textId="77777777" w:rsidR="00074548" w:rsidRDefault="00074548">
      <w:pPr>
        <w:rPr>
          <w:szCs w:val="24"/>
        </w:rPr>
      </w:pPr>
      <w:r>
        <w:rPr>
          <w:szCs w:val="24"/>
        </w:rPr>
        <w:br w:type="page"/>
      </w:r>
    </w:p>
    <w:p w14:paraId="7FA1F480" w14:textId="63C11B48" w:rsidR="00AF0C70" w:rsidRDefault="00AF0C70" w:rsidP="00AF0C70">
      <w:pPr>
        <w:pStyle w:val="BodyTextIndent"/>
        <w:ind w:left="709" w:right="425"/>
        <w:rPr>
          <w:lang w:val="en-GB"/>
        </w:rPr>
      </w:pPr>
      <w:r>
        <w:rPr>
          <w:lang w:val="en-GB"/>
        </w:rPr>
        <w:lastRenderedPageBreak/>
        <w:t xml:space="preserve">The following table provides details of </w:t>
      </w:r>
      <w:r w:rsidR="006C4CA7">
        <w:rPr>
          <w:lang w:val="en-GB"/>
        </w:rPr>
        <w:t xml:space="preserve">intangible </w:t>
      </w:r>
      <w:r>
        <w:rPr>
          <w:lang w:val="en-GB"/>
        </w:rPr>
        <w:t xml:space="preserve">assets under development </w:t>
      </w:r>
      <w:proofErr w:type="gramStart"/>
      <w:r>
        <w:rPr>
          <w:lang w:val="en-GB"/>
        </w:rPr>
        <w:t>at</w:t>
      </w:r>
      <w:proofErr w:type="gramEnd"/>
      <w:r>
        <w:rPr>
          <w:lang w:val="en-GB"/>
        </w:rPr>
        <w:t xml:space="preserve"> 31 March:</w:t>
      </w:r>
    </w:p>
    <w:p w14:paraId="7ACBE308" w14:textId="77777777" w:rsidR="00F65D59" w:rsidRDefault="00F65D59" w:rsidP="00AF0C70">
      <w:pPr>
        <w:pStyle w:val="BodyTextIndent"/>
        <w:ind w:left="709" w:right="425"/>
        <w:rPr>
          <w:lang w:val="en-GB"/>
        </w:rPr>
      </w:pPr>
    </w:p>
    <w:tbl>
      <w:tblPr>
        <w:tblW w:w="69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1418"/>
      </w:tblGrid>
      <w:tr w:rsidR="00F65D59" w:rsidRPr="00D948C1" w14:paraId="14A9B14F" w14:textId="77777777">
        <w:trPr>
          <w:trHeight w:val="255"/>
          <w:tblHeader/>
        </w:trPr>
        <w:tc>
          <w:tcPr>
            <w:tcW w:w="4111" w:type="dxa"/>
            <w:shd w:val="clear" w:color="auto" w:fill="BD2716"/>
            <w:noWrap/>
            <w:vAlign w:val="bottom"/>
          </w:tcPr>
          <w:p w14:paraId="41133168" w14:textId="77777777" w:rsidR="00F65D59" w:rsidRPr="00D948C1" w:rsidRDefault="00F65D59">
            <w:pPr>
              <w:ind w:firstLine="34"/>
              <w:rPr>
                <w:rFonts w:cs="Arial"/>
                <w:b/>
                <w:bCs/>
                <w:color w:val="FFFFFF" w:themeColor="background1"/>
                <w:szCs w:val="24"/>
                <w:lang w:eastAsia="en-GB"/>
              </w:rPr>
            </w:pPr>
          </w:p>
        </w:tc>
        <w:tc>
          <w:tcPr>
            <w:tcW w:w="1418" w:type="dxa"/>
            <w:shd w:val="clear" w:color="auto" w:fill="BD2716"/>
            <w:noWrap/>
            <w:vAlign w:val="center"/>
          </w:tcPr>
          <w:p w14:paraId="185B4CBC" w14:textId="77777777" w:rsidR="00F65D59" w:rsidRPr="00D948C1" w:rsidRDefault="00F65D59">
            <w:pPr>
              <w:pStyle w:val="BodyTextIndent"/>
              <w:ind w:left="0"/>
              <w:jc w:val="right"/>
              <w:rPr>
                <w:color w:val="FFFFFF" w:themeColor="background1"/>
                <w:szCs w:val="24"/>
                <w:lang w:val="en-GB"/>
              </w:rPr>
            </w:pPr>
            <w:r w:rsidRPr="00D948C1">
              <w:rPr>
                <w:color w:val="FFFFFF" w:themeColor="background1"/>
                <w:szCs w:val="24"/>
                <w:lang w:val="en-GB"/>
              </w:rPr>
              <w:t>202</w:t>
            </w:r>
            <w:r>
              <w:rPr>
                <w:color w:val="FFFFFF" w:themeColor="background1"/>
                <w:szCs w:val="24"/>
                <w:lang w:val="en-GB"/>
              </w:rPr>
              <w:t>4/</w:t>
            </w:r>
            <w:r w:rsidRPr="00D948C1">
              <w:rPr>
                <w:color w:val="FFFFFF" w:themeColor="background1"/>
                <w:szCs w:val="24"/>
                <w:lang w:val="en-GB"/>
              </w:rPr>
              <w:t>2</w:t>
            </w:r>
            <w:r>
              <w:rPr>
                <w:color w:val="FFFFFF" w:themeColor="background1"/>
                <w:szCs w:val="24"/>
                <w:lang w:val="en-GB"/>
              </w:rPr>
              <w:t>5</w:t>
            </w:r>
          </w:p>
          <w:p w14:paraId="019B75A2" w14:textId="77777777" w:rsidR="00F65D59" w:rsidRPr="00D948C1" w:rsidRDefault="00F65D59">
            <w:pPr>
              <w:pStyle w:val="BodyTextIndent"/>
              <w:ind w:left="0"/>
              <w:jc w:val="right"/>
              <w:rPr>
                <w:color w:val="FFFFFF" w:themeColor="background1"/>
                <w:szCs w:val="24"/>
                <w:lang w:val="en-GB"/>
              </w:rPr>
            </w:pPr>
            <w:r w:rsidRPr="00D948C1">
              <w:rPr>
                <w:color w:val="FFFFFF" w:themeColor="background1"/>
                <w:szCs w:val="24"/>
                <w:lang w:val="en-GB"/>
              </w:rPr>
              <w:t>£000</w:t>
            </w:r>
          </w:p>
        </w:tc>
        <w:tc>
          <w:tcPr>
            <w:tcW w:w="1418" w:type="dxa"/>
            <w:shd w:val="clear" w:color="auto" w:fill="BD2716"/>
            <w:vAlign w:val="center"/>
          </w:tcPr>
          <w:p w14:paraId="43FC7735" w14:textId="77777777" w:rsidR="00F65D59" w:rsidRPr="00D948C1" w:rsidRDefault="00F65D59">
            <w:pPr>
              <w:pStyle w:val="BodyTextIndent"/>
              <w:ind w:left="0"/>
              <w:jc w:val="right"/>
              <w:rPr>
                <w:color w:val="FFFFFF" w:themeColor="background1"/>
                <w:szCs w:val="24"/>
                <w:lang w:val="en-GB"/>
              </w:rPr>
            </w:pPr>
            <w:r w:rsidRPr="00D948C1">
              <w:rPr>
                <w:color w:val="FFFFFF" w:themeColor="background1"/>
                <w:szCs w:val="24"/>
                <w:lang w:val="en-GB"/>
              </w:rPr>
              <w:t>202</w:t>
            </w:r>
            <w:r>
              <w:rPr>
                <w:color w:val="FFFFFF" w:themeColor="background1"/>
                <w:szCs w:val="24"/>
                <w:lang w:val="en-GB"/>
              </w:rPr>
              <w:t>3</w:t>
            </w:r>
            <w:r w:rsidRPr="00D948C1">
              <w:rPr>
                <w:color w:val="FFFFFF" w:themeColor="background1"/>
                <w:szCs w:val="24"/>
                <w:lang w:val="en-GB"/>
              </w:rPr>
              <w:t>/2</w:t>
            </w:r>
            <w:r>
              <w:rPr>
                <w:color w:val="FFFFFF" w:themeColor="background1"/>
                <w:szCs w:val="24"/>
                <w:lang w:val="en-GB"/>
              </w:rPr>
              <w:t>4</w:t>
            </w:r>
          </w:p>
          <w:p w14:paraId="4775FE4D" w14:textId="77777777" w:rsidR="00F65D59" w:rsidRPr="00D948C1" w:rsidRDefault="00F65D59">
            <w:pPr>
              <w:pStyle w:val="BodyTextIndent"/>
              <w:ind w:left="0"/>
              <w:jc w:val="right"/>
              <w:rPr>
                <w:color w:val="FFFFFF" w:themeColor="background1"/>
                <w:szCs w:val="24"/>
                <w:lang w:val="en-GB"/>
              </w:rPr>
            </w:pPr>
            <w:r w:rsidRPr="00D948C1">
              <w:rPr>
                <w:color w:val="FFFFFF" w:themeColor="background1"/>
                <w:szCs w:val="24"/>
                <w:lang w:val="en-GB"/>
              </w:rPr>
              <w:t>£000</w:t>
            </w:r>
          </w:p>
        </w:tc>
      </w:tr>
      <w:tr w:rsidR="00F65D59" w:rsidRPr="00D948C1" w14:paraId="271ACE41" w14:textId="77777777">
        <w:trPr>
          <w:trHeight w:val="255"/>
        </w:trPr>
        <w:tc>
          <w:tcPr>
            <w:tcW w:w="6947" w:type="dxa"/>
            <w:gridSpan w:val="3"/>
            <w:shd w:val="clear" w:color="auto" w:fill="D9D9D9" w:themeFill="background1" w:themeFillShade="D9"/>
            <w:noWrap/>
            <w:vAlign w:val="bottom"/>
          </w:tcPr>
          <w:p w14:paraId="4D03D54D" w14:textId="77777777" w:rsidR="00F65D59" w:rsidRPr="00D948C1" w:rsidRDefault="00F65D59">
            <w:pPr>
              <w:rPr>
                <w:rFonts w:cs="Arial"/>
                <w:szCs w:val="24"/>
                <w:lang w:eastAsia="en-GB"/>
              </w:rPr>
            </w:pPr>
            <w:r w:rsidRPr="00D948C1">
              <w:rPr>
                <w:rFonts w:cs="Arial"/>
                <w:b/>
                <w:bCs/>
                <w:szCs w:val="24"/>
                <w:lang w:eastAsia="en-GB"/>
              </w:rPr>
              <w:t>Cost or valuation</w:t>
            </w:r>
          </w:p>
        </w:tc>
      </w:tr>
      <w:tr w:rsidR="00F65D59" w:rsidRPr="000669E5" w14:paraId="1788AD28" w14:textId="77777777">
        <w:trPr>
          <w:trHeight w:val="255"/>
        </w:trPr>
        <w:tc>
          <w:tcPr>
            <w:tcW w:w="4111" w:type="dxa"/>
            <w:noWrap/>
            <w:vAlign w:val="bottom"/>
          </w:tcPr>
          <w:p w14:paraId="4A6760F0" w14:textId="55731C60" w:rsidR="00F65D59" w:rsidRPr="00D948C1" w:rsidRDefault="00F65D59">
            <w:pPr>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w:t>
            </w:r>
            <w:r>
              <w:rPr>
                <w:rFonts w:cs="Arial"/>
                <w:szCs w:val="24"/>
                <w:lang w:eastAsia="en-GB"/>
              </w:rPr>
              <w:t>31 March 2025</w:t>
            </w:r>
            <w:r w:rsidRPr="00D948C1">
              <w:rPr>
                <w:rFonts w:cs="Arial"/>
                <w:szCs w:val="24"/>
                <w:lang w:eastAsia="en-GB"/>
              </w:rPr>
              <w:t xml:space="preserve"> </w:t>
            </w:r>
          </w:p>
        </w:tc>
        <w:tc>
          <w:tcPr>
            <w:tcW w:w="1418" w:type="dxa"/>
            <w:noWrap/>
            <w:vAlign w:val="center"/>
          </w:tcPr>
          <w:p w14:paraId="7AFEC268" w14:textId="656B3526" w:rsidR="00F65D59" w:rsidRPr="00D67E05" w:rsidRDefault="00522616">
            <w:pPr>
              <w:jc w:val="right"/>
              <w:rPr>
                <w:rFonts w:cs="Arial"/>
                <w:lang w:eastAsia="en-GB"/>
              </w:rPr>
            </w:pPr>
            <w:r w:rsidRPr="00D67E05">
              <w:rPr>
                <w:rFonts w:cs="Arial"/>
                <w:lang w:eastAsia="en-GB"/>
              </w:rPr>
              <w:t>57</w:t>
            </w:r>
          </w:p>
        </w:tc>
        <w:tc>
          <w:tcPr>
            <w:tcW w:w="1418" w:type="dxa"/>
            <w:vAlign w:val="center"/>
          </w:tcPr>
          <w:p w14:paraId="1A750D37" w14:textId="78573483" w:rsidR="00F65D59" w:rsidRPr="000669E5" w:rsidRDefault="00FF5B29">
            <w:pPr>
              <w:jc w:val="right"/>
              <w:rPr>
                <w:rFonts w:cs="Arial"/>
                <w:szCs w:val="24"/>
                <w:lang w:eastAsia="en-GB"/>
              </w:rPr>
            </w:pPr>
            <w:r>
              <w:rPr>
                <w:rFonts w:cs="Arial"/>
                <w:szCs w:val="24"/>
                <w:lang w:eastAsia="en-GB"/>
              </w:rPr>
              <w:t>-</w:t>
            </w:r>
          </w:p>
        </w:tc>
      </w:tr>
      <w:tr w:rsidR="00F65D59" w:rsidRPr="000669E5" w14:paraId="433DB45F" w14:textId="77777777">
        <w:trPr>
          <w:trHeight w:val="255"/>
        </w:trPr>
        <w:tc>
          <w:tcPr>
            <w:tcW w:w="4111" w:type="dxa"/>
            <w:noWrap/>
            <w:vAlign w:val="bottom"/>
          </w:tcPr>
          <w:p w14:paraId="71679784" w14:textId="492C1D23" w:rsidR="00F65D59" w:rsidRPr="00D948C1" w:rsidRDefault="00F65D59">
            <w:pPr>
              <w:pStyle w:val="CommentText"/>
              <w:rPr>
                <w:rFonts w:cs="Arial"/>
                <w:sz w:val="24"/>
                <w:szCs w:val="24"/>
                <w:lang w:eastAsia="en-GB"/>
              </w:rPr>
            </w:pPr>
            <w:proofErr w:type="gramStart"/>
            <w:r>
              <w:rPr>
                <w:rFonts w:cs="Arial"/>
                <w:sz w:val="24"/>
                <w:szCs w:val="24"/>
                <w:lang w:eastAsia="en-GB"/>
              </w:rPr>
              <w:t>At</w:t>
            </w:r>
            <w:proofErr w:type="gramEnd"/>
            <w:r>
              <w:rPr>
                <w:rFonts w:cs="Arial"/>
                <w:sz w:val="24"/>
                <w:szCs w:val="24"/>
                <w:lang w:eastAsia="en-GB"/>
              </w:rPr>
              <w:t xml:space="preserve"> 31 March </w:t>
            </w:r>
            <w:r w:rsidR="00B93FFF">
              <w:rPr>
                <w:rFonts w:cs="Arial"/>
                <w:sz w:val="24"/>
                <w:szCs w:val="24"/>
                <w:lang w:eastAsia="en-GB"/>
              </w:rPr>
              <w:t>2024</w:t>
            </w:r>
          </w:p>
        </w:tc>
        <w:tc>
          <w:tcPr>
            <w:tcW w:w="1418" w:type="dxa"/>
            <w:noWrap/>
            <w:vAlign w:val="center"/>
          </w:tcPr>
          <w:p w14:paraId="2E2CA7CD" w14:textId="448690E2" w:rsidR="00F65D59" w:rsidRPr="00D67E05" w:rsidRDefault="00FF5B29">
            <w:pPr>
              <w:jc w:val="right"/>
              <w:rPr>
                <w:rFonts w:cs="Arial"/>
                <w:lang w:eastAsia="en-GB"/>
              </w:rPr>
            </w:pPr>
            <w:r w:rsidRPr="00D67E05">
              <w:rPr>
                <w:rFonts w:cs="Arial"/>
                <w:lang w:eastAsia="en-GB"/>
              </w:rPr>
              <w:t>-</w:t>
            </w:r>
          </w:p>
        </w:tc>
        <w:tc>
          <w:tcPr>
            <w:tcW w:w="1418" w:type="dxa"/>
            <w:vAlign w:val="center"/>
          </w:tcPr>
          <w:p w14:paraId="022E3F44" w14:textId="46C4D8FF" w:rsidR="00F65D59" w:rsidRPr="000669E5" w:rsidRDefault="00654C67">
            <w:pPr>
              <w:jc w:val="right"/>
              <w:rPr>
                <w:rFonts w:cs="Arial"/>
                <w:szCs w:val="24"/>
                <w:lang w:eastAsia="en-GB"/>
              </w:rPr>
            </w:pPr>
            <w:r>
              <w:rPr>
                <w:rFonts w:cs="Arial"/>
                <w:szCs w:val="24"/>
                <w:lang w:eastAsia="en-GB"/>
              </w:rPr>
              <w:t>-</w:t>
            </w:r>
          </w:p>
        </w:tc>
      </w:tr>
    </w:tbl>
    <w:p w14:paraId="582FE93A" w14:textId="77777777" w:rsidR="00F65D59" w:rsidRDefault="00F65D59" w:rsidP="00AF0C70">
      <w:pPr>
        <w:pStyle w:val="BodyTextIndent"/>
        <w:ind w:left="709" w:right="425"/>
        <w:rPr>
          <w:lang w:val="en-GB"/>
        </w:rPr>
      </w:pPr>
    </w:p>
    <w:p w14:paraId="6AD9796E" w14:textId="522C4FFC" w:rsidR="00AF0C70" w:rsidRDefault="006C4CA7" w:rsidP="00AF0C70">
      <w:pPr>
        <w:pStyle w:val="BodyTextIndent"/>
        <w:ind w:left="709" w:right="425"/>
        <w:rPr>
          <w:lang w:val="en-GB"/>
        </w:rPr>
      </w:pPr>
      <w:r>
        <w:rPr>
          <w:lang w:val="en-GB"/>
        </w:rPr>
        <w:t>Intangible a</w:t>
      </w:r>
      <w:r w:rsidR="00AF0C70">
        <w:rPr>
          <w:lang w:val="en-GB"/>
        </w:rPr>
        <w:t>ssets under construction are held at cost and not</w:t>
      </w:r>
      <w:r w:rsidR="00F65D59">
        <w:rPr>
          <w:lang w:val="en-GB"/>
        </w:rPr>
        <w:t xml:space="preserve"> amortised</w:t>
      </w:r>
      <w:r w:rsidR="00AF0C70">
        <w:rPr>
          <w:lang w:val="en-GB"/>
        </w:rPr>
        <w:t xml:space="preserve"> until they come into service.</w:t>
      </w:r>
    </w:p>
    <w:p w14:paraId="6205C6CD" w14:textId="77777777" w:rsidR="004B58BE" w:rsidRPr="004B58BE" w:rsidRDefault="004B58BE" w:rsidP="00F65D59">
      <w:pPr>
        <w:pStyle w:val="BodyTextIndent"/>
        <w:ind w:left="0"/>
        <w:jc w:val="both"/>
        <w:rPr>
          <w:szCs w:val="24"/>
        </w:rPr>
      </w:pPr>
    </w:p>
    <w:p w14:paraId="236772BA" w14:textId="512F3FED" w:rsidR="00D90216" w:rsidRPr="00D05264" w:rsidRDefault="007C6DCB" w:rsidP="22FF31C3">
      <w:pPr>
        <w:pStyle w:val="Heading2"/>
        <w:jc w:val="left"/>
        <w:rPr>
          <w:sz w:val="24"/>
          <w:szCs w:val="24"/>
        </w:rPr>
      </w:pPr>
      <w:bookmarkStart w:id="41" w:name="_Toc215593399"/>
      <w:r w:rsidRPr="22FF31C3">
        <w:rPr>
          <w:sz w:val="24"/>
          <w:szCs w:val="24"/>
        </w:rPr>
        <w:t>8</w:t>
      </w:r>
      <w:r>
        <w:tab/>
      </w:r>
      <w:bookmarkStart w:id="42" w:name="N8"/>
      <w:bookmarkEnd w:id="42"/>
      <w:r w:rsidR="00D90216" w:rsidRPr="00D05264">
        <w:rPr>
          <w:sz w:val="24"/>
          <w:szCs w:val="24"/>
        </w:rPr>
        <w:t>Financial Instruments</w:t>
      </w:r>
      <w:bookmarkEnd w:id="41"/>
    </w:p>
    <w:p w14:paraId="52A916E5" w14:textId="77777777" w:rsidR="00D90216" w:rsidRPr="00D05264" w:rsidRDefault="00D90216" w:rsidP="22FF31C3">
      <w:pPr>
        <w:ind w:left="720"/>
      </w:pPr>
    </w:p>
    <w:p w14:paraId="3BE03A6A" w14:textId="689DDDDD" w:rsidR="000D5322" w:rsidRPr="00D05264" w:rsidRDefault="00D90216" w:rsidP="22FF31C3">
      <w:pPr>
        <w:ind w:left="709" w:hanging="709"/>
      </w:pPr>
      <w:r w:rsidRPr="00D05264">
        <w:rPr>
          <w:szCs w:val="24"/>
        </w:rPr>
        <w:tab/>
      </w:r>
      <w:r w:rsidR="000D5322" w:rsidRPr="00D05264">
        <w:t xml:space="preserve">A financial instrument is a contract which gives rise to a financial asset of one entity and a financial liability or equity instrument of another entity. No-exchange transactions such as those relating to taxes and government grants do not give rise to financial instruments. </w:t>
      </w:r>
    </w:p>
    <w:p w14:paraId="242DCB94" w14:textId="77777777" w:rsidR="000D5322" w:rsidRPr="00D05264" w:rsidRDefault="000D5322" w:rsidP="22FF31C3">
      <w:pPr>
        <w:ind w:left="709" w:hanging="709"/>
      </w:pPr>
    </w:p>
    <w:p w14:paraId="0BE7A2CB" w14:textId="02C96F10" w:rsidR="000D5322" w:rsidRPr="00D05264" w:rsidRDefault="000D5322" w:rsidP="22FF31C3">
      <w:pPr>
        <w:ind w:firstLine="702"/>
        <w:rPr>
          <w:b/>
          <w:bCs/>
        </w:rPr>
      </w:pPr>
      <w:r w:rsidRPr="00D05264">
        <w:rPr>
          <w:b/>
          <w:bCs/>
        </w:rPr>
        <w:t>Financial assets – balances</w:t>
      </w:r>
    </w:p>
    <w:p w14:paraId="505CF7CC" w14:textId="77777777" w:rsidR="000D5322" w:rsidRPr="00D05264" w:rsidRDefault="000D5322" w:rsidP="22FF31C3">
      <w:pPr>
        <w:ind w:left="1411" w:hanging="709"/>
        <w:rPr>
          <w:b/>
          <w:bCs/>
        </w:rPr>
      </w:pPr>
    </w:p>
    <w:p w14:paraId="199B33D7" w14:textId="0B55445A" w:rsidR="000D5322" w:rsidRPr="00D05264" w:rsidRDefault="000D5322" w:rsidP="22FF31C3">
      <w:pPr>
        <w:ind w:left="709" w:hanging="7"/>
      </w:pPr>
      <w:r w:rsidRPr="00D05264">
        <w:t xml:space="preserve">A financial asset is a right to future economic benefits </w:t>
      </w:r>
      <w:r w:rsidR="00B817F8" w:rsidRPr="00D05264">
        <w:t xml:space="preserve">controlled by the Authority that is represented by cash, equity instruments or a contractual right to receive cash or other financial assets or a right to exchange financial assets and liabilities with another entity that is potentially favourable to the Authority. The financial assets held by the Authority during the year are </w:t>
      </w:r>
      <w:r w:rsidR="00704891" w:rsidRPr="00D05264">
        <w:t xml:space="preserve">all </w:t>
      </w:r>
      <w:r w:rsidR="00B817F8" w:rsidRPr="00D05264">
        <w:t>accounted for under the amortised cost, comprising:</w:t>
      </w:r>
    </w:p>
    <w:p w14:paraId="722073B4" w14:textId="338B72DD" w:rsidR="00B817F8" w:rsidRPr="00D05264" w:rsidRDefault="00B817F8" w:rsidP="22FF31C3">
      <w:pPr>
        <w:pStyle w:val="ListParagraph"/>
        <w:numPr>
          <w:ilvl w:val="1"/>
          <w:numId w:val="33"/>
        </w:numPr>
      </w:pPr>
      <w:r w:rsidRPr="00D05264">
        <w:t>Investments, which are loans to other local authorities</w:t>
      </w:r>
      <w:r w:rsidR="000A40E3" w:rsidRPr="00D05264">
        <w:t>.</w:t>
      </w:r>
    </w:p>
    <w:p w14:paraId="6203ADDC" w14:textId="07C25F21" w:rsidR="00B817F8" w:rsidRPr="00D05264" w:rsidRDefault="00B817F8" w:rsidP="22FF31C3">
      <w:pPr>
        <w:pStyle w:val="ListParagraph"/>
        <w:numPr>
          <w:ilvl w:val="1"/>
          <w:numId w:val="33"/>
        </w:numPr>
      </w:pPr>
      <w:r w:rsidRPr="00D05264">
        <w:t>Cash in hand and bank current and deposit accounts</w:t>
      </w:r>
      <w:r w:rsidR="000A40E3" w:rsidRPr="00D05264">
        <w:t>.</w:t>
      </w:r>
    </w:p>
    <w:p w14:paraId="37A98BA3" w14:textId="1C7F4AC8" w:rsidR="00F74E7D" w:rsidRPr="00D05264" w:rsidRDefault="00B817F8" w:rsidP="22FF31C3">
      <w:pPr>
        <w:pStyle w:val="ListParagraph"/>
        <w:numPr>
          <w:ilvl w:val="1"/>
          <w:numId w:val="33"/>
        </w:numPr>
      </w:pPr>
      <w:r w:rsidRPr="00D05264">
        <w:t>Trade receivables for goods and services provided</w:t>
      </w:r>
      <w:r w:rsidR="000A40E3" w:rsidRPr="00D05264">
        <w:t>.</w:t>
      </w:r>
    </w:p>
    <w:p w14:paraId="75FAE1C1" w14:textId="2BD2E75D" w:rsidR="00372872" w:rsidRPr="00D05264" w:rsidRDefault="00372872" w:rsidP="22FF31C3"/>
    <w:p w14:paraId="41BED5C5" w14:textId="7F3D83EC" w:rsidR="00B817F8" w:rsidRPr="00D948C1" w:rsidRDefault="00B817F8" w:rsidP="00BC6C4F">
      <w:pPr>
        <w:ind w:left="702"/>
      </w:pPr>
      <w:r w:rsidRPr="00D05264">
        <w:t>The financial assets disclosed in the Balance Sheet are analysed across the following categories:</w:t>
      </w:r>
    </w:p>
    <w:p w14:paraId="511BB0BF" w14:textId="77777777" w:rsidR="00D90216" w:rsidRPr="00D948C1" w:rsidRDefault="00D90216" w:rsidP="00326762">
      <w:pPr>
        <w:rPr>
          <w:sz w:val="22"/>
          <w:szCs w:val="22"/>
        </w:rPr>
      </w:pPr>
    </w:p>
    <w:tbl>
      <w:tblPr>
        <w:tblW w:w="87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89"/>
        <w:gridCol w:w="1189"/>
        <w:gridCol w:w="1189"/>
        <w:gridCol w:w="1189"/>
      </w:tblGrid>
      <w:tr w:rsidR="002C07CF" w:rsidRPr="00D948C1" w14:paraId="1A16677D" w14:textId="77777777" w:rsidTr="007641BA">
        <w:trPr>
          <w:cantSplit/>
          <w:trHeight w:val="283"/>
          <w:tblHeader/>
        </w:trPr>
        <w:tc>
          <w:tcPr>
            <w:tcW w:w="4032" w:type="dxa"/>
            <w:shd w:val="clear" w:color="auto" w:fill="BD2716"/>
          </w:tcPr>
          <w:p w14:paraId="2E58627C" w14:textId="77777777" w:rsidR="002C07CF" w:rsidRPr="00D948C1" w:rsidRDefault="002C07CF" w:rsidP="00CD62E6">
            <w:pPr>
              <w:rPr>
                <w:color w:val="FFFFFF" w:themeColor="background1"/>
                <w:szCs w:val="24"/>
              </w:rPr>
            </w:pPr>
          </w:p>
        </w:tc>
        <w:tc>
          <w:tcPr>
            <w:tcW w:w="2378" w:type="dxa"/>
            <w:gridSpan w:val="2"/>
            <w:shd w:val="clear" w:color="auto" w:fill="BD2716"/>
            <w:vAlign w:val="center"/>
          </w:tcPr>
          <w:p w14:paraId="0FC6F362" w14:textId="2DFCB224" w:rsidR="002C07CF" w:rsidRPr="00D948C1" w:rsidRDefault="002C07CF" w:rsidP="00CD62E6">
            <w:pPr>
              <w:jc w:val="center"/>
              <w:rPr>
                <w:color w:val="FFFFFF" w:themeColor="background1"/>
                <w:szCs w:val="24"/>
              </w:rPr>
            </w:pPr>
            <w:r w:rsidRPr="00D948C1">
              <w:rPr>
                <w:color w:val="FFFFFF" w:themeColor="background1"/>
                <w:szCs w:val="24"/>
              </w:rPr>
              <w:t>Long-Term</w:t>
            </w:r>
          </w:p>
        </w:tc>
        <w:tc>
          <w:tcPr>
            <w:tcW w:w="2378" w:type="dxa"/>
            <w:gridSpan w:val="2"/>
            <w:shd w:val="clear" w:color="auto" w:fill="BD2716"/>
            <w:vAlign w:val="center"/>
          </w:tcPr>
          <w:p w14:paraId="5E73C340" w14:textId="610606B2" w:rsidR="002C07CF" w:rsidRPr="00D948C1" w:rsidRDefault="002C07CF" w:rsidP="00E42E0C">
            <w:pPr>
              <w:jc w:val="center"/>
              <w:rPr>
                <w:color w:val="FFFFFF" w:themeColor="background1"/>
                <w:szCs w:val="24"/>
              </w:rPr>
            </w:pPr>
            <w:r w:rsidRPr="00D948C1">
              <w:rPr>
                <w:color w:val="FFFFFF" w:themeColor="background1"/>
                <w:szCs w:val="24"/>
              </w:rPr>
              <w:t>Current</w:t>
            </w:r>
          </w:p>
        </w:tc>
      </w:tr>
      <w:tr w:rsidR="000960DE" w:rsidRPr="00D948C1" w14:paraId="7BC2AD3F" w14:textId="77777777" w:rsidTr="00611673">
        <w:trPr>
          <w:cantSplit/>
          <w:trHeight w:val="536"/>
          <w:tblHeader/>
        </w:trPr>
        <w:tc>
          <w:tcPr>
            <w:tcW w:w="4032" w:type="dxa"/>
            <w:shd w:val="clear" w:color="auto" w:fill="BD2716"/>
          </w:tcPr>
          <w:p w14:paraId="688CD5D6" w14:textId="77777777" w:rsidR="000960DE" w:rsidRPr="00D948C1" w:rsidRDefault="000960DE" w:rsidP="000960DE">
            <w:pPr>
              <w:rPr>
                <w:color w:val="FFFFFF" w:themeColor="background1"/>
                <w:szCs w:val="24"/>
              </w:rPr>
            </w:pPr>
          </w:p>
        </w:tc>
        <w:tc>
          <w:tcPr>
            <w:tcW w:w="1189" w:type="dxa"/>
            <w:shd w:val="clear" w:color="auto" w:fill="BD2716"/>
            <w:vAlign w:val="center"/>
          </w:tcPr>
          <w:p w14:paraId="4D8EFC4A" w14:textId="0929D86F" w:rsidR="000960DE" w:rsidRPr="00D948C1" w:rsidRDefault="000960DE" w:rsidP="00611673">
            <w:pPr>
              <w:jc w:val="right"/>
              <w:rPr>
                <w:color w:val="FFFFFF" w:themeColor="background1"/>
                <w:szCs w:val="24"/>
              </w:rPr>
            </w:pPr>
            <w:r w:rsidRPr="00D948C1">
              <w:rPr>
                <w:color w:val="FFFFFF" w:themeColor="background1"/>
                <w:szCs w:val="24"/>
              </w:rPr>
              <w:t>31 March 202</w:t>
            </w:r>
            <w:r w:rsidR="000811CC">
              <w:rPr>
                <w:color w:val="FFFFFF" w:themeColor="background1"/>
                <w:szCs w:val="24"/>
              </w:rPr>
              <w:t>5</w:t>
            </w:r>
          </w:p>
          <w:p w14:paraId="7DF4721E" w14:textId="2B70C135" w:rsidR="00DC7A16" w:rsidRPr="00D948C1" w:rsidRDefault="00DC7A16" w:rsidP="00611673">
            <w:pPr>
              <w:jc w:val="right"/>
              <w:rPr>
                <w:color w:val="FFFFFF" w:themeColor="background1"/>
                <w:szCs w:val="24"/>
              </w:rPr>
            </w:pPr>
            <w:r w:rsidRPr="00D948C1">
              <w:rPr>
                <w:color w:val="FFFFFF" w:themeColor="background1"/>
                <w:szCs w:val="24"/>
              </w:rPr>
              <w:t>£000</w:t>
            </w:r>
          </w:p>
        </w:tc>
        <w:tc>
          <w:tcPr>
            <w:tcW w:w="1189" w:type="dxa"/>
            <w:shd w:val="clear" w:color="auto" w:fill="BD2716"/>
            <w:vAlign w:val="center"/>
          </w:tcPr>
          <w:p w14:paraId="5C77C3EC" w14:textId="0E92F9D6" w:rsidR="000960DE" w:rsidRPr="00D948C1" w:rsidRDefault="000960DE" w:rsidP="00611673">
            <w:pPr>
              <w:jc w:val="right"/>
              <w:rPr>
                <w:color w:val="FFFFFF" w:themeColor="background1"/>
                <w:szCs w:val="24"/>
              </w:rPr>
            </w:pPr>
            <w:r w:rsidRPr="00D948C1">
              <w:rPr>
                <w:color w:val="FFFFFF" w:themeColor="background1"/>
                <w:szCs w:val="24"/>
              </w:rPr>
              <w:t>31 March 202</w:t>
            </w:r>
            <w:r w:rsidR="000811CC">
              <w:rPr>
                <w:color w:val="FFFFFF" w:themeColor="background1"/>
                <w:szCs w:val="24"/>
              </w:rPr>
              <w:t>4</w:t>
            </w:r>
          </w:p>
          <w:p w14:paraId="25CAE103" w14:textId="25E939EE" w:rsidR="00DC7A16" w:rsidRPr="00D948C1" w:rsidRDefault="00DC7A16" w:rsidP="00611673">
            <w:pPr>
              <w:jc w:val="right"/>
              <w:rPr>
                <w:color w:val="FFFFFF" w:themeColor="background1"/>
                <w:szCs w:val="24"/>
              </w:rPr>
            </w:pPr>
            <w:r w:rsidRPr="00D948C1">
              <w:rPr>
                <w:color w:val="FFFFFF" w:themeColor="background1"/>
                <w:szCs w:val="24"/>
              </w:rPr>
              <w:t>£000</w:t>
            </w:r>
          </w:p>
        </w:tc>
        <w:tc>
          <w:tcPr>
            <w:tcW w:w="1189" w:type="dxa"/>
            <w:shd w:val="clear" w:color="auto" w:fill="BD2716"/>
            <w:vAlign w:val="center"/>
          </w:tcPr>
          <w:p w14:paraId="25EB3A08" w14:textId="5B46F734" w:rsidR="000960DE" w:rsidRPr="00D948C1" w:rsidRDefault="000960DE" w:rsidP="00611673">
            <w:pPr>
              <w:jc w:val="right"/>
              <w:rPr>
                <w:color w:val="FFFFFF" w:themeColor="background1"/>
                <w:szCs w:val="24"/>
              </w:rPr>
            </w:pPr>
            <w:r w:rsidRPr="00D948C1">
              <w:rPr>
                <w:color w:val="FFFFFF" w:themeColor="background1"/>
                <w:szCs w:val="24"/>
              </w:rPr>
              <w:t>31 March 202</w:t>
            </w:r>
            <w:r w:rsidR="000811CC">
              <w:rPr>
                <w:color w:val="FFFFFF" w:themeColor="background1"/>
                <w:szCs w:val="24"/>
              </w:rPr>
              <w:t>5</w:t>
            </w:r>
          </w:p>
          <w:p w14:paraId="7326EA28" w14:textId="79A08BA2" w:rsidR="00DC7A16" w:rsidRPr="00D948C1" w:rsidRDefault="00DC7A16" w:rsidP="00611673">
            <w:pPr>
              <w:jc w:val="right"/>
              <w:rPr>
                <w:color w:val="FFFFFF" w:themeColor="background1"/>
                <w:szCs w:val="24"/>
              </w:rPr>
            </w:pPr>
            <w:r w:rsidRPr="00D948C1">
              <w:rPr>
                <w:color w:val="FFFFFF" w:themeColor="background1"/>
                <w:szCs w:val="24"/>
              </w:rPr>
              <w:t>£000</w:t>
            </w:r>
          </w:p>
        </w:tc>
        <w:tc>
          <w:tcPr>
            <w:tcW w:w="1189" w:type="dxa"/>
            <w:shd w:val="clear" w:color="auto" w:fill="BD2716"/>
            <w:vAlign w:val="center"/>
          </w:tcPr>
          <w:p w14:paraId="37380238" w14:textId="5A35D90D" w:rsidR="000960DE" w:rsidRPr="00D948C1" w:rsidRDefault="000960DE" w:rsidP="00611673">
            <w:pPr>
              <w:jc w:val="right"/>
              <w:rPr>
                <w:color w:val="FFFFFF" w:themeColor="background1"/>
                <w:szCs w:val="24"/>
              </w:rPr>
            </w:pPr>
            <w:r w:rsidRPr="00D948C1">
              <w:rPr>
                <w:color w:val="FFFFFF" w:themeColor="background1"/>
                <w:szCs w:val="24"/>
              </w:rPr>
              <w:t>31 March 202</w:t>
            </w:r>
            <w:r w:rsidR="000811CC">
              <w:rPr>
                <w:color w:val="FFFFFF" w:themeColor="background1"/>
                <w:szCs w:val="24"/>
              </w:rPr>
              <w:t>4</w:t>
            </w:r>
          </w:p>
          <w:p w14:paraId="36F1F7F8" w14:textId="47FEAD25" w:rsidR="00DC7A16" w:rsidRPr="00D948C1" w:rsidRDefault="00DC7A16" w:rsidP="00611673">
            <w:pPr>
              <w:jc w:val="right"/>
              <w:rPr>
                <w:color w:val="FFFFFF" w:themeColor="background1"/>
                <w:szCs w:val="24"/>
              </w:rPr>
            </w:pPr>
            <w:r w:rsidRPr="00D948C1">
              <w:rPr>
                <w:color w:val="FFFFFF" w:themeColor="background1"/>
                <w:szCs w:val="24"/>
              </w:rPr>
              <w:t>£000</w:t>
            </w:r>
          </w:p>
        </w:tc>
      </w:tr>
      <w:tr w:rsidR="001318F9" w:rsidRPr="00D948C1" w14:paraId="694A310C" w14:textId="77777777" w:rsidTr="006637EE">
        <w:trPr>
          <w:cantSplit/>
          <w:trHeight w:val="278"/>
        </w:trPr>
        <w:tc>
          <w:tcPr>
            <w:tcW w:w="4032" w:type="dxa"/>
            <w:vAlign w:val="center"/>
          </w:tcPr>
          <w:p w14:paraId="39AC845D" w14:textId="77777777" w:rsidR="001318F9" w:rsidRPr="00D948C1" w:rsidRDefault="001318F9" w:rsidP="001318F9">
            <w:pPr>
              <w:rPr>
                <w:szCs w:val="24"/>
              </w:rPr>
            </w:pPr>
            <w:r w:rsidRPr="00D948C1">
              <w:rPr>
                <w:szCs w:val="24"/>
              </w:rPr>
              <w:t>Investments</w:t>
            </w:r>
          </w:p>
        </w:tc>
        <w:tc>
          <w:tcPr>
            <w:tcW w:w="1189" w:type="dxa"/>
            <w:vAlign w:val="center"/>
          </w:tcPr>
          <w:p w14:paraId="2A5EBC5A" w14:textId="7036E9B8" w:rsidR="001318F9" w:rsidRPr="00D948C1" w:rsidRDefault="001318F9" w:rsidP="001318F9">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0F6C9700" w14:textId="70524707" w:rsidR="001318F9" w:rsidRPr="00D948C1" w:rsidRDefault="001318F9" w:rsidP="001318F9">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53E9875B" w14:textId="4FD18860" w:rsidR="001318F9" w:rsidRPr="003613A5" w:rsidRDefault="00DE4D0C" w:rsidP="001318F9">
            <w:pPr>
              <w:pStyle w:val="Footer"/>
              <w:tabs>
                <w:tab w:val="clear" w:pos="4153"/>
                <w:tab w:val="clear" w:pos="8306"/>
                <w:tab w:val="decimal" w:pos="576"/>
                <w:tab w:val="decimal" w:pos="1012"/>
              </w:tabs>
              <w:jc w:val="right"/>
              <w:rPr>
                <w:szCs w:val="24"/>
              </w:rPr>
            </w:pPr>
            <w:r w:rsidRPr="003613A5">
              <w:rPr>
                <w:szCs w:val="24"/>
              </w:rPr>
              <w:t>49,540</w:t>
            </w:r>
          </w:p>
        </w:tc>
        <w:tc>
          <w:tcPr>
            <w:tcW w:w="1189" w:type="dxa"/>
            <w:shd w:val="clear" w:color="00FFFF" w:fill="auto"/>
            <w:vAlign w:val="center"/>
          </w:tcPr>
          <w:p w14:paraId="40FA9C47" w14:textId="4EF435C8" w:rsidR="001318F9" w:rsidRPr="00107EE5" w:rsidRDefault="00107EE5" w:rsidP="001318F9">
            <w:pPr>
              <w:pStyle w:val="Footer"/>
              <w:tabs>
                <w:tab w:val="clear" w:pos="4153"/>
                <w:tab w:val="clear" w:pos="8306"/>
                <w:tab w:val="decimal" w:pos="576"/>
                <w:tab w:val="decimal" w:pos="1012"/>
              </w:tabs>
              <w:jc w:val="right"/>
              <w:rPr>
                <w:szCs w:val="24"/>
                <w:highlight w:val="green"/>
              </w:rPr>
            </w:pPr>
            <w:r w:rsidRPr="009A6DCA">
              <w:rPr>
                <w:szCs w:val="24"/>
              </w:rPr>
              <w:t>23,500</w:t>
            </w:r>
          </w:p>
        </w:tc>
      </w:tr>
      <w:tr w:rsidR="001318F9" w:rsidRPr="00D948C1" w14:paraId="0815085C" w14:textId="77777777" w:rsidTr="006637EE">
        <w:trPr>
          <w:cantSplit/>
          <w:trHeight w:val="278"/>
        </w:trPr>
        <w:tc>
          <w:tcPr>
            <w:tcW w:w="4032" w:type="dxa"/>
            <w:vAlign w:val="center"/>
          </w:tcPr>
          <w:p w14:paraId="5E4890B8" w14:textId="77777777" w:rsidR="001318F9" w:rsidRPr="00D948C1" w:rsidDel="00075251" w:rsidRDefault="001318F9" w:rsidP="001318F9">
            <w:pPr>
              <w:rPr>
                <w:szCs w:val="24"/>
              </w:rPr>
            </w:pPr>
            <w:r w:rsidRPr="00D948C1">
              <w:rPr>
                <w:szCs w:val="24"/>
              </w:rPr>
              <w:t>Cash &amp; cash equivalents</w:t>
            </w:r>
          </w:p>
        </w:tc>
        <w:tc>
          <w:tcPr>
            <w:tcW w:w="1189" w:type="dxa"/>
            <w:vAlign w:val="center"/>
          </w:tcPr>
          <w:p w14:paraId="20E4CA3F" w14:textId="77777777" w:rsidR="001318F9" w:rsidRPr="00D948C1" w:rsidRDefault="001318F9" w:rsidP="001318F9">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042F9FD8" w14:textId="52FBDFAF" w:rsidR="001318F9" w:rsidRPr="00D948C1" w:rsidRDefault="001318F9" w:rsidP="001318F9">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3213C37D" w14:textId="08EE0EC8" w:rsidR="001318F9" w:rsidRPr="003613A5" w:rsidRDefault="00EB1CEF" w:rsidP="001318F9">
            <w:pPr>
              <w:pStyle w:val="Footer"/>
              <w:tabs>
                <w:tab w:val="clear" w:pos="4153"/>
                <w:tab w:val="clear" w:pos="8306"/>
                <w:tab w:val="decimal" w:pos="576"/>
                <w:tab w:val="decimal" w:pos="1012"/>
              </w:tabs>
              <w:jc w:val="right"/>
              <w:rPr>
                <w:szCs w:val="24"/>
              </w:rPr>
            </w:pPr>
            <w:r w:rsidRPr="003613A5">
              <w:rPr>
                <w:szCs w:val="24"/>
              </w:rPr>
              <w:t>582</w:t>
            </w:r>
          </w:p>
        </w:tc>
        <w:tc>
          <w:tcPr>
            <w:tcW w:w="1189" w:type="dxa"/>
            <w:shd w:val="clear" w:color="00FFFF" w:fill="auto"/>
            <w:vAlign w:val="center"/>
          </w:tcPr>
          <w:p w14:paraId="3B3F57B8" w14:textId="366D97F5" w:rsidR="001318F9" w:rsidRPr="009A6DCA" w:rsidRDefault="00107EE5" w:rsidP="001318F9">
            <w:pPr>
              <w:pStyle w:val="Footer"/>
              <w:tabs>
                <w:tab w:val="clear" w:pos="4153"/>
                <w:tab w:val="clear" w:pos="8306"/>
                <w:tab w:val="decimal" w:pos="576"/>
                <w:tab w:val="decimal" w:pos="1012"/>
              </w:tabs>
              <w:jc w:val="right"/>
              <w:rPr>
                <w:szCs w:val="24"/>
              </w:rPr>
            </w:pPr>
            <w:r w:rsidRPr="009A6DCA">
              <w:rPr>
                <w:szCs w:val="24"/>
              </w:rPr>
              <w:t>4,297</w:t>
            </w:r>
          </w:p>
        </w:tc>
      </w:tr>
      <w:tr w:rsidR="00797087" w:rsidRPr="00D948C1" w14:paraId="0EA97390" w14:textId="77777777" w:rsidTr="006637EE">
        <w:trPr>
          <w:cantSplit/>
          <w:trHeight w:val="278"/>
        </w:trPr>
        <w:tc>
          <w:tcPr>
            <w:tcW w:w="4032" w:type="dxa"/>
            <w:vAlign w:val="center"/>
          </w:tcPr>
          <w:p w14:paraId="02D9F20E" w14:textId="3EC9A736" w:rsidR="00797087" w:rsidRPr="00D948C1" w:rsidRDefault="00FA6F1C" w:rsidP="001318F9">
            <w:pPr>
              <w:rPr>
                <w:szCs w:val="24"/>
              </w:rPr>
            </w:pPr>
            <w:r w:rsidRPr="00D948C1">
              <w:rPr>
                <w:szCs w:val="24"/>
              </w:rPr>
              <w:t>Other trade receivables</w:t>
            </w:r>
          </w:p>
        </w:tc>
        <w:tc>
          <w:tcPr>
            <w:tcW w:w="1189" w:type="dxa"/>
            <w:vAlign w:val="center"/>
          </w:tcPr>
          <w:p w14:paraId="7E27B9C8" w14:textId="4942F471" w:rsidR="00797087" w:rsidRPr="00D948C1" w:rsidRDefault="00FA6F1C" w:rsidP="001318F9">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550F1E6D" w14:textId="28A869AB" w:rsidR="00797087" w:rsidRPr="00D948C1" w:rsidRDefault="00FA6F1C" w:rsidP="001318F9">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400F143D" w14:textId="53745BDF" w:rsidR="00797087" w:rsidRPr="003613A5" w:rsidRDefault="00EB1CEF" w:rsidP="001318F9">
            <w:pPr>
              <w:pStyle w:val="Footer"/>
              <w:tabs>
                <w:tab w:val="clear" w:pos="4153"/>
                <w:tab w:val="clear" w:pos="8306"/>
                <w:tab w:val="decimal" w:pos="576"/>
                <w:tab w:val="decimal" w:pos="1012"/>
              </w:tabs>
              <w:jc w:val="right"/>
              <w:rPr>
                <w:szCs w:val="24"/>
              </w:rPr>
            </w:pPr>
            <w:r w:rsidRPr="003613A5">
              <w:rPr>
                <w:szCs w:val="24"/>
              </w:rPr>
              <w:t>1,959</w:t>
            </w:r>
          </w:p>
        </w:tc>
        <w:tc>
          <w:tcPr>
            <w:tcW w:w="1189" w:type="dxa"/>
            <w:shd w:val="clear" w:color="00FFFF" w:fill="auto"/>
            <w:vAlign w:val="center"/>
          </w:tcPr>
          <w:p w14:paraId="1D883D6E" w14:textId="25064919" w:rsidR="00797087" w:rsidRPr="009A6DCA" w:rsidRDefault="00FA6F1C" w:rsidP="001318F9">
            <w:pPr>
              <w:pStyle w:val="Footer"/>
              <w:tabs>
                <w:tab w:val="clear" w:pos="4153"/>
                <w:tab w:val="clear" w:pos="8306"/>
                <w:tab w:val="decimal" w:pos="576"/>
                <w:tab w:val="decimal" w:pos="1012"/>
              </w:tabs>
              <w:jc w:val="right"/>
              <w:rPr>
                <w:szCs w:val="24"/>
              </w:rPr>
            </w:pPr>
            <w:r w:rsidRPr="009A6DCA">
              <w:rPr>
                <w:szCs w:val="24"/>
              </w:rPr>
              <w:t>1,</w:t>
            </w:r>
            <w:r w:rsidR="00107EE5" w:rsidRPr="009A6DCA">
              <w:rPr>
                <w:szCs w:val="24"/>
              </w:rPr>
              <w:t>286</w:t>
            </w:r>
          </w:p>
        </w:tc>
      </w:tr>
      <w:tr w:rsidR="00F06846" w:rsidRPr="00D948C1" w14:paraId="4E9232DC" w14:textId="77777777" w:rsidTr="006637EE">
        <w:trPr>
          <w:cantSplit/>
          <w:trHeight w:val="278"/>
        </w:trPr>
        <w:tc>
          <w:tcPr>
            <w:tcW w:w="4032" w:type="dxa"/>
            <w:vAlign w:val="center"/>
          </w:tcPr>
          <w:p w14:paraId="71E74DF9" w14:textId="62EA2546" w:rsidR="00F06846" w:rsidRPr="00D948C1" w:rsidRDefault="00F06846" w:rsidP="001318F9">
            <w:pPr>
              <w:rPr>
                <w:szCs w:val="24"/>
              </w:rPr>
            </w:pPr>
            <w:r>
              <w:rPr>
                <w:szCs w:val="24"/>
              </w:rPr>
              <w:t>Assets not defined as financial instruments</w:t>
            </w:r>
          </w:p>
        </w:tc>
        <w:tc>
          <w:tcPr>
            <w:tcW w:w="1189" w:type="dxa"/>
            <w:vAlign w:val="center"/>
          </w:tcPr>
          <w:p w14:paraId="51A73940" w14:textId="33CDC361" w:rsidR="00F06846" w:rsidRPr="00D948C1" w:rsidRDefault="00F06846" w:rsidP="001318F9">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174C2664" w14:textId="77CD3CD9" w:rsidR="00F06846" w:rsidRPr="00D948C1" w:rsidRDefault="00F06846" w:rsidP="001318F9">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5F699182" w14:textId="2DE63CB4" w:rsidR="00F06846" w:rsidRPr="003613A5" w:rsidRDefault="00985980" w:rsidP="001318F9">
            <w:pPr>
              <w:pStyle w:val="Footer"/>
              <w:tabs>
                <w:tab w:val="clear" w:pos="4153"/>
                <w:tab w:val="clear" w:pos="8306"/>
                <w:tab w:val="decimal" w:pos="576"/>
                <w:tab w:val="decimal" w:pos="1012"/>
              </w:tabs>
              <w:jc w:val="right"/>
              <w:rPr>
                <w:szCs w:val="24"/>
              </w:rPr>
            </w:pPr>
            <w:r w:rsidRPr="003613A5">
              <w:rPr>
                <w:szCs w:val="24"/>
              </w:rPr>
              <w:t>6,284</w:t>
            </w:r>
          </w:p>
        </w:tc>
        <w:tc>
          <w:tcPr>
            <w:tcW w:w="1189" w:type="dxa"/>
            <w:shd w:val="clear" w:color="00FFFF" w:fill="auto"/>
            <w:vAlign w:val="center"/>
          </w:tcPr>
          <w:p w14:paraId="7000177E" w14:textId="332986FA" w:rsidR="00F06846" w:rsidRPr="009A6DCA" w:rsidRDefault="00F06846" w:rsidP="001318F9">
            <w:pPr>
              <w:pStyle w:val="Footer"/>
              <w:tabs>
                <w:tab w:val="clear" w:pos="4153"/>
                <w:tab w:val="clear" w:pos="8306"/>
                <w:tab w:val="decimal" w:pos="576"/>
                <w:tab w:val="decimal" w:pos="1012"/>
              </w:tabs>
              <w:jc w:val="right"/>
              <w:rPr>
                <w:szCs w:val="24"/>
              </w:rPr>
            </w:pPr>
            <w:r w:rsidRPr="009A6DCA">
              <w:rPr>
                <w:szCs w:val="24"/>
              </w:rPr>
              <w:t>1</w:t>
            </w:r>
            <w:r w:rsidR="00107EE5" w:rsidRPr="009A6DCA">
              <w:rPr>
                <w:szCs w:val="24"/>
              </w:rPr>
              <w:t>7,651</w:t>
            </w:r>
          </w:p>
        </w:tc>
      </w:tr>
    </w:tbl>
    <w:p w14:paraId="6EC974AE" w14:textId="34B38E0B" w:rsidR="003278CF" w:rsidRPr="00D948C1" w:rsidRDefault="003278CF">
      <w:pPr>
        <w:rPr>
          <w:b/>
          <w:bCs/>
        </w:rPr>
      </w:pPr>
    </w:p>
    <w:p w14:paraId="4FC83F89" w14:textId="624E3EBB" w:rsidR="00075251" w:rsidRPr="009A6DCA" w:rsidRDefault="00075251" w:rsidP="007C22F3">
      <w:pPr>
        <w:ind w:firstLine="720"/>
        <w:rPr>
          <w:b/>
          <w:bCs/>
        </w:rPr>
      </w:pPr>
      <w:r w:rsidRPr="009A6DCA">
        <w:rPr>
          <w:b/>
          <w:bCs/>
        </w:rPr>
        <w:t>Financial liabilities – balances</w:t>
      </w:r>
    </w:p>
    <w:p w14:paraId="503A395E" w14:textId="77777777" w:rsidR="00075251" w:rsidRPr="009A6DCA" w:rsidRDefault="00075251" w:rsidP="22FF31C3">
      <w:pPr>
        <w:ind w:left="720"/>
      </w:pPr>
    </w:p>
    <w:p w14:paraId="64B7B9BE" w14:textId="77777777" w:rsidR="00704891" w:rsidRPr="009A6DCA" w:rsidRDefault="00075251" w:rsidP="22FF31C3">
      <w:pPr>
        <w:ind w:left="720"/>
      </w:pPr>
      <w:r w:rsidRPr="009A6DCA">
        <w:t xml:space="preserve">A financial liability is an obligation to transfer economic benefits controlled by the Authority and can be represented by a contractual obligation to deliver cash or financial assets or an obligation to exchange financial assets and liabilities </w:t>
      </w:r>
      <w:r w:rsidR="00704891" w:rsidRPr="009A6DCA">
        <w:t>with another entity that is potentially unfavourable to the Authority.</w:t>
      </w:r>
    </w:p>
    <w:p w14:paraId="775D8BC1" w14:textId="77777777" w:rsidR="00704891" w:rsidRPr="009A6DCA" w:rsidRDefault="00704891" w:rsidP="22FF31C3">
      <w:pPr>
        <w:ind w:left="720"/>
      </w:pPr>
    </w:p>
    <w:p w14:paraId="5AC7743B" w14:textId="1E0B933D" w:rsidR="00DE45AC" w:rsidRPr="009A6DCA" w:rsidRDefault="006B123C" w:rsidP="22FF31C3">
      <w:pPr>
        <w:ind w:left="720"/>
      </w:pPr>
      <w:r w:rsidRPr="009A6DCA">
        <w:t>All</w:t>
      </w:r>
      <w:r w:rsidR="00704891" w:rsidRPr="009A6DCA">
        <w:t xml:space="preserve"> the </w:t>
      </w:r>
      <w:r w:rsidR="00DE45AC" w:rsidRPr="009A6DCA">
        <w:t>Authority’s financial liabilities held during the year are measured at amortised cost, and comprise:</w:t>
      </w:r>
    </w:p>
    <w:p w14:paraId="30C2E4DC" w14:textId="2B46A689" w:rsidR="00075251" w:rsidRPr="009A6DCA" w:rsidRDefault="00DE45AC" w:rsidP="22FF31C3">
      <w:pPr>
        <w:pStyle w:val="ListParagraph"/>
        <w:numPr>
          <w:ilvl w:val="1"/>
          <w:numId w:val="33"/>
        </w:numPr>
      </w:pPr>
      <w:r w:rsidRPr="009A6DCA">
        <w:lastRenderedPageBreak/>
        <w:t>Long</w:t>
      </w:r>
      <w:r w:rsidR="00A16368" w:rsidRPr="009A6DCA">
        <w:t>-</w:t>
      </w:r>
      <w:r w:rsidRPr="009A6DCA">
        <w:t>term loans from the Public Work Loans Board</w:t>
      </w:r>
      <w:r w:rsidR="000A40E3" w:rsidRPr="009A6DCA">
        <w:t>.</w:t>
      </w:r>
    </w:p>
    <w:p w14:paraId="3FD29534" w14:textId="4D4316A8" w:rsidR="00DE45AC" w:rsidRPr="003613A5" w:rsidRDefault="00DE45AC" w:rsidP="22FF31C3">
      <w:pPr>
        <w:pStyle w:val="ListParagraph"/>
        <w:numPr>
          <w:ilvl w:val="1"/>
          <w:numId w:val="33"/>
        </w:numPr>
      </w:pPr>
      <w:r w:rsidRPr="009A6DCA">
        <w:t xml:space="preserve">Private Finance Initiative (PFI) contracts, detailed in </w:t>
      </w:r>
      <w:hyperlink w:anchor="_15_PFI_Schemes">
        <w:r w:rsidR="00BE419C">
          <w:rPr>
            <w:rStyle w:val="Hyperlink"/>
          </w:rPr>
          <w:t>Note 15</w:t>
        </w:r>
      </w:hyperlink>
      <w:r w:rsidR="000A40E3" w:rsidRPr="003613A5">
        <w:t>.</w:t>
      </w:r>
    </w:p>
    <w:p w14:paraId="0CB2B819" w14:textId="62E27CB2" w:rsidR="00DE45AC" w:rsidRPr="003613A5" w:rsidRDefault="00DE45AC" w:rsidP="22FF31C3">
      <w:pPr>
        <w:pStyle w:val="ListParagraph"/>
        <w:numPr>
          <w:ilvl w:val="1"/>
          <w:numId w:val="33"/>
        </w:numPr>
      </w:pPr>
      <w:r w:rsidRPr="003613A5">
        <w:t>Lease payables</w:t>
      </w:r>
      <w:r w:rsidR="000A40E3" w:rsidRPr="003613A5">
        <w:t>.</w:t>
      </w:r>
    </w:p>
    <w:p w14:paraId="3F4D4025" w14:textId="25D69128" w:rsidR="00DE45AC" w:rsidRPr="003613A5" w:rsidRDefault="00DE45AC" w:rsidP="22FF31C3">
      <w:pPr>
        <w:pStyle w:val="ListParagraph"/>
        <w:numPr>
          <w:ilvl w:val="1"/>
          <w:numId w:val="33"/>
        </w:numPr>
      </w:pPr>
      <w:r w:rsidRPr="003613A5">
        <w:t>Trade payables for goods and services received</w:t>
      </w:r>
      <w:r w:rsidR="000A40E3" w:rsidRPr="003613A5">
        <w:t>.</w:t>
      </w:r>
    </w:p>
    <w:p w14:paraId="11A2939A" w14:textId="77777777" w:rsidR="00075251" w:rsidRPr="00D948C1" w:rsidRDefault="00075251" w:rsidP="00326762">
      <w:pPr>
        <w:ind w:left="720"/>
        <w:jc w:val="both"/>
        <w:rPr>
          <w:sz w:val="22"/>
          <w:szCs w:val="22"/>
        </w:rPr>
      </w:pPr>
    </w:p>
    <w:tbl>
      <w:tblPr>
        <w:tblW w:w="86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134"/>
        <w:gridCol w:w="1134"/>
        <w:gridCol w:w="1134"/>
        <w:gridCol w:w="1134"/>
      </w:tblGrid>
      <w:tr w:rsidR="00300384" w:rsidRPr="00D948C1" w14:paraId="6756AB65" w14:textId="77777777" w:rsidTr="007641BA">
        <w:trPr>
          <w:cantSplit/>
          <w:trHeight w:val="382"/>
          <w:tblHeader/>
        </w:trPr>
        <w:tc>
          <w:tcPr>
            <w:tcW w:w="4110" w:type="dxa"/>
            <w:shd w:val="clear" w:color="auto" w:fill="BD2716"/>
            <w:vAlign w:val="center"/>
          </w:tcPr>
          <w:p w14:paraId="25052B5A" w14:textId="77777777" w:rsidR="00300384" w:rsidRPr="00D948C1" w:rsidRDefault="00300384" w:rsidP="00300384">
            <w:pPr>
              <w:tabs>
                <w:tab w:val="left" w:pos="0"/>
              </w:tabs>
              <w:rPr>
                <w:color w:val="FFFFFF" w:themeColor="background1"/>
                <w:szCs w:val="24"/>
              </w:rPr>
            </w:pPr>
          </w:p>
        </w:tc>
        <w:tc>
          <w:tcPr>
            <w:tcW w:w="2268" w:type="dxa"/>
            <w:gridSpan w:val="2"/>
            <w:shd w:val="clear" w:color="auto" w:fill="BD2716"/>
            <w:vAlign w:val="center"/>
          </w:tcPr>
          <w:p w14:paraId="559779A8" w14:textId="6CD7161B" w:rsidR="00300384" w:rsidRPr="00D948C1" w:rsidRDefault="00300384" w:rsidP="00300384">
            <w:pPr>
              <w:pStyle w:val="Footer"/>
              <w:tabs>
                <w:tab w:val="clear" w:pos="4153"/>
                <w:tab w:val="clear" w:pos="8306"/>
                <w:tab w:val="decimal" w:pos="468"/>
              </w:tabs>
              <w:jc w:val="center"/>
              <w:rPr>
                <w:color w:val="FFFFFF" w:themeColor="background1"/>
                <w:szCs w:val="24"/>
              </w:rPr>
            </w:pPr>
            <w:r w:rsidRPr="00D948C1">
              <w:rPr>
                <w:color w:val="FFFFFF" w:themeColor="background1"/>
                <w:szCs w:val="24"/>
              </w:rPr>
              <w:t>Long-Term</w:t>
            </w:r>
          </w:p>
        </w:tc>
        <w:tc>
          <w:tcPr>
            <w:tcW w:w="2268" w:type="dxa"/>
            <w:gridSpan w:val="2"/>
            <w:shd w:val="clear" w:color="auto" w:fill="BD2716"/>
            <w:vAlign w:val="center"/>
          </w:tcPr>
          <w:p w14:paraId="4F78C627" w14:textId="7F47C8C9" w:rsidR="00300384" w:rsidRPr="00D948C1" w:rsidRDefault="00300384" w:rsidP="00300384">
            <w:pPr>
              <w:pStyle w:val="Footer"/>
              <w:tabs>
                <w:tab w:val="clear" w:pos="4153"/>
                <w:tab w:val="clear" w:pos="8306"/>
                <w:tab w:val="decimal" w:pos="468"/>
              </w:tabs>
              <w:jc w:val="center"/>
              <w:rPr>
                <w:color w:val="FFFFFF" w:themeColor="background1"/>
                <w:szCs w:val="24"/>
              </w:rPr>
            </w:pPr>
            <w:r w:rsidRPr="00D948C1">
              <w:rPr>
                <w:color w:val="FFFFFF" w:themeColor="background1"/>
                <w:szCs w:val="24"/>
              </w:rPr>
              <w:t>Current</w:t>
            </w:r>
          </w:p>
        </w:tc>
      </w:tr>
      <w:tr w:rsidR="001318F9" w:rsidRPr="00D948C1" w14:paraId="311D1C2B" w14:textId="77777777" w:rsidTr="00611673">
        <w:trPr>
          <w:cantSplit/>
          <w:trHeight w:val="382"/>
          <w:tblHeader/>
        </w:trPr>
        <w:tc>
          <w:tcPr>
            <w:tcW w:w="4110" w:type="dxa"/>
            <w:shd w:val="clear" w:color="auto" w:fill="BD2716"/>
            <w:vAlign w:val="center"/>
          </w:tcPr>
          <w:p w14:paraId="02FA2ABF" w14:textId="77777777" w:rsidR="001318F9" w:rsidRPr="00D948C1" w:rsidRDefault="001318F9" w:rsidP="001318F9">
            <w:pPr>
              <w:tabs>
                <w:tab w:val="left" w:pos="0"/>
              </w:tabs>
              <w:rPr>
                <w:color w:val="FFFFFF" w:themeColor="background1"/>
                <w:szCs w:val="24"/>
              </w:rPr>
            </w:pPr>
          </w:p>
        </w:tc>
        <w:tc>
          <w:tcPr>
            <w:tcW w:w="1134" w:type="dxa"/>
            <w:shd w:val="clear" w:color="auto" w:fill="BD2716"/>
            <w:vAlign w:val="center"/>
          </w:tcPr>
          <w:p w14:paraId="4842D51E" w14:textId="23729684" w:rsidR="001318F9" w:rsidRPr="00D948C1" w:rsidRDefault="001318F9" w:rsidP="001318F9">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524687D3" w14:textId="46F6CE31" w:rsidR="001318F9" w:rsidRPr="00D948C1" w:rsidRDefault="001318F9" w:rsidP="001318F9">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12C6D76C" w14:textId="5E2100B3" w:rsidR="001318F9" w:rsidRPr="00D948C1" w:rsidRDefault="001318F9" w:rsidP="001318F9">
            <w:pPr>
              <w:jc w:val="right"/>
              <w:rPr>
                <w:color w:val="FFFFFF" w:themeColor="background1"/>
                <w:szCs w:val="24"/>
              </w:rPr>
            </w:pPr>
            <w:r w:rsidRPr="00D948C1">
              <w:rPr>
                <w:color w:val="FFFFFF" w:themeColor="background1"/>
                <w:szCs w:val="24"/>
              </w:rPr>
              <w:t>31 March 202</w:t>
            </w:r>
            <w:r w:rsidR="006636C3">
              <w:rPr>
                <w:color w:val="FFFFFF" w:themeColor="background1"/>
                <w:szCs w:val="24"/>
              </w:rPr>
              <w:t>4</w:t>
            </w:r>
          </w:p>
          <w:p w14:paraId="76D58A76" w14:textId="71430BA5" w:rsidR="001318F9" w:rsidRPr="00D948C1" w:rsidRDefault="001318F9" w:rsidP="001318F9">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0B00E70" w14:textId="25036788" w:rsidR="001318F9" w:rsidRPr="00D948C1" w:rsidRDefault="001318F9" w:rsidP="001318F9">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792DB56B" w14:textId="6D26A5DE" w:rsidR="001318F9" w:rsidRPr="00D948C1" w:rsidRDefault="001318F9" w:rsidP="001318F9">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2CB31B2C" w14:textId="500C1748" w:rsidR="001318F9" w:rsidRPr="00D948C1" w:rsidRDefault="001318F9" w:rsidP="001318F9">
            <w:pPr>
              <w:jc w:val="right"/>
              <w:rPr>
                <w:color w:val="FFFFFF" w:themeColor="background1"/>
                <w:szCs w:val="24"/>
              </w:rPr>
            </w:pPr>
            <w:r w:rsidRPr="00D948C1">
              <w:rPr>
                <w:color w:val="FFFFFF" w:themeColor="background1"/>
                <w:szCs w:val="24"/>
              </w:rPr>
              <w:t>31 March 202</w:t>
            </w:r>
            <w:r w:rsidR="006636C3">
              <w:rPr>
                <w:color w:val="FFFFFF" w:themeColor="background1"/>
                <w:szCs w:val="24"/>
              </w:rPr>
              <w:t>4</w:t>
            </w:r>
          </w:p>
          <w:p w14:paraId="6995C114" w14:textId="6E262BB1" w:rsidR="001318F9" w:rsidRPr="00D948C1" w:rsidRDefault="001318F9" w:rsidP="001318F9">
            <w:pPr>
              <w:jc w:val="right"/>
              <w:rPr>
                <w:color w:val="FFFFFF" w:themeColor="background1"/>
                <w:szCs w:val="24"/>
              </w:rPr>
            </w:pPr>
            <w:r w:rsidRPr="00D948C1">
              <w:rPr>
                <w:color w:val="FFFFFF" w:themeColor="background1"/>
                <w:szCs w:val="24"/>
              </w:rPr>
              <w:t>£000</w:t>
            </w:r>
          </w:p>
        </w:tc>
      </w:tr>
      <w:tr w:rsidR="006636C3" w:rsidRPr="00D948C1" w14:paraId="24F64002" w14:textId="77777777" w:rsidTr="006637EE">
        <w:trPr>
          <w:cantSplit/>
          <w:trHeight w:val="278"/>
        </w:trPr>
        <w:tc>
          <w:tcPr>
            <w:tcW w:w="4110" w:type="dxa"/>
            <w:vAlign w:val="center"/>
          </w:tcPr>
          <w:p w14:paraId="6DA354B3" w14:textId="77777777" w:rsidR="006636C3" w:rsidRPr="00D948C1" w:rsidRDefault="006636C3" w:rsidP="006636C3">
            <w:pPr>
              <w:tabs>
                <w:tab w:val="left" w:pos="0"/>
              </w:tabs>
              <w:rPr>
                <w:szCs w:val="24"/>
              </w:rPr>
            </w:pPr>
            <w:r w:rsidRPr="00D948C1">
              <w:rPr>
                <w:szCs w:val="24"/>
              </w:rPr>
              <w:t>Borrowings</w:t>
            </w:r>
          </w:p>
        </w:tc>
        <w:tc>
          <w:tcPr>
            <w:tcW w:w="1134" w:type="dxa"/>
            <w:vAlign w:val="center"/>
          </w:tcPr>
          <w:p w14:paraId="2DF5495F" w14:textId="0C942B46" w:rsidR="006636C3" w:rsidRPr="003636E0" w:rsidRDefault="00985980" w:rsidP="006636C3">
            <w:pPr>
              <w:pStyle w:val="Footer"/>
              <w:tabs>
                <w:tab w:val="clear" w:pos="4153"/>
                <w:tab w:val="clear" w:pos="8306"/>
                <w:tab w:val="decimal" w:pos="468"/>
              </w:tabs>
              <w:jc w:val="right"/>
              <w:rPr>
                <w:szCs w:val="24"/>
              </w:rPr>
            </w:pPr>
            <w:r w:rsidRPr="003636E0">
              <w:rPr>
                <w:szCs w:val="24"/>
              </w:rPr>
              <w:t>2,000</w:t>
            </w:r>
          </w:p>
        </w:tc>
        <w:tc>
          <w:tcPr>
            <w:tcW w:w="1134" w:type="dxa"/>
            <w:vAlign w:val="center"/>
          </w:tcPr>
          <w:p w14:paraId="360C7C2E" w14:textId="617CF5AD" w:rsidR="006636C3" w:rsidRPr="00D9161A" w:rsidRDefault="006636C3" w:rsidP="006636C3">
            <w:pPr>
              <w:pStyle w:val="Footer"/>
              <w:tabs>
                <w:tab w:val="clear" w:pos="4153"/>
                <w:tab w:val="clear" w:pos="8306"/>
                <w:tab w:val="decimal" w:pos="468"/>
              </w:tabs>
              <w:jc w:val="right"/>
              <w:rPr>
                <w:szCs w:val="24"/>
              </w:rPr>
            </w:pPr>
            <w:r w:rsidRPr="00D9161A">
              <w:rPr>
                <w:szCs w:val="24"/>
              </w:rPr>
              <w:t>2,000</w:t>
            </w:r>
          </w:p>
        </w:tc>
        <w:tc>
          <w:tcPr>
            <w:tcW w:w="1134" w:type="dxa"/>
            <w:shd w:val="clear" w:color="00FFFF" w:fill="auto"/>
            <w:vAlign w:val="center"/>
          </w:tcPr>
          <w:p w14:paraId="1804D32B" w14:textId="1C26679D" w:rsidR="006636C3" w:rsidRPr="003636E0" w:rsidRDefault="002479E4" w:rsidP="006636C3">
            <w:pPr>
              <w:pStyle w:val="Footer"/>
              <w:tabs>
                <w:tab w:val="clear" w:pos="4153"/>
                <w:tab w:val="clear" w:pos="8306"/>
                <w:tab w:val="decimal" w:pos="468"/>
              </w:tabs>
              <w:jc w:val="right"/>
              <w:rPr>
                <w:szCs w:val="24"/>
              </w:rPr>
            </w:pPr>
            <w:r w:rsidRPr="003636E0">
              <w:rPr>
                <w:szCs w:val="24"/>
              </w:rPr>
              <w:t>22</w:t>
            </w:r>
          </w:p>
        </w:tc>
        <w:tc>
          <w:tcPr>
            <w:tcW w:w="1134" w:type="dxa"/>
            <w:shd w:val="clear" w:color="00FFFF" w:fill="auto"/>
            <w:vAlign w:val="center"/>
          </w:tcPr>
          <w:p w14:paraId="0C25E607" w14:textId="049BF63E" w:rsidR="006636C3" w:rsidRPr="003613A5" w:rsidRDefault="006636C3" w:rsidP="006636C3">
            <w:pPr>
              <w:pStyle w:val="Footer"/>
              <w:tabs>
                <w:tab w:val="clear" w:pos="4153"/>
                <w:tab w:val="clear" w:pos="8306"/>
                <w:tab w:val="decimal" w:pos="468"/>
              </w:tabs>
              <w:jc w:val="right"/>
              <w:rPr>
                <w:szCs w:val="24"/>
              </w:rPr>
            </w:pPr>
            <w:r w:rsidRPr="003613A5">
              <w:rPr>
                <w:szCs w:val="24"/>
              </w:rPr>
              <w:t>22</w:t>
            </w:r>
          </w:p>
        </w:tc>
      </w:tr>
      <w:tr w:rsidR="006636C3" w:rsidRPr="00D948C1" w14:paraId="62911E66" w14:textId="77777777" w:rsidTr="006637EE">
        <w:trPr>
          <w:cantSplit/>
          <w:trHeight w:val="278"/>
        </w:trPr>
        <w:tc>
          <w:tcPr>
            <w:tcW w:w="4110" w:type="dxa"/>
            <w:vAlign w:val="center"/>
          </w:tcPr>
          <w:p w14:paraId="741D263E" w14:textId="77777777" w:rsidR="006636C3" w:rsidRPr="00D948C1" w:rsidRDefault="006636C3" w:rsidP="006636C3">
            <w:pPr>
              <w:rPr>
                <w:szCs w:val="24"/>
              </w:rPr>
            </w:pPr>
            <w:r w:rsidRPr="00D948C1">
              <w:rPr>
                <w:szCs w:val="24"/>
              </w:rPr>
              <w:t>PFI and finance lease arrangements</w:t>
            </w:r>
          </w:p>
        </w:tc>
        <w:tc>
          <w:tcPr>
            <w:tcW w:w="1134" w:type="dxa"/>
            <w:vAlign w:val="center"/>
          </w:tcPr>
          <w:p w14:paraId="1D5113C8" w14:textId="0E44E62C" w:rsidR="006636C3" w:rsidRPr="003636E0" w:rsidRDefault="00107DE7" w:rsidP="006636C3">
            <w:pPr>
              <w:pStyle w:val="Footer"/>
              <w:tabs>
                <w:tab w:val="clear" w:pos="4153"/>
                <w:tab w:val="clear" w:pos="8306"/>
                <w:tab w:val="decimal" w:pos="435"/>
              </w:tabs>
              <w:jc w:val="right"/>
              <w:rPr>
                <w:szCs w:val="24"/>
              </w:rPr>
            </w:pPr>
            <w:r w:rsidRPr="003636E0">
              <w:rPr>
                <w:szCs w:val="24"/>
              </w:rPr>
              <w:t>11,</w:t>
            </w:r>
            <w:r w:rsidR="00B81977">
              <w:rPr>
                <w:szCs w:val="24"/>
              </w:rPr>
              <w:t>910</w:t>
            </w:r>
          </w:p>
        </w:tc>
        <w:tc>
          <w:tcPr>
            <w:tcW w:w="1134" w:type="dxa"/>
            <w:vAlign w:val="center"/>
          </w:tcPr>
          <w:p w14:paraId="4A70B1DA" w14:textId="557564DE" w:rsidR="006636C3" w:rsidRPr="00D9161A" w:rsidRDefault="006636C3" w:rsidP="006636C3">
            <w:pPr>
              <w:pStyle w:val="Footer"/>
              <w:tabs>
                <w:tab w:val="clear" w:pos="4153"/>
                <w:tab w:val="clear" w:pos="8306"/>
                <w:tab w:val="decimal" w:pos="326"/>
              </w:tabs>
              <w:jc w:val="right"/>
              <w:rPr>
                <w:szCs w:val="24"/>
              </w:rPr>
            </w:pPr>
            <w:r w:rsidRPr="00D9161A">
              <w:rPr>
                <w:szCs w:val="24"/>
              </w:rPr>
              <w:t>11,379</w:t>
            </w:r>
          </w:p>
        </w:tc>
        <w:tc>
          <w:tcPr>
            <w:tcW w:w="1134" w:type="dxa"/>
            <w:shd w:val="clear" w:color="00FFFF" w:fill="auto"/>
            <w:vAlign w:val="center"/>
          </w:tcPr>
          <w:p w14:paraId="6063DC00" w14:textId="2CF1933C" w:rsidR="006636C3" w:rsidRPr="003636E0" w:rsidRDefault="00057D84" w:rsidP="006636C3">
            <w:pPr>
              <w:pStyle w:val="Footer"/>
              <w:tabs>
                <w:tab w:val="clear" w:pos="4153"/>
                <w:tab w:val="clear" w:pos="8306"/>
                <w:tab w:val="decimal" w:pos="435"/>
              </w:tabs>
              <w:jc w:val="right"/>
              <w:rPr>
                <w:szCs w:val="24"/>
              </w:rPr>
            </w:pPr>
            <w:r w:rsidRPr="003636E0">
              <w:rPr>
                <w:szCs w:val="24"/>
              </w:rPr>
              <w:t>672</w:t>
            </w:r>
          </w:p>
        </w:tc>
        <w:tc>
          <w:tcPr>
            <w:tcW w:w="1134" w:type="dxa"/>
            <w:shd w:val="clear" w:color="00FFFF" w:fill="auto"/>
            <w:vAlign w:val="center"/>
          </w:tcPr>
          <w:p w14:paraId="71FBC3BD" w14:textId="0026FC54" w:rsidR="006636C3" w:rsidRPr="003613A5" w:rsidRDefault="006636C3" w:rsidP="006636C3">
            <w:pPr>
              <w:pStyle w:val="Footer"/>
              <w:tabs>
                <w:tab w:val="clear" w:pos="4153"/>
                <w:tab w:val="clear" w:pos="8306"/>
                <w:tab w:val="decimal" w:pos="435"/>
              </w:tabs>
              <w:jc w:val="right"/>
              <w:rPr>
                <w:szCs w:val="24"/>
              </w:rPr>
            </w:pPr>
            <w:r w:rsidRPr="003613A5">
              <w:rPr>
                <w:szCs w:val="24"/>
              </w:rPr>
              <w:t>533</w:t>
            </w:r>
          </w:p>
        </w:tc>
      </w:tr>
      <w:tr w:rsidR="006636C3" w:rsidRPr="00D948C1" w14:paraId="12E05914" w14:textId="77777777" w:rsidTr="006637EE">
        <w:trPr>
          <w:cantSplit/>
          <w:trHeight w:val="278"/>
        </w:trPr>
        <w:tc>
          <w:tcPr>
            <w:tcW w:w="4110" w:type="dxa"/>
            <w:vAlign w:val="center"/>
          </w:tcPr>
          <w:p w14:paraId="0A8A0ADE" w14:textId="77777777" w:rsidR="006636C3" w:rsidRPr="00D948C1" w:rsidRDefault="006636C3" w:rsidP="006636C3">
            <w:pPr>
              <w:rPr>
                <w:szCs w:val="24"/>
              </w:rPr>
            </w:pPr>
            <w:r w:rsidRPr="00D948C1">
              <w:rPr>
                <w:szCs w:val="24"/>
              </w:rPr>
              <w:t>Trade payables</w:t>
            </w:r>
          </w:p>
        </w:tc>
        <w:tc>
          <w:tcPr>
            <w:tcW w:w="1134" w:type="dxa"/>
            <w:vAlign w:val="center"/>
          </w:tcPr>
          <w:p w14:paraId="6CCF99D2" w14:textId="6B28D235" w:rsidR="006636C3" w:rsidRPr="003636E0" w:rsidRDefault="00107DE7" w:rsidP="006636C3">
            <w:pPr>
              <w:pStyle w:val="Footer"/>
              <w:tabs>
                <w:tab w:val="clear" w:pos="4153"/>
                <w:tab w:val="clear" w:pos="8306"/>
                <w:tab w:val="decimal" w:pos="435"/>
              </w:tabs>
              <w:jc w:val="right"/>
              <w:rPr>
                <w:szCs w:val="24"/>
              </w:rPr>
            </w:pPr>
            <w:r w:rsidRPr="003636E0">
              <w:rPr>
                <w:szCs w:val="24"/>
              </w:rPr>
              <w:t>-</w:t>
            </w:r>
          </w:p>
        </w:tc>
        <w:tc>
          <w:tcPr>
            <w:tcW w:w="1134" w:type="dxa"/>
            <w:vAlign w:val="center"/>
          </w:tcPr>
          <w:p w14:paraId="734D0FD0" w14:textId="374AA96E" w:rsidR="006636C3" w:rsidRPr="00D9161A" w:rsidRDefault="006636C3" w:rsidP="006636C3">
            <w:pPr>
              <w:pStyle w:val="Footer"/>
              <w:tabs>
                <w:tab w:val="clear" w:pos="4153"/>
                <w:tab w:val="clear" w:pos="8306"/>
                <w:tab w:val="decimal" w:pos="326"/>
              </w:tabs>
              <w:jc w:val="right"/>
              <w:rPr>
                <w:szCs w:val="24"/>
              </w:rPr>
            </w:pPr>
            <w:r w:rsidRPr="00D9161A">
              <w:rPr>
                <w:szCs w:val="24"/>
              </w:rPr>
              <w:t>-</w:t>
            </w:r>
          </w:p>
        </w:tc>
        <w:tc>
          <w:tcPr>
            <w:tcW w:w="1134" w:type="dxa"/>
            <w:shd w:val="clear" w:color="00FFFF" w:fill="auto"/>
            <w:vAlign w:val="center"/>
          </w:tcPr>
          <w:p w14:paraId="6E648895" w14:textId="31121BD2" w:rsidR="006636C3" w:rsidRPr="003636E0" w:rsidRDefault="00EE79C6" w:rsidP="006636C3">
            <w:pPr>
              <w:pStyle w:val="Footer"/>
              <w:tabs>
                <w:tab w:val="clear" w:pos="4153"/>
                <w:tab w:val="clear" w:pos="8306"/>
                <w:tab w:val="decimal" w:pos="435"/>
              </w:tabs>
              <w:jc w:val="right"/>
              <w:rPr>
                <w:szCs w:val="24"/>
              </w:rPr>
            </w:pPr>
            <w:r>
              <w:rPr>
                <w:szCs w:val="24"/>
              </w:rPr>
              <w:t>8</w:t>
            </w:r>
            <w:r w:rsidR="002531E9" w:rsidRPr="003636E0">
              <w:rPr>
                <w:szCs w:val="24"/>
              </w:rPr>
              <w:t>,</w:t>
            </w:r>
            <w:r>
              <w:rPr>
                <w:szCs w:val="24"/>
              </w:rPr>
              <w:t>854</w:t>
            </w:r>
          </w:p>
        </w:tc>
        <w:tc>
          <w:tcPr>
            <w:tcW w:w="1134" w:type="dxa"/>
            <w:shd w:val="clear" w:color="00FFFF" w:fill="auto"/>
            <w:vAlign w:val="center"/>
          </w:tcPr>
          <w:p w14:paraId="21D8BD3C" w14:textId="1BB5A76B" w:rsidR="006636C3" w:rsidRPr="003613A5" w:rsidRDefault="006636C3" w:rsidP="006636C3">
            <w:pPr>
              <w:pStyle w:val="Footer"/>
              <w:tabs>
                <w:tab w:val="clear" w:pos="4153"/>
                <w:tab w:val="clear" w:pos="8306"/>
                <w:tab w:val="decimal" w:pos="435"/>
              </w:tabs>
              <w:jc w:val="right"/>
              <w:rPr>
                <w:szCs w:val="24"/>
              </w:rPr>
            </w:pPr>
            <w:r w:rsidRPr="003613A5">
              <w:rPr>
                <w:szCs w:val="24"/>
              </w:rPr>
              <w:t>3,778</w:t>
            </w:r>
          </w:p>
        </w:tc>
      </w:tr>
      <w:tr w:rsidR="006636C3" w:rsidRPr="00D948C1" w14:paraId="28F8685A" w14:textId="77777777" w:rsidTr="006637EE">
        <w:trPr>
          <w:cantSplit/>
          <w:trHeight w:val="278"/>
        </w:trPr>
        <w:tc>
          <w:tcPr>
            <w:tcW w:w="4110" w:type="dxa"/>
            <w:vAlign w:val="center"/>
          </w:tcPr>
          <w:p w14:paraId="14DA4F51" w14:textId="1F7EF4DF" w:rsidR="006636C3" w:rsidRPr="00D948C1" w:rsidRDefault="006636C3" w:rsidP="006636C3">
            <w:pPr>
              <w:rPr>
                <w:szCs w:val="24"/>
              </w:rPr>
            </w:pPr>
            <w:r>
              <w:rPr>
                <w:szCs w:val="24"/>
              </w:rPr>
              <w:t>Liabilities not defined as financial instruments</w:t>
            </w:r>
          </w:p>
        </w:tc>
        <w:tc>
          <w:tcPr>
            <w:tcW w:w="1134" w:type="dxa"/>
            <w:vAlign w:val="center"/>
          </w:tcPr>
          <w:p w14:paraId="162198BD" w14:textId="234ED479" w:rsidR="006636C3" w:rsidRPr="003636E0" w:rsidRDefault="002479E4" w:rsidP="006636C3">
            <w:pPr>
              <w:pStyle w:val="Footer"/>
              <w:tabs>
                <w:tab w:val="clear" w:pos="4153"/>
                <w:tab w:val="clear" w:pos="8306"/>
                <w:tab w:val="decimal" w:pos="435"/>
              </w:tabs>
              <w:jc w:val="right"/>
              <w:rPr>
                <w:szCs w:val="24"/>
              </w:rPr>
            </w:pPr>
            <w:r w:rsidRPr="003636E0">
              <w:rPr>
                <w:szCs w:val="24"/>
              </w:rPr>
              <w:t>589,</w:t>
            </w:r>
            <w:r w:rsidR="00036947">
              <w:rPr>
                <w:szCs w:val="24"/>
              </w:rPr>
              <w:t>676</w:t>
            </w:r>
          </w:p>
        </w:tc>
        <w:tc>
          <w:tcPr>
            <w:tcW w:w="1134" w:type="dxa"/>
            <w:vAlign w:val="center"/>
          </w:tcPr>
          <w:p w14:paraId="21ED5AFC" w14:textId="6F39B79E" w:rsidR="006636C3" w:rsidRPr="00D9161A" w:rsidRDefault="006636C3" w:rsidP="006636C3">
            <w:pPr>
              <w:pStyle w:val="Footer"/>
              <w:tabs>
                <w:tab w:val="clear" w:pos="4153"/>
                <w:tab w:val="clear" w:pos="8306"/>
                <w:tab w:val="decimal" w:pos="326"/>
              </w:tabs>
              <w:jc w:val="right"/>
              <w:rPr>
                <w:szCs w:val="24"/>
              </w:rPr>
            </w:pPr>
            <w:r w:rsidRPr="00D9161A">
              <w:rPr>
                <w:szCs w:val="24"/>
              </w:rPr>
              <w:t>653,150</w:t>
            </w:r>
          </w:p>
        </w:tc>
        <w:tc>
          <w:tcPr>
            <w:tcW w:w="1134" w:type="dxa"/>
            <w:shd w:val="clear" w:color="00FFFF" w:fill="auto"/>
            <w:vAlign w:val="center"/>
          </w:tcPr>
          <w:p w14:paraId="29C84499" w14:textId="08935299" w:rsidR="006636C3" w:rsidRPr="003636E0" w:rsidRDefault="00C10064" w:rsidP="006636C3">
            <w:pPr>
              <w:pStyle w:val="Footer"/>
              <w:tabs>
                <w:tab w:val="clear" w:pos="4153"/>
                <w:tab w:val="clear" w:pos="8306"/>
                <w:tab w:val="decimal" w:pos="435"/>
              </w:tabs>
              <w:jc w:val="right"/>
              <w:rPr>
                <w:szCs w:val="24"/>
              </w:rPr>
            </w:pPr>
            <w:r>
              <w:rPr>
                <w:szCs w:val="24"/>
              </w:rPr>
              <w:t>10,436</w:t>
            </w:r>
          </w:p>
        </w:tc>
        <w:tc>
          <w:tcPr>
            <w:tcW w:w="1134" w:type="dxa"/>
            <w:shd w:val="clear" w:color="00FFFF" w:fill="auto"/>
            <w:vAlign w:val="center"/>
          </w:tcPr>
          <w:p w14:paraId="02FC6D43" w14:textId="70486203" w:rsidR="006636C3" w:rsidRPr="003613A5" w:rsidRDefault="006636C3" w:rsidP="006636C3">
            <w:pPr>
              <w:pStyle w:val="Footer"/>
              <w:tabs>
                <w:tab w:val="clear" w:pos="4153"/>
                <w:tab w:val="clear" w:pos="8306"/>
                <w:tab w:val="decimal" w:pos="435"/>
              </w:tabs>
              <w:jc w:val="right"/>
              <w:rPr>
                <w:szCs w:val="24"/>
              </w:rPr>
            </w:pPr>
            <w:r w:rsidRPr="003613A5">
              <w:rPr>
                <w:szCs w:val="24"/>
              </w:rPr>
              <w:t>6,626</w:t>
            </w:r>
          </w:p>
        </w:tc>
      </w:tr>
    </w:tbl>
    <w:p w14:paraId="5F6959AA" w14:textId="0162FC10" w:rsidR="00300384" w:rsidRPr="00D948C1" w:rsidRDefault="00300384">
      <w:pPr>
        <w:rPr>
          <w:b/>
          <w:bCs/>
        </w:rPr>
      </w:pPr>
    </w:p>
    <w:p w14:paraId="1E747D96" w14:textId="473BE267" w:rsidR="00D90216" w:rsidRPr="003613A5" w:rsidRDefault="00DE45AC" w:rsidP="22FF31C3">
      <w:pPr>
        <w:ind w:firstLine="709"/>
        <w:rPr>
          <w:b/>
          <w:bCs/>
        </w:rPr>
      </w:pPr>
      <w:r w:rsidRPr="008D274B">
        <w:rPr>
          <w:b/>
          <w:bCs/>
        </w:rPr>
        <w:t>F</w:t>
      </w:r>
      <w:r w:rsidRPr="003613A5">
        <w:rPr>
          <w:b/>
          <w:bCs/>
        </w:rPr>
        <w:t>inancial Instruments -</w:t>
      </w:r>
      <w:r w:rsidR="00D90216" w:rsidRPr="003613A5">
        <w:rPr>
          <w:b/>
          <w:bCs/>
        </w:rPr>
        <w:t xml:space="preserve"> Gains and Losses</w:t>
      </w:r>
    </w:p>
    <w:p w14:paraId="7602ABB8" w14:textId="77777777" w:rsidR="00D90216" w:rsidRPr="003613A5" w:rsidRDefault="00D90216" w:rsidP="22FF31C3"/>
    <w:p w14:paraId="5F82B5F1" w14:textId="77777777" w:rsidR="00DE45AC" w:rsidRPr="003613A5" w:rsidRDefault="00DE45AC" w:rsidP="22FF31C3">
      <w:pPr>
        <w:ind w:left="709"/>
      </w:pPr>
      <w:r w:rsidRPr="003613A5">
        <w:t>The gains and losses recognised in the Comprehensive Income and Expenditure Statement in relation to financial instruments consist of the following:</w:t>
      </w:r>
    </w:p>
    <w:p w14:paraId="348AC162" w14:textId="77777777" w:rsidR="00DE45AC" w:rsidRPr="00D948C1" w:rsidRDefault="00DE45AC" w:rsidP="00D90216">
      <w:pPr>
        <w:ind w:left="709"/>
        <w:jc w:val="both"/>
        <w:rPr>
          <w:sz w:val="22"/>
          <w:szCs w:val="22"/>
        </w:rPr>
      </w:pPr>
    </w:p>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1"/>
        <w:gridCol w:w="1276"/>
        <w:gridCol w:w="1275"/>
      </w:tblGrid>
      <w:tr w:rsidR="001318F9" w:rsidRPr="00D948C1" w14:paraId="30E13C6B" w14:textId="77777777" w:rsidTr="00611673">
        <w:trPr>
          <w:cantSplit/>
          <w:trHeight w:val="237"/>
          <w:tblHeader/>
        </w:trPr>
        <w:tc>
          <w:tcPr>
            <w:tcW w:w="6271" w:type="dxa"/>
            <w:shd w:val="clear" w:color="auto" w:fill="BD2716"/>
          </w:tcPr>
          <w:p w14:paraId="4A29967B" w14:textId="77777777" w:rsidR="001318F9" w:rsidRPr="00D948C1" w:rsidRDefault="001318F9" w:rsidP="001318F9">
            <w:pPr>
              <w:rPr>
                <w:color w:val="FFFFFF" w:themeColor="background1"/>
                <w:szCs w:val="24"/>
              </w:rPr>
            </w:pPr>
          </w:p>
        </w:tc>
        <w:tc>
          <w:tcPr>
            <w:tcW w:w="1276" w:type="dxa"/>
            <w:shd w:val="clear" w:color="auto" w:fill="BD2716"/>
            <w:vAlign w:val="center"/>
          </w:tcPr>
          <w:p w14:paraId="70CA0641" w14:textId="7FDA46AF"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387ECA45" w14:textId="115ECFB8"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275" w:type="dxa"/>
            <w:shd w:val="clear" w:color="auto" w:fill="BD2716"/>
            <w:vAlign w:val="center"/>
          </w:tcPr>
          <w:p w14:paraId="0A3EE3FA" w14:textId="68E277E3"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1898647B" w14:textId="29BCA2CC"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r>
      <w:tr w:rsidR="00DC7A16" w:rsidRPr="00D948C1" w14:paraId="7BBAF906" w14:textId="77777777" w:rsidTr="007641BA">
        <w:trPr>
          <w:cantSplit/>
          <w:trHeight w:val="275"/>
        </w:trPr>
        <w:tc>
          <w:tcPr>
            <w:tcW w:w="8822" w:type="dxa"/>
            <w:gridSpan w:val="3"/>
            <w:shd w:val="clear" w:color="auto" w:fill="D9D9D9" w:themeFill="background1" w:themeFillShade="D9"/>
          </w:tcPr>
          <w:p w14:paraId="060AA4FA" w14:textId="23F08CE7" w:rsidR="00DC7A16" w:rsidRPr="00D948C1" w:rsidRDefault="00DC7A16" w:rsidP="00DC7A16">
            <w:pPr>
              <w:rPr>
                <w:szCs w:val="24"/>
              </w:rPr>
            </w:pPr>
            <w:r w:rsidRPr="00D948C1">
              <w:rPr>
                <w:b/>
                <w:szCs w:val="24"/>
              </w:rPr>
              <w:t>Financial Liabilities at amortised cost</w:t>
            </w:r>
          </w:p>
        </w:tc>
      </w:tr>
      <w:tr w:rsidR="006636C3" w:rsidRPr="00D9161A" w14:paraId="26C0A624" w14:textId="77777777" w:rsidTr="00480E4B">
        <w:trPr>
          <w:cantSplit/>
          <w:trHeight w:val="278"/>
        </w:trPr>
        <w:tc>
          <w:tcPr>
            <w:tcW w:w="6271" w:type="dxa"/>
            <w:vAlign w:val="center"/>
          </w:tcPr>
          <w:p w14:paraId="4EF05E61" w14:textId="77777777" w:rsidR="006636C3" w:rsidRPr="00D9161A" w:rsidRDefault="006636C3" w:rsidP="006636C3">
            <w:pPr>
              <w:tabs>
                <w:tab w:val="left" w:pos="0"/>
              </w:tabs>
              <w:rPr>
                <w:szCs w:val="24"/>
              </w:rPr>
            </w:pPr>
            <w:r w:rsidRPr="00D9161A">
              <w:rPr>
                <w:szCs w:val="24"/>
              </w:rPr>
              <w:t>Interest payable relating to PFI</w:t>
            </w:r>
          </w:p>
        </w:tc>
        <w:tc>
          <w:tcPr>
            <w:tcW w:w="1276" w:type="dxa"/>
            <w:vAlign w:val="center"/>
          </w:tcPr>
          <w:p w14:paraId="76618B2C" w14:textId="11B91555" w:rsidR="006636C3" w:rsidRPr="003636E0" w:rsidRDefault="000D32B1" w:rsidP="006636C3">
            <w:pPr>
              <w:pStyle w:val="Footer"/>
              <w:tabs>
                <w:tab w:val="clear" w:pos="4153"/>
                <w:tab w:val="clear" w:pos="8306"/>
                <w:tab w:val="decimal" w:pos="601"/>
              </w:tabs>
              <w:jc w:val="right"/>
              <w:rPr>
                <w:szCs w:val="24"/>
              </w:rPr>
            </w:pPr>
            <w:r w:rsidRPr="003636E0">
              <w:rPr>
                <w:szCs w:val="24"/>
              </w:rPr>
              <w:t>1,177</w:t>
            </w:r>
          </w:p>
        </w:tc>
        <w:tc>
          <w:tcPr>
            <w:tcW w:w="1275" w:type="dxa"/>
            <w:vAlign w:val="center"/>
          </w:tcPr>
          <w:p w14:paraId="669CDD04" w14:textId="6FA9C9AA" w:rsidR="006636C3" w:rsidRPr="00D9161A" w:rsidRDefault="006636C3" w:rsidP="006636C3">
            <w:pPr>
              <w:pStyle w:val="Footer"/>
              <w:tabs>
                <w:tab w:val="clear" w:pos="4153"/>
                <w:tab w:val="clear" w:pos="8306"/>
                <w:tab w:val="decimal" w:pos="601"/>
              </w:tabs>
              <w:jc w:val="right"/>
              <w:rPr>
                <w:szCs w:val="24"/>
              </w:rPr>
            </w:pPr>
            <w:r w:rsidRPr="00D9161A">
              <w:rPr>
                <w:szCs w:val="24"/>
              </w:rPr>
              <w:t>1,269</w:t>
            </w:r>
          </w:p>
        </w:tc>
      </w:tr>
      <w:tr w:rsidR="006636C3" w:rsidRPr="00D9161A" w14:paraId="29FA07CF" w14:textId="77777777" w:rsidTr="00480E4B">
        <w:trPr>
          <w:cantSplit/>
          <w:trHeight w:val="278"/>
        </w:trPr>
        <w:tc>
          <w:tcPr>
            <w:tcW w:w="6271" w:type="dxa"/>
            <w:vAlign w:val="center"/>
          </w:tcPr>
          <w:p w14:paraId="47B27E4E" w14:textId="77777777" w:rsidR="006636C3" w:rsidRPr="00D9161A" w:rsidRDefault="006636C3" w:rsidP="006636C3">
            <w:pPr>
              <w:tabs>
                <w:tab w:val="left" w:pos="0"/>
              </w:tabs>
              <w:rPr>
                <w:szCs w:val="24"/>
              </w:rPr>
            </w:pPr>
            <w:r w:rsidRPr="00D9161A">
              <w:rPr>
                <w:szCs w:val="24"/>
              </w:rPr>
              <w:t>Interest payable relating to Borrowing</w:t>
            </w:r>
          </w:p>
        </w:tc>
        <w:tc>
          <w:tcPr>
            <w:tcW w:w="1276" w:type="dxa"/>
            <w:vAlign w:val="center"/>
          </w:tcPr>
          <w:p w14:paraId="25A45E43" w14:textId="0F7F36EF" w:rsidR="006636C3" w:rsidRPr="003636E0" w:rsidRDefault="00DB6304" w:rsidP="006636C3">
            <w:pPr>
              <w:pStyle w:val="Footer"/>
              <w:tabs>
                <w:tab w:val="clear" w:pos="4153"/>
                <w:tab w:val="clear" w:pos="8306"/>
                <w:tab w:val="decimal" w:pos="601"/>
              </w:tabs>
              <w:jc w:val="right"/>
              <w:rPr>
                <w:szCs w:val="24"/>
              </w:rPr>
            </w:pPr>
            <w:r w:rsidRPr="003636E0">
              <w:rPr>
                <w:szCs w:val="24"/>
              </w:rPr>
              <w:t>90</w:t>
            </w:r>
          </w:p>
        </w:tc>
        <w:tc>
          <w:tcPr>
            <w:tcW w:w="1275" w:type="dxa"/>
            <w:vAlign w:val="center"/>
          </w:tcPr>
          <w:p w14:paraId="3644A288" w14:textId="27EA16BE" w:rsidR="006636C3" w:rsidRPr="00D9161A" w:rsidRDefault="006636C3" w:rsidP="006636C3">
            <w:pPr>
              <w:pStyle w:val="Footer"/>
              <w:tabs>
                <w:tab w:val="clear" w:pos="4153"/>
                <w:tab w:val="clear" w:pos="8306"/>
                <w:tab w:val="decimal" w:pos="601"/>
              </w:tabs>
              <w:jc w:val="right"/>
              <w:rPr>
                <w:szCs w:val="24"/>
              </w:rPr>
            </w:pPr>
            <w:r w:rsidRPr="00D9161A">
              <w:rPr>
                <w:szCs w:val="24"/>
              </w:rPr>
              <w:t>95</w:t>
            </w:r>
          </w:p>
        </w:tc>
      </w:tr>
      <w:tr w:rsidR="006636C3" w:rsidRPr="00D9161A" w14:paraId="57DC91BA" w14:textId="77777777" w:rsidTr="008F6F5D">
        <w:trPr>
          <w:cantSplit/>
          <w:trHeight w:val="278"/>
        </w:trPr>
        <w:tc>
          <w:tcPr>
            <w:tcW w:w="6271" w:type="dxa"/>
            <w:tcBorders>
              <w:bottom w:val="single" w:sz="4" w:space="0" w:color="auto"/>
            </w:tcBorders>
            <w:vAlign w:val="center"/>
          </w:tcPr>
          <w:p w14:paraId="780A5D13" w14:textId="77777777" w:rsidR="006636C3" w:rsidRPr="00D9161A" w:rsidRDefault="006636C3" w:rsidP="006636C3">
            <w:pPr>
              <w:tabs>
                <w:tab w:val="left" w:pos="0"/>
              </w:tabs>
              <w:rPr>
                <w:szCs w:val="24"/>
              </w:rPr>
            </w:pPr>
            <w:r w:rsidRPr="00D9161A">
              <w:rPr>
                <w:szCs w:val="24"/>
              </w:rPr>
              <w:t>Interest payable relating to finance leases</w:t>
            </w:r>
          </w:p>
        </w:tc>
        <w:tc>
          <w:tcPr>
            <w:tcW w:w="1276" w:type="dxa"/>
            <w:tcBorders>
              <w:bottom w:val="single" w:sz="4" w:space="0" w:color="auto"/>
            </w:tcBorders>
            <w:vAlign w:val="center"/>
          </w:tcPr>
          <w:p w14:paraId="40A189AE" w14:textId="16B5E803" w:rsidR="006636C3" w:rsidRPr="003636E0" w:rsidRDefault="001812CB" w:rsidP="006636C3">
            <w:pPr>
              <w:pStyle w:val="Footer"/>
              <w:tabs>
                <w:tab w:val="clear" w:pos="4153"/>
                <w:tab w:val="clear" w:pos="8306"/>
                <w:tab w:val="decimal" w:pos="601"/>
              </w:tabs>
              <w:jc w:val="right"/>
              <w:rPr>
                <w:szCs w:val="24"/>
              </w:rPr>
            </w:pPr>
            <w:r w:rsidRPr="003636E0">
              <w:rPr>
                <w:szCs w:val="24"/>
              </w:rPr>
              <w:t>5</w:t>
            </w:r>
          </w:p>
        </w:tc>
        <w:tc>
          <w:tcPr>
            <w:tcW w:w="1275" w:type="dxa"/>
            <w:tcBorders>
              <w:bottom w:val="single" w:sz="4" w:space="0" w:color="auto"/>
            </w:tcBorders>
            <w:vAlign w:val="center"/>
          </w:tcPr>
          <w:p w14:paraId="0B48197A" w14:textId="2938DB94" w:rsidR="006636C3" w:rsidRPr="00D9161A" w:rsidRDefault="006636C3" w:rsidP="006636C3">
            <w:pPr>
              <w:pStyle w:val="Footer"/>
              <w:tabs>
                <w:tab w:val="clear" w:pos="4153"/>
                <w:tab w:val="clear" w:pos="8306"/>
                <w:tab w:val="decimal" w:pos="601"/>
              </w:tabs>
              <w:jc w:val="right"/>
              <w:rPr>
                <w:szCs w:val="24"/>
              </w:rPr>
            </w:pPr>
            <w:r w:rsidRPr="00D9161A">
              <w:rPr>
                <w:szCs w:val="24"/>
              </w:rPr>
              <w:t>2</w:t>
            </w:r>
          </w:p>
        </w:tc>
      </w:tr>
      <w:tr w:rsidR="006636C3" w:rsidRPr="00D9161A" w14:paraId="052C9278" w14:textId="77777777" w:rsidTr="008F6F5D">
        <w:trPr>
          <w:cantSplit/>
          <w:trHeight w:val="278"/>
        </w:trPr>
        <w:tc>
          <w:tcPr>
            <w:tcW w:w="6271" w:type="dxa"/>
            <w:tcBorders>
              <w:bottom w:val="single" w:sz="4" w:space="0" w:color="auto"/>
            </w:tcBorders>
            <w:vAlign w:val="center"/>
          </w:tcPr>
          <w:p w14:paraId="43CF5FD1" w14:textId="77777777" w:rsidR="006636C3" w:rsidRPr="00D9161A" w:rsidRDefault="006636C3" w:rsidP="006636C3">
            <w:pPr>
              <w:rPr>
                <w:szCs w:val="24"/>
              </w:rPr>
            </w:pPr>
            <w:r w:rsidRPr="00D9161A">
              <w:rPr>
                <w:szCs w:val="24"/>
              </w:rPr>
              <w:t>Total expense in Deficit on the Provision of Services</w:t>
            </w:r>
          </w:p>
        </w:tc>
        <w:tc>
          <w:tcPr>
            <w:tcW w:w="1276" w:type="dxa"/>
            <w:tcBorders>
              <w:bottom w:val="single" w:sz="4" w:space="0" w:color="auto"/>
            </w:tcBorders>
            <w:vAlign w:val="center"/>
          </w:tcPr>
          <w:p w14:paraId="059BA733" w14:textId="430169E0" w:rsidR="006636C3" w:rsidRPr="003636E0" w:rsidRDefault="00316BF1" w:rsidP="006636C3">
            <w:pPr>
              <w:pStyle w:val="Footer"/>
              <w:tabs>
                <w:tab w:val="clear" w:pos="4153"/>
                <w:tab w:val="clear" w:pos="8306"/>
                <w:tab w:val="decimal" w:pos="601"/>
              </w:tabs>
              <w:jc w:val="right"/>
              <w:rPr>
                <w:szCs w:val="24"/>
              </w:rPr>
            </w:pPr>
            <w:r w:rsidRPr="003636E0">
              <w:rPr>
                <w:szCs w:val="24"/>
              </w:rPr>
              <w:t>1,272</w:t>
            </w:r>
          </w:p>
        </w:tc>
        <w:tc>
          <w:tcPr>
            <w:tcW w:w="1275" w:type="dxa"/>
            <w:tcBorders>
              <w:bottom w:val="single" w:sz="4" w:space="0" w:color="auto"/>
            </w:tcBorders>
            <w:vAlign w:val="center"/>
          </w:tcPr>
          <w:p w14:paraId="498064A4" w14:textId="63690A70" w:rsidR="006636C3" w:rsidRPr="00D9161A" w:rsidRDefault="006636C3" w:rsidP="006636C3">
            <w:pPr>
              <w:pStyle w:val="Footer"/>
              <w:tabs>
                <w:tab w:val="clear" w:pos="4153"/>
                <w:tab w:val="clear" w:pos="8306"/>
                <w:tab w:val="decimal" w:pos="601"/>
              </w:tabs>
              <w:jc w:val="right"/>
              <w:rPr>
                <w:szCs w:val="24"/>
              </w:rPr>
            </w:pPr>
            <w:r w:rsidRPr="00D9161A">
              <w:rPr>
                <w:szCs w:val="24"/>
              </w:rPr>
              <w:t>1,366</w:t>
            </w:r>
          </w:p>
        </w:tc>
      </w:tr>
    </w:tbl>
    <w:p w14:paraId="5E6039A9" w14:textId="77777777" w:rsidR="00300384" w:rsidRPr="00D9161A" w:rsidRDefault="00300384"/>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1"/>
        <w:gridCol w:w="1276"/>
        <w:gridCol w:w="1275"/>
      </w:tblGrid>
      <w:tr w:rsidR="00300384" w:rsidRPr="00D9161A" w14:paraId="053ABD45" w14:textId="77777777" w:rsidTr="008F1BC0">
        <w:trPr>
          <w:cantSplit/>
          <w:trHeight w:val="278"/>
        </w:trPr>
        <w:tc>
          <w:tcPr>
            <w:tcW w:w="8822" w:type="dxa"/>
            <w:gridSpan w:val="3"/>
            <w:shd w:val="clear" w:color="auto" w:fill="D9D9D9" w:themeFill="background1" w:themeFillShade="D9"/>
            <w:vAlign w:val="bottom"/>
          </w:tcPr>
          <w:p w14:paraId="20976247" w14:textId="3CAD45EC" w:rsidR="00300384" w:rsidRPr="00D9161A" w:rsidRDefault="00300384" w:rsidP="00300384">
            <w:pPr>
              <w:ind w:left="720" w:hanging="720"/>
              <w:rPr>
                <w:szCs w:val="24"/>
              </w:rPr>
            </w:pPr>
            <w:r w:rsidRPr="00D9161A">
              <w:rPr>
                <w:b/>
                <w:szCs w:val="24"/>
              </w:rPr>
              <w:t>Financial Assets at amortised cost</w:t>
            </w:r>
          </w:p>
        </w:tc>
      </w:tr>
      <w:tr w:rsidR="006636C3" w:rsidRPr="00D9161A" w14:paraId="0853C146" w14:textId="77777777" w:rsidTr="00480E4B">
        <w:trPr>
          <w:cantSplit/>
          <w:trHeight w:val="278"/>
        </w:trPr>
        <w:tc>
          <w:tcPr>
            <w:tcW w:w="6271" w:type="dxa"/>
            <w:vAlign w:val="center"/>
          </w:tcPr>
          <w:p w14:paraId="397BA30F" w14:textId="77777777" w:rsidR="006636C3" w:rsidRPr="00D9161A" w:rsidRDefault="006636C3" w:rsidP="006636C3">
            <w:pPr>
              <w:tabs>
                <w:tab w:val="left" w:pos="0"/>
              </w:tabs>
              <w:rPr>
                <w:szCs w:val="24"/>
              </w:rPr>
            </w:pPr>
            <w:r w:rsidRPr="00D9161A">
              <w:rPr>
                <w:szCs w:val="24"/>
              </w:rPr>
              <w:t>Interest income</w:t>
            </w:r>
          </w:p>
        </w:tc>
        <w:tc>
          <w:tcPr>
            <w:tcW w:w="1276" w:type="dxa"/>
            <w:vAlign w:val="center"/>
          </w:tcPr>
          <w:p w14:paraId="572B499E" w14:textId="23DC4025" w:rsidR="006636C3" w:rsidRPr="003636E0" w:rsidRDefault="00352D8F" w:rsidP="006636C3">
            <w:pPr>
              <w:pStyle w:val="Footer"/>
              <w:tabs>
                <w:tab w:val="clear" w:pos="4153"/>
                <w:tab w:val="clear" w:pos="8306"/>
                <w:tab w:val="decimal" w:pos="326"/>
              </w:tabs>
              <w:jc w:val="right"/>
              <w:rPr>
                <w:szCs w:val="24"/>
              </w:rPr>
            </w:pPr>
            <w:r w:rsidRPr="003636E0">
              <w:rPr>
                <w:szCs w:val="24"/>
              </w:rPr>
              <w:t>(2,291)</w:t>
            </w:r>
          </w:p>
        </w:tc>
        <w:tc>
          <w:tcPr>
            <w:tcW w:w="1275" w:type="dxa"/>
            <w:vAlign w:val="center"/>
          </w:tcPr>
          <w:p w14:paraId="66E499DC" w14:textId="5A6B3706" w:rsidR="006636C3" w:rsidRPr="00D9161A" w:rsidRDefault="006636C3" w:rsidP="006636C3">
            <w:pPr>
              <w:pStyle w:val="Footer"/>
              <w:tabs>
                <w:tab w:val="clear" w:pos="4153"/>
                <w:tab w:val="clear" w:pos="8306"/>
                <w:tab w:val="decimal" w:pos="326"/>
              </w:tabs>
              <w:jc w:val="right"/>
              <w:rPr>
                <w:szCs w:val="24"/>
              </w:rPr>
            </w:pPr>
            <w:r w:rsidRPr="00D9161A">
              <w:rPr>
                <w:szCs w:val="24"/>
              </w:rPr>
              <w:t>(1,574)</w:t>
            </w:r>
          </w:p>
        </w:tc>
      </w:tr>
      <w:tr w:rsidR="006636C3" w:rsidRPr="00D9161A" w14:paraId="7A0C61A3" w14:textId="77777777" w:rsidTr="00480E4B">
        <w:trPr>
          <w:cantSplit/>
          <w:trHeight w:val="278"/>
        </w:trPr>
        <w:tc>
          <w:tcPr>
            <w:tcW w:w="6271" w:type="dxa"/>
            <w:vAlign w:val="center"/>
          </w:tcPr>
          <w:p w14:paraId="102A5ED8" w14:textId="6822C2A3" w:rsidR="006636C3" w:rsidRPr="00D9161A" w:rsidRDefault="006636C3" w:rsidP="006636C3">
            <w:pPr>
              <w:ind w:left="-37"/>
              <w:rPr>
                <w:szCs w:val="24"/>
              </w:rPr>
            </w:pPr>
            <w:r w:rsidRPr="00D9161A">
              <w:rPr>
                <w:szCs w:val="24"/>
              </w:rPr>
              <w:t xml:space="preserve">Total income in </w:t>
            </w:r>
            <w:r w:rsidR="00EE0E08">
              <w:rPr>
                <w:szCs w:val="24"/>
              </w:rPr>
              <w:t>(Surplus)/D</w:t>
            </w:r>
            <w:r w:rsidRPr="00D9161A">
              <w:rPr>
                <w:szCs w:val="24"/>
              </w:rPr>
              <w:t>eficit on the Provision of Services</w:t>
            </w:r>
          </w:p>
        </w:tc>
        <w:tc>
          <w:tcPr>
            <w:tcW w:w="1276" w:type="dxa"/>
            <w:vAlign w:val="center"/>
          </w:tcPr>
          <w:p w14:paraId="44D17B52" w14:textId="51A59914" w:rsidR="006636C3" w:rsidRPr="003636E0" w:rsidRDefault="00215ECE" w:rsidP="006636C3">
            <w:pPr>
              <w:pStyle w:val="Footer"/>
              <w:tabs>
                <w:tab w:val="clear" w:pos="4153"/>
                <w:tab w:val="clear" w:pos="8306"/>
                <w:tab w:val="decimal" w:pos="326"/>
              </w:tabs>
              <w:jc w:val="right"/>
              <w:rPr>
                <w:szCs w:val="24"/>
              </w:rPr>
            </w:pPr>
            <w:r w:rsidRPr="003636E0">
              <w:rPr>
                <w:szCs w:val="24"/>
              </w:rPr>
              <w:t>(2,291)</w:t>
            </w:r>
          </w:p>
        </w:tc>
        <w:tc>
          <w:tcPr>
            <w:tcW w:w="1275" w:type="dxa"/>
            <w:vAlign w:val="center"/>
          </w:tcPr>
          <w:p w14:paraId="7EB8E7D3" w14:textId="29FC0D7B" w:rsidR="006636C3" w:rsidRPr="00D9161A" w:rsidRDefault="006636C3" w:rsidP="006636C3">
            <w:pPr>
              <w:pStyle w:val="Footer"/>
              <w:tabs>
                <w:tab w:val="clear" w:pos="4153"/>
                <w:tab w:val="clear" w:pos="8306"/>
                <w:tab w:val="decimal" w:pos="326"/>
              </w:tabs>
              <w:jc w:val="right"/>
              <w:rPr>
                <w:szCs w:val="24"/>
              </w:rPr>
            </w:pPr>
            <w:r w:rsidRPr="00D9161A">
              <w:rPr>
                <w:szCs w:val="24"/>
              </w:rPr>
              <w:t>(1,574)</w:t>
            </w:r>
          </w:p>
        </w:tc>
      </w:tr>
      <w:tr w:rsidR="006636C3" w:rsidRPr="00D948C1" w14:paraId="4A4340DE" w14:textId="77777777" w:rsidTr="00480E4B">
        <w:trPr>
          <w:cantSplit/>
          <w:trHeight w:val="278"/>
        </w:trPr>
        <w:tc>
          <w:tcPr>
            <w:tcW w:w="6271" w:type="dxa"/>
            <w:vAlign w:val="center"/>
          </w:tcPr>
          <w:p w14:paraId="480AA266" w14:textId="511E69D2" w:rsidR="006636C3" w:rsidRPr="00D9161A" w:rsidRDefault="006636C3" w:rsidP="006636C3">
            <w:pPr>
              <w:ind w:left="33"/>
              <w:rPr>
                <w:szCs w:val="24"/>
              </w:rPr>
            </w:pPr>
            <w:r w:rsidRPr="00D9161A">
              <w:rPr>
                <w:szCs w:val="24"/>
              </w:rPr>
              <w:t>Net (gain)/loss for the year</w:t>
            </w:r>
          </w:p>
        </w:tc>
        <w:tc>
          <w:tcPr>
            <w:tcW w:w="1276" w:type="dxa"/>
            <w:vAlign w:val="center"/>
          </w:tcPr>
          <w:p w14:paraId="6B6C1795" w14:textId="6A9FAF0B" w:rsidR="006636C3" w:rsidRPr="003636E0" w:rsidRDefault="003B346E" w:rsidP="006636C3">
            <w:pPr>
              <w:pStyle w:val="Footer"/>
              <w:tabs>
                <w:tab w:val="clear" w:pos="4153"/>
                <w:tab w:val="clear" w:pos="8306"/>
                <w:tab w:val="decimal" w:pos="601"/>
              </w:tabs>
              <w:jc w:val="right"/>
              <w:rPr>
                <w:szCs w:val="24"/>
              </w:rPr>
            </w:pPr>
            <w:r w:rsidRPr="003636E0">
              <w:rPr>
                <w:szCs w:val="24"/>
              </w:rPr>
              <w:t>(1,019)</w:t>
            </w:r>
          </w:p>
        </w:tc>
        <w:tc>
          <w:tcPr>
            <w:tcW w:w="1275" w:type="dxa"/>
            <w:vAlign w:val="center"/>
          </w:tcPr>
          <w:p w14:paraId="7552DF82" w14:textId="550FD881" w:rsidR="006636C3" w:rsidRPr="003613A5" w:rsidRDefault="006636C3" w:rsidP="006636C3">
            <w:pPr>
              <w:pStyle w:val="Footer"/>
              <w:tabs>
                <w:tab w:val="clear" w:pos="4153"/>
                <w:tab w:val="clear" w:pos="8306"/>
                <w:tab w:val="decimal" w:pos="601"/>
              </w:tabs>
              <w:jc w:val="right"/>
              <w:rPr>
                <w:szCs w:val="24"/>
              </w:rPr>
            </w:pPr>
            <w:r w:rsidRPr="00D9161A">
              <w:rPr>
                <w:szCs w:val="24"/>
              </w:rPr>
              <w:t>(208)</w:t>
            </w:r>
          </w:p>
        </w:tc>
      </w:tr>
    </w:tbl>
    <w:p w14:paraId="111C5D2E" w14:textId="77777777" w:rsidR="00BF24AC" w:rsidRPr="00D948C1" w:rsidRDefault="00BF24AC" w:rsidP="00D90216">
      <w:pPr>
        <w:rPr>
          <w:b/>
          <w:sz w:val="22"/>
          <w:szCs w:val="22"/>
        </w:rPr>
      </w:pPr>
    </w:p>
    <w:p w14:paraId="082F6550" w14:textId="0CAEA635" w:rsidR="00D90216" w:rsidRPr="00D948C1" w:rsidRDefault="00F004B0" w:rsidP="003278CF">
      <w:pPr>
        <w:ind w:firstLine="709"/>
        <w:rPr>
          <w:b/>
          <w:bCs/>
        </w:rPr>
      </w:pPr>
      <w:r w:rsidRPr="00D948C1">
        <w:rPr>
          <w:b/>
          <w:bCs/>
        </w:rPr>
        <w:t xml:space="preserve">Fair Values of </w:t>
      </w:r>
      <w:r w:rsidR="00450D6E" w:rsidRPr="00D948C1">
        <w:rPr>
          <w:b/>
          <w:bCs/>
        </w:rPr>
        <w:t>Financial Instruments</w:t>
      </w:r>
    </w:p>
    <w:p w14:paraId="1D4E5900" w14:textId="77777777" w:rsidR="00D90216" w:rsidRPr="00D948C1" w:rsidRDefault="00D90216" w:rsidP="00617696">
      <w:pPr>
        <w:ind w:firstLine="709"/>
        <w:rPr>
          <w:b/>
          <w:sz w:val="22"/>
          <w:szCs w:val="22"/>
        </w:rPr>
      </w:pPr>
    </w:p>
    <w:p w14:paraId="61B90B8C" w14:textId="612BD4BC" w:rsidR="00D90216" w:rsidRDefault="008841C4" w:rsidP="22FF31C3">
      <w:pPr>
        <w:ind w:left="709"/>
      </w:pPr>
      <w:r w:rsidRPr="003613A5">
        <w:t>In accordance with IFRS 9, f</w:t>
      </w:r>
      <w:r w:rsidR="00D90216" w:rsidRPr="003613A5">
        <w:t xml:space="preserve">inancial liabilities, financial assets represented by </w:t>
      </w:r>
      <w:r w:rsidR="00DF770E" w:rsidRPr="003613A5">
        <w:t>investments</w:t>
      </w:r>
      <w:r w:rsidR="00D90216" w:rsidRPr="003613A5">
        <w:t xml:space="preserve"> and </w:t>
      </w:r>
      <w:r w:rsidR="005436A9" w:rsidRPr="003613A5">
        <w:t>long-term</w:t>
      </w:r>
      <w:r w:rsidR="00D90216" w:rsidRPr="003613A5">
        <w:t xml:space="preserve"> creditors, are carried in the Balance Sheet at amortised cost. Their fair value can be assessed by calculating the present value of the cash flows that will take place over the remaining term of the instruments, using the following assumptions:</w:t>
      </w:r>
    </w:p>
    <w:p w14:paraId="41D891BB" w14:textId="77777777" w:rsidR="006053B9" w:rsidRPr="003613A5" w:rsidRDefault="006053B9" w:rsidP="22FF31C3">
      <w:pPr>
        <w:ind w:left="709"/>
      </w:pPr>
    </w:p>
    <w:p w14:paraId="12FCDCB1" w14:textId="5D52BD41" w:rsidR="00D90216" w:rsidRPr="00A14E14" w:rsidRDefault="00D90216" w:rsidP="22FF31C3">
      <w:pPr>
        <w:numPr>
          <w:ilvl w:val="0"/>
          <w:numId w:val="16"/>
        </w:numPr>
      </w:pPr>
      <w:r w:rsidRPr="003636E0">
        <w:t xml:space="preserve">Estimated ranges of interest rates </w:t>
      </w:r>
      <w:proofErr w:type="gramStart"/>
      <w:r w:rsidRPr="003636E0">
        <w:t>at</w:t>
      </w:r>
      <w:proofErr w:type="gramEnd"/>
      <w:r w:rsidRPr="003636E0">
        <w:t xml:space="preserve"> 31 March 20</w:t>
      </w:r>
      <w:r w:rsidR="00CC6AF3" w:rsidRPr="003636E0">
        <w:t>2</w:t>
      </w:r>
      <w:r w:rsidR="007272FA" w:rsidRPr="003636E0">
        <w:t>5</w:t>
      </w:r>
      <w:r w:rsidRPr="003636E0">
        <w:t xml:space="preserve"> of </w:t>
      </w:r>
      <w:r w:rsidR="00F74A0A" w:rsidRPr="003636E0">
        <w:t>5</w:t>
      </w:r>
      <w:r w:rsidR="00104FD1" w:rsidRPr="003636E0">
        <w:t>.</w:t>
      </w:r>
      <w:r w:rsidR="00F74A0A" w:rsidRPr="003636E0">
        <w:t>50</w:t>
      </w:r>
      <w:r w:rsidRPr="003636E0">
        <w:t xml:space="preserve">% to </w:t>
      </w:r>
      <w:r w:rsidR="00A14E14" w:rsidRPr="003636E0">
        <w:t>5.60</w:t>
      </w:r>
      <w:r w:rsidRPr="003636E0">
        <w:t xml:space="preserve">% for loans from </w:t>
      </w:r>
      <w:r w:rsidRPr="00A14E14">
        <w:t>the PWLB</w:t>
      </w:r>
      <w:r w:rsidR="005436A9" w:rsidRPr="00A14E14">
        <w:t>.</w:t>
      </w:r>
    </w:p>
    <w:p w14:paraId="09AB3C2F" w14:textId="2BC94D7A" w:rsidR="00D90216" w:rsidRPr="00347B4C" w:rsidRDefault="00C40917" w:rsidP="22FF31C3">
      <w:pPr>
        <w:numPr>
          <w:ilvl w:val="0"/>
          <w:numId w:val="16"/>
        </w:numPr>
      </w:pPr>
      <w:r w:rsidRPr="00A14E14">
        <w:t>The fair values</w:t>
      </w:r>
      <w:r w:rsidRPr="00347B4C">
        <w:t xml:space="preserve"> of PWLB loans have been discounted at the market rates for </w:t>
      </w:r>
      <w:r w:rsidR="00717501">
        <w:t>new</w:t>
      </w:r>
      <w:r w:rsidRPr="00347B4C">
        <w:t xml:space="preserve"> instruments with </w:t>
      </w:r>
      <w:r w:rsidR="00F74A0A">
        <w:t>the same</w:t>
      </w:r>
      <w:r w:rsidRPr="00347B4C">
        <w:t xml:space="preserve"> remaining terms to </w:t>
      </w:r>
      <w:r w:rsidR="005436A9" w:rsidRPr="00347B4C">
        <w:t>maturity.</w:t>
      </w:r>
    </w:p>
    <w:p w14:paraId="09308E4D" w14:textId="16E5F366" w:rsidR="00D90216" w:rsidRPr="00347B4C" w:rsidRDefault="00D90216" w:rsidP="22FF31C3">
      <w:pPr>
        <w:numPr>
          <w:ilvl w:val="0"/>
          <w:numId w:val="16"/>
        </w:numPr>
      </w:pPr>
      <w:r w:rsidRPr="00347B4C">
        <w:t>Where an instrument will mature in the next 12 months, carrying amount is assumed to approximate to fair value</w:t>
      </w:r>
      <w:r w:rsidR="005436A9" w:rsidRPr="00347B4C">
        <w:t>.</w:t>
      </w:r>
    </w:p>
    <w:p w14:paraId="26CFCE6E" w14:textId="77777777" w:rsidR="00D90216" w:rsidRPr="00347B4C" w:rsidRDefault="00D90216" w:rsidP="22FF31C3">
      <w:pPr>
        <w:numPr>
          <w:ilvl w:val="0"/>
          <w:numId w:val="16"/>
        </w:numPr>
      </w:pPr>
      <w:r w:rsidRPr="00347B4C">
        <w:t>The fair value of trade and other receivables is taken to be the invoiced amount.</w:t>
      </w:r>
    </w:p>
    <w:p w14:paraId="10449FAB" w14:textId="3BDD2F2F" w:rsidR="00DD63D7" w:rsidRDefault="00207EA9" w:rsidP="22FF31C3">
      <w:pPr>
        <w:numPr>
          <w:ilvl w:val="0"/>
          <w:numId w:val="16"/>
        </w:numPr>
      </w:pPr>
      <w:r>
        <w:lastRenderedPageBreak/>
        <w:t>Following the adoption of IFRS 16 t</w:t>
      </w:r>
      <w:r w:rsidR="00F004B0" w:rsidRPr="00347B4C">
        <w:t xml:space="preserve">he fair value of the PFI liabilities </w:t>
      </w:r>
      <w:r w:rsidR="00593DF6">
        <w:t xml:space="preserve">is represented by </w:t>
      </w:r>
      <w:r w:rsidR="009451A8">
        <w:t>balance sheet carrying value due to the liability being remeasured at each indexation date.</w:t>
      </w:r>
    </w:p>
    <w:p w14:paraId="677BDF46" w14:textId="77777777" w:rsidR="009451A8" w:rsidRPr="00347B4C" w:rsidRDefault="009451A8" w:rsidP="008E28A7"/>
    <w:p w14:paraId="443E3743" w14:textId="37A0A9E5" w:rsidR="00D90216" w:rsidRPr="00347B4C" w:rsidRDefault="00D90216" w:rsidP="22FF31C3">
      <w:pPr>
        <w:ind w:firstLine="720"/>
      </w:pPr>
      <w:r w:rsidRPr="00347B4C">
        <w:t>The fair values calculated are as follows:</w:t>
      </w:r>
    </w:p>
    <w:p w14:paraId="5ACD27FA" w14:textId="77777777" w:rsidR="00DD63D7" w:rsidRPr="00D948C1" w:rsidRDefault="00DD63D7" w:rsidP="00DD63D7">
      <w:pPr>
        <w:ind w:firstLine="720"/>
        <w:rPr>
          <w:szCs w:val="24"/>
        </w:rPr>
      </w:pPr>
    </w:p>
    <w:tbl>
      <w:tblPr>
        <w:tblW w:w="9068"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297"/>
        <w:gridCol w:w="1118"/>
        <w:gridCol w:w="1297"/>
        <w:gridCol w:w="1118"/>
      </w:tblGrid>
      <w:tr w:rsidR="006636C3" w:rsidRPr="00D948C1" w14:paraId="2AA2C0FE" w14:textId="77777777" w:rsidTr="007641BA">
        <w:trPr>
          <w:tblHeader/>
        </w:trPr>
        <w:tc>
          <w:tcPr>
            <w:tcW w:w="4238" w:type="dxa"/>
            <w:shd w:val="clear" w:color="auto" w:fill="BD2716"/>
          </w:tcPr>
          <w:p w14:paraId="21DAD6DD" w14:textId="77777777" w:rsidR="006636C3" w:rsidRPr="00D948C1" w:rsidRDefault="006636C3" w:rsidP="006636C3">
            <w:pPr>
              <w:jc w:val="both"/>
              <w:rPr>
                <w:color w:val="FFFFFF" w:themeColor="background1"/>
                <w:szCs w:val="24"/>
              </w:rPr>
            </w:pPr>
          </w:p>
        </w:tc>
        <w:tc>
          <w:tcPr>
            <w:tcW w:w="2415" w:type="dxa"/>
            <w:gridSpan w:val="2"/>
            <w:shd w:val="clear" w:color="auto" w:fill="BD2716"/>
            <w:vAlign w:val="center"/>
          </w:tcPr>
          <w:p w14:paraId="77873866" w14:textId="2D0078D0" w:rsidR="006636C3" w:rsidRPr="00D948C1" w:rsidRDefault="006636C3" w:rsidP="006636C3">
            <w:pPr>
              <w:jc w:val="center"/>
              <w:rPr>
                <w:color w:val="FFFFFF" w:themeColor="background1"/>
                <w:szCs w:val="24"/>
              </w:rPr>
            </w:pPr>
            <w:r w:rsidRPr="00D948C1">
              <w:rPr>
                <w:color w:val="FFFFFF" w:themeColor="background1"/>
                <w:szCs w:val="24"/>
              </w:rPr>
              <w:t>31 March 202</w:t>
            </w:r>
            <w:r>
              <w:rPr>
                <w:color w:val="FFFFFF" w:themeColor="background1"/>
                <w:szCs w:val="24"/>
              </w:rPr>
              <w:t>5</w:t>
            </w:r>
          </w:p>
        </w:tc>
        <w:tc>
          <w:tcPr>
            <w:tcW w:w="2415" w:type="dxa"/>
            <w:gridSpan w:val="2"/>
            <w:shd w:val="clear" w:color="auto" w:fill="BD2716"/>
            <w:vAlign w:val="center"/>
          </w:tcPr>
          <w:p w14:paraId="1A3CD421" w14:textId="76FAB53F" w:rsidR="006636C3" w:rsidRPr="00D948C1" w:rsidRDefault="006636C3" w:rsidP="006636C3">
            <w:pPr>
              <w:jc w:val="center"/>
              <w:rPr>
                <w:color w:val="FFFFFF" w:themeColor="background1"/>
                <w:szCs w:val="24"/>
              </w:rPr>
            </w:pPr>
            <w:r w:rsidRPr="00D948C1">
              <w:rPr>
                <w:color w:val="FFFFFF" w:themeColor="background1"/>
                <w:szCs w:val="24"/>
              </w:rPr>
              <w:t>31 March 2024</w:t>
            </w:r>
          </w:p>
        </w:tc>
      </w:tr>
      <w:tr w:rsidR="006636C3" w:rsidRPr="00D948C1" w14:paraId="3239C926" w14:textId="77777777" w:rsidTr="00611673">
        <w:trPr>
          <w:tblHeader/>
        </w:trPr>
        <w:tc>
          <w:tcPr>
            <w:tcW w:w="4238" w:type="dxa"/>
            <w:shd w:val="clear" w:color="auto" w:fill="BD2716"/>
          </w:tcPr>
          <w:p w14:paraId="40D2A34B" w14:textId="77777777" w:rsidR="006636C3" w:rsidRPr="00D948C1" w:rsidRDefault="006636C3" w:rsidP="006636C3">
            <w:pPr>
              <w:jc w:val="both"/>
              <w:rPr>
                <w:color w:val="FFFFFF" w:themeColor="background1"/>
                <w:szCs w:val="24"/>
              </w:rPr>
            </w:pPr>
          </w:p>
        </w:tc>
        <w:tc>
          <w:tcPr>
            <w:tcW w:w="1297" w:type="dxa"/>
            <w:shd w:val="clear" w:color="auto" w:fill="BD2716"/>
            <w:vAlign w:val="center"/>
          </w:tcPr>
          <w:p w14:paraId="05CE7B7F" w14:textId="77777777" w:rsidR="006636C3" w:rsidRPr="00D948C1" w:rsidRDefault="006636C3" w:rsidP="006636C3">
            <w:pPr>
              <w:jc w:val="right"/>
              <w:rPr>
                <w:color w:val="FFFFFF" w:themeColor="background1"/>
                <w:szCs w:val="24"/>
              </w:rPr>
            </w:pPr>
            <w:r w:rsidRPr="00D948C1">
              <w:rPr>
                <w:color w:val="FFFFFF" w:themeColor="background1"/>
                <w:szCs w:val="24"/>
              </w:rPr>
              <w:t>Amortised Cost</w:t>
            </w:r>
          </w:p>
          <w:p w14:paraId="6BCF57F9" w14:textId="5915688E" w:rsidR="006636C3" w:rsidRPr="00D948C1" w:rsidRDefault="006636C3" w:rsidP="006636C3">
            <w:pPr>
              <w:jc w:val="right"/>
              <w:rPr>
                <w:color w:val="FFFFFF" w:themeColor="background1"/>
                <w:szCs w:val="24"/>
              </w:rPr>
            </w:pPr>
            <w:r w:rsidRPr="00D948C1">
              <w:rPr>
                <w:color w:val="FFFFFF" w:themeColor="background1"/>
                <w:szCs w:val="24"/>
              </w:rPr>
              <w:t>£000</w:t>
            </w:r>
          </w:p>
        </w:tc>
        <w:tc>
          <w:tcPr>
            <w:tcW w:w="1118" w:type="dxa"/>
            <w:shd w:val="clear" w:color="auto" w:fill="BD2716"/>
            <w:vAlign w:val="center"/>
          </w:tcPr>
          <w:p w14:paraId="52B8E212" w14:textId="5BD549CB" w:rsidR="006636C3" w:rsidRPr="00D948C1" w:rsidRDefault="006839FA" w:rsidP="006636C3">
            <w:pPr>
              <w:jc w:val="right"/>
              <w:rPr>
                <w:color w:val="FFFFFF" w:themeColor="background1"/>
                <w:szCs w:val="24"/>
              </w:rPr>
            </w:pPr>
            <w:r>
              <w:rPr>
                <w:color w:val="FFFFFF" w:themeColor="background1"/>
                <w:szCs w:val="24"/>
              </w:rPr>
              <w:t>Fair Value</w:t>
            </w:r>
          </w:p>
          <w:p w14:paraId="0C6EE299" w14:textId="19C5BEE2" w:rsidR="006636C3" w:rsidRPr="00D948C1" w:rsidRDefault="006636C3" w:rsidP="006636C3">
            <w:pPr>
              <w:jc w:val="right"/>
              <w:rPr>
                <w:color w:val="FFFFFF" w:themeColor="background1"/>
                <w:szCs w:val="24"/>
              </w:rPr>
            </w:pPr>
            <w:r w:rsidRPr="00D948C1">
              <w:rPr>
                <w:color w:val="FFFFFF" w:themeColor="background1"/>
                <w:szCs w:val="24"/>
              </w:rPr>
              <w:t>£000</w:t>
            </w:r>
          </w:p>
        </w:tc>
        <w:tc>
          <w:tcPr>
            <w:tcW w:w="1297" w:type="dxa"/>
            <w:shd w:val="clear" w:color="auto" w:fill="BD2716"/>
            <w:vAlign w:val="center"/>
          </w:tcPr>
          <w:p w14:paraId="3B358A3A" w14:textId="77777777" w:rsidR="006636C3" w:rsidRPr="00D948C1" w:rsidRDefault="006636C3" w:rsidP="006636C3">
            <w:pPr>
              <w:jc w:val="right"/>
              <w:rPr>
                <w:color w:val="FFFFFF" w:themeColor="background1"/>
                <w:szCs w:val="24"/>
              </w:rPr>
            </w:pPr>
            <w:r w:rsidRPr="00D948C1">
              <w:rPr>
                <w:color w:val="FFFFFF" w:themeColor="background1"/>
                <w:szCs w:val="24"/>
              </w:rPr>
              <w:t>Amortised Cost</w:t>
            </w:r>
          </w:p>
          <w:p w14:paraId="14F7B3DE" w14:textId="1004A439" w:rsidR="006636C3" w:rsidRPr="00D948C1" w:rsidRDefault="006636C3" w:rsidP="006636C3">
            <w:pPr>
              <w:jc w:val="right"/>
              <w:rPr>
                <w:color w:val="FFFFFF" w:themeColor="background1"/>
                <w:szCs w:val="24"/>
              </w:rPr>
            </w:pPr>
            <w:r w:rsidRPr="00D948C1">
              <w:rPr>
                <w:color w:val="FFFFFF" w:themeColor="background1"/>
                <w:szCs w:val="24"/>
              </w:rPr>
              <w:t>£000</w:t>
            </w:r>
          </w:p>
        </w:tc>
        <w:tc>
          <w:tcPr>
            <w:tcW w:w="1118" w:type="dxa"/>
            <w:shd w:val="clear" w:color="auto" w:fill="BD2716"/>
            <w:vAlign w:val="center"/>
          </w:tcPr>
          <w:p w14:paraId="3C74CE9D" w14:textId="77777777" w:rsidR="006636C3" w:rsidRPr="00D948C1" w:rsidRDefault="006636C3" w:rsidP="006636C3">
            <w:pPr>
              <w:jc w:val="right"/>
              <w:rPr>
                <w:color w:val="FFFFFF" w:themeColor="background1"/>
                <w:szCs w:val="24"/>
              </w:rPr>
            </w:pPr>
            <w:r w:rsidRPr="00D948C1">
              <w:rPr>
                <w:color w:val="FFFFFF" w:themeColor="background1"/>
                <w:szCs w:val="24"/>
              </w:rPr>
              <w:t>Fair Value</w:t>
            </w:r>
          </w:p>
          <w:p w14:paraId="7DBC0C88" w14:textId="248EABFD" w:rsidR="006636C3" w:rsidRPr="00D948C1" w:rsidRDefault="006636C3" w:rsidP="006636C3">
            <w:pPr>
              <w:jc w:val="right"/>
              <w:rPr>
                <w:color w:val="FFFFFF" w:themeColor="background1"/>
                <w:szCs w:val="24"/>
              </w:rPr>
            </w:pPr>
            <w:r w:rsidRPr="00D948C1">
              <w:rPr>
                <w:color w:val="FFFFFF" w:themeColor="background1"/>
                <w:szCs w:val="24"/>
              </w:rPr>
              <w:t>£000</w:t>
            </w:r>
          </w:p>
        </w:tc>
      </w:tr>
      <w:tr w:rsidR="006636C3" w:rsidRPr="00D948C1" w14:paraId="6F6D94B0" w14:textId="77777777" w:rsidTr="007641BA">
        <w:tc>
          <w:tcPr>
            <w:tcW w:w="4238" w:type="dxa"/>
            <w:vAlign w:val="center"/>
          </w:tcPr>
          <w:p w14:paraId="017F534A" w14:textId="77777777" w:rsidR="006636C3" w:rsidRPr="00D948C1" w:rsidRDefault="006636C3" w:rsidP="006636C3">
            <w:pPr>
              <w:ind w:left="60"/>
              <w:rPr>
                <w:szCs w:val="24"/>
              </w:rPr>
            </w:pPr>
            <w:r w:rsidRPr="00D948C1">
              <w:rPr>
                <w:szCs w:val="24"/>
              </w:rPr>
              <w:t>Loans from the Public Works Loan Board</w:t>
            </w:r>
          </w:p>
        </w:tc>
        <w:tc>
          <w:tcPr>
            <w:tcW w:w="1297" w:type="dxa"/>
            <w:vAlign w:val="center"/>
          </w:tcPr>
          <w:p w14:paraId="0CAB018C" w14:textId="6CA3EFBE" w:rsidR="006636C3" w:rsidRPr="008E28A7" w:rsidRDefault="0010016C" w:rsidP="006636C3">
            <w:pPr>
              <w:pStyle w:val="Footer"/>
              <w:tabs>
                <w:tab w:val="clear" w:pos="4153"/>
                <w:tab w:val="clear" w:pos="8306"/>
                <w:tab w:val="decimal" w:pos="326"/>
              </w:tabs>
              <w:jc w:val="right"/>
              <w:rPr>
                <w:szCs w:val="24"/>
              </w:rPr>
            </w:pPr>
            <w:r w:rsidRPr="008E28A7">
              <w:rPr>
                <w:szCs w:val="24"/>
              </w:rPr>
              <w:t>2,000</w:t>
            </w:r>
          </w:p>
        </w:tc>
        <w:tc>
          <w:tcPr>
            <w:tcW w:w="1118" w:type="dxa"/>
            <w:vAlign w:val="center"/>
          </w:tcPr>
          <w:p w14:paraId="17670C2A" w14:textId="6922E5A8" w:rsidR="006636C3" w:rsidRPr="008E28A7" w:rsidRDefault="00536413" w:rsidP="006636C3">
            <w:pPr>
              <w:pStyle w:val="Footer"/>
              <w:tabs>
                <w:tab w:val="clear" w:pos="4153"/>
                <w:tab w:val="clear" w:pos="8306"/>
                <w:tab w:val="decimal" w:pos="326"/>
              </w:tabs>
              <w:jc w:val="right"/>
              <w:rPr>
                <w:szCs w:val="24"/>
              </w:rPr>
            </w:pPr>
            <w:r w:rsidRPr="008E28A7">
              <w:rPr>
                <w:szCs w:val="24"/>
              </w:rPr>
              <w:t>1,845</w:t>
            </w:r>
          </w:p>
        </w:tc>
        <w:tc>
          <w:tcPr>
            <w:tcW w:w="1297" w:type="dxa"/>
            <w:vAlign w:val="center"/>
          </w:tcPr>
          <w:p w14:paraId="674A5DFE" w14:textId="7417597F" w:rsidR="006636C3" w:rsidRPr="00347B4C" w:rsidRDefault="006636C3" w:rsidP="006636C3">
            <w:pPr>
              <w:pStyle w:val="Footer"/>
              <w:tabs>
                <w:tab w:val="clear" w:pos="4153"/>
                <w:tab w:val="clear" w:pos="8306"/>
                <w:tab w:val="decimal" w:pos="326"/>
              </w:tabs>
              <w:jc w:val="right"/>
              <w:rPr>
                <w:szCs w:val="24"/>
              </w:rPr>
            </w:pPr>
            <w:r w:rsidRPr="00347B4C">
              <w:rPr>
                <w:szCs w:val="24"/>
              </w:rPr>
              <w:t>2,000</w:t>
            </w:r>
          </w:p>
        </w:tc>
        <w:tc>
          <w:tcPr>
            <w:tcW w:w="1118" w:type="dxa"/>
            <w:vAlign w:val="center"/>
          </w:tcPr>
          <w:p w14:paraId="2B04BA58" w14:textId="2A21EDDE" w:rsidR="006636C3" w:rsidRPr="00347B4C" w:rsidRDefault="006636C3" w:rsidP="006636C3">
            <w:pPr>
              <w:pStyle w:val="Footer"/>
              <w:tabs>
                <w:tab w:val="clear" w:pos="4153"/>
                <w:tab w:val="clear" w:pos="8306"/>
                <w:tab w:val="decimal" w:pos="326"/>
              </w:tabs>
              <w:jc w:val="right"/>
              <w:rPr>
                <w:szCs w:val="24"/>
              </w:rPr>
            </w:pPr>
            <w:r w:rsidRPr="00347B4C">
              <w:rPr>
                <w:szCs w:val="24"/>
              </w:rPr>
              <w:t>1,9</w:t>
            </w:r>
            <w:r w:rsidR="009A5FDF" w:rsidRPr="00347B4C">
              <w:rPr>
                <w:szCs w:val="24"/>
              </w:rPr>
              <w:t>30</w:t>
            </w:r>
          </w:p>
        </w:tc>
      </w:tr>
      <w:tr w:rsidR="006636C3" w:rsidRPr="00D948C1" w14:paraId="73D10E4A" w14:textId="77777777" w:rsidTr="007641BA">
        <w:tc>
          <w:tcPr>
            <w:tcW w:w="4238" w:type="dxa"/>
            <w:vAlign w:val="center"/>
          </w:tcPr>
          <w:p w14:paraId="09ACAB1F" w14:textId="77777777" w:rsidR="006636C3" w:rsidRPr="00D948C1" w:rsidRDefault="006636C3" w:rsidP="006636C3">
            <w:pPr>
              <w:ind w:left="60"/>
              <w:rPr>
                <w:szCs w:val="24"/>
              </w:rPr>
            </w:pPr>
            <w:r w:rsidRPr="00D948C1">
              <w:rPr>
                <w:szCs w:val="24"/>
              </w:rPr>
              <w:t>PFI Liabilities</w:t>
            </w:r>
          </w:p>
        </w:tc>
        <w:tc>
          <w:tcPr>
            <w:tcW w:w="1297" w:type="dxa"/>
            <w:vAlign w:val="center"/>
          </w:tcPr>
          <w:p w14:paraId="402D6DD9" w14:textId="4DC44920" w:rsidR="006636C3" w:rsidRPr="00177AAF" w:rsidRDefault="00CF47A4" w:rsidP="006636C3">
            <w:pPr>
              <w:pStyle w:val="Footer"/>
              <w:tabs>
                <w:tab w:val="clear" w:pos="4153"/>
                <w:tab w:val="clear" w:pos="8306"/>
                <w:tab w:val="decimal" w:pos="326"/>
              </w:tabs>
              <w:jc w:val="right"/>
              <w:rPr>
                <w:szCs w:val="24"/>
              </w:rPr>
            </w:pPr>
            <w:r w:rsidRPr="00177AAF">
              <w:rPr>
                <w:szCs w:val="24"/>
              </w:rPr>
              <w:t>11,783</w:t>
            </w:r>
          </w:p>
        </w:tc>
        <w:tc>
          <w:tcPr>
            <w:tcW w:w="1118" w:type="dxa"/>
            <w:vAlign w:val="center"/>
          </w:tcPr>
          <w:p w14:paraId="29DBF068" w14:textId="52503F72" w:rsidR="006636C3" w:rsidRPr="00177AAF" w:rsidRDefault="00CF47A4" w:rsidP="006636C3">
            <w:pPr>
              <w:pStyle w:val="Footer"/>
              <w:tabs>
                <w:tab w:val="clear" w:pos="4153"/>
                <w:tab w:val="clear" w:pos="8306"/>
                <w:tab w:val="decimal" w:pos="326"/>
              </w:tabs>
              <w:jc w:val="right"/>
              <w:rPr>
                <w:szCs w:val="24"/>
              </w:rPr>
            </w:pPr>
            <w:r w:rsidRPr="00177AAF">
              <w:rPr>
                <w:szCs w:val="24"/>
              </w:rPr>
              <w:t>11,783</w:t>
            </w:r>
          </w:p>
        </w:tc>
        <w:tc>
          <w:tcPr>
            <w:tcW w:w="1297" w:type="dxa"/>
            <w:vAlign w:val="center"/>
          </w:tcPr>
          <w:p w14:paraId="75A27FB3" w14:textId="7E75A11D" w:rsidR="006636C3" w:rsidRPr="00347B4C" w:rsidRDefault="006636C3" w:rsidP="006636C3">
            <w:pPr>
              <w:pStyle w:val="Footer"/>
              <w:tabs>
                <w:tab w:val="clear" w:pos="4153"/>
                <w:tab w:val="clear" w:pos="8306"/>
                <w:tab w:val="decimal" w:pos="326"/>
              </w:tabs>
              <w:jc w:val="right"/>
              <w:rPr>
                <w:szCs w:val="24"/>
              </w:rPr>
            </w:pPr>
            <w:r w:rsidRPr="00347B4C">
              <w:rPr>
                <w:szCs w:val="24"/>
              </w:rPr>
              <w:t>11,339</w:t>
            </w:r>
          </w:p>
        </w:tc>
        <w:tc>
          <w:tcPr>
            <w:tcW w:w="1118" w:type="dxa"/>
            <w:vAlign w:val="center"/>
          </w:tcPr>
          <w:p w14:paraId="7609DF86" w14:textId="073AB754" w:rsidR="006636C3" w:rsidRPr="00347B4C" w:rsidRDefault="006636C3" w:rsidP="006636C3">
            <w:pPr>
              <w:pStyle w:val="Footer"/>
              <w:tabs>
                <w:tab w:val="clear" w:pos="4153"/>
                <w:tab w:val="clear" w:pos="8306"/>
                <w:tab w:val="decimal" w:pos="326"/>
              </w:tabs>
              <w:jc w:val="right"/>
              <w:rPr>
                <w:szCs w:val="24"/>
              </w:rPr>
            </w:pPr>
            <w:r w:rsidRPr="00347B4C">
              <w:rPr>
                <w:szCs w:val="24"/>
              </w:rPr>
              <w:t>1</w:t>
            </w:r>
            <w:r w:rsidR="009A5FDF" w:rsidRPr="00347B4C">
              <w:rPr>
                <w:szCs w:val="24"/>
              </w:rPr>
              <w:t>4</w:t>
            </w:r>
            <w:r w:rsidRPr="00347B4C">
              <w:rPr>
                <w:szCs w:val="24"/>
              </w:rPr>
              <w:t>,</w:t>
            </w:r>
            <w:r w:rsidR="009A5FDF" w:rsidRPr="00347B4C">
              <w:rPr>
                <w:szCs w:val="24"/>
              </w:rPr>
              <w:t>123</w:t>
            </w:r>
          </w:p>
        </w:tc>
      </w:tr>
    </w:tbl>
    <w:p w14:paraId="0C471472" w14:textId="23C0881D" w:rsidR="00BE3374" w:rsidRPr="00D948C1" w:rsidRDefault="00BE3374" w:rsidP="00BC6C4F">
      <w:pPr>
        <w:jc w:val="both"/>
        <w:rPr>
          <w:szCs w:val="24"/>
        </w:rPr>
      </w:pPr>
    </w:p>
    <w:p w14:paraId="3C0E1543" w14:textId="0DC9BA8C" w:rsidR="00D90216" w:rsidRPr="00347B4C" w:rsidRDefault="00D90216" w:rsidP="22FF31C3">
      <w:pPr>
        <w:ind w:left="720"/>
      </w:pPr>
      <w:r w:rsidRPr="00347B4C">
        <w:t xml:space="preserve">Without the addition of accrued interest, the actual Public Works Loan Board </w:t>
      </w:r>
      <w:r w:rsidR="00CC6AF3" w:rsidRPr="00347B4C">
        <w:t xml:space="preserve">debt outstanding </w:t>
      </w:r>
      <w:proofErr w:type="gramStart"/>
      <w:r w:rsidR="00CC6AF3" w:rsidRPr="00347B4C">
        <w:t>at</w:t>
      </w:r>
      <w:proofErr w:type="gramEnd"/>
      <w:r w:rsidR="00CC6AF3" w:rsidRPr="00347B4C">
        <w:t xml:space="preserve"> 31 March 202</w:t>
      </w:r>
      <w:r w:rsidR="00E32273" w:rsidRPr="00347B4C">
        <w:t>5</w:t>
      </w:r>
      <w:r w:rsidRPr="00347B4C">
        <w:t xml:space="preserve"> is </w:t>
      </w:r>
      <w:r w:rsidR="00B92CFE" w:rsidRPr="00347B4C">
        <w:t>£</w:t>
      </w:r>
      <w:r w:rsidR="00C95614" w:rsidRPr="00347B4C">
        <w:t>2.000</w:t>
      </w:r>
      <w:r w:rsidRPr="00347B4C">
        <w:t>m (20</w:t>
      </w:r>
      <w:r w:rsidR="00F26A44" w:rsidRPr="00347B4C">
        <w:t>2</w:t>
      </w:r>
      <w:r w:rsidR="00E32273" w:rsidRPr="00347B4C">
        <w:t>3</w:t>
      </w:r>
      <w:r w:rsidR="00F26A44" w:rsidRPr="00347B4C">
        <w:t>/</w:t>
      </w:r>
      <w:r w:rsidR="00255C4C" w:rsidRPr="00347B4C">
        <w:t>2</w:t>
      </w:r>
      <w:r w:rsidR="00E32273" w:rsidRPr="00347B4C">
        <w:t>4</w:t>
      </w:r>
      <w:r w:rsidRPr="00347B4C">
        <w:t>: £</w:t>
      </w:r>
      <w:r w:rsidR="0003405C" w:rsidRPr="00347B4C">
        <w:t>2</w:t>
      </w:r>
      <w:r w:rsidR="006D29C3" w:rsidRPr="00347B4C">
        <w:t>.</w:t>
      </w:r>
      <w:r w:rsidR="0003405C" w:rsidRPr="00347B4C">
        <w:t>000</w:t>
      </w:r>
      <w:r w:rsidRPr="00347B4C">
        <w:t>m) and it is due for repayment as shown in the following table:</w:t>
      </w:r>
    </w:p>
    <w:p w14:paraId="49908972" w14:textId="77777777" w:rsidR="00300384" w:rsidRPr="00D948C1" w:rsidRDefault="00300384" w:rsidP="00617696">
      <w:pPr>
        <w:ind w:left="720"/>
        <w:rPr>
          <w:szCs w:val="24"/>
        </w:rPr>
      </w:pPr>
    </w:p>
    <w:tbl>
      <w:tblPr>
        <w:tblW w:w="7371"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654"/>
        <w:gridCol w:w="1606"/>
      </w:tblGrid>
      <w:tr w:rsidR="001318F9" w:rsidRPr="00D948C1" w14:paraId="23B71AD1" w14:textId="77777777" w:rsidTr="00611673">
        <w:trPr>
          <w:trHeight w:hRule="exact" w:val="555"/>
          <w:tblHeader/>
        </w:trPr>
        <w:tc>
          <w:tcPr>
            <w:tcW w:w="4111" w:type="dxa"/>
            <w:shd w:val="clear" w:color="auto" w:fill="BD2716"/>
          </w:tcPr>
          <w:p w14:paraId="035272D3" w14:textId="77777777" w:rsidR="001318F9" w:rsidRPr="00D948C1" w:rsidRDefault="001318F9" w:rsidP="001318F9">
            <w:pPr>
              <w:pStyle w:val="Footer"/>
              <w:tabs>
                <w:tab w:val="clear" w:pos="4153"/>
                <w:tab w:val="clear" w:pos="8306"/>
              </w:tabs>
              <w:rPr>
                <w:color w:val="FFFFFF" w:themeColor="background1"/>
                <w:szCs w:val="24"/>
              </w:rPr>
            </w:pPr>
          </w:p>
        </w:tc>
        <w:tc>
          <w:tcPr>
            <w:tcW w:w="1654" w:type="dxa"/>
            <w:shd w:val="clear" w:color="auto" w:fill="BD2716"/>
            <w:vAlign w:val="center"/>
          </w:tcPr>
          <w:p w14:paraId="251EEA56" w14:textId="20403127"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0D0BC712" w14:textId="2E10AB1D"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06" w:type="dxa"/>
            <w:shd w:val="clear" w:color="auto" w:fill="BD2716"/>
            <w:vAlign w:val="center"/>
          </w:tcPr>
          <w:p w14:paraId="0B6AD981" w14:textId="21D580F7"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5FDD7BA2" w14:textId="1D26E103"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r>
      <w:tr w:rsidR="00BA53E7" w:rsidRPr="00D948C1" w14:paraId="31DB786B" w14:textId="77777777" w:rsidTr="006637EE">
        <w:trPr>
          <w:trHeight w:hRule="exact" w:val="278"/>
        </w:trPr>
        <w:tc>
          <w:tcPr>
            <w:tcW w:w="4111" w:type="dxa"/>
            <w:vAlign w:val="bottom"/>
          </w:tcPr>
          <w:p w14:paraId="74F22DAA" w14:textId="77777777" w:rsidR="00BA53E7" w:rsidRPr="00D948C1" w:rsidRDefault="00BA53E7" w:rsidP="00BA53E7">
            <w:pPr>
              <w:rPr>
                <w:szCs w:val="24"/>
              </w:rPr>
            </w:pPr>
            <w:r w:rsidRPr="00D948C1">
              <w:rPr>
                <w:szCs w:val="24"/>
              </w:rPr>
              <w:t>Over 10 years</w:t>
            </w:r>
          </w:p>
        </w:tc>
        <w:tc>
          <w:tcPr>
            <w:tcW w:w="1654" w:type="dxa"/>
            <w:vAlign w:val="center"/>
          </w:tcPr>
          <w:p w14:paraId="09CEC387" w14:textId="23C4DC5C" w:rsidR="00BA53E7" w:rsidRPr="00D948C1" w:rsidRDefault="006645D7" w:rsidP="00DD63D7">
            <w:pPr>
              <w:tabs>
                <w:tab w:val="decimal" w:pos="979"/>
              </w:tabs>
              <w:jc w:val="right"/>
              <w:rPr>
                <w:szCs w:val="24"/>
              </w:rPr>
            </w:pPr>
            <w:r>
              <w:rPr>
                <w:szCs w:val="24"/>
              </w:rPr>
              <w:t>2,000</w:t>
            </w:r>
          </w:p>
        </w:tc>
        <w:tc>
          <w:tcPr>
            <w:tcW w:w="1606" w:type="dxa"/>
            <w:vAlign w:val="center"/>
          </w:tcPr>
          <w:p w14:paraId="0F650BAF" w14:textId="6CCF1E88" w:rsidR="00BA53E7" w:rsidRPr="00347B4C" w:rsidRDefault="00BA53E7" w:rsidP="00DD63D7">
            <w:pPr>
              <w:tabs>
                <w:tab w:val="decimal" w:pos="979"/>
              </w:tabs>
              <w:jc w:val="right"/>
              <w:rPr>
                <w:szCs w:val="24"/>
              </w:rPr>
            </w:pPr>
            <w:r w:rsidRPr="00347B4C">
              <w:rPr>
                <w:szCs w:val="24"/>
              </w:rPr>
              <w:t>2,000</w:t>
            </w:r>
          </w:p>
        </w:tc>
      </w:tr>
      <w:tr w:rsidR="00BA53E7" w:rsidRPr="00D948C1" w14:paraId="0BEF2570" w14:textId="77777777" w:rsidTr="006637EE">
        <w:trPr>
          <w:trHeight w:hRule="exact" w:val="278"/>
        </w:trPr>
        <w:tc>
          <w:tcPr>
            <w:tcW w:w="4111" w:type="dxa"/>
          </w:tcPr>
          <w:p w14:paraId="4BA76A86" w14:textId="5A084161" w:rsidR="00BA53E7" w:rsidRPr="00D948C1" w:rsidRDefault="00617696" w:rsidP="00BA53E7">
            <w:pPr>
              <w:rPr>
                <w:szCs w:val="24"/>
              </w:rPr>
            </w:pPr>
            <w:r w:rsidRPr="00D948C1">
              <w:rPr>
                <w:szCs w:val="24"/>
              </w:rPr>
              <w:t>Total</w:t>
            </w:r>
          </w:p>
        </w:tc>
        <w:tc>
          <w:tcPr>
            <w:tcW w:w="1654" w:type="dxa"/>
            <w:vAlign w:val="center"/>
          </w:tcPr>
          <w:p w14:paraId="70AE85B9" w14:textId="05E017C3" w:rsidR="00BA53E7" w:rsidRPr="00D948C1" w:rsidRDefault="006645D7" w:rsidP="00DD63D7">
            <w:pPr>
              <w:tabs>
                <w:tab w:val="decimal" w:pos="979"/>
              </w:tabs>
              <w:jc w:val="right"/>
              <w:rPr>
                <w:szCs w:val="24"/>
              </w:rPr>
            </w:pPr>
            <w:r>
              <w:rPr>
                <w:szCs w:val="24"/>
              </w:rPr>
              <w:t>2,000</w:t>
            </w:r>
          </w:p>
        </w:tc>
        <w:tc>
          <w:tcPr>
            <w:tcW w:w="1606" w:type="dxa"/>
            <w:vAlign w:val="center"/>
          </w:tcPr>
          <w:p w14:paraId="242BBC84" w14:textId="60D34549" w:rsidR="00BA53E7" w:rsidRPr="00347B4C" w:rsidRDefault="00BA53E7" w:rsidP="00DD63D7">
            <w:pPr>
              <w:tabs>
                <w:tab w:val="decimal" w:pos="979"/>
              </w:tabs>
              <w:jc w:val="right"/>
              <w:rPr>
                <w:szCs w:val="24"/>
              </w:rPr>
            </w:pPr>
            <w:r w:rsidRPr="00347B4C">
              <w:rPr>
                <w:szCs w:val="24"/>
              </w:rPr>
              <w:t>2,000</w:t>
            </w:r>
          </w:p>
        </w:tc>
      </w:tr>
    </w:tbl>
    <w:p w14:paraId="707BDF86" w14:textId="77777777" w:rsidR="00D90216" w:rsidRPr="00D948C1" w:rsidRDefault="00D90216" w:rsidP="00760673">
      <w:pPr>
        <w:jc w:val="both"/>
        <w:rPr>
          <w:szCs w:val="24"/>
        </w:rPr>
      </w:pPr>
    </w:p>
    <w:p w14:paraId="5B3B0D77" w14:textId="77777777" w:rsidR="00D90216" w:rsidRPr="00D948C1" w:rsidRDefault="007C6DCB" w:rsidP="00BE3374">
      <w:pPr>
        <w:pStyle w:val="Heading2"/>
        <w:jc w:val="left"/>
        <w:rPr>
          <w:sz w:val="24"/>
          <w:szCs w:val="24"/>
        </w:rPr>
      </w:pPr>
      <w:bookmarkStart w:id="43" w:name="_Toc215593400"/>
      <w:r w:rsidRPr="00D948C1">
        <w:rPr>
          <w:sz w:val="24"/>
          <w:szCs w:val="24"/>
        </w:rPr>
        <w:t>9</w:t>
      </w:r>
      <w:r w:rsidR="00D90216" w:rsidRPr="00D948C1">
        <w:rPr>
          <w:sz w:val="24"/>
          <w:szCs w:val="24"/>
        </w:rPr>
        <w:tab/>
      </w:r>
      <w:bookmarkStart w:id="44" w:name="N9"/>
      <w:bookmarkEnd w:id="44"/>
      <w:r w:rsidR="00D90216" w:rsidRPr="00D948C1">
        <w:rPr>
          <w:sz w:val="24"/>
          <w:szCs w:val="24"/>
        </w:rPr>
        <w:t>Debtors</w:t>
      </w:r>
      <w:bookmarkEnd w:id="43"/>
    </w:p>
    <w:p w14:paraId="03807CC1" w14:textId="77777777" w:rsidR="00D90216" w:rsidRPr="00D948C1" w:rsidRDefault="00D90216" w:rsidP="00D90216">
      <w:pPr>
        <w:rPr>
          <w:szCs w:val="24"/>
          <w:u w:val="single"/>
        </w:rPr>
      </w:pPr>
    </w:p>
    <w:tbl>
      <w:tblPr>
        <w:tblW w:w="736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638"/>
        <w:gridCol w:w="1620"/>
      </w:tblGrid>
      <w:tr w:rsidR="001318F9" w:rsidRPr="00D948C1" w14:paraId="06B3951C" w14:textId="77777777" w:rsidTr="00611673">
        <w:trPr>
          <w:trHeight w:hRule="exact" w:val="578"/>
          <w:tblHeader/>
        </w:trPr>
        <w:tc>
          <w:tcPr>
            <w:tcW w:w="4111" w:type="dxa"/>
            <w:shd w:val="clear" w:color="auto" w:fill="BD2716"/>
          </w:tcPr>
          <w:p w14:paraId="733EA884" w14:textId="77777777" w:rsidR="001318F9" w:rsidRPr="00D948C1" w:rsidRDefault="001318F9" w:rsidP="001318F9">
            <w:pPr>
              <w:pStyle w:val="Footer"/>
              <w:tabs>
                <w:tab w:val="clear" w:pos="4153"/>
                <w:tab w:val="clear" w:pos="8306"/>
              </w:tabs>
              <w:rPr>
                <w:color w:val="FFFFFF" w:themeColor="background1"/>
                <w:szCs w:val="24"/>
              </w:rPr>
            </w:pPr>
          </w:p>
        </w:tc>
        <w:tc>
          <w:tcPr>
            <w:tcW w:w="1638" w:type="dxa"/>
            <w:shd w:val="clear" w:color="auto" w:fill="BD2716"/>
            <w:vAlign w:val="center"/>
          </w:tcPr>
          <w:p w14:paraId="422FF683" w14:textId="37449CA6"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45D3B6D4" w14:textId="4510E20C"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20" w:type="dxa"/>
            <w:shd w:val="clear" w:color="auto" w:fill="BD2716"/>
            <w:vAlign w:val="center"/>
          </w:tcPr>
          <w:p w14:paraId="6B70F2D6" w14:textId="20DA866C"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16E382CD" w14:textId="6720DD12" w:rsidR="001318F9" w:rsidRPr="00D948C1" w:rsidRDefault="001318F9" w:rsidP="001318F9">
            <w:pPr>
              <w:pStyle w:val="BodyTextIndent"/>
              <w:ind w:left="-12"/>
              <w:jc w:val="right"/>
              <w:rPr>
                <w:color w:val="FFFFFF" w:themeColor="background1"/>
                <w:szCs w:val="24"/>
                <w:lang w:val="en-GB"/>
              </w:rPr>
            </w:pPr>
            <w:r w:rsidRPr="00D948C1">
              <w:rPr>
                <w:color w:val="FFFFFF" w:themeColor="background1"/>
                <w:szCs w:val="24"/>
                <w:lang w:val="en-GB"/>
              </w:rPr>
              <w:t>£000</w:t>
            </w:r>
          </w:p>
        </w:tc>
      </w:tr>
      <w:tr w:rsidR="006636C3" w:rsidRPr="00D948C1" w14:paraId="190CA419" w14:textId="77777777" w:rsidTr="006637EE">
        <w:trPr>
          <w:trHeight w:val="278"/>
        </w:trPr>
        <w:tc>
          <w:tcPr>
            <w:tcW w:w="4111" w:type="dxa"/>
          </w:tcPr>
          <w:p w14:paraId="11681FD0" w14:textId="77777777" w:rsidR="006636C3" w:rsidRPr="00D948C1" w:rsidRDefault="006636C3" w:rsidP="006636C3">
            <w:pPr>
              <w:pStyle w:val="Footer"/>
              <w:tabs>
                <w:tab w:val="clear" w:pos="4153"/>
                <w:tab w:val="clear" w:pos="8306"/>
                <w:tab w:val="left" w:pos="270"/>
              </w:tabs>
              <w:rPr>
                <w:szCs w:val="24"/>
              </w:rPr>
            </w:pPr>
            <w:r w:rsidRPr="00D948C1">
              <w:rPr>
                <w:szCs w:val="24"/>
              </w:rPr>
              <w:t>Trade debtors</w:t>
            </w:r>
          </w:p>
        </w:tc>
        <w:tc>
          <w:tcPr>
            <w:tcW w:w="1638" w:type="dxa"/>
            <w:vAlign w:val="center"/>
          </w:tcPr>
          <w:p w14:paraId="62991A3E" w14:textId="225CEA52" w:rsidR="006636C3" w:rsidRPr="005A4E16" w:rsidRDefault="001406FD" w:rsidP="006636C3">
            <w:pPr>
              <w:tabs>
                <w:tab w:val="decimal" w:pos="900"/>
              </w:tabs>
              <w:jc w:val="right"/>
              <w:rPr>
                <w:szCs w:val="24"/>
              </w:rPr>
            </w:pPr>
            <w:r w:rsidRPr="005A4E16">
              <w:rPr>
                <w:szCs w:val="24"/>
              </w:rPr>
              <w:t>1,959</w:t>
            </w:r>
          </w:p>
        </w:tc>
        <w:tc>
          <w:tcPr>
            <w:tcW w:w="1620" w:type="dxa"/>
            <w:vAlign w:val="center"/>
          </w:tcPr>
          <w:p w14:paraId="0F6EB3AA" w14:textId="05355B8D" w:rsidR="006636C3" w:rsidRPr="00347B4C" w:rsidRDefault="006636C3" w:rsidP="006636C3">
            <w:pPr>
              <w:tabs>
                <w:tab w:val="decimal" w:pos="900"/>
              </w:tabs>
              <w:ind w:left="-12"/>
              <w:jc w:val="right"/>
              <w:rPr>
                <w:szCs w:val="24"/>
              </w:rPr>
            </w:pPr>
            <w:r w:rsidRPr="00347B4C">
              <w:rPr>
                <w:szCs w:val="24"/>
              </w:rPr>
              <w:t>2,123</w:t>
            </w:r>
          </w:p>
        </w:tc>
      </w:tr>
      <w:tr w:rsidR="006636C3" w:rsidRPr="00D948C1" w14:paraId="5F336B28" w14:textId="77777777" w:rsidTr="006637EE">
        <w:trPr>
          <w:trHeight w:val="278"/>
        </w:trPr>
        <w:tc>
          <w:tcPr>
            <w:tcW w:w="4111" w:type="dxa"/>
          </w:tcPr>
          <w:p w14:paraId="150020B6" w14:textId="77777777" w:rsidR="006636C3" w:rsidRPr="00D948C1" w:rsidRDefault="006636C3" w:rsidP="006636C3">
            <w:pPr>
              <w:tabs>
                <w:tab w:val="left" w:pos="270"/>
              </w:tabs>
              <w:rPr>
                <w:szCs w:val="24"/>
              </w:rPr>
            </w:pPr>
            <w:r w:rsidRPr="00D948C1">
              <w:rPr>
                <w:szCs w:val="24"/>
              </w:rPr>
              <w:t>VAT</w:t>
            </w:r>
          </w:p>
        </w:tc>
        <w:tc>
          <w:tcPr>
            <w:tcW w:w="1638" w:type="dxa"/>
            <w:vAlign w:val="center"/>
          </w:tcPr>
          <w:p w14:paraId="40F3A07D" w14:textId="77FCF0C2" w:rsidR="006636C3" w:rsidRPr="005A4E16" w:rsidRDefault="006B12E0" w:rsidP="006636C3">
            <w:pPr>
              <w:tabs>
                <w:tab w:val="decimal" w:pos="900"/>
              </w:tabs>
              <w:jc w:val="right"/>
              <w:rPr>
                <w:szCs w:val="24"/>
              </w:rPr>
            </w:pPr>
            <w:r w:rsidRPr="005A4E16">
              <w:rPr>
                <w:szCs w:val="24"/>
              </w:rPr>
              <w:t>386</w:t>
            </w:r>
          </w:p>
        </w:tc>
        <w:tc>
          <w:tcPr>
            <w:tcW w:w="1620" w:type="dxa"/>
            <w:vAlign w:val="center"/>
          </w:tcPr>
          <w:p w14:paraId="06F03C44" w14:textId="5BA6DF94" w:rsidR="006636C3" w:rsidRPr="00347B4C" w:rsidRDefault="006636C3" w:rsidP="006636C3">
            <w:pPr>
              <w:tabs>
                <w:tab w:val="decimal" w:pos="900"/>
              </w:tabs>
              <w:ind w:left="-12"/>
              <w:jc w:val="right"/>
              <w:rPr>
                <w:szCs w:val="24"/>
              </w:rPr>
            </w:pPr>
            <w:r w:rsidRPr="00347B4C">
              <w:rPr>
                <w:szCs w:val="24"/>
              </w:rPr>
              <w:t>3,862</w:t>
            </w:r>
          </w:p>
        </w:tc>
      </w:tr>
      <w:tr w:rsidR="006636C3" w:rsidRPr="00D948C1" w14:paraId="17D5964D" w14:textId="77777777" w:rsidTr="006637EE">
        <w:trPr>
          <w:trHeight w:val="278"/>
        </w:trPr>
        <w:tc>
          <w:tcPr>
            <w:tcW w:w="4111" w:type="dxa"/>
          </w:tcPr>
          <w:p w14:paraId="52A2CE39" w14:textId="77777777" w:rsidR="006636C3" w:rsidRPr="00D948C1" w:rsidRDefault="006636C3" w:rsidP="006636C3">
            <w:pPr>
              <w:tabs>
                <w:tab w:val="left" w:pos="270"/>
              </w:tabs>
              <w:rPr>
                <w:szCs w:val="24"/>
              </w:rPr>
            </w:pPr>
            <w:r w:rsidRPr="00D948C1">
              <w:rPr>
                <w:szCs w:val="24"/>
              </w:rPr>
              <w:t>Local taxation debtors</w:t>
            </w:r>
          </w:p>
        </w:tc>
        <w:tc>
          <w:tcPr>
            <w:tcW w:w="1638" w:type="dxa"/>
            <w:vAlign w:val="center"/>
          </w:tcPr>
          <w:p w14:paraId="4ACE41BD" w14:textId="4EDAAB02" w:rsidR="006636C3" w:rsidRPr="005A4E16" w:rsidRDefault="006B12E0" w:rsidP="006636C3">
            <w:pPr>
              <w:tabs>
                <w:tab w:val="decimal" w:pos="900"/>
              </w:tabs>
              <w:jc w:val="right"/>
              <w:rPr>
                <w:szCs w:val="24"/>
              </w:rPr>
            </w:pPr>
            <w:r w:rsidRPr="005A4E16">
              <w:rPr>
                <w:szCs w:val="24"/>
              </w:rPr>
              <w:t>4,456</w:t>
            </w:r>
          </w:p>
        </w:tc>
        <w:tc>
          <w:tcPr>
            <w:tcW w:w="1620" w:type="dxa"/>
            <w:vAlign w:val="center"/>
          </w:tcPr>
          <w:p w14:paraId="6CD6D2FB" w14:textId="34C62004" w:rsidR="006636C3" w:rsidRPr="00347B4C" w:rsidRDefault="006636C3" w:rsidP="006636C3">
            <w:pPr>
              <w:tabs>
                <w:tab w:val="decimal" w:pos="900"/>
              </w:tabs>
              <w:ind w:left="-12"/>
              <w:jc w:val="right"/>
              <w:rPr>
                <w:szCs w:val="24"/>
              </w:rPr>
            </w:pPr>
            <w:r w:rsidRPr="00347B4C">
              <w:rPr>
                <w:szCs w:val="24"/>
              </w:rPr>
              <w:t>4,303</w:t>
            </w:r>
          </w:p>
        </w:tc>
      </w:tr>
      <w:tr w:rsidR="006636C3" w:rsidRPr="00D948C1" w14:paraId="2C0F6E9E" w14:textId="77777777" w:rsidTr="006637EE">
        <w:trPr>
          <w:trHeight w:val="278"/>
        </w:trPr>
        <w:tc>
          <w:tcPr>
            <w:tcW w:w="4111" w:type="dxa"/>
          </w:tcPr>
          <w:p w14:paraId="77F3D3CC" w14:textId="77777777" w:rsidR="006636C3" w:rsidRPr="00D948C1" w:rsidRDefault="006636C3" w:rsidP="006636C3">
            <w:pPr>
              <w:tabs>
                <w:tab w:val="left" w:pos="270"/>
              </w:tabs>
              <w:rPr>
                <w:szCs w:val="24"/>
              </w:rPr>
            </w:pPr>
            <w:r w:rsidRPr="00D948C1">
              <w:rPr>
                <w:szCs w:val="24"/>
              </w:rPr>
              <w:t>Other debtors</w:t>
            </w:r>
          </w:p>
        </w:tc>
        <w:tc>
          <w:tcPr>
            <w:tcW w:w="1638" w:type="dxa"/>
            <w:vAlign w:val="center"/>
          </w:tcPr>
          <w:p w14:paraId="6011326B" w14:textId="3E812A87" w:rsidR="006636C3" w:rsidRPr="005A4E16" w:rsidRDefault="00D66FC6" w:rsidP="006636C3">
            <w:pPr>
              <w:tabs>
                <w:tab w:val="decimal" w:pos="900"/>
              </w:tabs>
              <w:jc w:val="right"/>
              <w:rPr>
                <w:szCs w:val="24"/>
              </w:rPr>
            </w:pPr>
            <w:r w:rsidRPr="005A4E16">
              <w:rPr>
                <w:szCs w:val="24"/>
              </w:rPr>
              <w:t>1,124</w:t>
            </w:r>
          </w:p>
        </w:tc>
        <w:tc>
          <w:tcPr>
            <w:tcW w:w="1620" w:type="dxa"/>
            <w:vAlign w:val="center"/>
          </w:tcPr>
          <w:p w14:paraId="3AC99AFD" w14:textId="7FB55E86" w:rsidR="006636C3" w:rsidRPr="00347B4C" w:rsidRDefault="006636C3" w:rsidP="006636C3">
            <w:pPr>
              <w:tabs>
                <w:tab w:val="decimal" w:pos="900"/>
              </w:tabs>
              <w:ind w:left="-12"/>
              <w:jc w:val="right"/>
              <w:rPr>
                <w:szCs w:val="24"/>
              </w:rPr>
            </w:pPr>
            <w:r w:rsidRPr="00347B4C">
              <w:rPr>
                <w:szCs w:val="24"/>
              </w:rPr>
              <w:t>8,316</w:t>
            </w:r>
          </w:p>
        </w:tc>
      </w:tr>
      <w:tr w:rsidR="006636C3" w:rsidRPr="00D948C1" w14:paraId="1F93D5D5" w14:textId="77777777" w:rsidTr="006637EE">
        <w:trPr>
          <w:trHeight w:val="278"/>
        </w:trPr>
        <w:tc>
          <w:tcPr>
            <w:tcW w:w="4111" w:type="dxa"/>
          </w:tcPr>
          <w:p w14:paraId="67137166" w14:textId="1BB078B9" w:rsidR="006636C3" w:rsidRPr="00D948C1" w:rsidRDefault="006636C3" w:rsidP="006636C3">
            <w:pPr>
              <w:tabs>
                <w:tab w:val="left" w:pos="270"/>
              </w:tabs>
              <w:rPr>
                <w:szCs w:val="24"/>
              </w:rPr>
            </w:pPr>
            <w:r w:rsidRPr="00D948C1">
              <w:rPr>
                <w:szCs w:val="24"/>
              </w:rPr>
              <w:t>Total</w:t>
            </w:r>
          </w:p>
        </w:tc>
        <w:tc>
          <w:tcPr>
            <w:tcW w:w="1638" w:type="dxa"/>
            <w:vAlign w:val="center"/>
          </w:tcPr>
          <w:p w14:paraId="6FF23343" w14:textId="17E93944" w:rsidR="006636C3" w:rsidRPr="005A4E16" w:rsidRDefault="00DC68E5" w:rsidP="006636C3">
            <w:pPr>
              <w:tabs>
                <w:tab w:val="decimal" w:pos="900"/>
              </w:tabs>
              <w:jc w:val="right"/>
              <w:rPr>
                <w:szCs w:val="24"/>
              </w:rPr>
            </w:pPr>
            <w:r w:rsidRPr="009728D6">
              <w:rPr>
                <w:szCs w:val="24"/>
              </w:rPr>
              <w:t>7</w:t>
            </w:r>
            <w:r w:rsidR="003F5953" w:rsidRPr="005A4E16">
              <w:rPr>
                <w:szCs w:val="24"/>
              </w:rPr>
              <w:t>,</w:t>
            </w:r>
            <w:r w:rsidRPr="009728D6">
              <w:rPr>
                <w:szCs w:val="24"/>
              </w:rPr>
              <w:t>925</w:t>
            </w:r>
          </w:p>
        </w:tc>
        <w:tc>
          <w:tcPr>
            <w:tcW w:w="1620" w:type="dxa"/>
            <w:vAlign w:val="center"/>
          </w:tcPr>
          <w:p w14:paraId="6ACA7572" w14:textId="2B59D479" w:rsidR="006636C3" w:rsidRPr="00347B4C" w:rsidRDefault="006636C3" w:rsidP="006636C3">
            <w:pPr>
              <w:tabs>
                <w:tab w:val="decimal" w:pos="900"/>
              </w:tabs>
              <w:ind w:left="-12"/>
              <w:jc w:val="right"/>
              <w:rPr>
                <w:szCs w:val="24"/>
              </w:rPr>
            </w:pPr>
            <w:r w:rsidRPr="00347B4C">
              <w:rPr>
                <w:szCs w:val="24"/>
              </w:rPr>
              <w:t>18,604</w:t>
            </w:r>
          </w:p>
        </w:tc>
      </w:tr>
    </w:tbl>
    <w:p w14:paraId="057F0C12" w14:textId="77777777" w:rsidR="00B71D39" w:rsidRPr="00D948C1" w:rsidRDefault="00B71D39" w:rsidP="00D90216">
      <w:pPr>
        <w:rPr>
          <w:sz w:val="22"/>
        </w:rPr>
      </w:pPr>
    </w:p>
    <w:p w14:paraId="75FED126" w14:textId="6E66BDDB" w:rsidR="00D90216" w:rsidRPr="00D948C1" w:rsidRDefault="001C592E" w:rsidP="00BC6C4F">
      <w:pPr>
        <w:pStyle w:val="Heading2"/>
        <w:jc w:val="left"/>
        <w:rPr>
          <w:sz w:val="24"/>
          <w:szCs w:val="24"/>
        </w:rPr>
      </w:pPr>
      <w:bookmarkStart w:id="45" w:name="_Toc215593401"/>
      <w:r w:rsidRPr="00D948C1">
        <w:rPr>
          <w:sz w:val="24"/>
          <w:szCs w:val="24"/>
        </w:rPr>
        <w:t>1</w:t>
      </w:r>
      <w:r w:rsidR="007C6DCB" w:rsidRPr="00D948C1">
        <w:rPr>
          <w:sz w:val="24"/>
          <w:szCs w:val="24"/>
        </w:rPr>
        <w:t>0</w:t>
      </w:r>
      <w:r w:rsidR="00B71D39" w:rsidRPr="00D948C1">
        <w:rPr>
          <w:sz w:val="24"/>
          <w:szCs w:val="24"/>
        </w:rPr>
        <w:tab/>
      </w:r>
      <w:bookmarkStart w:id="46" w:name="N10"/>
      <w:bookmarkEnd w:id="46"/>
      <w:r w:rsidR="00D90216" w:rsidRPr="00D948C1">
        <w:rPr>
          <w:sz w:val="24"/>
          <w:szCs w:val="24"/>
        </w:rPr>
        <w:t>Cash &amp; Cash Equivalents</w:t>
      </w:r>
      <w:bookmarkEnd w:id="45"/>
    </w:p>
    <w:p w14:paraId="4BAA8B00" w14:textId="77777777" w:rsidR="00D90216" w:rsidRPr="00D948C1" w:rsidRDefault="00D90216" w:rsidP="00BC6C4F">
      <w:pPr>
        <w:ind w:left="720"/>
        <w:rPr>
          <w:szCs w:val="24"/>
        </w:rPr>
      </w:pPr>
    </w:p>
    <w:p w14:paraId="68A363ED" w14:textId="77777777" w:rsidR="00D90216" w:rsidRPr="00D948C1" w:rsidRDefault="00D90216" w:rsidP="00BC6C4F">
      <w:pPr>
        <w:ind w:left="720"/>
        <w:rPr>
          <w:szCs w:val="24"/>
        </w:rPr>
      </w:pPr>
      <w:r w:rsidRPr="00D948C1">
        <w:rPr>
          <w:szCs w:val="24"/>
        </w:rPr>
        <w:t>The balance of cash &amp; cash equivalents is made up of the following elements:</w:t>
      </w:r>
    </w:p>
    <w:p w14:paraId="5F3D6EA3" w14:textId="77777777" w:rsidR="00D90216" w:rsidRPr="00D948C1" w:rsidRDefault="00D90216" w:rsidP="00D90216">
      <w:pPr>
        <w:ind w:left="720"/>
        <w:jc w:val="both"/>
        <w:rPr>
          <w:sz w:val="22"/>
        </w:rPr>
      </w:pPr>
    </w:p>
    <w:tbl>
      <w:tblPr>
        <w:tblW w:w="916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gridCol w:w="1638"/>
        <w:gridCol w:w="1620"/>
      </w:tblGrid>
      <w:tr w:rsidR="001318F9" w:rsidRPr="00D948C1" w14:paraId="0613C634" w14:textId="77777777" w:rsidTr="00611673">
        <w:trPr>
          <w:trHeight w:hRule="exact" w:val="578"/>
          <w:tblHeader/>
        </w:trPr>
        <w:tc>
          <w:tcPr>
            <w:tcW w:w="5909" w:type="dxa"/>
            <w:shd w:val="clear" w:color="auto" w:fill="BD2716"/>
          </w:tcPr>
          <w:p w14:paraId="52CA4080" w14:textId="77777777" w:rsidR="001318F9" w:rsidRPr="00D948C1" w:rsidRDefault="001318F9" w:rsidP="001318F9">
            <w:pPr>
              <w:pStyle w:val="Footer"/>
              <w:tabs>
                <w:tab w:val="clear" w:pos="4153"/>
                <w:tab w:val="clear" w:pos="8306"/>
              </w:tabs>
              <w:rPr>
                <w:color w:val="FFFFFF" w:themeColor="background1"/>
                <w:szCs w:val="24"/>
              </w:rPr>
            </w:pPr>
          </w:p>
        </w:tc>
        <w:tc>
          <w:tcPr>
            <w:tcW w:w="1638" w:type="dxa"/>
            <w:shd w:val="clear" w:color="auto" w:fill="BD2716"/>
            <w:vAlign w:val="center"/>
          </w:tcPr>
          <w:p w14:paraId="64BCF25E" w14:textId="5FF074F1"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34194DCF" w14:textId="3FAAE4DA"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20" w:type="dxa"/>
            <w:shd w:val="clear" w:color="auto" w:fill="BD2716"/>
            <w:vAlign w:val="center"/>
          </w:tcPr>
          <w:p w14:paraId="008E77AB" w14:textId="24522FEF"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4FF6DA7A" w14:textId="749192F1"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r>
      <w:tr w:rsidR="006636C3" w:rsidRPr="00D948C1" w14:paraId="240FCBA4" w14:textId="77777777" w:rsidTr="00DD63D7">
        <w:trPr>
          <w:trHeight w:hRule="exact" w:val="300"/>
        </w:trPr>
        <w:tc>
          <w:tcPr>
            <w:tcW w:w="5909" w:type="dxa"/>
          </w:tcPr>
          <w:p w14:paraId="44A7BD16" w14:textId="77777777" w:rsidR="006636C3" w:rsidRPr="00D948C1" w:rsidRDefault="006636C3" w:rsidP="006636C3">
            <w:pPr>
              <w:pStyle w:val="Footer"/>
              <w:tabs>
                <w:tab w:val="clear" w:pos="4153"/>
                <w:tab w:val="clear" w:pos="8306"/>
                <w:tab w:val="left" w:pos="270"/>
              </w:tabs>
              <w:rPr>
                <w:szCs w:val="24"/>
              </w:rPr>
            </w:pPr>
            <w:r w:rsidRPr="00D948C1">
              <w:rPr>
                <w:szCs w:val="24"/>
              </w:rPr>
              <w:t>Cash held by the Authority</w:t>
            </w:r>
          </w:p>
        </w:tc>
        <w:tc>
          <w:tcPr>
            <w:tcW w:w="1638" w:type="dxa"/>
            <w:vAlign w:val="center"/>
          </w:tcPr>
          <w:p w14:paraId="720DCA68" w14:textId="4F0A87CB" w:rsidR="006636C3" w:rsidRPr="00D948C1" w:rsidRDefault="002349A1" w:rsidP="006636C3">
            <w:pPr>
              <w:tabs>
                <w:tab w:val="decimal" w:pos="900"/>
              </w:tabs>
              <w:jc w:val="right"/>
              <w:rPr>
                <w:szCs w:val="24"/>
              </w:rPr>
            </w:pPr>
            <w:r>
              <w:rPr>
                <w:szCs w:val="24"/>
              </w:rPr>
              <w:t>57</w:t>
            </w:r>
          </w:p>
        </w:tc>
        <w:tc>
          <w:tcPr>
            <w:tcW w:w="1620" w:type="dxa"/>
            <w:vAlign w:val="center"/>
          </w:tcPr>
          <w:p w14:paraId="28CE2024" w14:textId="356C36FD" w:rsidR="006636C3" w:rsidRPr="00347B4C" w:rsidRDefault="006636C3" w:rsidP="006636C3">
            <w:pPr>
              <w:tabs>
                <w:tab w:val="decimal" w:pos="900"/>
              </w:tabs>
              <w:jc w:val="right"/>
              <w:rPr>
                <w:szCs w:val="24"/>
              </w:rPr>
            </w:pPr>
            <w:r w:rsidRPr="00347B4C">
              <w:rPr>
                <w:szCs w:val="24"/>
              </w:rPr>
              <w:t>53</w:t>
            </w:r>
          </w:p>
        </w:tc>
      </w:tr>
      <w:tr w:rsidR="006636C3" w:rsidRPr="00D948C1" w14:paraId="60BAD94D" w14:textId="77777777" w:rsidTr="00DD63D7">
        <w:trPr>
          <w:trHeight w:hRule="exact" w:val="300"/>
        </w:trPr>
        <w:tc>
          <w:tcPr>
            <w:tcW w:w="5909" w:type="dxa"/>
          </w:tcPr>
          <w:p w14:paraId="0D0411AC" w14:textId="77777777" w:rsidR="006636C3" w:rsidRPr="00D948C1" w:rsidRDefault="006636C3" w:rsidP="006636C3">
            <w:pPr>
              <w:tabs>
                <w:tab w:val="left" w:pos="270"/>
              </w:tabs>
              <w:rPr>
                <w:szCs w:val="24"/>
              </w:rPr>
            </w:pPr>
            <w:r w:rsidRPr="00D948C1">
              <w:rPr>
                <w:szCs w:val="24"/>
              </w:rPr>
              <w:t xml:space="preserve">Cash held by </w:t>
            </w:r>
            <w:proofErr w:type="gramStart"/>
            <w:r w:rsidRPr="00D948C1">
              <w:rPr>
                <w:szCs w:val="24"/>
              </w:rPr>
              <w:t>North West</w:t>
            </w:r>
            <w:proofErr w:type="gramEnd"/>
            <w:r w:rsidRPr="00D948C1">
              <w:rPr>
                <w:szCs w:val="24"/>
              </w:rPr>
              <w:t xml:space="preserve"> </w:t>
            </w:r>
            <w:proofErr w:type="spellStart"/>
            <w:r w:rsidRPr="00D948C1">
              <w:rPr>
                <w:szCs w:val="24"/>
              </w:rPr>
              <w:t>FireControl</w:t>
            </w:r>
            <w:proofErr w:type="spellEnd"/>
            <w:r w:rsidRPr="00D948C1">
              <w:rPr>
                <w:szCs w:val="24"/>
              </w:rPr>
              <w:t xml:space="preserve"> (25% share)</w:t>
            </w:r>
          </w:p>
        </w:tc>
        <w:tc>
          <w:tcPr>
            <w:tcW w:w="1638" w:type="dxa"/>
            <w:vAlign w:val="center"/>
          </w:tcPr>
          <w:p w14:paraId="7026A4B6" w14:textId="62FAA71B" w:rsidR="006636C3" w:rsidRPr="00D948C1" w:rsidRDefault="00642B80" w:rsidP="006636C3">
            <w:pPr>
              <w:tabs>
                <w:tab w:val="decimal" w:pos="900"/>
              </w:tabs>
              <w:jc w:val="right"/>
              <w:rPr>
                <w:szCs w:val="24"/>
              </w:rPr>
            </w:pPr>
            <w:r>
              <w:rPr>
                <w:szCs w:val="24"/>
              </w:rPr>
              <w:t>525</w:t>
            </w:r>
          </w:p>
        </w:tc>
        <w:tc>
          <w:tcPr>
            <w:tcW w:w="1620" w:type="dxa"/>
            <w:vAlign w:val="center"/>
          </w:tcPr>
          <w:p w14:paraId="3893878F" w14:textId="2141E3E3" w:rsidR="006636C3" w:rsidRPr="00347B4C" w:rsidRDefault="006636C3" w:rsidP="006636C3">
            <w:pPr>
              <w:tabs>
                <w:tab w:val="decimal" w:pos="900"/>
              </w:tabs>
              <w:jc w:val="right"/>
              <w:rPr>
                <w:szCs w:val="24"/>
              </w:rPr>
            </w:pPr>
            <w:r w:rsidRPr="00347B4C">
              <w:rPr>
                <w:szCs w:val="24"/>
              </w:rPr>
              <w:t>59</w:t>
            </w:r>
          </w:p>
        </w:tc>
      </w:tr>
      <w:tr w:rsidR="006636C3" w:rsidRPr="00D948C1" w14:paraId="60A39181" w14:textId="77777777" w:rsidTr="00480E4B">
        <w:trPr>
          <w:trHeight w:hRule="exact" w:val="300"/>
        </w:trPr>
        <w:tc>
          <w:tcPr>
            <w:tcW w:w="5909" w:type="dxa"/>
            <w:tcBorders>
              <w:bottom w:val="single" w:sz="4" w:space="0" w:color="auto"/>
            </w:tcBorders>
          </w:tcPr>
          <w:p w14:paraId="7B2F4852" w14:textId="77777777" w:rsidR="006636C3" w:rsidRPr="00D948C1" w:rsidRDefault="006636C3" w:rsidP="006636C3">
            <w:pPr>
              <w:tabs>
                <w:tab w:val="left" w:pos="270"/>
              </w:tabs>
              <w:rPr>
                <w:szCs w:val="24"/>
              </w:rPr>
            </w:pPr>
            <w:r w:rsidRPr="00D948C1">
              <w:rPr>
                <w:szCs w:val="24"/>
              </w:rPr>
              <w:t>Call account balance</w:t>
            </w:r>
          </w:p>
        </w:tc>
        <w:tc>
          <w:tcPr>
            <w:tcW w:w="1638" w:type="dxa"/>
            <w:tcBorders>
              <w:bottom w:val="single" w:sz="4" w:space="0" w:color="auto"/>
            </w:tcBorders>
            <w:vAlign w:val="center"/>
          </w:tcPr>
          <w:p w14:paraId="5FF65A76" w14:textId="00FC4213" w:rsidR="006636C3" w:rsidRPr="00D948C1" w:rsidRDefault="006645D7" w:rsidP="006636C3">
            <w:pPr>
              <w:tabs>
                <w:tab w:val="decimal" w:pos="900"/>
              </w:tabs>
              <w:jc w:val="right"/>
              <w:rPr>
                <w:szCs w:val="24"/>
              </w:rPr>
            </w:pPr>
            <w:r>
              <w:rPr>
                <w:szCs w:val="24"/>
              </w:rPr>
              <w:t>-</w:t>
            </w:r>
          </w:p>
        </w:tc>
        <w:tc>
          <w:tcPr>
            <w:tcW w:w="1620" w:type="dxa"/>
            <w:tcBorders>
              <w:bottom w:val="single" w:sz="4" w:space="0" w:color="auto"/>
            </w:tcBorders>
            <w:vAlign w:val="center"/>
          </w:tcPr>
          <w:p w14:paraId="1C444595" w14:textId="0B0429F0" w:rsidR="006636C3" w:rsidRPr="00347B4C" w:rsidRDefault="006636C3" w:rsidP="006636C3">
            <w:pPr>
              <w:tabs>
                <w:tab w:val="decimal" w:pos="900"/>
              </w:tabs>
              <w:jc w:val="right"/>
              <w:rPr>
                <w:szCs w:val="24"/>
              </w:rPr>
            </w:pPr>
            <w:r w:rsidRPr="00347B4C">
              <w:rPr>
                <w:szCs w:val="24"/>
              </w:rPr>
              <w:t>4,185</w:t>
            </w:r>
          </w:p>
        </w:tc>
      </w:tr>
      <w:tr w:rsidR="006636C3" w:rsidRPr="00D948C1" w14:paraId="3970DC33" w14:textId="77777777" w:rsidTr="00480E4B">
        <w:trPr>
          <w:trHeight w:hRule="exact" w:val="300"/>
        </w:trPr>
        <w:tc>
          <w:tcPr>
            <w:tcW w:w="5909" w:type="dxa"/>
            <w:tcBorders>
              <w:top w:val="single" w:sz="4" w:space="0" w:color="auto"/>
              <w:left w:val="single" w:sz="4" w:space="0" w:color="auto"/>
              <w:bottom w:val="single" w:sz="4" w:space="0" w:color="auto"/>
              <w:right w:val="single" w:sz="4" w:space="0" w:color="auto"/>
            </w:tcBorders>
          </w:tcPr>
          <w:p w14:paraId="7E11EFC8" w14:textId="56F5F4FF" w:rsidR="006636C3" w:rsidRPr="00D948C1" w:rsidRDefault="006636C3" w:rsidP="006636C3">
            <w:pPr>
              <w:tabs>
                <w:tab w:val="left" w:pos="270"/>
              </w:tabs>
              <w:rPr>
                <w:szCs w:val="24"/>
              </w:rPr>
            </w:pPr>
            <w:r w:rsidRPr="00D948C1">
              <w:rPr>
                <w:szCs w:val="24"/>
              </w:rPr>
              <w:t>Total</w:t>
            </w:r>
          </w:p>
        </w:tc>
        <w:tc>
          <w:tcPr>
            <w:tcW w:w="1638" w:type="dxa"/>
            <w:tcBorders>
              <w:top w:val="single" w:sz="4" w:space="0" w:color="auto"/>
              <w:left w:val="single" w:sz="4" w:space="0" w:color="auto"/>
              <w:bottom w:val="single" w:sz="4" w:space="0" w:color="auto"/>
              <w:right w:val="single" w:sz="4" w:space="0" w:color="auto"/>
            </w:tcBorders>
            <w:vAlign w:val="center"/>
          </w:tcPr>
          <w:p w14:paraId="1128B768" w14:textId="0ADBAD37" w:rsidR="006636C3" w:rsidRPr="00D948C1" w:rsidRDefault="00642B80" w:rsidP="006636C3">
            <w:pPr>
              <w:tabs>
                <w:tab w:val="decimal" w:pos="900"/>
              </w:tabs>
              <w:jc w:val="right"/>
              <w:rPr>
                <w:szCs w:val="24"/>
              </w:rPr>
            </w:pPr>
            <w:r>
              <w:rPr>
                <w:szCs w:val="24"/>
              </w:rPr>
              <w:t>582</w:t>
            </w:r>
          </w:p>
        </w:tc>
        <w:tc>
          <w:tcPr>
            <w:tcW w:w="1620" w:type="dxa"/>
            <w:tcBorders>
              <w:top w:val="single" w:sz="4" w:space="0" w:color="auto"/>
              <w:left w:val="single" w:sz="4" w:space="0" w:color="auto"/>
              <w:bottom w:val="single" w:sz="4" w:space="0" w:color="auto"/>
              <w:right w:val="single" w:sz="4" w:space="0" w:color="auto"/>
            </w:tcBorders>
            <w:vAlign w:val="center"/>
          </w:tcPr>
          <w:p w14:paraId="41BFB273" w14:textId="067668F7" w:rsidR="006636C3" w:rsidRPr="00347B4C" w:rsidRDefault="006636C3" w:rsidP="006636C3">
            <w:pPr>
              <w:tabs>
                <w:tab w:val="decimal" w:pos="900"/>
              </w:tabs>
              <w:jc w:val="right"/>
              <w:rPr>
                <w:szCs w:val="24"/>
              </w:rPr>
            </w:pPr>
            <w:r w:rsidRPr="00347B4C">
              <w:rPr>
                <w:szCs w:val="24"/>
              </w:rPr>
              <w:t>4,297</w:t>
            </w:r>
          </w:p>
        </w:tc>
      </w:tr>
    </w:tbl>
    <w:p w14:paraId="39BC6353" w14:textId="77777777" w:rsidR="00D90216" w:rsidRPr="00D948C1" w:rsidRDefault="00D90216" w:rsidP="00D90216">
      <w:pPr>
        <w:ind w:left="720"/>
        <w:jc w:val="both"/>
        <w:rPr>
          <w:sz w:val="22"/>
        </w:rPr>
      </w:pPr>
    </w:p>
    <w:p w14:paraId="799294F4" w14:textId="28C981DB" w:rsidR="00760673" w:rsidRPr="00D948C1" w:rsidRDefault="006D1B7A">
      <w:pPr>
        <w:ind w:left="720"/>
        <w:rPr>
          <w:szCs w:val="24"/>
        </w:rPr>
      </w:pPr>
      <w:r w:rsidRPr="00D948C1">
        <w:rPr>
          <w:szCs w:val="24"/>
        </w:rPr>
        <w:t>The call account</w:t>
      </w:r>
      <w:r w:rsidR="00760673" w:rsidRPr="00D948C1">
        <w:rPr>
          <w:szCs w:val="24"/>
        </w:rPr>
        <w:t xml:space="preserve"> balance</w:t>
      </w:r>
      <w:r w:rsidRPr="00D948C1">
        <w:rPr>
          <w:szCs w:val="24"/>
        </w:rPr>
        <w:t xml:space="preserve"> </w:t>
      </w:r>
      <w:r w:rsidR="00B22174">
        <w:rPr>
          <w:szCs w:val="24"/>
        </w:rPr>
        <w:t>was</w:t>
      </w:r>
      <w:r w:rsidR="00760673" w:rsidRPr="00D948C1">
        <w:rPr>
          <w:szCs w:val="24"/>
        </w:rPr>
        <w:t xml:space="preserve"> placed with Lancashire Country Council</w:t>
      </w:r>
      <w:r w:rsidR="00B22174">
        <w:rPr>
          <w:szCs w:val="24"/>
        </w:rPr>
        <w:t xml:space="preserve"> </w:t>
      </w:r>
      <w:r w:rsidR="001B372E">
        <w:rPr>
          <w:szCs w:val="24"/>
        </w:rPr>
        <w:t>during the first half of the financial year</w:t>
      </w:r>
      <w:r w:rsidR="00760673" w:rsidRPr="00D948C1">
        <w:rPr>
          <w:szCs w:val="24"/>
        </w:rPr>
        <w:t xml:space="preserve">. Interest on these balances </w:t>
      </w:r>
      <w:r w:rsidR="001B372E">
        <w:rPr>
          <w:szCs w:val="24"/>
        </w:rPr>
        <w:t>was</w:t>
      </w:r>
      <w:r w:rsidR="00760673" w:rsidRPr="00D948C1">
        <w:rPr>
          <w:szCs w:val="24"/>
        </w:rPr>
        <w:t xml:space="preserve"> paid to the Authority. </w:t>
      </w:r>
      <w:r w:rsidR="00F80385">
        <w:rPr>
          <w:szCs w:val="24"/>
        </w:rPr>
        <w:t xml:space="preserve">During the </w:t>
      </w:r>
      <w:r w:rsidR="002753A7">
        <w:rPr>
          <w:szCs w:val="24"/>
        </w:rPr>
        <w:t xml:space="preserve">second half of the </w:t>
      </w:r>
      <w:r w:rsidR="00F80385">
        <w:rPr>
          <w:szCs w:val="24"/>
        </w:rPr>
        <w:t>year the Fire Authority took control of its own treasury management</w:t>
      </w:r>
      <w:r w:rsidR="00A92CD4">
        <w:rPr>
          <w:szCs w:val="24"/>
        </w:rPr>
        <w:t xml:space="preserve">, redeeming the funds from the call account with Lancashire County Council. </w:t>
      </w:r>
      <w:r w:rsidR="00A7130D">
        <w:rPr>
          <w:szCs w:val="24"/>
        </w:rPr>
        <w:t>The Fire Authority</w:t>
      </w:r>
      <w:r w:rsidR="00F2427E">
        <w:rPr>
          <w:szCs w:val="24"/>
        </w:rPr>
        <w:t xml:space="preserve"> began investing in fixed term deposits with </w:t>
      </w:r>
      <w:r w:rsidR="004B3589">
        <w:rPr>
          <w:szCs w:val="24"/>
        </w:rPr>
        <w:t>the</w:t>
      </w:r>
      <w:r w:rsidR="00F2427E">
        <w:rPr>
          <w:szCs w:val="24"/>
        </w:rPr>
        <w:t xml:space="preserve"> Debt Management Office</w:t>
      </w:r>
      <w:r w:rsidR="00A92CD4">
        <w:rPr>
          <w:szCs w:val="24"/>
        </w:rPr>
        <w:t>.</w:t>
      </w:r>
    </w:p>
    <w:p w14:paraId="24AEE698" w14:textId="77777777" w:rsidR="00ED21C2" w:rsidRPr="00D948C1" w:rsidRDefault="00ED21C2" w:rsidP="00D90216">
      <w:pPr>
        <w:ind w:left="720"/>
        <w:jc w:val="both"/>
        <w:rPr>
          <w:sz w:val="22"/>
        </w:rPr>
      </w:pPr>
    </w:p>
    <w:p w14:paraId="07694C61" w14:textId="77777777" w:rsidR="00D90216" w:rsidRPr="00D948C1" w:rsidRDefault="001C592E" w:rsidP="00BE3374">
      <w:pPr>
        <w:pStyle w:val="Heading2"/>
        <w:jc w:val="left"/>
        <w:rPr>
          <w:sz w:val="24"/>
          <w:szCs w:val="24"/>
        </w:rPr>
      </w:pPr>
      <w:bookmarkStart w:id="47" w:name="_Toc215593402"/>
      <w:r w:rsidRPr="00D948C1">
        <w:rPr>
          <w:sz w:val="24"/>
          <w:szCs w:val="24"/>
        </w:rPr>
        <w:lastRenderedPageBreak/>
        <w:t>1</w:t>
      </w:r>
      <w:r w:rsidR="007C6DCB" w:rsidRPr="00D948C1">
        <w:rPr>
          <w:sz w:val="24"/>
          <w:szCs w:val="24"/>
        </w:rPr>
        <w:t>1</w:t>
      </w:r>
      <w:r w:rsidR="00D90216" w:rsidRPr="00D948C1">
        <w:rPr>
          <w:sz w:val="24"/>
          <w:szCs w:val="24"/>
        </w:rPr>
        <w:tab/>
      </w:r>
      <w:bookmarkStart w:id="48" w:name="N11"/>
      <w:bookmarkEnd w:id="48"/>
      <w:r w:rsidR="00D90216" w:rsidRPr="00D948C1">
        <w:rPr>
          <w:sz w:val="24"/>
          <w:szCs w:val="24"/>
        </w:rPr>
        <w:t>Creditors</w:t>
      </w:r>
      <w:bookmarkEnd w:id="47"/>
    </w:p>
    <w:p w14:paraId="6DA3E2E7" w14:textId="77777777" w:rsidR="00D90216" w:rsidRPr="00D948C1" w:rsidRDefault="00D90216" w:rsidP="00D90216">
      <w:pPr>
        <w:ind w:left="720"/>
        <w:rPr>
          <w:szCs w:val="24"/>
        </w:rPr>
      </w:pPr>
    </w:p>
    <w:tbl>
      <w:tblPr>
        <w:tblW w:w="7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1654"/>
        <w:gridCol w:w="1606"/>
      </w:tblGrid>
      <w:tr w:rsidR="001318F9" w:rsidRPr="00D948C1" w14:paraId="0BA91B12" w14:textId="77777777" w:rsidTr="00611673">
        <w:trPr>
          <w:trHeight w:hRule="exact" w:val="578"/>
          <w:tblHeader/>
        </w:trPr>
        <w:tc>
          <w:tcPr>
            <w:tcW w:w="4208" w:type="dxa"/>
            <w:shd w:val="clear" w:color="auto" w:fill="BD2716"/>
          </w:tcPr>
          <w:p w14:paraId="4344A490" w14:textId="77777777" w:rsidR="001318F9" w:rsidRPr="00D948C1" w:rsidRDefault="001318F9" w:rsidP="001318F9">
            <w:pPr>
              <w:pStyle w:val="Footer"/>
              <w:tabs>
                <w:tab w:val="clear" w:pos="4153"/>
                <w:tab w:val="clear" w:pos="8306"/>
              </w:tabs>
              <w:rPr>
                <w:color w:val="FFFFFF" w:themeColor="background1"/>
                <w:szCs w:val="24"/>
              </w:rPr>
            </w:pPr>
          </w:p>
        </w:tc>
        <w:tc>
          <w:tcPr>
            <w:tcW w:w="1654" w:type="dxa"/>
            <w:shd w:val="clear" w:color="auto" w:fill="BD2716"/>
            <w:vAlign w:val="center"/>
          </w:tcPr>
          <w:p w14:paraId="54A497A5" w14:textId="1DA5F0FC"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3B6A10D7" w14:textId="495A7BE5"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06" w:type="dxa"/>
            <w:shd w:val="clear" w:color="auto" w:fill="BD2716"/>
            <w:vAlign w:val="center"/>
          </w:tcPr>
          <w:p w14:paraId="22F992C6" w14:textId="573A30AB"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302ECE78" w14:textId="5B8078FD"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r>
      <w:tr w:rsidR="006636C3" w:rsidRPr="00D948C1" w14:paraId="5849A45D" w14:textId="77777777" w:rsidTr="006637EE">
        <w:trPr>
          <w:trHeight w:hRule="exact" w:val="278"/>
        </w:trPr>
        <w:tc>
          <w:tcPr>
            <w:tcW w:w="4208" w:type="dxa"/>
          </w:tcPr>
          <w:p w14:paraId="416DA00D" w14:textId="59910223" w:rsidR="006636C3" w:rsidRPr="00D948C1" w:rsidRDefault="006636C3" w:rsidP="006636C3">
            <w:pPr>
              <w:pStyle w:val="Footer"/>
              <w:tabs>
                <w:tab w:val="clear" w:pos="4153"/>
                <w:tab w:val="clear" w:pos="8306"/>
                <w:tab w:val="left" w:pos="270"/>
              </w:tabs>
              <w:rPr>
                <w:szCs w:val="24"/>
              </w:rPr>
            </w:pPr>
            <w:r w:rsidRPr="00D948C1">
              <w:rPr>
                <w:szCs w:val="24"/>
              </w:rPr>
              <w:t>Goods and services creditors</w:t>
            </w:r>
          </w:p>
        </w:tc>
        <w:tc>
          <w:tcPr>
            <w:tcW w:w="1654" w:type="dxa"/>
            <w:vAlign w:val="center"/>
          </w:tcPr>
          <w:p w14:paraId="25A1F9FA" w14:textId="1AFB2384" w:rsidR="006636C3" w:rsidRPr="005A4E16" w:rsidRDefault="00665B65" w:rsidP="006636C3">
            <w:pPr>
              <w:pStyle w:val="Footer"/>
              <w:tabs>
                <w:tab w:val="clear" w:pos="4153"/>
                <w:tab w:val="clear" w:pos="8306"/>
                <w:tab w:val="decimal" w:pos="979"/>
              </w:tabs>
              <w:jc w:val="right"/>
              <w:rPr>
                <w:szCs w:val="24"/>
              </w:rPr>
            </w:pPr>
            <w:r>
              <w:rPr>
                <w:szCs w:val="24"/>
              </w:rPr>
              <w:t>3.294</w:t>
            </w:r>
          </w:p>
        </w:tc>
        <w:tc>
          <w:tcPr>
            <w:tcW w:w="1606" w:type="dxa"/>
            <w:vAlign w:val="center"/>
          </w:tcPr>
          <w:p w14:paraId="62A393FE" w14:textId="388139CF" w:rsidR="006636C3" w:rsidRPr="00347B4C" w:rsidRDefault="006636C3" w:rsidP="006636C3">
            <w:pPr>
              <w:pStyle w:val="Footer"/>
              <w:tabs>
                <w:tab w:val="clear" w:pos="4153"/>
                <w:tab w:val="clear" w:pos="8306"/>
                <w:tab w:val="decimal" w:pos="979"/>
              </w:tabs>
              <w:jc w:val="right"/>
              <w:rPr>
                <w:szCs w:val="24"/>
              </w:rPr>
            </w:pPr>
            <w:r w:rsidRPr="00347B4C">
              <w:rPr>
                <w:szCs w:val="24"/>
              </w:rPr>
              <w:t>3,052</w:t>
            </w:r>
          </w:p>
        </w:tc>
      </w:tr>
      <w:tr w:rsidR="006636C3" w:rsidRPr="00D948C1" w14:paraId="3C31CE53" w14:textId="77777777" w:rsidTr="006637EE">
        <w:trPr>
          <w:trHeight w:hRule="exact" w:val="278"/>
        </w:trPr>
        <w:tc>
          <w:tcPr>
            <w:tcW w:w="4208" w:type="dxa"/>
          </w:tcPr>
          <w:p w14:paraId="1C336EB6" w14:textId="77777777" w:rsidR="006636C3" w:rsidRPr="00D948C1" w:rsidRDefault="006636C3" w:rsidP="006636C3">
            <w:pPr>
              <w:tabs>
                <w:tab w:val="left" w:pos="270"/>
              </w:tabs>
              <w:rPr>
                <w:szCs w:val="24"/>
              </w:rPr>
            </w:pPr>
            <w:r w:rsidRPr="00D948C1">
              <w:rPr>
                <w:szCs w:val="24"/>
              </w:rPr>
              <w:t>PAYE/NI</w:t>
            </w:r>
          </w:p>
          <w:p w14:paraId="7C2AF74F" w14:textId="77777777" w:rsidR="006636C3" w:rsidRPr="00D948C1" w:rsidRDefault="006636C3" w:rsidP="006636C3">
            <w:pPr>
              <w:tabs>
                <w:tab w:val="left" w:pos="270"/>
              </w:tabs>
              <w:rPr>
                <w:szCs w:val="24"/>
              </w:rPr>
            </w:pPr>
          </w:p>
        </w:tc>
        <w:tc>
          <w:tcPr>
            <w:tcW w:w="1654" w:type="dxa"/>
          </w:tcPr>
          <w:p w14:paraId="175E7E93" w14:textId="117DC25E" w:rsidR="006636C3" w:rsidRPr="005A4E16" w:rsidRDefault="00402FB1" w:rsidP="006636C3">
            <w:pPr>
              <w:pStyle w:val="Footer"/>
              <w:tabs>
                <w:tab w:val="clear" w:pos="4153"/>
                <w:tab w:val="clear" w:pos="8306"/>
                <w:tab w:val="decimal" w:pos="979"/>
              </w:tabs>
              <w:jc w:val="right"/>
              <w:rPr>
                <w:szCs w:val="24"/>
              </w:rPr>
            </w:pPr>
            <w:r w:rsidRPr="005A4E16">
              <w:rPr>
                <w:szCs w:val="24"/>
              </w:rPr>
              <w:t>1,472</w:t>
            </w:r>
          </w:p>
        </w:tc>
        <w:tc>
          <w:tcPr>
            <w:tcW w:w="1606" w:type="dxa"/>
          </w:tcPr>
          <w:p w14:paraId="703000F6" w14:textId="48443992" w:rsidR="006636C3" w:rsidRPr="00347B4C" w:rsidRDefault="006636C3" w:rsidP="006636C3">
            <w:pPr>
              <w:pStyle w:val="Footer"/>
              <w:tabs>
                <w:tab w:val="clear" w:pos="4153"/>
                <w:tab w:val="clear" w:pos="8306"/>
                <w:tab w:val="decimal" w:pos="979"/>
              </w:tabs>
              <w:jc w:val="right"/>
              <w:rPr>
                <w:szCs w:val="24"/>
              </w:rPr>
            </w:pPr>
            <w:r w:rsidRPr="00347B4C">
              <w:rPr>
                <w:szCs w:val="24"/>
              </w:rPr>
              <w:t>1,219</w:t>
            </w:r>
          </w:p>
        </w:tc>
      </w:tr>
      <w:tr w:rsidR="006636C3" w:rsidRPr="00D948C1" w14:paraId="67C939B9" w14:textId="77777777" w:rsidTr="006637EE">
        <w:trPr>
          <w:trHeight w:val="278"/>
        </w:trPr>
        <w:tc>
          <w:tcPr>
            <w:tcW w:w="4208" w:type="dxa"/>
          </w:tcPr>
          <w:p w14:paraId="5610652A" w14:textId="5C5FDCBD" w:rsidR="006636C3" w:rsidRPr="00D948C1" w:rsidRDefault="006636C3" w:rsidP="006636C3">
            <w:pPr>
              <w:tabs>
                <w:tab w:val="left" w:pos="270"/>
              </w:tabs>
              <w:rPr>
                <w:szCs w:val="24"/>
              </w:rPr>
            </w:pPr>
            <w:r w:rsidRPr="00D948C1">
              <w:rPr>
                <w:szCs w:val="24"/>
              </w:rPr>
              <w:t>VAT</w:t>
            </w:r>
          </w:p>
        </w:tc>
        <w:tc>
          <w:tcPr>
            <w:tcW w:w="1654" w:type="dxa"/>
          </w:tcPr>
          <w:p w14:paraId="4E05DF8A" w14:textId="716F7B09" w:rsidR="006636C3" w:rsidRPr="005A4E16" w:rsidRDefault="00FF1803" w:rsidP="006636C3">
            <w:pPr>
              <w:pStyle w:val="Footer"/>
              <w:tabs>
                <w:tab w:val="clear" w:pos="4153"/>
                <w:tab w:val="clear" w:pos="8306"/>
                <w:tab w:val="decimal" w:pos="979"/>
              </w:tabs>
              <w:jc w:val="right"/>
              <w:rPr>
                <w:szCs w:val="24"/>
              </w:rPr>
            </w:pPr>
            <w:r w:rsidRPr="005A4E16">
              <w:rPr>
                <w:szCs w:val="24"/>
              </w:rPr>
              <w:t>-</w:t>
            </w:r>
          </w:p>
        </w:tc>
        <w:tc>
          <w:tcPr>
            <w:tcW w:w="1606" w:type="dxa"/>
          </w:tcPr>
          <w:p w14:paraId="525D7E75" w14:textId="441E991B" w:rsidR="006636C3" w:rsidRPr="00347B4C" w:rsidRDefault="006636C3" w:rsidP="006636C3">
            <w:pPr>
              <w:pStyle w:val="Footer"/>
              <w:tabs>
                <w:tab w:val="clear" w:pos="4153"/>
                <w:tab w:val="clear" w:pos="8306"/>
                <w:tab w:val="decimal" w:pos="979"/>
              </w:tabs>
              <w:jc w:val="right"/>
              <w:rPr>
                <w:szCs w:val="24"/>
              </w:rPr>
            </w:pPr>
            <w:r w:rsidRPr="00347B4C">
              <w:rPr>
                <w:szCs w:val="24"/>
              </w:rPr>
              <w:t>572</w:t>
            </w:r>
          </w:p>
        </w:tc>
      </w:tr>
      <w:tr w:rsidR="006636C3" w:rsidRPr="00D948C1" w14:paraId="691A92EF" w14:textId="77777777" w:rsidTr="006637EE">
        <w:trPr>
          <w:trHeight w:val="278"/>
        </w:trPr>
        <w:tc>
          <w:tcPr>
            <w:tcW w:w="4208" w:type="dxa"/>
          </w:tcPr>
          <w:p w14:paraId="5DC522B0" w14:textId="77777777" w:rsidR="006636C3" w:rsidRPr="00D948C1" w:rsidRDefault="006636C3" w:rsidP="006636C3">
            <w:pPr>
              <w:tabs>
                <w:tab w:val="left" w:pos="270"/>
              </w:tabs>
              <w:rPr>
                <w:szCs w:val="24"/>
              </w:rPr>
            </w:pPr>
            <w:r w:rsidRPr="00D948C1">
              <w:rPr>
                <w:szCs w:val="24"/>
              </w:rPr>
              <w:t>Local taxation creditors</w:t>
            </w:r>
          </w:p>
        </w:tc>
        <w:tc>
          <w:tcPr>
            <w:tcW w:w="1654" w:type="dxa"/>
          </w:tcPr>
          <w:p w14:paraId="6ED0A049" w14:textId="53A5304B" w:rsidR="006636C3" w:rsidRPr="005A4E16" w:rsidRDefault="00D91FFF" w:rsidP="006636C3">
            <w:pPr>
              <w:pStyle w:val="Footer"/>
              <w:tabs>
                <w:tab w:val="clear" w:pos="4153"/>
                <w:tab w:val="clear" w:pos="8306"/>
                <w:tab w:val="decimal" w:pos="979"/>
              </w:tabs>
              <w:jc w:val="right"/>
              <w:rPr>
                <w:szCs w:val="24"/>
              </w:rPr>
            </w:pPr>
            <w:r w:rsidRPr="005A4E16">
              <w:rPr>
                <w:szCs w:val="24"/>
              </w:rPr>
              <w:t>3,390</w:t>
            </w:r>
          </w:p>
        </w:tc>
        <w:tc>
          <w:tcPr>
            <w:tcW w:w="1606" w:type="dxa"/>
          </w:tcPr>
          <w:p w14:paraId="65EF5C1E" w14:textId="2A539A39" w:rsidR="006636C3" w:rsidRPr="008E28A7" w:rsidRDefault="006636C3" w:rsidP="006636C3">
            <w:pPr>
              <w:pStyle w:val="Footer"/>
              <w:tabs>
                <w:tab w:val="clear" w:pos="4153"/>
                <w:tab w:val="clear" w:pos="8306"/>
                <w:tab w:val="decimal" w:pos="979"/>
              </w:tabs>
              <w:jc w:val="right"/>
              <w:rPr>
                <w:szCs w:val="24"/>
              </w:rPr>
            </w:pPr>
            <w:r w:rsidRPr="008E28A7">
              <w:rPr>
                <w:szCs w:val="24"/>
              </w:rPr>
              <w:t>3,613</w:t>
            </w:r>
          </w:p>
        </w:tc>
      </w:tr>
      <w:tr w:rsidR="006636C3" w:rsidRPr="00D948C1" w14:paraId="21D057D8" w14:textId="77777777" w:rsidTr="006637EE">
        <w:trPr>
          <w:trHeight w:val="278"/>
        </w:trPr>
        <w:tc>
          <w:tcPr>
            <w:tcW w:w="4208" w:type="dxa"/>
          </w:tcPr>
          <w:p w14:paraId="3B83C838" w14:textId="2B0BEE21" w:rsidR="006636C3" w:rsidRPr="00D948C1" w:rsidRDefault="006636C3" w:rsidP="006636C3">
            <w:pPr>
              <w:rPr>
                <w:szCs w:val="24"/>
              </w:rPr>
            </w:pPr>
            <w:r w:rsidRPr="00D948C1">
              <w:rPr>
                <w:szCs w:val="24"/>
              </w:rPr>
              <w:t>Other creditors</w:t>
            </w:r>
          </w:p>
        </w:tc>
        <w:tc>
          <w:tcPr>
            <w:tcW w:w="1654" w:type="dxa"/>
          </w:tcPr>
          <w:p w14:paraId="49A4EDAD" w14:textId="469A4837" w:rsidR="006636C3" w:rsidRPr="005A4E16" w:rsidRDefault="00A26912" w:rsidP="006636C3">
            <w:pPr>
              <w:pStyle w:val="Footer"/>
              <w:tabs>
                <w:tab w:val="clear" w:pos="4153"/>
                <w:tab w:val="clear" w:pos="8306"/>
                <w:tab w:val="decimal" w:pos="979"/>
              </w:tabs>
              <w:jc w:val="right"/>
              <w:rPr>
                <w:szCs w:val="24"/>
              </w:rPr>
            </w:pPr>
            <w:r w:rsidRPr="005A4E16">
              <w:rPr>
                <w:szCs w:val="24"/>
              </w:rPr>
              <w:t>6,576</w:t>
            </w:r>
          </w:p>
        </w:tc>
        <w:tc>
          <w:tcPr>
            <w:tcW w:w="1606" w:type="dxa"/>
          </w:tcPr>
          <w:p w14:paraId="67899685" w14:textId="76016DF7" w:rsidR="006636C3" w:rsidRPr="008E28A7" w:rsidRDefault="006636C3" w:rsidP="006636C3">
            <w:pPr>
              <w:pStyle w:val="Footer"/>
              <w:tabs>
                <w:tab w:val="clear" w:pos="4153"/>
                <w:tab w:val="clear" w:pos="8306"/>
                <w:tab w:val="decimal" w:pos="979"/>
              </w:tabs>
              <w:jc w:val="right"/>
              <w:rPr>
                <w:szCs w:val="24"/>
              </w:rPr>
            </w:pPr>
            <w:r w:rsidRPr="008E28A7">
              <w:rPr>
                <w:szCs w:val="24"/>
              </w:rPr>
              <w:t>1,942</w:t>
            </w:r>
          </w:p>
        </w:tc>
      </w:tr>
      <w:tr w:rsidR="006636C3" w:rsidRPr="00D948C1" w14:paraId="16899866" w14:textId="77777777" w:rsidTr="006637EE">
        <w:trPr>
          <w:trHeight w:val="278"/>
        </w:trPr>
        <w:tc>
          <w:tcPr>
            <w:tcW w:w="4208" w:type="dxa"/>
          </w:tcPr>
          <w:p w14:paraId="3824DC50" w14:textId="69585E34" w:rsidR="006636C3" w:rsidRPr="00D948C1" w:rsidRDefault="006636C3" w:rsidP="006636C3">
            <w:pPr>
              <w:rPr>
                <w:szCs w:val="24"/>
              </w:rPr>
            </w:pPr>
            <w:r w:rsidRPr="00D948C1">
              <w:rPr>
                <w:szCs w:val="24"/>
              </w:rPr>
              <w:t>Total</w:t>
            </w:r>
          </w:p>
        </w:tc>
        <w:tc>
          <w:tcPr>
            <w:tcW w:w="1654" w:type="dxa"/>
          </w:tcPr>
          <w:p w14:paraId="7924C7B2" w14:textId="0E6D1E1E" w:rsidR="006636C3" w:rsidRPr="005A4E16" w:rsidRDefault="00A26912" w:rsidP="006636C3">
            <w:pPr>
              <w:tabs>
                <w:tab w:val="decimal" w:pos="979"/>
              </w:tabs>
              <w:jc w:val="right"/>
              <w:rPr>
                <w:szCs w:val="24"/>
              </w:rPr>
            </w:pPr>
            <w:r w:rsidRPr="005A4E16">
              <w:rPr>
                <w:szCs w:val="24"/>
              </w:rPr>
              <w:t>1</w:t>
            </w:r>
            <w:r w:rsidR="00022699">
              <w:rPr>
                <w:szCs w:val="24"/>
              </w:rPr>
              <w:t>4</w:t>
            </w:r>
            <w:r w:rsidRPr="005A4E16">
              <w:rPr>
                <w:szCs w:val="24"/>
              </w:rPr>
              <w:t>,</w:t>
            </w:r>
            <w:r w:rsidR="00022699">
              <w:rPr>
                <w:szCs w:val="24"/>
              </w:rPr>
              <w:t>732</w:t>
            </w:r>
          </w:p>
        </w:tc>
        <w:tc>
          <w:tcPr>
            <w:tcW w:w="1606" w:type="dxa"/>
          </w:tcPr>
          <w:p w14:paraId="27C38CAB" w14:textId="6D1274D9" w:rsidR="006636C3" w:rsidRPr="008E28A7" w:rsidRDefault="006636C3" w:rsidP="006636C3">
            <w:pPr>
              <w:tabs>
                <w:tab w:val="decimal" w:pos="979"/>
              </w:tabs>
              <w:jc w:val="right"/>
              <w:rPr>
                <w:szCs w:val="24"/>
              </w:rPr>
            </w:pPr>
            <w:r w:rsidRPr="008E28A7">
              <w:rPr>
                <w:szCs w:val="24"/>
              </w:rPr>
              <w:t>10,398</w:t>
            </w:r>
          </w:p>
        </w:tc>
      </w:tr>
    </w:tbl>
    <w:p w14:paraId="1A5A7BFE" w14:textId="74BDA755" w:rsidR="00BE3374" w:rsidRDefault="00BE3374" w:rsidP="00300384">
      <w:pPr>
        <w:rPr>
          <w:b/>
          <w:sz w:val="22"/>
        </w:rPr>
      </w:pPr>
    </w:p>
    <w:p w14:paraId="5F8530E9" w14:textId="2C2C1D3D" w:rsidR="00307925" w:rsidRPr="00D948C1" w:rsidRDefault="00307925" w:rsidP="00307925">
      <w:pPr>
        <w:pStyle w:val="Heading2"/>
        <w:jc w:val="left"/>
        <w:rPr>
          <w:sz w:val="24"/>
          <w:szCs w:val="24"/>
        </w:rPr>
      </w:pPr>
      <w:bookmarkStart w:id="49" w:name="_12_Grants_Received"/>
      <w:bookmarkStart w:id="50" w:name="_Toc215593403"/>
      <w:bookmarkEnd w:id="49"/>
      <w:r w:rsidRPr="00D948C1">
        <w:rPr>
          <w:sz w:val="24"/>
          <w:szCs w:val="24"/>
        </w:rPr>
        <w:t>1</w:t>
      </w:r>
      <w:r>
        <w:rPr>
          <w:sz w:val="24"/>
          <w:szCs w:val="24"/>
        </w:rPr>
        <w:t>2</w:t>
      </w:r>
      <w:r w:rsidRPr="00D948C1">
        <w:rPr>
          <w:sz w:val="24"/>
          <w:szCs w:val="24"/>
        </w:rPr>
        <w:tab/>
      </w:r>
      <w:r>
        <w:rPr>
          <w:sz w:val="24"/>
          <w:szCs w:val="24"/>
        </w:rPr>
        <w:t>Grants Received in Advance</w:t>
      </w:r>
      <w:bookmarkEnd w:id="50"/>
    </w:p>
    <w:p w14:paraId="62E6777C" w14:textId="336A7278" w:rsidR="00307925" w:rsidRPr="00B649F5" w:rsidRDefault="00307925" w:rsidP="00B649F5">
      <w:pPr>
        <w:pStyle w:val="BodyTextIndent2"/>
        <w:ind w:firstLine="0"/>
        <w:rPr>
          <w:szCs w:val="24"/>
        </w:rPr>
      </w:pPr>
      <w:r>
        <w:rPr>
          <w:b/>
          <w:sz w:val="22"/>
        </w:rPr>
        <w:tab/>
      </w:r>
    </w:p>
    <w:p w14:paraId="5228EB78" w14:textId="6C03FEF9" w:rsidR="00B649F5" w:rsidRDefault="000F3EA5" w:rsidP="00B649F5">
      <w:pPr>
        <w:pStyle w:val="BodyTextIndent2"/>
        <w:ind w:firstLine="0"/>
        <w:rPr>
          <w:szCs w:val="24"/>
        </w:rPr>
      </w:pPr>
      <w:r>
        <w:rPr>
          <w:szCs w:val="24"/>
        </w:rPr>
        <w:t xml:space="preserve">The Authority </w:t>
      </w:r>
      <w:r w:rsidR="00B22004">
        <w:rPr>
          <w:szCs w:val="24"/>
        </w:rPr>
        <w:t xml:space="preserve">has </w:t>
      </w:r>
      <w:r w:rsidR="00E74D01">
        <w:rPr>
          <w:szCs w:val="24"/>
        </w:rPr>
        <w:t xml:space="preserve">received </w:t>
      </w:r>
      <w:r w:rsidR="00B22004">
        <w:rPr>
          <w:szCs w:val="24"/>
        </w:rPr>
        <w:t xml:space="preserve">the following revenue grants </w:t>
      </w:r>
      <w:r w:rsidR="00E74D01">
        <w:rPr>
          <w:szCs w:val="24"/>
        </w:rPr>
        <w:t>r</w:t>
      </w:r>
      <w:r w:rsidR="00B22004">
        <w:rPr>
          <w:szCs w:val="24"/>
        </w:rPr>
        <w:t>ecei</w:t>
      </w:r>
      <w:r w:rsidR="00E74D01">
        <w:rPr>
          <w:szCs w:val="24"/>
        </w:rPr>
        <w:t>pts</w:t>
      </w:r>
      <w:r w:rsidR="00B22004">
        <w:rPr>
          <w:szCs w:val="24"/>
        </w:rPr>
        <w:t xml:space="preserve"> in advance</w:t>
      </w:r>
      <w:r w:rsidR="009900C2">
        <w:rPr>
          <w:szCs w:val="24"/>
        </w:rPr>
        <w:t xml:space="preserve"> (see accounting policy </w:t>
      </w:r>
      <w:hyperlink w:anchor="_30_Accounting_Policies" w:history="1">
        <w:r w:rsidR="009900C2" w:rsidRPr="009900C2">
          <w:rPr>
            <w:rStyle w:val="Hyperlink"/>
            <w:szCs w:val="24"/>
          </w:rPr>
          <w:t>Note 30</w:t>
        </w:r>
      </w:hyperlink>
      <w:r w:rsidR="009900C2">
        <w:rPr>
          <w:szCs w:val="24"/>
        </w:rPr>
        <w:t>, section h)</w:t>
      </w:r>
      <w:r w:rsidR="00B22004">
        <w:rPr>
          <w:szCs w:val="24"/>
        </w:rPr>
        <w:t>:</w:t>
      </w:r>
    </w:p>
    <w:p w14:paraId="3BF0931F" w14:textId="77777777" w:rsidR="00B22004" w:rsidRDefault="00B22004" w:rsidP="00B649F5">
      <w:pPr>
        <w:pStyle w:val="BodyTextIndent2"/>
        <w:ind w:firstLine="0"/>
        <w:rPr>
          <w:szCs w:val="24"/>
        </w:rPr>
      </w:pPr>
    </w:p>
    <w:tbl>
      <w:tblPr>
        <w:tblW w:w="7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1654"/>
        <w:gridCol w:w="1606"/>
      </w:tblGrid>
      <w:tr w:rsidR="00B22004" w:rsidRPr="00D948C1" w14:paraId="4D61DA23" w14:textId="77777777" w:rsidTr="0083221B">
        <w:trPr>
          <w:trHeight w:hRule="exact" w:val="578"/>
          <w:tblHeader/>
        </w:trPr>
        <w:tc>
          <w:tcPr>
            <w:tcW w:w="4208" w:type="dxa"/>
            <w:shd w:val="clear" w:color="auto" w:fill="BD2716"/>
          </w:tcPr>
          <w:p w14:paraId="351D5F38" w14:textId="77777777" w:rsidR="00B22004" w:rsidRPr="00D948C1" w:rsidRDefault="00B22004" w:rsidP="0083221B">
            <w:pPr>
              <w:pStyle w:val="Footer"/>
              <w:tabs>
                <w:tab w:val="clear" w:pos="4153"/>
                <w:tab w:val="clear" w:pos="8306"/>
              </w:tabs>
              <w:rPr>
                <w:color w:val="FFFFFF" w:themeColor="background1"/>
                <w:szCs w:val="24"/>
              </w:rPr>
            </w:pPr>
          </w:p>
        </w:tc>
        <w:tc>
          <w:tcPr>
            <w:tcW w:w="1654" w:type="dxa"/>
            <w:shd w:val="clear" w:color="auto" w:fill="BD2716"/>
            <w:vAlign w:val="center"/>
          </w:tcPr>
          <w:p w14:paraId="42DAB56B" w14:textId="77777777" w:rsidR="00B22004" w:rsidRPr="00D948C1" w:rsidRDefault="00B22004" w:rsidP="0083221B">
            <w:pPr>
              <w:pStyle w:val="BodyTextIndent"/>
              <w:ind w:left="0"/>
              <w:jc w:val="right"/>
              <w:rPr>
                <w:color w:val="FFFFFF" w:themeColor="background1"/>
                <w:szCs w:val="24"/>
                <w:lang w:val="en-GB"/>
              </w:rPr>
            </w:pPr>
            <w:r w:rsidRPr="00D948C1">
              <w:rPr>
                <w:color w:val="FFFFFF" w:themeColor="background1"/>
                <w:szCs w:val="24"/>
                <w:lang w:val="en-GB"/>
              </w:rPr>
              <w:t>202</w:t>
            </w:r>
            <w:r>
              <w:rPr>
                <w:color w:val="FFFFFF" w:themeColor="background1"/>
                <w:szCs w:val="24"/>
                <w:lang w:val="en-GB"/>
              </w:rPr>
              <w:t>4</w:t>
            </w:r>
            <w:r w:rsidRPr="00D948C1">
              <w:rPr>
                <w:color w:val="FFFFFF" w:themeColor="background1"/>
                <w:szCs w:val="24"/>
                <w:lang w:val="en-GB"/>
              </w:rPr>
              <w:t>/2</w:t>
            </w:r>
            <w:r>
              <w:rPr>
                <w:color w:val="FFFFFF" w:themeColor="background1"/>
                <w:szCs w:val="24"/>
                <w:lang w:val="en-GB"/>
              </w:rPr>
              <w:t>5</w:t>
            </w:r>
          </w:p>
          <w:p w14:paraId="5B6EAE0D" w14:textId="77777777" w:rsidR="00B22004" w:rsidRPr="00D948C1" w:rsidRDefault="00B22004" w:rsidP="0083221B">
            <w:pPr>
              <w:pStyle w:val="BodyTextIndent"/>
              <w:ind w:left="0"/>
              <w:jc w:val="right"/>
              <w:rPr>
                <w:color w:val="FFFFFF" w:themeColor="background1"/>
                <w:szCs w:val="24"/>
                <w:lang w:val="en-GB"/>
              </w:rPr>
            </w:pPr>
            <w:r w:rsidRPr="00D948C1">
              <w:rPr>
                <w:color w:val="FFFFFF" w:themeColor="background1"/>
                <w:szCs w:val="24"/>
                <w:lang w:val="en-GB"/>
              </w:rPr>
              <w:t>£000</w:t>
            </w:r>
          </w:p>
        </w:tc>
        <w:tc>
          <w:tcPr>
            <w:tcW w:w="1606" w:type="dxa"/>
            <w:shd w:val="clear" w:color="auto" w:fill="BD2716"/>
            <w:vAlign w:val="center"/>
          </w:tcPr>
          <w:p w14:paraId="4017FCF1" w14:textId="77777777" w:rsidR="00B22004" w:rsidRPr="00D948C1" w:rsidRDefault="00B22004" w:rsidP="0083221B">
            <w:pPr>
              <w:pStyle w:val="BodyTextIndent"/>
              <w:ind w:left="0"/>
              <w:jc w:val="right"/>
              <w:rPr>
                <w:color w:val="FFFFFF" w:themeColor="background1"/>
                <w:szCs w:val="24"/>
                <w:lang w:val="en-GB"/>
              </w:rPr>
            </w:pPr>
            <w:r w:rsidRPr="00D948C1">
              <w:rPr>
                <w:color w:val="FFFFFF" w:themeColor="background1"/>
                <w:szCs w:val="24"/>
                <w:lang w:val="en-GB"/>
              </w:rPr>
              <w:t>202</w:t>
            </w:r>
            <w:r>
              <w:rPr>
                <w:color w:val="FFFFFF" w:themeColor="background1"/>
                <w:szCs w:val="24"/>
                <w:lang w:val="en-GB"/>
              </w:rPr>
              <w:t>3</w:t>
            </w:r>
            <w:r w:rsidRPr="00D948C1">
              <w:rPr>
                <w:color w:val="FFFFFF" w:themeColor="background1"/>
                <w:szCs w:val="24"/>
                <w:lang w:val="en-GB"/>
              </w:rPr>
              <w:t>/2</w:t>
            </w:r>
            <w:r>
              <w:rPr>
                <w:color w:val="FFFFFF" w:themeColor="background1"/>
                <w:szCs w:val="24"/>
                <w:lang w:val="en-GB"/>
              </w:rPr>
              <w:t>4</w:t>
            </w:r>
          </w:p>
          <w:p w14:paraId="734F89AE" w14:textId="77777777" w:rsidR="00B22004" w:rsidRPr="00D948C1" w:rsidRDefault="00B22004" w:rsidP="0083221B">
            <w:pPr>
              <w:pStyle w:val="BodyTextIndent"/>
              <w:ind w:left="0"/>
              <w:jc w:val="right"/>
              <w:rPr>
                <w:color w:val="FFFFFF" w:themeColor="background1"/>
                <w:szCs w:val="24"/>
                <w:lang w:val="en-GB"/>
              </w:rPr>
            </w:pPr>
            <w:r w:rsidRPr="00D948C1">
              <w:rPr>
                <w:color w:val="FFFFFF" w:themeColor="background1"/>
                <w:szCs w:val="24"/>
                <w:lang w:val="en-GB"/>
              </w:rPr>
              <w:t>£000</w:t>
            </w:r>
          </w:p>
        </w:tc>
      </w:tr>
      <w:tr w:rsidR="00B22004" w:rsidRPr="00347B4C" w14:paraId="7C949D20" w14:textId="77777777" w:rsidTr="0083221B">
        <w:trPr>
          <w:trHeight w:hRule="exact" w:val="278"/>
        </w:trPr>
        <w:tc>
          <w:tcPr>
            <w:tcW w:w="4208" w:type="dxa"/>
          </w:tcPr>
          <w:p w14:paraId="3DFA495B" w14:textId="085C0452" w:rsidR="00B22004" w:rsidRPr="00D948C1" w:rsidRDefault="00B22004" w:rsidP="0083221B">
            <w:pPr>
              <w:pStyle w:val="Footer"/>
              <w:tabs>
                <w:tab w:val="clear" w:pos="4153"/>
                <w:tab w:val="clear" w:pos="8306"/>
                <w:tab w:val="left" w:pos="270"/>
              </w:tabs>
              <w:rPr>
                <w:szCs w:val="24"/>
              </w:rPr>
            </w:pPr>
            <w:r>
              <w:rPr>
                <w:szCs w:val="24"/>
              </w:rPr>
              <w:t>R</w:t>
            </w:r>
            <w:r w:rsidR="0033786C">
              <w:rPr>
                <w:szCs w:val="24"/>
              </w:rPr>
              <w:t>evenue Support Grant</w:t>
            </w:r>
          </w:p>
        </w:tc>
        <w:tc>
          <w:tcPr>
            <w:tcW w:w="1654" w:type="dxa"/>
            <w:vAlign w:val="center"/>
          </w:tcPr>
          <w:p w14:paraId="45DCFD54" w14:textId="07013CB9" w:rsidR="00B22004" w:rsidRPr="005A4E16" w:rsidRDefault="005350DB" w:rsidP="0083221B">
            <w:pPr>
              <w:pStyle w:val="Footer"/>
              <w:tabs>
                <w:tab w:val="clear" w:pos="4153"/>
                <w:tab w:val="clear" w:pos="8306"/>
                <w:tab w:val="decimal" w:pos="979"/>
              </w:tabs>
              <w:jc w:val="right"/>
              <w:rPr>
                <w:szCs w:val="24"/>
              </w:rPr>
            </w:pPr>
            <w:r>
              <w:rPr>
                <w:szCs w:val="24"/>
              </w:rPr>
              <w:t>4,581</w:t>
            </w:r>
          </w:p>
        </w:tc>
        <w:tc>
          <w:tcPr>
            <w:tcW w:w="1606" w:type="dxa"/>
            <w:vAlign w:val="center"/>
          </w:tcPr>
          <w:p w14:paraId="49EF4E1D" w14:textId="7B28A1C2" w:rsidR="00B22004" w:rsidRPr="00347B4C" w:rsidRDefault="005350DB" w:rsidP="0083221B">
            <w:pPr>
              <w:pStyle w:val="Footer"/>
              <w:tabs>
                <w:tab w:val="clear" w:pos="4153"/>
                <w:tab w:val="clear" w:pos="8306"/>
                <w:tab w:val="decimal" w:pos="979"/>
              </w:tabs>
              <w:jc w:val="right"/>
              <w:rPr>
                <w:szCs w:val="24"/>
              </w:rPr>
            </w:pPr>
            <w:r>
              <w:rPr>
                <w:szCs w:val="24"/>
              </w:rPr>
              <w:t>-</w:t>
            </w:r>
          </w:p>
        </w:tc>
      </w:tr>
      <w:tr w:rsidR="00B22004" w:rsidRPr="00347B4C" w14:paraId="207DD50F" w14:textId="77777777" w:rsidTr="0083221B">
        <w:trPr>
          <w:trHeight w:hRule="exact" w:val="278"/>
        </w:trPr>
        <w:tc>
          <w:tcPr>
            <w:tcW w:w="4208" w:type="dxa"/>
          </w:tcPr>
          <w:p w14:paraId="6C5CD8B9" w14:textId="1EF6D249" w:rsidR="00B22004" w:rsidRPr="00D948C1" w:rsidRDefault="00B22004" w:rsidP="0083221B">
            <w:pPr>
              <w:tabs>
                <w:tab w:val="left" w:pos="270"/>
              </w:tabs>
              <w:rPr>
                <w:szCs w:val="24"/>
              </w:rPr>
            </w:pPr>
            <w:r>
              <w:rPr>
                <w:szCs w:val="24"/>
              </w:rPr>
              <w:t>Total</w:t>
            </w:r>
          </w:p>
          <w:p w14:paraId="40F3140A" w14:textId="77777777" w:rsidR="00B22004" w:rsidRPr="00D948C1" w:rsidRDefault="00B22004" w:rsidP="0083221B">
            <w:pPr>
              <w:tabs>
                <w:tab w:val="left" w:pos="270"/>
              </w:tabs>
              <w:rPr>
                <w:szCs w:val="24"/>
              </w:rPr>
            </w:pPr>
          </w:p>
        </w:tc>
        <w:tc>
          <w:tcPr>
            <w:tcW w:w="1654" w:type="dxa"/>
          </w:tcPr>
          <w:p w14:paraId="48548D96" w14:textId="55833695" w:rsidR="00B22004" w:rsidRPr="005A4E16" w:rsidRDefault="005350DB" w:rsidP="0083221B">
            <w:pPr>
              <w:pStyle w:val="Footer"/>
              <w:tabs>
                <w:tab w:val="clear" w:pos="4153"/>
                <w:tab w:val="clear" w:pos="8306"/>
                <w:tab w:val="decimal" w:pos="979"/>
              </w:tabs>
              <w:jc w:val="right"/>
              <w:rPr>
                <w:szCs w:val="24"/>
              </w:rPr>
            </w:pPr>
            <w:r>
              <w:rPr>
                <w:szCs w:val="24"/>
              </w:rPr>
              <w:t>4,581</w:t>
            </w:r>
          </w:p>
        </w:tc>
        <w:tc>
          <w:tcPr>
            <w:tcW w:w="1606" w:type="dxa"/>
          </w:tcPr>
          <w:p w14:paraId="6EC8980B" w14:textId="74ABAD4B" w:rsidR="00B22004" w:rsidRPr="00347B4C" w:rsidRDefault="005350DB" w:rsidP="0083221B">
            <w:pPr>
              <w:pStyle w:val="Footer"/>
              <w:tabs>
                <w:tab w:val="clear" w:pos="4153"/>
                <w:tab w:val="clear" w:pos="8306"/>
                <w:tab w:val="decimal" w:pos="979"/>
              </w:tabs>
              <w:jc w:val="right"/>
              <w:rPr>
                <w:szCs w:val="24"/>
              </w:rPr>
            </w:pPr>
            <w:r>
              <w:rPr>
                <w:szCs w:val="24"/>
              </w:rPr>
              <w:t>-</w:t>
            </w:r>
          </w:p>
        </w:tc>
      </w:tr>
    </w:tbl>
    <w:p w14:paraId="0AF5D7AA" w14:textId="5591FF69" w:rsidR="00307925" w:rsidRPr="00B649F5" w:rsidRDefault="00307925" w:rsidP="00B649F5">
      <w:pPr>
        <w:pStyle w:val="BodyTextIndent2"/>
        <w:ind w:firstLine="0"/>
        <w:rPr>
          <w:szCs w:val="24"/>
        </w:rPr>
      </w:pPr>
      <w:r w:rsidRPr="00B649F5">
        <w:rPr>
          <w:szCs w:val="24"/>
        </w:rPr>
        <w:tab/>
      </w:r>
    </w:p>
    <w:p w14:paraId="43B16347" w14:textId="10E3F5A6" w:rsidR="00D90216" w:rsidRPr="00D948C1" w:rsidRDefault="001C592E" w:rsidP="00617696">
      <w:pPr>
        <w:pStyle w:val="Heading2"/>
        <w:jc w:val="left"/>
        <w:rPr>
          <w:sz w:val="24"/>
          <w:szCs w:val="24"/>
        </w:rPr>
      </w:pPr>
      <w:bookmarkStart w:id="51" w:name="_13_Provisions"/>
      <w:bookmarkStart w:id="52" w:name="_Toc215593404"/>
      <w:bookmarkEnd w:id="51"/>
      <w:r w:rsidRPr="00D948C1">
        <w:rPr>
          <w:sz w:val="24"/>
          <w:szCs w:val="24"/>
        </w:rPr>
        <w:t>1</w:t>
      </w:r>
      <w:r w:rsidR="00DF5489">
        <w:rPr>
          <w:sz w:val="24"/>
          <w:szCs w:val="24"/>
        </w:rPr>
        <w:t>3</w:t>
      </w:r>
      <w:r w:rsidR="00D90216" w:rsidRPr="00D948C1">
        <w:rPr>
          <w:sz w:val="24"/>
          <w:szCs w:val="24"/>
        </w:rPr>
        <w:tab/>
      </w:r>
      <w:bookmarkStart w:id="53" w:name="N12"/>
      <w:bookmarkEnd w:id="53"/>
      <w:r w:rsidR="00D90216" w:rsidRPr="00D948C1">
        <w:rPr>
          <w:sz w:val="24"/>
          <w:szCs w:val="24"/>
        </w:rPr>
        <w:t>Provisions</w:t>
      </w:r>
      <w:bookmarkEnd w:id="52"/>
    </w:p>
    <w:p w14:paraId="073A796E" w14:textId="77777777" w:rsidR="00D90216" w:rsidRPr="00D948C1" w:rsidRDefault="00D90216" w:rsidP="00617696">
      <w:pPr>
        <w:ind w:left="720"/>
        <w:rPr>
          <w:szCs w:val="24"/>
        </w:rPr>
      </w:pPr>
    </w:p>
    <w:p w14:paraId="6951343F" w14:textId="77777777" w:rsidR="00D90216" w:rsidRPr="00D948C1" w:rsidRDefault="00D90216" w:rsidP="00617696">
      <w:pPr>
        <w:pStyle w:val="BodyTextIndent2"/>
        <w:ind w:firstLine="0"/>
        <w:rPr>
          <w:szCs w:val="24"/>
        </w:rPr>
      </w:pPr>
      <w:r w:rsidRPr="00D948C1">
        <w:rPr>
          <w:szCs w:val="24"/>
        </w:rPr>
        <w:t>The Authority has the power to establish provisions for any liabilities of uncertain timing or amount that have been incurred.</w:t>
      </w:r>
    </w:p>
    <w:p w14:paraId="6B4E3312" w14:textId="77777777" w:rsidR="00D90216" w:rsidRPr="00D948C1" w:rsidRDefault="00D90216" w:rsidP="00617696">
      <w:pPr>
        <w:ind w:left="720"/>
        <w:rPr>
          <w:b/>
          <w:szCs w:val="24"/>
        </w:rPr>
      </w:pPr>
    </w:p>
    <w:p w14:paraId="320A1FBE" w14:textId="0409FC9C" w:rsidR="00D90216" w:rsidRPr="00D948C1" w:rsidRDefault="00D90216" w:rsidP="00617696">
      <w:pPr>
        <w:pStyle w:val="BodyTextIndent2"/>
        <w:ind w:firstLine="0"/>
        <w:rPr>
          <w:szCs w:val="24"/>
        </w:rPr>
      </w:pPr>
      <w:r w:rsidRPr="00D948C1">
        <w:rPr>
          <w:szCs w:val="24"/>
        </w:rPr>
        <w:t>The Authority has established an Insurance Liabilities Provision to meet liabilities, the precise cost of which is uncertain, but which are not reimbursable from insurers as they fall below individual excess clauses and the annual self-insured limits.</w:t>
      </w:r>
    </w:p>
    <w:p w14:paraId="54A615F3" w14:textId="77777777" w:rsidR="007B03D1" w:rsidRPr="00D948C1" w:rsidRDefault="007B03D1" w:rsidP="00617696">
      <w:pPr>
        <w:pStyle w:val="BodyTextIndent2"/>
        <w:ind w:left="0" w:firstLine="0"/>
        <w:rPr>
          <w:szCs w:val="24"/>
        </w:rPr>
      </w:pPr>
    </w:p>
    <w:p w14:paraId="02A4F7DA" w14:textId="77777777" w:rsidR="007368F0" w:rsidRPr="00D948C1" w:rsidRDefault="007368F0" w:rsidP="00617696">
      <w:pPr>
        <w:pStyle w:val="BodyTextIndent2"/>
        <w:ind w:firstLine="0"/>
        <w:rPr>
          <w:szCs w:val="24"/>
        </w:rPr>
      </w:pPr>
      <w:r w:rsidRPr="00D948C1">
        <w:rPr>
          <w:szCs w:val="24"/>
        </w:rPr>
        <w:t xml:space="preserve">The Authority </w:t>
      </w:r>
      <w:r w:rsidR="00063302" w:rsidRPr="00D948C1">
        <w:rPr>
          <w:szCs w:val="24"/>
        </w:rPr>
        <w:t>has also recognised a provision in relation to its share of the Business Rates Collection Fund outstanding appeals, which is calculated and provided by billing authorities based on their assumptions of outstanding appeal success rates</w:t>
      </w:r>
      <w:r w:rsidR="007E0728" w:rsidRPr="00D948C1">
        <w:rPr>
          <w:szCs w:val="24"/>
        </w:rPr>
        <w:t>.</w:t>
      </w:r>
    </w:p>
    <w:p w14:paraId="0DC5213E" w14:textId="77777777" w:rsidR="00D90216" w:rsidRPr="00D948C1" w:rsidRDefault="00D90216" w:rsidP="00617696">
      <w:pPr>
        <w:ind w:left="720"/>
        <w:rPr>
          <w:szCs w:val="24"/>
        </w:rPr>
      </w:pPr>
    </w:p>
    <w:p w14:paraId="5E990018" w14:textId="77777777" w:rsidR="00D90216" w:rsidRPr="00D948C1" w:rsidRDefault="00D90216" w:rsidP="00617696">
      <w:pPr>
        <w:pStyle w:val="BodyTextIndent"/>
        <w:rPr>
          <w:szCs w:val="24"/>
          <w:lang w:val="en-GB"/>
        </w:rPr>
      </w:pPr>
      <w:r w:rsidRPr="00D948C1">
        <w:rPr>
          <w:szCs w:val="24"/>
          <w:lang w:val="en-GB"/>
        </w:rPr>
        <w:t>The balances set aside, together with the movement on the provisions, is shown below:</w:t>
      </w:r>
    </w:p>
    <w:p w14:paraId="2EA58EE2" w14:textId="77777777" w:rsidR="00D90216" w:rsidRPr="00D948C1" w:rsidRDefault="00D90216" w:rsidP="00D90216">
      <w:pPr>
        <w:ind w:left="720"/>
        <w:rPr>
          <w:sz w:val="22"/>
        </w:rPr>
      </w:pPr>
    </w:p>
    <w:tbl>
      <w:tblPr>
        <w:tblW w:w="99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1296"/>
        <w:gridCol w:w="1296"/>
        <w:gridCol w:w="1296"/>
        <w:gridCol w:w="1296"/>
        <w:gridCol w:w="1296"/>
        <w:gridCol w:w="1296"/>
      </w:tblGrid>
      <w:tr w:rsidR="00550595" w:rsidRPr="00D948C1" w14:paraId="530C815F" w14:textId="77777777" w:rsidTr="00F7299E">
        <w:trPr>
          <w:trHeight w:hRule="exact" w:val="578"/>
          <w:tblHeader/>
        </w:trPr>
        <w:tc>
          <w:tcPr>
            <w:tcW w:w="2181" w:type="dxa"/>
            <w:shd w:val="clear" w:color="auto" w:fill="BD2716"/>
          </w:tcPr>
          <w:p w14:paraId="2DC872F6" w14:textId="77777777" w:rsidR="00550595" w:rsidRPr="00D948C1" w:rsidRDefault="00550595" w:rsidP="00053629">
            <w:pPr>
              <w:spacing w:after="120"/>
              <w:rPr>
                <w:color w:val="FFFFFF" w:themeColor="background1"/>
                <w:szCs w:val="24"/>
              </w:rPr>
            </w:pPr>
          </w:p>
        </w:tc>
        <w:tc>
          <w:tcPr>
            <w:tcW w:w="2592" w:type="dxa"/>
            <w:gridSpan w:val="2"/>
            <w:shd w:val="clear" w:color="auto" w:fill="BD2716"/>
            <w:vAlign w:val="center"/>
          </w:tcPr>
          <w:p w14:paraId="587DEF93" w14:textId="36280363" w:rsidR="00550595" w:rsidRPr="00D948C1" w:rsidRDefault="00550595" w:rsidP="00611673">
            <w:pPr>
              <w:pStyle w:val="BodyTextIndent"/>
              <w:ind w:left="0"/>
              <w:jc w:val="center"/>
              <w:rPr>
                <w:color w:val="FFFFFF" w:themeColor="background1"/>
                <w:szCs w:val="24"/>
              </w:rPr>
            </w:pPr>
            <w:r w:rsidRPr="00D948C1">
              <w:rPr>
                <w:color w:val="FFFFFF" w:themeColor="background1"/>
                <w:szCs w:val="24"/>
              </w:rPr>
              <w:t>Insurance Liabilities</w:t>
            </w:r>
          </w:p>
        </w:tc>
        <w:tc>
          <w:tcPr>
            <w:tcW w:w="2592" w:type="dxa"/>
            <w:gridSpan w:val="2"/>
            <w:shd w:val="clear" w:color="auto" w:fill="BD2716"/>
            <w:vAlign w:val="center"/>
          </w:tcPr>
          <w:p w14:paraId="621D4F98" w14:textId="0B4A2138" w:rsidR="00550595" w:rsidRPr="00D948C1" w:rsidRDefault="00550595" w:rsidP="00611673">
            <w:pPr>
              <w:pStyle w:val="BodyTextIndent"/>
              <w:ind w:left="0"/>
              <w:jc w:val="center"/>
              <w:rPr>
                <w:color w:val="FFFFFF" w:themeColor="background1"/>
                <w:szCs w:val="24"/>
              </w:rPr>
            </w:pPr>
            <w:r w:rsidRPr="00D948C1">
              <w:rPr>
                <w:color w:val="FFFFFF" w:themeColor="background1"/>
                <w:szCs w:val="24"/>
              </w:rPr>
              <w:t xml:space="preserve">Business rates </w:t>
            </w:r>
            <w:proofErr w:type="gramStart"/>
            <w:r w:rsidRPr="00D948C1">
              <w:rPr>
                <w:color w:val="FFFFFF" w:themeColor="background1"/>
                <w:szCs w:val="24"/>
              </w:rPr>
              <w:t>appeals</w:t>
            </w:r>
            <w:proofErr w:type="gramEnd"/>
          </w:p>
        </w:tc>
        <w:tc>
          <w:tcPr>
            <w:tcW w:w="2592" w:type="dxa"/>
            <w:gridSpan w:val="2"/>
            <w:shd w:val="clear" w:color="auto" w:fill="BD2716"/>
            <w:vAlign w:val="center"/>
          </w:tcPr>
          <w:p w14:paraId="5F4AC8F6" w14:textId="49A289BD" w:rsidR="00550595" w:rsidRPr="00D948C1" w:rsidRDefault="00550595" w:rsidP="00611673">
            <w:pPr>
              <w:pStyle w:val="BodyTextIndent"/>
              <w:ind w:left="0"/>
              <w:jc w:val="center"/>
              <w:rPr>
                <w:color w:val="FFFFFF" w:themeColor="background1"/>
                <w:szCs w:val="24"/>
              </w:rPr>
            </w:pPr>
            <w:r w:rsidRPr="00D948C1">
              <w:rPr>
                <w:color w:val="FFFFFF" w:themeColor="background1"/>
                <w:szCs w:val="24"/>
              </w:rPr>
              <w:t>Total</w:t>
            </w:r>
          </w:p>
        </w:tc>
      </w:tr>
      <w:tr w:rsidR="00053629" w:rsidRPr="00D948C1" w14:paraId="48C58387" w14:textId="77777777" w:rsidTr="00611673">
        <w:trPr>
          <w:trHeight w:hRule="exact" w:val="570"/>
          <w:tblHeader/>
        </w:trPr>
        <w:tc>
          <w:tcPr>
            <w:tcW w:w="2181" w:type="dxa"/>
            <w:shd w:val="clear" w:color="auto" w:fill="BD2716"/>
          </w:tcPr>
          <w:p w14:paraId="54E63F25" w14:textId="77777777" w:rsidR="00053629" w:rsidRPr="00D948C1" w:rsidRDefault="00053629" w:rsidP="00053629">
            <w:pPr>
              <w:spacing w:after="120"/>
              <w:rPr>
                <w:color w:val="FFFFFF" w:themeColor="background1"/>
                <w:szCs w:val="24"/>
              </w:rPr>
            </w:pPr>
          </w:p>
        </w:tc>
        <w:tc>
          <w:tcPr>
            <w:tcW w:w="1296" w:type="dxa"/>
            <w:shd w:val="clear" w:color="auto" w:fill="BD2716"/>
            <w:vAlign w:val="center"/>
          </w:tcPr>
          <w:p w14:paraId="4C6618D9" w14:textId="00DE5AFA" w:rsidR="00053629" w:rsidRPr="00D948C1" w:rsidRDefault="001318F9" w:rsidP="00611673">
            <w:pPr>
              <w:pStyle w:val="BodyTextIndent"/>
              <w:ind w:left="0"/>
              <w:jc w:val="right"/>
              <w:rPr>
                <w:color w:val="FFFFFF" w:themeColor="background1"/>
                <w:szCs w:val="24"/>
              </w:rPr>
            </w:pPr>
            <w:r w:rsidRPr="00D948C1">
              <w:rPr>
                <w:color w:val="FFFFFF" w:themeColor="background1"/>
                <w:szCs w:val="24"/>
              </w:rPr>
              <w:t>202</w:t>
            </w:r>
            <w:r w:rsidR="006636C3">
              <w:rPr>
                <w:color w:val="FFFFFF" w:themeColor="background1"/>
                <w:szCs w:val="24"/>
              </w:rPr>
              <w:t>4</w:t>
            </w:r>
            <w:r w:rsidRPr="00D948C1">
              <w:rPr>
                <w:color w:val="FFFFFF" w:themeColor="background1"/>
                <w:szCs w:val="24"/>
              </w:rPr>
              <w:t>/2</w:t>
            </w:r>
            <w:r w:rsidR="006636C3">
              <w:rPr>
                <w:color w:val="FFFFFF" w:themeColor="background1"/>
                <w:szCs w:val="24"/>
              </w:rPr>
              <w:t>5</w:t>
            </w:r>
          </w:p>
          <w:p w14:paraId="20114270" w14:textId="5EB89525" w:rsidR="00053629" w:rsidRPr="00D948C1" w:rsidRDefault="00053629" w:rsidP="00611673">
            <w:pPr>
              <w:pStyle w:val="BodyTextIndent"/>
              <w:ind w:left="0"/>
              <w:jc w:val="right"/>
              <w:rPr>
                <w:color w:val="FFFFFF" w:themeColor="background1"/>
                <w:szCs w:val="24"/>
                <w:lang w:val="en-GB"/>
              </w:rPr>
            </w:pPr>
            <w:r w:rsidRPr="00D948C1">
              <w:rPr>
                <w:color w:val="FFFFFF" w:themeColor="background1"/>
                <w:szCs w:val="24"/>
              </w:rPr>
              <w:t>£000</w:t>
            </w:r>
          </w:p>
        </w:tc>
        <w:tc>
          <w:tcPr>
            <w:tcW w:w="1296" w:type="dxa"/>
            <w:shd w:val="clear" w:color="auto" w:fill="BD2716"/>
            <w:vAlign w:val="center"/>
          </w:tcPr>
          <w:p w14:paraId="32B937C6" w14:textId="5C68D47D" w:rsidR="00053629" w:rsidRPr="00D948C1" w:rsidRDefault="001318F9" w:rsidP="00611673">
            <w:pPr>
              <w:pStyle w:val="BodyTextIndent"/>
              <w:ind w:left="0"/>
              <w:jc w:val="right"/>
              <w:rPr>
                <w:color w:val="FFFFFF" w:themeColor="background1"/>
                <w:szCs w:val="24"/>
              </w:rPr>
            </w:pPr>
            <w:r w:rsidRPr="00D948C1">
              <w:rPr>
                <w:color w:val="FFFFFF" w:themeColor="background1"/>
                <w:szCs w:val="24"/>
              </w:rPr>
              <w:t>202</w:t>
            </w:r>
            <w:r w:rsidR="006636C3">
              <w:rPr>
                <w:color w:val="FFFFFF" w:themeColor="background1"/>
                <w:szCs w:val="24"/>
              </w:rPr>
              <w:t>3</w:t>
            </w:r>
            <w:r w:rsidRPr="00D948C1">
              <w:rPr>
                <w:color w:val="FFFFFF" w:themeColor="background1"/>
                <w:szCs w:val="24"/>
              </w:rPr>
              <w:t>/2</w:t>
            </w:r>
            <w:r w:rsidR="006636C3">
              <w:rPr>
                <w:color w:val="FFFFFF" w:themeColor="background1"/>
                <w:szCs w:val="24"/>
              </w:rPr>
              <w:t>4</w:t>
            </w:r>
          </w:p>
          <w:p w14:paraId="512E8DEA" w14:textId="069D631A" w:rsidR="00053629" w:rsidRPr="00D948C1" w:rsidRDefault="00053629" w:rsidP="00611673">
            <w:pPr>
              <w:pStyle w:val="BodyTextIndent"/>
              <w:ind w:left="0"/>
              <w:jc w:val="right"/>
              <w:rPr>
                <w:color w:val="FFFFFF" w:themeColor="background1"/>
                <w:szCs w:val="24"/>
                <w:lang w:val="en-GB"/>
              </w:rPr>
            </w:pPr>
            <w:r w:rsidRPr="00D948C1">
              <w:rPr>
                <w:color w:val="FFFFFF" w:themeColor="background1"/>
                <w:szCs w:val="24"/>
              </w:rPr>
              <w:t>£000</w:t>
            </w:r>
          </w:p>
        </w:tc>
        <w:tc>
          <w:tcPr>
            <w:tcW w:w="1296" w:type="dxa"/>
            <w:shd w:val="clear" w:color="auto" w:fill="BD2716"/>
            <w:vAlign w:val="center"/>
          </w:tcPr>
          <w:p w14:paraId="32EEB0BA" w14:textId="3CA04487" w:rsidR="00053629" w:rsidRPr="00D948C1" w:rsidRDefault="001318F9" w:rsidP="00611673">
            <w:pPr>
              <w:pStyle w:val="BodyTextIndent"/>
              <w:ind w:left="0"/>
              <w:jc w:val="right"/>
              <w:rPr>
                <w:color w:val="FFFFFF" w:themeColor="background1"/>
                <w:szCs w:val="24"/>
              </w:rPr>
            </w:pPr>
            <w:r w:rsidRPr="00D948C1">
              <w:rPr>
                <w:color w:val="FFFFFF" w:themeColor="background1"/>
                <w:szCs w:val="24"/>
              </w:rPr>
              <w:t>202</w:t>
            </w:r>
            <w:r w:rsidR="006636C3">
              <w:rPr>
                <w:color w:val="FFFFFF" w:themeColor="background1"/>
                <w:szCs w:val="24"/>
              </w:rPr>
              <w:t>4</w:t>
            </w:r>
            <w:r w:rsidRPr="00D948C1">
              <w:rPr>
                <w:color w:val="FFFFFF" w:themeColor="background1"/>
                <w:szCs w:val="24"/>
              </w:rPr>
              <w:t>/2</w:t>
            </w:r>
            <w:r w:rsidR="006636C3">
              <w:rPr>
                <w:color w:val="FFFFFF" w:themeColor="background1"/>
                <w:szCs w:val="24"/>
              </w:rPr>
              <w:t>5</w:t>
            </w:r>
          </w:p>
          <w:p w14:paraId="020731F0" w14:textId="09FE8D3D" w:rsidR="00053629" w:rsidRPr="00D948C1" w:rsidRDefault="00053629" w:rsidP="00611673">
            <w:pPr>
              <w:pStyle w:val="BodyTextIndent"/>
              <w:ind w:left="0"/>
              <w:jc w:val="right"/>
              <w:rPr>
                <w:color w:val="FFFFFF" w:themeColor="background1"/>
                <w:szCs w:val="24"/>
                <w:lang w:val="en-GB"/>
              </w:rPr>
            </w:pPr>
            <w:r w:rsidRPr="00D948C1">
              <w:rPr>
                <w:color w:val="FFFFFF" w:themeColor="background1"/>
                <w:szCs w:val="24"/>
              </w:rPr>
              <w:t>£000</w:t>
            </w:r>
          </w:p>
        </w:tc>
        <w:tc>
          <w:tcPr>
            <w:tcW w:w="1296" w:type="dxa"/>
            <w:shd w:val="clear" w:color="auto" w:fill="BD2716"/>
            <w:vAlign w:val="center"/>
          </w:tcPr>
          <w:p w14:paraId="63ABE4D1" w14:textId="77777777" w:rsidR="006636C3" w:rsidRPr="00D948C1" w:rsidRDefault="006636C3" w:rsidP="006636C3">
            <w:pPr>
              <w:pStyle w:val="BodyTextIndent"/>
              <w:ind w:left="0"/>
              <w:jc w:val="right"/>
              <w:rPr>
                <w:color w:val="FFFFFF" w:themeColor="background1"/>
                <w:szCs w:val="24"/>
              </w:rPr>
            </w:pPr>
            <w:r w:rsidRPr="00D948C1">
              <w:rPr>
                <w:color w:val="FFFFFF" w:themeColor="background1"/>
                <w:szCs w:val="24"/>
              </w:rPr>
              <w:t>2023/24</w:t>
            </w:r>
          </w:p>
          <w:p w14:paraId="69137530" w14:textId="54761006" w:rsidR="00053629" w:rsidRPr="00D948C1" w:rsidRDefault="006636C3" w:rsidP="006636C3">
            <w:pPr>
              <w:pStyle w:val="BodyTextIndent"/>
              <w:ind w:left="0"/>
              <w:jc w:val="right"/>
              <w:rPr>
                <w:color w:val="FFFFFF" w:themeColor="background1"/>
                <w:szCs w:val="24"/>
                <w:lang w:val="en-GB"/>
              </w:rPr>
            </w:pPr>
            <w:r w:rsidRPr="00D948C1">
              <w:rPr>
                <w:color w:val="FFFFFF" w:themeColor="background1"/>
                <w:szCs w:val="24"/>
              </w:rPr>
              <w:t>£000</w:t>
            </w:r>
          </w:p>
        </w:tc>
        <w:tc>
          <w:tcPr>
            <w:tcW w:w="1296" w:type="dxa"/>
            <w:shd w:val="clear" w:color="auto" w:fill="BD2716"/>
            <w:vAlign w:val="center"/>
          </w:tcPr>
          <w:p w14:paraId="1AB3A264" w14:textId="17D538CD" w:rsidR="00053629" w:rsidRPr="00D948C1" w:rsidRDefault="001318F9" w:rsidP="00611673">
            <w:pPr>
              <w:pStyle w:val="BodyTextIndent"/>
              <w:ind w:left="0"/>
              <w:jc w:val="right"/>
              <w:rPr>
                <w:color w:val="FFFFFF" w:themeColor="background1"/>
                <w:szCs w:val="24"/>
              </w:rPr>
            </w:pPr>
            <w:r w:rsidRPr="00D948C1">
              <w:rPr>
                <w:color w:val="FFFFFF" w:themeColor="background1"/>
                <w:szCs w:val="24"/>
              </w:rPr>
              <w:t>202</w:t>
            </w:r>
            <w:r w:rsidR="006636C3">
              <w:rPr>
                <w:color w:val="FFFFFF" w:themeColor="background1"/>
                <w:szCs w:val="24"/>
              </w:rPr>
              <w:t>4</w:t>
            </w:r>
            <w:r w:rsidRPr="00D948C1">
              <w:rPr>
                <w:color w:val="FFFFFF" w:themeColor="background1"/>
                <w:szCs w:val="24"/>
              </w:rPr>
              <w:t>/2</w:t>
            </w:r>
            <w:r w:rsidR="006636C3">
              <w:rPr>
                <w:color w:val="FFFFFF" w:themeColor="background1"/>
                <w:szCs w:val="24"/>
              </w:rPr>
              <w:t>5</w:t>
            </w:r>
          </w:p>
          <w:p w14:paraId="2A83AAB4" w14:textId="7869A96C" w:rsidR="00053629" w:rsidRPr="00D948C1" w:rsidRDefault="00053629" w:rsidP="00611673">
            <w:pPr>
              <w:pStyle w:val="BodyTextIndent"/>
              <w:ind w:left="0"/>
              <w:jc w:val="right"/>
              <w:rPr>
                <w:color w:val="FFFFFF" w:themeColor="background1"/>
                <w:szCs w:val="24"/>
                <w:lang w:val="en-GB"/>
              </w:rPr>
            </w:pPr>
            <w:r w:rsidRPr="00D948C1">
              <w:rPr>
                <w:color w:val="FFFFFF" w:themeColor="background1"/>
                <w:szCs w:val="24"/>
              </w:rPr>
              <w:t>£000</w:t>
            </w:r>
          </w:p>
        </w:tc>
        <w:tc>
          <w:tcPr>
            <w:tcW w:w="1296" w:type="dxa"/>
            <w:shd w:val="clear" w:color="auto" w:fill="BD2716"/>
            <w:vAlign w:val="center"/>
          </w:tcPr>
          <w:p w14:paraId="6539D409" w14:textId="77777777" w:rsidR="006636C3" w:rsidRPr="00D948C1" w:rsidRDefault="006636C3" w:rsidP="006636C3">
            <w:pPr>
              <w:pStyle w:val="BodyTextIndent"/>
              <w:ind w:left="0"/>
              <w:jc w:val="right"/>
              <w:rPr>
                <w:color w:val="FFFFFF" w:themeColor="background1"/>
                <w:szCs w:val="24"/>
              </w:rPr>
            </w:pPr>
            <w:r w:rsidRPr="00D948C1">
              <w:rPr>
                <w:color w:val="FFFFFF" w:themeColor="background1"/>
                <w:szCs w:val="24"/>
              </w:rPr>
              <w:t>2023/24</w:t>
            </w:r>
          </w:p>
          <w:p w14:paraId="183873F7" w14:textId="7688566D" w:rsidR="00053629" w:rsidRPr="00D948C1" w:rsidRDefault="006636C3" w:rsidP="006636C3">
            <w:pPr>
              <w:pStyle w:val="BodyTextIndent"/>
              <w:ind w:left="0"/>
              <w:jc w:val="right"/>
              <w:rPr>
                <w:color w:val="FFFFFF" w:themeColor="background1"/>
                <w:szCs w:val="24"/>
                <w:lang w:val="en-GB"/>
              </w:rPr>
            </w:pPr>
            <w:r w:rsidRPr="00D948C1">
              <w:rPr>
                <w:color w:val="FFFFFF" w:themeColor="background1"/>
                <w:szCs w:val="24"/>
              </w:rPr>
              <w:t>£000</w:t>
            </w:r>
          </w:p>
        </w:tc>
      </w:tr>
      <w:tr w:rsidR="006636C3" w:rsidRPr="00D948C1" w14:paraId="5CF7DF64" w14:textId="77777777" w:rsidTr="00E70EB9">
        <w:trPr>
          <w:trHeight w:val="278"/>
        </w:trPr>
        <w:tc>
          <w:tcPr>
            <w:tcW w:w="2181" w:type="dxa"/>
            <w:vAlign w:val="center"/>
          </w:tcPr>
          <w:p w14:paraId="693D7C93" w14:textId="77777777" w:rsidR="006636C3" w:rsidRPr="00D948C1" w:rsidRDefault="006636C3" w:rsidP="006636C3">
            <w:pPr>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296" w:type="dxa"/>
            <w:vAlign w:val="center"/>
          </w:tcPr>
          <w:p w14:paraId="76E10F08" w14:textId="5C566137" w:rsidR="006636C3" w:rsidRPr="005A4E16" w:rsidRDefault="003014DF" w:rsidP="006636C3">
            <w:pPr>
              <w:tabs>
                <w:tab w:val="decimal" w:pos="900"/>
              </w:tabs>
              <w:jc w:val="right"/>
              <w:rPr>
                <w:szCs w:val="24"/>
              </w:rPr>
            </w:pPr>
            <w:r w:rsidRPr="005A4E16">
              <w:rPr>
                <w:szCs w:val="24"/>
              </w:rPr>
              <w:t>6</w:t>
            </w:r>
            <w:r w:rsidR="00496C2A" w:rsidRPr="00177AAF">
              <w:rPr>
                <w:szCs w:val="24"/>
              </w:rPr>
              <w:t>5</w:t>
            </w:r>
            <w:r w:rsidRPr="005A4E16">
              <w:rPr>
                <w:szCs w:val="24"/>
              </w:rPr>
              <w:t>8</w:t>
            </w:r>
          </w:p>
        </w:tc>
        <w:tc>
          <w:tcPr>
            <w:tcW w:w="1296" w:type="dxa"/>
            <w:vAlign w:val="center"/>
          </w:tcPr>
          <w:p w14:paraId="330A9ADF" w14:textId="13EF6501" w:rsidR="006636C3" w:rsidRPr="008E28A7" w:rsidRDefault="006636C3" w:rsidP="006636C3">
            <w:pPr>
              <w:tabs>
                <w:tab w:val="decimal" w:pos="900"/>
              </w:tabs>
              <w:jc w:val="right"/>
              <w:rPr>
                <w:szCs w:val="24"/>
              </w:rPr>
            </w:pPr>
            <w:r w:rsidRPr="008E28A7">
              <w:rPr>
                <w:szCs w:val="24"/>
              </w:rPr>
              <w:t>579</w:t>
            </w:r>
          </w:p>
        </w:tc>
        <w:tc>
          <w:tcPr>
            <w:tcW w:w="1296" w:type="dxa"/>
            <w:vAlign w:val="center"/>
          </w:tcPr>
          <w:p w14:paraId="5FCBC59F" w14:textId="3B66EF3D" w:rsidR="006636C3" w:rsidRPr="005A4E16" w:rsidRDefault="00242EC6" w:rsidP="006636C3">
            <w:pPr>
              <w:tabs>
                <w:tab w:val="decimal" w:pos="784"/>
              </w:tabs>
              <w:jc w:val="right"/>
              <w:rPr>
                <w:szCs w:val="24"/>
              </w:rPr>
            </w:pPr>
            <w:r w:rsidRPr="005A4E16">
              <w:rPr>
                <w:szCs w:val="24"/>
              </w:rPr>
              <w:t>571</w:t>
            </w:r>
          </w:p>
        </w:tc>
        <w:tc>
          <w:tcPr>
            <w:tcW w:w="1296" w:type="dxa"/>
            <w:vAlign w:val="center"/>
          </w:tcPr>
          <w:p w14:paraId="27694E6A" w14:textId="2BD7BE55" w:rsidR="006636C3" w:rsidRPr="008E28A7" w:rsidRDefault="006636C3" w:rsidP="006636C3">
            <w:pPr>
              <w:tabs>
                <w:tab w:val="decimal" w:pos="784"/>
              </w:tabs>
              <w:jc w:val="right"/>
              <w:rPr>
                <w:szCs w:val="24"/>
              </w:rPr>
            </w:pPr>
            <w:r w:rsidRPr="008E28A7">
              <w:rPr>
                <w:szCs w:val="24"/>
              </w:rPr>
              <w:t>660</w:t>
            </w:r>
          </w:p>
        </w:tc>
        <w:tc>
          <w:tcPr>
            <w:tcW w:w="1296" w:type="dxa"/>
            <w:vAlign w:val="center"/>
          </w:tcPr>
          <w:p w14:paraId="0DF1F055" w14:textId="18490153" w:rsidR="006636C3" w:rsidRPr="005A4E16" w:rsidRDefault="00C5512F" w:rsidP="006636C3">
            <w:pPr>
              <w:tabs>
                <w:tab w:val="decimal" w:pos="784"/>
              </w:tabs>
              <w:jc w:val="right"/>
              <w:rPr>
                <w:szCs w:val="24"/>
              </w:rPr>
            </w:pPr>
            <w:r w:rsidRPr="005A4E16">
              <w:rPr>
                <w:szCs w:val="24"/>
              </w:rPr>
              <w:t>1,229</w:t>
            </w:r>
          </w:p>
        </w:tc>
        <w:tc>
          <w:tcPr>
            <w:tcW w:w="1296" w:type="dxa"/>
            <w:vAlign w:val="center"/>
          </w:tcPr>
          <w:p w14:paraId="159DACB9" w14:textId="088460B1" w:rsidR="006636C3" w:rsidRPr="008E28A7" w:rsidRDefault="006636C3" w:rsidP="006636C3">
            <w:pPr>
              <w:tabs>
                <w:tab w:val="decimal" w:pos="784"/>
              </w:tabs>
              <w:jc w:val="right"/>
              <w:rPr>
                <w:szCs w:val="24"/>
              </w:rPr>
            </w:pPr>
            <w:r w:rsidRPr="008E28A7">
              <w:rPr>
                <w:szCs w:val="24"/>
              </w:rPr>
              <w:t>1,239</w:t>
            </w:r>
          </w:p>
        </w:tc>
      </w:tr>
      <w:tr w:rsidR="006636C3" w:rsidRPr="00D948C1" w14:paraId="52AF7707" w14:textId="77777777" w:rsidTr="00E70EB9">
        <w:trPr>
          <w:trHeight w:val="278"/>
        </w:trPr>
        <w:tc>
          <w:tcPr>
            <w:tcW w:w="2181" w:type="dxa"/>
            <w:vAlign w:val="center"/>
          </w:tcPr>
          <w:p w14:paraId="2C41E349" w14:textId="77777777" w:rsidR="006636C3" w:rsidRPr="00D948C1" w:rsidRDefault="006636C3" w:rsidP="006636C3">
            <w:pPr>
              <w:rPr>
                <w:szCs w:val="24"/>
              </w:rPr>
            </w:pPr>
            <w:r w:rsidRPr="00D948C1">
              <w:rPr>
                <w:szCs w:val="24"/>
              </w:rPr>
              <w:t>Amounts utilised</w:t>
            </w:r>
          </w:p>
        </w:tc>
        <w:tc>
          <w:tcPr>
            <w:tcW w:w="1296" w:type="dxa"/>
            <w:vAlign w:val="center"/>
          </w:tcPr>
          <w:p w14:paraId="76B926D5" w14:textId="29BFECAE" w:rsidR="006636C3" w:rsidRPr="005A4E16" w:rsidRDefault="008204CD" w:rsidP="006636C3">
            <w:pPr>
              <w:tabs>
                <w:tab w:val="decimal" w:pos="900"/>
              </w:tabs>
              <w:jc w:val="right"/>
              <w:rPr>
                <w:szCs w:val="24"/>
              </w:rPr>
            </w:pPr>
            <w:r w:rsidRPr="005A4E16">
              <w:rPr>
                <w:szCs w:val="24"/>
              </w:rPr>
              <w:t>(24)</w:t>
            </w:r>
          </w:p>
        </w:tc>
        <w:tc>
          <w:tcPr>
            <w:tcW w:w="1296" w:type="dxa"/>
            <w:vAlign w:val="center"/>
          </w:tcPr>
          <w:p w14:paraId="3813A5E0" w14:textId="1564797D" w:rsidR="006636C3" w:rsidRPr="008E28A7" w:rsidRDefault="006636C3" w:rsidP="006636C3">
            <w:pPr>
              <w:tabs>
                <w:tab w:val="decimal" w:pos="900"/>
              </w:tabs>
              <w:jc w:val="right"/>
              <w:rPr>
                <w:szCs w:val="24"/>
              </w:rPr>
            </w:pPr>
            <w:r w:rsidRPr="008E28A7">
              <w:rPr>
                <w:szCs w:val="24"/>
              </w:rPr>
              <w:t>(116)</w:t>
            </w:r>
          </w:p>
        </w:tc>
        <w:tc>
          <w:tcPr>
            <w:tcW w:w="1296" w:type="dxa"/>
            <w:vAlign w:val="center"/>
          </w:tcPr>
          <w:p w14:paraId="65F4DE2E" w14:textId="71B9272F" w:rsidR="006636C3" w:rsidRPr="005A4E16" w:rsidRDefault="00242EC6" w:rsidP="006636C3">
            <w:pPr>
              <w:tabs>
                <w:tab w:val="decimal" w:pos="784"/>
              </w:tabs>
              <w:jc w:val="right"/>
              <w:rPr>
                <w:szCs w:val="24"/>
              </w:rPr>
            </w:pPr>
            <w:r w:rsidRPr="005A4E16">
              <w:rPr>
                <w:szCs w:val="24"/>
              </w:rPr>
              <w:t>-</w:t>
            </w:r>
          </w:p>
        </w:tc>
        <w:tc>
          <w:tcPr>
            <w:tcW w:w="1296" w:type="dxa"/>
            <w:vAlign w:val="center"/>
          </w:tcPr>
          <w:p w14:paraId="7DFC824C" w14:textId="30E16460" w:rsidR="006636C3" w:rsidRPr="008E28A7" w:rsidRDefault="006636C3" w:rsidP="006636C3">
            <w:pPr>
              <w:tabs>
                <w:tab w:val="decimal" w:pos="784"/>
              </w:tabs>
              <w:jc w:val="right"/>
              <w:rPr>
                <w:szCs w:val="24"/>
              </w:rPr>
            </w:pPr>
            <w:r w:rsidRPr="008E28A7">
              <w:rPr>
                <w:szCs w:val="24"/>
              </w:rPr>
              <w:t>-</w:t>
            </w:r>
          </w:p>
        </w:tc>
        <w:tc>
          <w:tcPr>
            <w:tcW w:w="1296" w:type="dxa"/>
            <w:vAlign w:val="center"/>
          </w:tcPr>
          <w:p w14:paraId="5B1F8A8E" w14:textId="7F30B18C" w:rsidR="006636C3" w:rsidRPr="005A4E16" w:rsidRDefault="00C5512F" w:rsidP="006636C3">
            <w:pPr>
              <w:tabs>
                <w:tab w:val="decimal" w:pos="784"/>
              </w:tabs>
              <w:jc w:val="right"/>
              <w:rPr>
                <w:szCs w:val="24"/>
              </w:rPr>
            </w:pPr>
            <w:r w:rsidRPr="005A4E16">
              <w:rPr>
                <w:szCs w:val="24"/>
              </w:rPr>
              <w:t>(24)</w:t>
            </w:r>
          </w:p>
        </w:tc>
        <w:tc>
          <w:tcPr>
            <w:tcW w:w="1296" w:type="dxa"/>
            <w:vAlign w:val="center"/>
          </w:tcPr>
          <w:p w14:paraId="6413479E" w14:textId="58B4F62D" w:rsidR="006636C3" w:rsidRPr="008E28A7" w:rsidRDefault="006636C3" w:rsidP="006636C3">
            <w:pPr>
              <w:tabs>
                <w:tab w:val="decimal" w:pos="784"/>
              </w:tabs>
              <w:jc w:val="right"/>
              <w:rPr>
                <w:szCs w:val="24"/>
              </w:rPr>
            </w:pPr>
            <w:r w:rsidRPr="008E28A7">
              <w:rPr>
                <w:szCs w:val="24"/>
              </w:rPr>
              <w:t>(116)</w:t>
            </w:r>
          </w:p>
        </w:tc>
      </w:tr>
      <w:tr w:rsidR="006636C3" w:rsidRPr="00D948C1" w14:paraId="498BC9CD" w14:textId="77777777" w:rsidTr="00E70EB9">
        <w:trPr>
          <w:trHeight w:val="556"/>
        </w:trPr>
        <w:tc>
          <w:tcPr>
            <w:tcW w:w="2181" w:type="dxa"/>
            <w:vAlign w:val="center"/>
          </w:tcPr>
          <w:p w14:paraId="30762056" w14:textId="77777777" w:rsidR="006636C3" w:rsidRPr="00D948C1" w:rsidRDefault="006636C3" w:rsidP="006636C3">
            <w:pPr>
              <w:pStyle w:val="Footer"/>
              <w:tabs>
                <w:tab w:val="clear" w:pos="4153"/>
                <w:tab w:val="clear" w:pos="8306"/>
              </w:tabs>
              <w:rPr>
                <w:szCs w:val="24"/>
              </w:rPr>
            </w:pPr>
            <w:r w:rsidRPr="00D948C1">
              <w:rPr>
                <w:szCs w:val="24"/>
              </w:rPr>
              <w:t>Unused amounts reversed</w:t>
            </w:r>
          </w:p>
        </w:tc>
        <w:tc>
          <w:tcPr>
            <w:tcW w:w="1296" w:type="dxa"/>
            <w:vAlign w:val="center"/>
          </w:tcPr>
          <w:p w14:paraId="3EC34016" w14:textId="0B78490B" w:rsidR="006636C3" w:rsidRPr="005A4E16" w:rsidRDefault="008204CD" w:rsidP="006636C3">
            <w:pPr>
              <w:tabs>
                <w:tab w:val="decimal" w:pos="900"/>
              </w:tabs>
              <w:jc w:val="right"/>
              <w:rPr>
                <w:szCs w:val="24"/>
              </w:rPr>
            </w:pPr>
            <w:r w:rsidRPr="005A4E16">
              <w:rPr>
                <w:szCs w:val="24"/>
              </w:rPr>
              <w:t>(154)</w:t>
            </w:r>
          </w:p>
        </w:tc>
        <w:tc>
          <w:tcPr>
            <w:tcW w:w="1296" w:type="dxa"/>
            <w:vAlign w:val="center"/>
          </w:tcPr>
          <w:p w14:paraId="637E5259" w14:textId="624DB44E" w:rsidR="006636C3" w:rsidRPr="008E28A7" w:rsidRDefault="006636C3" w:rsidP="006636C3">
            <w:pPr>
              <w:tabs>
                <w:tab w:val="decimal" w:pos="900"/>
              </w:tabs>
              <w:jc w:val="right"/>
              <w:rPr>
                <w:szCs w:val="24"/>
              </w:rPr>
            </w:pPr>
            <w:r w:rsidRPr="008E28A7">
              <w:rPr>
                <w:szCs w:val="24"/>
              </w:rPr>
              <w:t>(135)</w:t>
            </w:r>
          </w:p>
        </w:tc>
        <w:tc>
          <w:tcPr>
            <w:tcW w:w="1296" w:type="dxa"/>
            <w:vAlign w:val="center"/>
          </w:tcPr>
          <w:p w14:paraId="18412C0C" w14:textId="21D5CBFA" w:rsidR="006636C3" w:rsidRPr="005A4E16" w:rsidRDefault="0081618E" w:rsidP="006636C3">
            <w:pPr>
              <w:tabs>
                <w:tab w:val="decimal" w:pos="784"/>
              </w:tabs>
              <w:jc w:val="right"/>
              <w:rPr>
                <w:szCs w:val="24"/>
              </w:rPr>
            </w:pPr>
            <w:r w:rsidRPr="005A4E16">
              <w:rPr>
                <w:szCs w:val="24"/>
              </w:rPr>
              <w:t>(118)</w:t>
            </w:r>
          </w:p>
        </w:tc>
        <w:tc>
          <w:tcPr>
            <w:tcW w:w="1296" w:type="dxa"/>
            <w:vAlign w:val="center"/>
          </w:tcPr>
          <w:p w14:paraId="1743770B" w14:textId="631F69E2" w:rsidR="006636C3" w:rsidRPr="008E28A7" w:rsidRDefault="006636C3" w:rsidP="006636C3">
            <w:pPr>
              <w:tabs>
                <w:tab w:val="decimal" w:pos="784"/>
              </w:tabs>
              <w:jc w:val="right"/>
              <w:rPr>
                <w:szCs w:val="24"/>
              </w:rPr>
            </w:pPr>
            <w:r w:rsidRPr="008E28A7">
              <w:rPr>
                <w:szCs w:val="24"/>
              </w:rPr>
              <w:t>(145)</w:t>
            </w:r>
          </w:p>
        </w:tc>
        <w:tc>
          <w:tcPr>
            <w:tcW w:w="1296" w:type="dxa"/>
            <w:vAlign w:val="center"/>
          </w:tcPr>
          <w:p w14:paraId="123A9AB2" w14:textId="0C06F808" w:rsidR="006636C3" w:rsidRPr="005A4E16" w:rsidRDefault="00092266" w:rsidP="006636C3">
            <w:pPr>
              <w:tabs>
                <w:tab w:val="decimal" w:pos="784"/>
              </w:tabs>
              <w:jc w:val="right"/>
              <w:rPr>
                <w:szCs w:val="24"/>
              </w:rPr>
            </w:pPr>
            <w:r w:rsidRPr="005A4E16">
              <w:rPr>
                <w:szCs w:val="24"/>
              </w:rPr>
              <w:t>(273)</w:t>
            </w:r>
          </w:p>
        </w:tc>
        <w:tc>
          <w:tcPr>
            <w:tcW w:w="1296" w:type="dxa"/>
            <w:vAlign w:val="center"/>
          </w:tcPr>
          <w:p w14:paraId="6D4D4CE4" w14:textId="23FC7B08" w:rsidR="006636C3" w:rsidRPr="008E28A7" w:rsidRDefault="006636C3" w:rsidP="006636C3">
            <w:pPr>
              <w:tabs>
                <w:tab w:val="decimal" w:pos="784"/>
              </w:tabs>
              <w:jc w:val="right"/>
              <w:rPr>
                <w:szCs w:val="24"/>
              </w:rPr>
            </w:pPr>
            <w:r w:rsidRPr="008E28A7">
              <w:rPr>
                <w:szCs w:val="24"/>
              </w:rPr>
              <w:t>(280)</w:t>
            </w:r>
          </w:p>
        </w:tc>
      </w:tr>
      <w:tr w:rsidR="006636C3" w:rsidRPr="00D948C1" w14:paraId="38949098" w14:textId="77777777" w:rsidTr="00E70EB9">
        <w:trPr>
          <w:trHeight w:val="556"/>
        </w:trPr>
        <w:tc>
          <w:tcPr>
            <w:tcW w:w="2181" w:type="dxa"/>
            <w:vAlign w:val="center"/>
          </w:tcPr>
          <w:p w14:paraId="12C9AACC" w14:textId="77777777" w:rsidR="006636C3" w:rsidRPr="00D948C1" w:rsidRDefault="006636C3" w:rsidP="006636C3">
            <w:pPr>
              <w:pStyle w:val="Footer"/>
              <w:tabs>
                <w:tab w:val="clear" w:pos="4153"/>
                <w:tab w:val="clear" w:pos="8306"/>
              </w:tabs>
              <w:rPr>
                <w:szCs w:val="24"/>
              </w:rPr>
            </w:pPr>
            <w:r w:rsidRPr="00D948C1">
              <w:rPr>
                <w:szCs w:val="24"/>
              </w:rPr>
              <w:t>Additional provision</w:t>
            </w:r>
          </w:p>
        </w:tc>
        <w:tc>
          <w:tcPr>
            <w:tcW w:w="1296" w:type="dxa"/>
            <w:vAlign w:val="center"/>
          </w:tcPr>
          <w:p w14:paraId="5DAA081C" w14:textId="6A403D8A" w:rsidR="006636C3" w:rsidRPr="005A4E16" w:rsidRDefault="00072BDE" w:rsidP="006636C3">
            <w:pPr>
              <w:pStyle w:val="Footer"/>
              <w:tabs>
                <w:tab w:val="clear" w:pos="4153"/>
                <w:tab w:val="clear" w:pos="8306"/>
                <w:tab w:val="decimal" w:pos="900"/>
              </w:tabs>
              <w:jc w:val="right"/>
              <w:rPr>
                <w:szCs w:val="24"/>
              </w:rPr>
            </w:pPr>
            <w:r w:rsidRPr="005A4E16">
              <w:rPr>
                <w:szCs w:val="24"/>
              </w:rPr>
              <w:t>291</w:t>
            </w:r>
          </w:p>
        </w:tc>
        <w:tc>
          <w:tcPr>
            <w:tcW w:w="1296" w:type="dxa"/>
            <w:vAlign w:val="center"/>
          </w:tcPr>
          <w:p w14:paraId="5F05F642" w14:textId="7276ADF6" w:rsidR="006636C3" w:rsidRPr="008E28A7" w:rsidRDefault="006636C3" w:rsidP="006636C3">
            <w:pPr>
              <w:pStyle w:val="Footer"/>
              <w:tabs>
                <w:tab w:val="clear" w:pos="4153"/>
                <w:tab w:val="clear" w:pos="8306"/>
                <w:tab w:val="decimal" w:pos="900"/>
              </w:tabs>
              <w:jc w:val="right"/>
              <w:rPr>
                <w:szCs w:val="24"/>
              </w:rPr>
            </w:pPr>
            <w:r w:rsidRPr="008E28A7">
              <w:rPr>
                <w:szCs w:val="24"/>
              </w:rPr>
              <w:t>330</w:t>
            </w:r>
          </w:p>
        </w:tc>
        <w:tc>
          <w:tcPr>
            <w:tcW w:w="1296" w:type="dxa"/>
            <w:vAlign w:val="center"/>
          </w:tcPr>
          <w:p w14:paraId="7D57BDBE" w14:textId="5B5C08A2" w:rsidR="006636C3" w:rsidRPr="005A4E16" w:rsidRDefault="0081618E" w:rsidP="006636C3">
            <w:pPr>
              <w:pStyle w:val="Footer"/>
              <w:tabs>
                <w:tab w:val="clear" w:pos="4153"/>
                <w:tab w:val="clear" w:pos="8306"/>
                <w:tab w:val="decimal" w:pos="784"/>
              </w:tabs>
              <w:jc w:val="right"/>
              <w:rPr>
                <w:szCs w:val="24"/>
              </w:rPr>
            </w:pPr>
            <w:r w:rsidRPr="005A4E16">
              <w:rPr>
                <w:szCs w:val="24"/>
              </w:rPr>
              <w:t>23</w:t>
            </w:r>
          </w:p>
        </w:tc>
        <w:tc>
          <w:tcPr>
            <w:tcW w:w="1296" w:type="dxa"/>
            <w:vAlign w:val="center"/>
          </w:tcPr>
          <w:p w14:paraId="2A170E39" w14:textId="480E5DDE" w:rsidR="006636C3" w:rsidRPr="008E28A7" w:rsidRDefault="006636C3" w:rsidP="006636C3">
            <w:pPr>
              <w:pStyle w:val="Footer"/>
              <w:tabs>
                <w:tab w:val="clear" w:pos="4153"/>
                <w:tab w:val="clear" w:pos="8306"/>
                <w:tab w:val="decimal" w:pos="784"/>
              </w:tabs>
              <w:jc w:val="right"/>
              <w:rPr>
                <w:szCs w:val="24"/>
              </w:rPr>
            </w:pPr>
            <w:r w:rsidRPr="008E28A7">
              <w:rPr>
                <w:szCs w:val="24"/>
              </w:rPr>
              <w:t>56</w:t>
            </w:r>
          </w:p>
        </w:tc>
        <w:tc>
          <w:tcPr>
            <w:tcW w:w="1296" w:type="dxa"/>
            <w:vAlign w:val="center"/>
          </w:tcPr>
          <w:p w14:paraId="51895F45" w14:textId="48138D51" w:rsidR="006636C3" w:rsidRPr="005A4E16" w:rsidRDefault="005E2624" w:rsidP="006636C3">
            <w:pPr>
              <w:pStyle w:val="Footer"/>
              <w:tabs>
                <w:tab w:val="clear" w:pos="4153"/>
                <w:tab w:val="clear" w:pos="8306"/>
                <w:tab w:val="decimal" w:pos="784"/>
              </w:tabs>
              <w:jc w:val="right"/>
              <w:rPr>
                <w:szCs w:val="24"/>
              </w:rPr>
            </w:pPr>
            <w:r w:rsidRPr="005A4E16">
              <w:rPr>
                <w:szCs w:val="24"/>
              </w:rPr>
              <w:t>314</w:t>
            </w:r>
          </w:p>
        </w:tc>
        <w:tc>
          <w:tcPr>
            <w:tcW w:w="1296" w:type="dxa"/>
            <w:vAlign w:val="center"/>
          </w:tcPr>
          <w:p w14:paraId="1E18CD9C" w14:textId="71BE4411" w:rsidR="006636C3" w:rsidRPr="008E28A7" w:rsidRDefault="006636C3" w:rsidP="006636C3">
            <w:pPr>
              <w:pStyle w:val="Footer"/>
              <w:tabs>
                <w:tab w:val="clear" w:pos="4153"/>
                <w:tab w:val="clear" w:pos="8306"/>
                <w:tab w:val="decimal" w:pos="784"/>
              </w:tabs>
              <w:jc w:val="right"/>
              <w:rPr>
                <w:szCs w:val="24"/>
              </w:rPr>
            </w:pPr>
            <w:r w:rsidRPr="008E28A7">
              <w:rPr>
                <w:szCs w:val="24"/>
              </w:rPr>
              <w:t>386</w:t>
            </w:r>
          </w:p>
        </w:tc>
      </w:tr>
      <w:tr w:rsidR="006636C3" w:rsidRPr="00D948C1" w14:paraId="1AA84FA7" w14:textId="77777777" w:rsidTr="00E70EB9">
        <w:trPr>
          <w:trHeight w:val="556"/>
        </w:trPr>
        <w:tc>
          <w:tcPr>
            <w:tcW w:w="2181" w:type="dxa"/>
            <w:vAlign w:val="center"/>
          </w:tcPr>
          <w:p w14:paraId="367BF687" w14:textId="5C0918BD" w:rsidR="006636C3" w:rsidRPr="00D948C1" w:rsidRDefault="006636C3" w:rsidP="006636C3">
            <w:pPr>
              <w:pStyle w:val="Footer"/>
              <w:tabs>
                <w:tab w:val="clear" w:pos="4153"/>
                <w:tab w:val="clear" w:pos="8306"/>
              </w:tabs>
              <w:rPr>
                <w:szCs w:val="24"/>
              </w:rPr>
            </w:pPr>
            <w:r w:rsidRPr="00D948C1">
              <w:rPr>
                <w:szCs w:val="24"/>
              </w:rPr>
              <w:t xml:space="preserve">Balance </w:t>
            </w:r>
            <w:proofErr w:type="gramStart"/>
            <w:r w:rsidRPr="00D948C1">
              <w:rPr>
                <w:szCs w:val="24"/>
              </w:rPr>
              <w:t>at</w:t>
            </w:r>
            <w:proofErr w:type="gramEnd"/>
            <w:r w:rsidRPr="00D948C1">
              <w:rPr>
                <w:szCs w:val="24"/>
              </w:rPr>
              <w:t xml:space="preserve"> 31 March</w:t>
            </w:r>
          </w:p>
        </w:tc>
        <w:tc>
          <w:tcPr>
            <w:tcW w:w="1296" w:type="dxa"/>
            <w:vAlign w:val="center"/>
          </w:tcPr>
          <w:p w14:paraId="4CAD74AE" w14:textId="5394C5C2" w:rsidR="006636C3" w:rsidRPr="00177AAF" w:rsidRDefault="00072BDE" w:rsidP="006636C3">
            <w:pPr>
              <w:pStyle w:val="Footer"/>
              <w:tabs>
                <w:tab w:val="clear" w:pos="4153"/>
                <w:tab w:val="clear" w:pos="8306"/>
                <w:tab w:val="decimal" w:pos="900"/>
              </w:tabs>
              <w:jc w:val="right"/>
              <w:rPr>
                <w:szCs w:val="24"/>
              </w:rPr>
            </w:pPr>
            <w:r w:rsidRPr="005A4E16">
              <w:rPr>
                <w:szCs w:val="24"/>
              </w:rPr>
              <w:t>771</w:t>
            </w:r>
          </w:p>
        </w:tc>
        <w:tc>
          <w:tcPr>
            <w:tcW w:w="1296" w:type="dxa"/>
            <w:vAlign w:val="center"/>
          </w:tcPr>
          <w:p w14:paraId="356216AC" w14:textId="73005044" w:rsidR="006636C3" w:rsidRPr="008E28A7" w:rsidRDefault="006636C3" w:rsidP="006636C3">
            <w:pPr>
              <w:pStyle w:val="Footer"/>
              <w:tabs>
                <w:tab w:val="clear" w:pos="4153"/>
                <w:tab w:val="clear" w:pos="8306"/>
                <w:tab w:val="decimal" w:pos="900"/>
              </w:tabs>
              <w:jc w:val="right"/>
              <w:rPr>
                <w:szCs w:val="24"/>
              </w:rPr>
            </w:pPr>
            <w:r w:rsidRPr="008E28A7">
              <w:rPr>
                <w:szCs w:val="24"/>
              </w:rPr>
              <w:t>658</w:t>
            </w:r>
          </w:p>
        </w:tc>
        <w:tc>
          <w:tcPr>
            <w:tcW w:w="1296" w:type="dxa"/>
            <w:vAlign w:val="center"/>
          </w:tcPr>
          <w:p w14:paraId="1F7C3810" w14:textId="283CA902" w:rsidR="006636C3" w:rsidRPr="00177AAF" w:rsidRDefault="0081618E" w:rsidP="006636C3">
            <w:pPr>
              <w:pStyle w:val="Footer"/>
              <w:tabs>
                <w:tab w:val="clear" w:pos="4153"/>
                <w:tab w:val="clear" w:pos="8306"/>
                <w:tab w:val="decimal" w:pos="784"/>
              </w:tabs>
              <w:jc w:val="right"/>
              <w:rPr>
                <w:szCs w:val="24"/>
              </w:rPr>
            </w:pPr>
            <w:r w:rsidRPr="005A4E16">
              <w:rPr>
                <w:szCs w:val="24"/>
              </w:rPr>
              <w:t>476</w:t>
            </w:r>
          </w:p>
        </w:tc>
        <w:tc>
          <w:tcPr>
            <w:tcW w:w="1296" w:type="dxa"/>
            <w:vAlign w:val="center"/>
          </w:tcPr>
          <w:p w14:paraId="7B7F8E0F" w14:textId="61FCF255" w:rsidR="006636C3" w:rsidRPr="00D4698D" w:rsidRDefault="006636C3" w:rsidP="006636C3">
            <w:pPr>
              <w:pStyle w:val="Footer"/>
              <w:tabs>
                <w:tab w:val="clear" w:pos="4153"/>
                <w:tab w:val="clear" w:pos="8306"/>
                <w:tab w:val="decimal" w:pos="784"/>
              </w:tabs>
              <w:jc w:val="right"/>
              <w:rPr>
                <w:szCs w:val="24"/>
              </w:rPr>
            </w:pPr>
            <w:r w:rsidRPr="00D4698D">
              <w:rPr>
                <w:szCs w:val="24"/>
              </w:rPr>
              <w:t>571</w:t>
            </w:r>
          </w:p>
        </w:tc>
        <w:tc>
          <w:tcPr>
            <w:tcW w:w="1296" w:type="dxa"/>
            <w:vAlign w:val="center"/>
          </w:tcPr>
          <w:p w14:paraId="6779C3E4" w14:textId="2A543345" w:rsidR="006636C3" w:rsidRPr="00177AAF" w:rsidRDefault="00F056FB" w:rsidP="006636C3">
            <w:pPr>
              <w:pStyle w:val="Footer"/>
              <w:tabs>
                <w:tab w:val="clear" w:pos="4153"/>
                <w:tab w:val="clear" w:pos="8306"/>
                <w:tab w:val="decimal" w:pos="784"/>
              </w:tabs>
              <w:jc w:val="right"/>
              <w:rPr>
                <w:szCs w:val="24"/>
              </w:rPr>
            </w:pPr>
            <w:r w:rsidRPr="005A4E16">
              <w:rPr>
                <w:szCs w:val="24"/>
              </w:rPr>
              <w:t>1,246</w:t>
            </w:r>
          </w:p>
        </w:tc>
        <w:tc>
          <w:tcPr>
            <w:tcW w:w="1296" w:type="dxa"/>
            <w:vAlign w:val="center"/>
          </w:tcPr>
          <w:p w14:paraId="455CF824" w14:textId="3D356832" w:rsidR="006636C3" w:rsidRPr="00D4698D" w:rsidRDefault="006636C3" w:rsidP="006636C3">
            <w:pPr>
              <w:pStyle w:val="Footer"/>
              <w:tabs>
                <w:tab w:val="clear" w:pos="4153"/>
                <w:tab w:val="clear" w:pos="8306"/>
                <w:tab w:val="decimal" w:pos="784"/>
              </w:tabs>
              <w:jc w:val="right"/>
              <w:rPr>
                <w:szCs w:val="24"/>
              </w:rPr>
            </w:pPr>
            <w:r w:rsidRPr="00D4698D">
              <w:rPr>
                <w:szCs w:val="24"/>
              </w:rPr>
              <w:t>1,229</w:t>
            </w:r>
          </w:p>
        </w:tc>
      </w:tr>
    </w:tbl>
    <w:p w14:paraId="11A60953" w14:textId="77777777" w:rsidR="00022E5A" w:rsidRDefault="00022E5A">
      <w:pPr>
        <w:rPr>
          <w:b/>
          <w:szCs w:val="24"/>
        </w:rPr>
      </w:pPr>
      <w:r>
        <w:rPr>
          <w:b/>
          <w:szCs w:val="24"/>
        </w:rPr>
        <w:br w:type="page"/>
      </w:r>
    </w:p>
    <w:p w14:paraId="33D32AFE" w14:textId="4FA970D7" w:rsidR="000D7D67" w:rsidRPr="00D948C1" w:rsidRDefault="00BE3374" w:rsidP="00BC6C4F">
      <w:pPr>
        <w:pStyle w:val="Heading2"/>
        <w:jc w:val="left"/>
        <w:rPr>
          <w:sz w:val="24"/>
          <w:szCs w:val="24"/>
        </w:rPr>
      </w:pPr>
      <w:bookmarkStart w:id="54" w:name="_14_Other_Long-Term"/>
      <w:bookmarkStart w:id="55" w:name="_Toc215593405"/>
      <w:bookmarkEnd w:id="54"/>
      <w:r w:rsidRPr="00D948C1">
        <w:rPr>
          <w:sz w:val="24"/>
          <w:szCs w:val="24"/>
        </w:rPr>
        <w:lastRenderedPageBreak/>
        <w:t>1</w:t>
      </w:r>
      <w:r w:rsidR="00B62A26">
        <w:rPr>
          <w:sz w:val="24"/>
          <w:szCs w:val="24"/>
        </w:rPr>
        <w:t>4</w:t>
      </w:r>
      <w:r w:rsidR="00D90216" w:rsidRPr="00D948C1">
        <w:rPr>
          <w:sz w:val="24"/>
          <w:szCs w:val="24"/>
        </w:rPr>
        <w:tab/>
      </w:r>
      <w:bookmarkStart w:id="56" w:name="N13"/>
      <w:bookmarkEnd w:id="56"/>
      <w:r w:rsidR="000D7D67" w:rsidRPr="00D948C1">
        <w:rPr>
          <w:sz w:val="24"/>
          <w:szCs w:val="24"/>
        </w:rPr>
        <w:t>Other Long</w:t>
      </w:r>
      <w:r w:rsidR="00A16368" w:rsidRPr="00D948C1">
        <w:rPr>
          <w:sz w:val="24"/>
          <w:szCs w:val="24"/>
        </w:rPr>
        <w:t>-</w:t>
      </w:r>
      <w:r w:rsidR="000D7D67" w:rsidRPr="00D948C1">
        <w:rPr>
          <w:sz w:val="24"/>
          <w:szCs w:val="24"/>
        </w:rPr>
        <w:t>Term Liabilities</w:t>
      </w:r>
      <w:bookmarkEnd w:id="55"/>
    </w:p>
    <w:p w14:paraId="47252286" w14:textId="77777777" w:rsidR="000D7D67" w:rsidRPr="00D948C1" w:rsidRDefault="000D7D67" w:rsidP="00BC6C4F">
      <w:pPr>
        <w:rPr>
          <w:sz w:val="22"/>
        </w:rPr>
      </w:pPr>
    </w:p>
    <w:p w14:paraId="76AA36C2" w14:textId="0E612907" w:rsidR="000D7D67" w:rsidRPr="00D948C1" w:rsidRDefault="000D7D67" w:rsidP="00BC6C4F">
      <w:pPr>
        <w:pStyle w:val="01-NormInd1-BB"/>
        <w:jc w:val="left"/>
        <w:rPr>
          <w:rFonts w:eastAsia="Times New Roman"/>
          <w:sz w:val="24"/>
          <w:szCs w:val="24"/>
        </w:rPr>
      </w:pPr>
      <w:r w:rsidRPr="00D948C1">
        <w:rPr>
          <w:rFonts w:eastAsia="Times New Roman"/>
          <w:sz w:val="24"/>
          <w:szCs w:val="24"/>
        </w:rPr>
        <w:t>Other long</w:t>
      </w:r>
      <w:r w:rsidR="00A16368" w:rsidRPr="00D948C1">
        <w:rPr>
          <w:rFonts w:eastAsia="Times New Roman"/>
          <w:sz w:val="24"/>
          <w:szCs w:val="24"/>
        </w:rPr>
        <w:t>-</w:t>
      </w:r>
      <w:r w:rsidRPr="00D948C1">
        <w:rPr>
          <w:rFonts w:eastAsia="Times New Roman"/>
          <w:sz w:val="24"/>
          <w:szCs w:val="24"/>
        </w:rPr>
        <w:t>term liabilities comprise the following:</w:t>
      </w:r>
    </w:p>
    <w:p w14:paraId="7B03A6A3" w14:textId="77777777" w:rsidR="000D7D67" w:rsidRPr="00D948C1" w:rsidRDefault="000D7D67" w:rsidP="000D7D67">
      <w:pPr>
        <w:pStyle w:val="01-NormInd1-BB"/>
        <w:rPr>
          <w:rFonts w:eastAsia="Times New Roman"/>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701"/>
        <w:gridCol w:w="1701"/>
      </w:tblGrid>
      <w:tr w:rsidR="001318F9" w:rsidRPr="00D948C1" w14:paraId="408F8D67" w14:textId="77777777" w:rsidTr="00611673">
        <w:trPr>
          <w:tblHeader/>
        </w:trPr>
        <w:tc>
          <w:tcPr>
            <w:tcW w:w="4536" w:type="dxa"/>
            <w:shd w:val="clear" w:color="auto" w:fill="BD2716"/>
          </w:tcPr>
          <w:p w14:paraId="561CA649" w14:textId="77777777" w:rsidR="001318F9" w:rsidRPr="00D948C1" w:rsidRDefault="001318F9" w:rsidP="001318F9">
            <w:pPr>
              <w:jc w:val="both"/>
              <w:rPr>
                <w:b/>
                <w:color w:val="FFFFFF" w:themeColor="background1"/>
                <w:szCs w:val="24"/>
              </w:rPr>
            </w:pPr>
          </w:p>
        </w:tc>
        <w:tc>
          <w:tcPr>
            <w:tcW w:w="1701" w:type="dxa"/>
            <w:shd w:val="clear" w:color="auto" w:fill="BD2716"/>
            <w:vAlign w:val="center"/>
          </w:tcPr>
          <w:p w14:paraId="74D47CC2" w14:textId="72B62FD1"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24242E17" w14:textId="16C31C36"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701" w:type="dxa"/>
            <w:shd w:val="clear" w:color="auto" w:fill="BD2716"/>
            <w:vAlign w:val="center"/>
          </w:tcPr>
          <w:p w14:paraId="557232D7" w14:textId="3F49AB31"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4DCB666F" w14:textId="19154217"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r>
      <w:tr w:rsidR="006636C3" w:rsidRPr="00D948C1" w14:paraId="0FC67912" w14:textId="77777777" w:rsidTr="007641BA">
        <w:tc>
          <w:tcPr>
            <w:tcW w:w="4536" w:type="dxa"/>
          </w:tcPr>
          <w:p w14:paraId="6620A136" w14:textId="21C39C0B" w:rsidR="006636C3" w:rsidRPr="00D948C1" w:rsidRDefault="006636C3" w:rsidP="006636C3">
            <w:pPr>
              <w:rPr>
                <w:szCs w:val="24"/>
              </w:rPr>
            </w:pPr>
            <w:r w:rsidRPr="00D948C1">
              <w:rPr>
                <w:szCs w:val="24"/>
              </w:rPr>
              <w:t xml:space="preserve">Lease Liability </w:t>
            </w:r>
          </w:p>
        </w:tc>
        <w:tc>
          <w:tcPr>
            <w:tcW w:w="1701" w:type="dxa"/>
            <w:vAlign w:val="center"/>
          </w:tcPr>
          <w:p w14:paraId="0CD593EC" w14:textId="56AD31F0" w:rsidR="006636C3" w:rsidRPr="005A4E16" w:rsidRDefault="00F84668" w:rsidP="006636C3">
            <w:pPr>
              <w:tabs>
                <w:tab w:val="decimal" w:pos="648"/>
                <w:tab w:val="decimal" w:pos="738"/>
              </w:tabs>
              <w:jc w:val="right"/>
              <w:rPr>
                <w:szCs w:val="24"/>
              </w:rPr>
            </w:pPr>
            <w:r w:rsidRPr="005A4E16">
              <w:rPr>
                <w:szCs w:val="24"/>
              </w:rPr>
              <w:t>92</w:t>
            </w:r>
          </w:p>
        </w:tc>
        <w:tc>
          <w:tcPr>
            <w:tcW w:w="1701" w:type="dxa"/>
            <w:vAlign w:val="center"/>
          </w:tcPr>
          <w:p w14:paraId="196400F3" w14:textId="277AC652" w:rsidR="006636C3" w:rsidRPr="00D4698D" w:rsidRDefault="006636C3" w:rsidP="006636C3">
            <w:pPr>
              <w:tabs>
                <w:tab w:val="decimal" w:pos="648"/>
                <w:tab w:val="decimal" w:pos="738"/>
              </w:tabs>
              <w:jc w:val="right"/>
              <w:rPr>
                <w:szCs w:val="24"/>
              </w:rPr>
            </w:pPr>
            <w:r w:rsidRPr="00D4698D">
              <w:rPr>
                <w:szCs w:val="24"/>
              </w:rPr>
              <w:t>-</w:t>
            </w:r>
          </w:p>
        </w:tc>
      </w:tr>
      <w:tr w:rsidR="006636C3" w:rsidRPr="00D948C1" w14:paraId="5D067F2D" w14:textId="77777777" w:rsidTr="007641BA">
        <w:tc>
          <w:tcPr>
            <w:tcW w:w="4536" w:type="dxa"/>
          </w:tcPr>
          <w:p w14:paraId="4C1F7158" w14:textId="0F36929B" w:rsidR="006636C3" w:rsidRPr="00D948C1" w:rsidRDefault="006636C3" w:rsidP="006636C3">
            <w:pPr>
              <w:rPr>
                <w:szCs w:val="24"/>
              </w:rPr>
            </w:pPr>
            <w:r w:rsidRPr="00D948C1">
              <w:rPr>
                <w:szCs w:val="24"/>
              </w:rPr>
              <w:t xml:space="preserve">PFI Liability (see </w:t>
            </w:r>
            <w:hyperlink w:anchor="_15_PFI_Schemes" w:history="1">
              <w:r w:rsidR="00D017B4">
                <w:rPr>
                  <w:rStyle w:val="Hyperlink"/>
                  <w:szCs w:val="24"/>
                </w:rPr>
                <w:t>Note 15</w:t>
              </w:r>
            </w:hyperlink>
            <w:r w:rsidRPr="00D948C1">
              <w:rPr>
                <w:szCs w:val="24"/>
              </w:rPr>
              <w:t>)</w:t>
            </w:r>
          </w:p>
        </w:tc>
        <w:tc>
          <w:tcPr>
            <w:tcW w:w="1701" w:type="dxa"/>
            <w:vAlign w:val="center"/>
          </w:tcPr>
          <w:p w14:paraId="6D4C1395" w14:textId="2226E352" w:rsidR="006636C3" w:rsidRPr="005A4E16" w:rsidRDefault="00F61D67" w:rsidP="006636C3">
            <w:pPr>
              <w:tabs>
                <w:tab w:val="decimal" w:pos="648"/>
                <w:tab w:val="decimal" w:pos="738"/>
              </w:tabs>
              <w:jc w:val="right"/>
              <w:rPr>
                <w:szCs w:val="24"/>
              </w:rPr>
            </w:pPr>
            <w:r w:rsidRPr="005A4E16">
              <w:rPr>
                <w:szCs w:val="24"/>
              </w:rPr>
              <w:t>11,783</w:t>
            </w:r>
          </w:p>
        </w:tc>
        <w:tc>
          <w:tcPr>
            <w:tcW w:w="1701" w:type="dxa"/>
            <w:vAlign w:val="center"/>
          </w:tcPr>
          <w:p w14:paraId="0BFE0DD4" w14:textId="093AB6A1" w:rsidR="006636C3" w:rsidRPr="00D4698D" w:rsidRDefault="006636C3" w:rsidP="006636C3">
            <w:pPr>
              <w:tabs>
                <w:tab w:val="decimal" w:pos="648"/>
                <w:tab w:val="decimal" w:pos="738"/>
              </w:tabs>
              <w:jc w:val="right"/>
              <w:rPr>
                <w:szCs w:val="24"/>
              </w:rPr>
            </w:pPr>
            <w:r w:rsidRPr="00D4698D">
              <w:rPr>
                <w:szCs w:val="24"/>
              </w:rPr>
              <w:t>11,339</w:t>
            </w:r>
          </w:p>
        </w:tc>
      </w:tr>
      <w:tr w:rsidR="000811CC" w:rsidRPr="00D948C1" w14:paraId="52790330" w14:textId="77777777" w:rsidTr="007641BA">
        <w:tc>
          <w:tcPr>
            <w:tcW w:w="4536" w:type="dxa"/>
          </w:tcPr>
          <w:p w14:paraId="5D49CCCB" w14:textId="17D777B5" w:rsidR="000811CC" w:rsidRPr="00D948C1" w:rsidRDefault="000811CC" w:rsidP="000811CC">
            <w:pPr>
              <w:rPr>
                <w:szCs w:val="24"/>
              </w:rPr>
            </w:pPr>
            <w:r w:rsidRPr="00D948C1">
              <w:rPr>
                <w:szCs w:val="24"/>
              </w:rPr>
              <w:t xml:space="preserve">PFI Contractor Loan (see </w:t>
            </w:r>
            <w:hyperlink w:anchor="_15_PFI_Schemes" w:history="1">
              <w:r w:rsidR="00D017B4">
                <w:rPr>
                  <w:rStyle w:val="Hyperlink"/>
                  <w:szCs w:val="24"/>
                </w:rPr>
                <w:t>Note 15</w:t>
              </w:r>
            </w:hyperlink>
            <w:r w:rsidRPr="00D948C1">
              <w:rPr>
                <w:szCs w:val="24"/>
              </w:rPr>
              <w:t>)</w:t>
            </w:r>
          </w:p>
        </w:tc>
        <w:tc>
          <w:tcPr>
            <w:tcW w:w="1701" w:type="dxa"/>
            <w:vAlign w:val="center"/>
          </w:tcPr>
          <w:p w14:paraId="734273B7" w14:textId="5C2D12E1" w:rsidR="000811CC" w:rsidRPr="005A4E16" w:rsidRDefault="00F61D67" w:rsidP="000811CC">
            <w:pPr>
              <w:tabs>
                <w:tab w:val="decimal" w:pos="648"/>
                <w:tab w:val="decimal" w:pos="738"/>
              </w:tabs>
              <w:jc w:val="right"/>
              <w:rPr>
                <w:szCs w:val="24"/>
              </w:rPr>
            </w:pPr>
            <w:r w:rsidRPr="005A4E16">
              <w:rPr>
                <w:szCs w:val="24"/>
              </w:rPr>
              <w:t>35</w:t>
            </w:r>
          </w:p>
        </w:tc>
        <w:tc>
          <w:tcPr>
            <w:tcW w:w="1701" w:type="dxa"/>
            <w:vAlign w:val="center"/>
          </w:tcPr>
          <w:p w14:paraId="42A10F81" w14:textId="07ED5EEA" w:rsidR="000811CC" w:rsidRPr="00D4698D" w:rsidRDefault="000811CC" w:rsidP="000811CC">
            <w:pPr>
              <w:tabs>
                <w:tab w:val="decimal" w:pos="648"/>
                <w:tab w:val="decimal" w:pos="738"/>
              </w:tabs>
              <w:jc w:val="right"/>
              <w:rPr>
                <w:szCs w:val="24"/>
              </w:rPr>
            </w:pPr>
            <w:r w:rsidRPr="00D4698D">
              <w:rPr>
                <w:szCs w:val="24"/>
              </w:rPr>
              <w:t>40</w:t>
            </w:r>
          </w:p>
        </w:tc>
      </w:tr>
      <w:tr w:rsidR="000811CC" w:rsidRPr="00D948C1" w14:paraId="71241545" w14:textId="77777777" w:rsidTr="007641BA">
        <w:tc>
          <w:tcPr>
            <w:tcW w:w="4536" w:type="dxa"/>
          </w:tcPr>
          <w:p w14:paraId="077C249A" w14:textId="0F162C98" w:rsidR="000811CC" w:rsidRPr="00D948C1" w:rsidRDefault="000811CC" w:rsidP="000811CC">
            <w:pPr>
              <w:rPr>
                <w:szCs w:val="24"/>
              </w:rPr>
            </w:pPr>
            <w:r w:rsidRPr="00D948C1">
              <w:rPr>
                <w:szCs w:val="24"/>
              </w:rPr>
              <w:t xml:space="preserve">Pension Liability (see </w:t>
            </w:r>
            <w:hyperlink w:anchor="_16_Net_Liability" w:history="1">
              <w:r w:rsidR="00D017B4">
                <w:rPr>
                  <w:rStyle w:val="Hyperlink"/>
                  <w:szCs w:val="24"/>
                </w:rPr>
                <w:t>Note 16</w:t>
              </w:r>
            </w:hyperlink>
            <w:r w:rsidRPr="00D948C1">
              <w:rPr>
                <w:szCs w:val="24"/>
              </w:rPr>
              <w:t>)</w:t>
            </w:r>
          </w:p>
        </w:tc>
        <w:tc>
          <w:tcPr>
            <w:tcW w:w="1701" w:type="dxa"/>
            <w:vAlign w:val="center"/>
          </w:tcPr>
          <w:p w14:paraId="4094EB75" w14:textId="69ADC9D1" w:rsidR="000811CC" w:rsidRPr="005A4E16" w:rsidRDefault="00DA1583" w:rsidP="000811CC">
            <w:pPr>
              <w:tabs>
                <w:tab w:val="decimal" w:pos="648"/>
                <w:tab w:val="decimal" w:pos="738"/>
              </w:tabs>
              <w:jc w:val="right"/>
              <w:rPr>
                <w:szCs w:val="24"/>
              </w:rPr>
            </w:pPr>
            <w:r w:rsidRPr="005A4E16">
              <w:rPr>
                <w:szCs w:val="24"/>
              </w:rPr>
              <w:t>588,430</w:t>
            </w:r>
          </w:p>
        </w:tc>
        <w:tc>
          <w:tcPr>
            <w:tcW w:w="1701" w:type="dxa"/>
            <w:vAlign w:val="center"/>
          </w:tcPr>
          <w:p w14:paraId="25B8ADA0" w14:textId="2F58C610" w:rsidR="000811CC" w:rsidRPr="00D4698D" w:rsidRDefault="000811CC" w:rsidP="000811CC">
            <w:pPr>
              <w:tabs>
                <w:tab w:val="decimal" w:pos="648"/>
                <w:tab w:val="decimal" w:pos="738"/>
              </w:tabs>
              <w:jc w:val="right"/>
              <w:rPr>
                <w:szCs w:val="24"/>
              </w:rPr>
            </w:pPr>
            <w:r w:rsidRPr="00D4698D">
              <w:rPr>
                <w:szCs w:val="24"/>
              </w:rPr>
              <w:t>651,920</w:t>
            </w:r>
          </w:p>
        </w:tc>
      </w:tr>
      <w:tr w:rsidR="000811CC" w:rsidRPr="00D948C1" w14:paraId="3BA5AAA1" w14:textId="77777777" w:rsidTr="007641BA">
        <w:tc>
          <w:tcPr>
            <w:tcW w:w="4536" w:type="dxa"/>
          </w:tcPr>
          <w:p w14:paraId="1050F01B" w14:textId="781EEDD0" w:rsidR="000811CC" w:rsidRPr="00D948C1" w:rsidRDefault="000811CC" w:rsidP="000811CC">
            <w:pPr>
              <w:rPr>
                <w:szCs w:val="24"/>
              </w:rPr>
            </w:pPr>
            <w:r w:rsidRPr="00D948C1">
              <w:rPr>
                <w:szCs w:val="24"/>
              </w:rPr>
              <w:t>Total</w:t>
            </w:r>
          </w:p>
        </w:tc>
        <w:tc>
          <w:tcPr>
            <w:tcW w:w="1701" w:type="dxa"/>
            <w:vAlign w:val="center"/>
          </w:tcPr>
          <w:p w14:paraId="0C17EEFD" w14:textId="03AB7C1F" w:rsidR="000811CC" w:rsidRPr="005A4E16" w:rsidRDefault="009139A5" w:rsidP="000811CC">
            <w:pPr>
              <w:tabs>
                <w:tab w:val="decimal" w:pos="648"/>
                <w:tab w:val="decimal" w:pos="738"/>
              </w:tabs>
              <w:jc w:val="right"/>
              <w:rPr>
                <w:szCs w:val="24"/>
              </w:rPr>
            </w:pPr>
            <w:r w:rsidRPr="00177AAF">
              <w:rPr>
                <w:szCs w:val="24"/>
              </w:rPr>
              <w:t>600,340</w:t>
            </w:r>
          </w:p>
        </w:tc>
        <w:tc>
          <w:tcPr>
            <w:tcW w:w="1701" w:type="dxa"/>
            <w:vAlign w:val="center"/>
          </w:tcPr>
          <w:p w14:paraId="755B8B65" w14:textId="1F50A65E" w:rsidR="000811CC" w:rsidRPr="00D4698D" w:rsidRDefault="000811CC" w:rsidP="000811CC">
            <w:pPr>
              <w:tabs>
                <w:tab w:val="decimal" w:pos="648"/>
                <w:tab w:val="decimal" w:pos="738"/>
              </w:tabs>
              <w:jc w:val="right"/>
              <w:rPr>
                <w:szCs w:val="24"/>
              </w:rPr>
            </w:pPr>
            <w:r w:rsidRPr="00D4698D">
              <w:rPr>
                <w:szCs w:val="24"/>
              </w:rPr>
              <w:t>663,299</w:t>
            </w:r>
          </w:p>
        </w:tc>
      </w:tr>
    </w:tbl>
    <w:p w14:paraId="5D8FAF37" w14:textId="77777777" w:rsidR="001F1736" w:rsidRPr="00D948C1" w:rsidRDefault="001F1736" w:rsidP="00D90216">
      <w:pPr>
        <w:rPr>
          <w:b/>
          <w:sz w:val="22"/>
        </w:rPr>
      </w:pPr>
    </w:p>
    <w:p w14:paraId="6C41AAD1" w14:textId="60F9F9A0" w:rsidR="00D90216" w:rsidRPr="00D948C1" w:rsidRDefault="001C592E" w:rsidP="00617696">
      <w:pPr>
        <w:pStyle w:val="Heading2"/>
        <w:jc w:val="left"/>
        <w:rPr>
          <w:sz w:val="24"/>
          <w:szCs w:val="24"/>
        </w:rPr>
      </w:pPr>
      <w:bookmarkStart w:id="57" w:name="_15_PFI_Schemes"/>
      <w:bookmarkStart w:id="58" w:name="_Toc215593406"/>
      <w:bookmarkEnd w:id="57"/>
      <w:r w:rsidRPr="00D948C1">
        <w:rPr>
          <w:sz w:val="24"/>
          <w:szCs w:val="24"/>
        </w:rPr>
        <w:t>1</w:t>
      </w:r>
      <w:r w:rsidR="00B62A26">
        <w:rPr>
          <w:sz w:val="24"/>
          <w:szCs w:val="24"/>
        </w:rPr>
        <w:t>5</w:t>
      </w:r>
      <w:r w:rsidR="000D7D67" w:rsidRPr="00D948C1">
        <w:rPr>
          <w:sz w:val="24"/>
          <w:szCs w:val="24"/>
        </w:rPr>
        <w:tab/>
      </w:r>
      <w:bookmarkStart w:id="59" w:name="N14"/>
      <w:bookmarkEnd w:id="59"/>
      <w:r w:rsidR="00D90216" w:rsidRPr="00D948C1">
        <w:rPr>
          <w:sz w:val="24"/>
          <w:szCs w:val="24"/>
        </w:rPr>
        <w:t>PFI Scheme</w:t>
      </w:r>
      <w:r w:rsidR="00217242" w:rsidRPr="00D948C1">
        <w:rPr>
          <w:sz w:val="24"/>
          <w:szCs w:val="24"/>
        </w:rPr>
        <w:t>s</w:t>
      </w:r>
      <w:bookmarkEnd w:id="58"/>
    </w:p>
    <w:p w14:paraId="2E430BF6" w14:textId="77777777" w:rsidR="00D90216" w:rsidRPr="00D948C1" w:rsidRDefault="00D90216" w:rsidP="00617696">
      <w:pPr>
        <w:rPr>
          <w:b/>
          <w:szCs w:val="24"/>
        </w:rPr>
      </w:pPr>
    </w:p>
    <w:p w14:paraId="5D2EB5E8" w14:textId="77777777" w:rsidR="001E0613" w:rsidRPr="009B133F" w:rsidRDefault="001E0613" w:rsidP="22FF31C3">
      <w:pPr>
        <w:ind w:left="720"/>
      </w:pPr>
      <w:r w:rsidRPr="009B133F">
        <w:t>The Authority operates two PFI schemes with separate Private Sector Partners (PSP), details of which are as follows:</w:t>
      </w:r>
    </w:p>
    <w:p w14:paraId="64056171" w14:textId="77777777" w:rsidR="001E0613" w:rsidRPr="00D948C1" w:rsidRDefault="001E0613" w:rsidP="22FF31C3">
      <w:pPr>
        <w:ind w:left="720"/>
        <w:rPr>
          <w:highlight w:val="green"/>
        </w:rPr>
      </w:pPr>
    </w:p>
    <w:p w14:paraId="3D7815ED" w14:textId="77777777" w:rsidR="001E0613" w:rsidRPr="009B133F" w:rsidRDefault="001E0613" w:rsidP="22FF31C3">
      <w:pPr>
        <w:ind w:left="720"/>
      </w:pPr>
      <w:r w:rsidRPr="009B133F">
        <w:t>PFF Lancashire L</w:t>
      </w:r>
      <w:r w:rsidR="009E2E4B" w:rsidRPr="009B133F">
        <w:t>imi</w:t>
      </w:r>
      <w:r w:rsidRPr="009B133F">
        <w:t>t</w:t>
      </w:r>
      <w:r w:rsidR="009E2E4B" w:rsidRPr="009B133F">
        <w:t>e</w:t>
      </w:r>
      <w:r w:rsidRPr="009B133F">
        <w:t>d</w:t>
      </w:r>
    </w:p>
    <w:p w14:paraId="42EDF1D3" w14:textId="77777777" w:rsidR="001E0613" w:rsidRPr="009B133F" w:rsidRDefault="001E0613" w:rsidP="22FF31C3">
      <w:pPr>
        <w:ind w:left="720"/>
      </w:pPr>
    </w:p>
    <w:p w14:paraId="3D63057E" w14:textId="77777777" w:rsidR="00D90216" w:rsidRPr="009B133F" w:rsidRDefault="00D90216" w:rsidP="22FF31C3">
      <w:pPr>
        <w:ind w:left="720"/>
      </w:pPr>
      <w:r w:rsidRPr="009B133F">
        <w:t xml:space="preserve">The Authority signed a contract in May 2002 with a Private Sector Partner (PSP), a consortium known as PFF Lancashire Limited, under the Government's Private Finance Initiative, for two fire stations at Morecambe and Hyndburn. </w:t>
      </w:r>
    </w:p>
    <w:p w14:paraId="1AD68473" w14:textId="77777777" w:rsidR="00D90216" w:rsidRPr="009B133F" w:rsidRDefault="00D90216" w:rsidP="22FF31C3">
      <w:pPr>
        <w:ind w:left="720"/>
      </w:pPr>
    </w:p>
    <w:p w14:paraId="32A3E2CE" w14:textId="16AD2B99" w:rsidR="00D90216" w:rsidRPr="00D948C1" w:rsidRDefault="00D90216" w:rsidP="00617696">
      <w:pPr>
        <w:ind w:left="720"/>
      </w:pPr>
      <w:r w:rsidRPr="009B133F">
        <w:t xml:space="preserve">Under the contract the Authority pays an annual unitary charge to </w:t>
      </w:r>
      <w:r w:rsidR="00217242" w:rsidRPr="009B133F">
        <w:t>PFF Lancashire</w:t>
      </w:r>
      <w:r w:rsidRPr="009B133F">
        <w:t xml:space="preserve"> </w:t>
      </w:r>
      <w:r w:rsidR="009E2E4B" w:rsidRPr="009B133F">
        <w:t xml:space="preserve">Limited </w:t>
      </w:r>
      <w:r w:rsidRPr="009B133F">
        <w:t>for service</w:t>
      </w:r>
      <w:r w:rsidR="00217242" w:rsidRPr="009B133F">
        <w:t>d</w:t>
      </w:r>
      <w:r w:rsidRPr="009B133F">
        <w:t xml:space="preserve"> accommodation over the life of the 30-year contract, commencing in 2003/04.</w:t>
      </w:r>
      <w:r w:rsidR="000F28B4" w:rsidRPr="009B133F">
        <w:t xml:space="preserve"> </w:t>
      </w:r>
      <w:r w:rsidRPr="009B133F">
        <w:t xml:space="preserve">The buildings and any plant installed in them at the end of the contract will be transferred to the </w:t>
      </w:r>
      <w:r w:rsidRPr="00753FD3">
        <w:t>Authority for nil consideration.</w:t>
      </w:r>
      <w:r w:rsidR="00607136" w:rsidRPr="00753FD3">
        <w:t xml:space="preserve"> </w:t>
      </w:r>
      <w:r w:rsidRPr="00D17655">
        <w:t xml:space="preserve">The estimated capital value of the scheme at the point of </w:t>
      </w:r>
      <w:r w:rsidRPr="00753FD3">
        <w:t>financial close was £3.500m.</w:t>
      </w:r>
    </w:p>
    <w:p w14:paraId="5440C70F" w14:textId="77777777" w:rsidR="00D90216" w:rsidRPr="00D948C1" w:rsidRDefault="00D90216" w:rsidP="00617696">
      <w:pPr>
        <w:ind w:left="720"/>
        <w:rPr>
          <w:szCs w:val="24"/>
        </w:rPr>
      </w:pPr>
    </w:p>
    <w:p w14:paraId="54217C90" w14:textId="1B4EC891" w:rsidR="00A50E0F" w:rsidRPr="00D948C1" w:rsidRDefault="00A50E0F" w:rsidP="00617696">
      <w:pPr>
        <w:ind w:left="720"/>
      </w:pPr>
      <w:r w:rsidRPr="009B133F">
        <w:t>Under the contract PFF Lancashire L</w:t>
      </w:r>
      <w:r w:rsidR="009E2E4B" w:rsidRPr="009B133F">
        <w:t>imi</w:t>
      </w:r>
      <w:r w:rsidRPr="009B133F">
        <w:t>t</w:t>
      </w:r>
      <w:r w:rsidR="009E2E4B" w:rsidRPr="009B133F">
        <w:t>e</w:t>
      </w:r>
      <w:r w:rsidRPr="009B133F">
        <w:t xml:space="preserve">d </w:t>
      </w:r>
      <w:r w:rsidR="005436A9" w:rsidRPr="009B133F">
        <w:t>contributed</w:t>
      </w:r>
      <w:r w:rsidRPr="009B133F">
        <w:t xml:space="preserve"> £0.150m towards the development costs, which is repaid through the annual unitary charge on the life of the 30-year contract commencing in 2005/06.</w:t>
      </w:r>
      <w:r w:rsidR="00607136" w:rsidRPr="009B133F">
        <w:t xml:space="preserve"> </w:t>
      </w:r>
      <w:r w:rsidRPr="009B133F">
        <w:t>In accordance with recommended accounting practice, the reimbursement has been classed as a loan and the liability reflected as such in the Authori</w:t>
      </w:r>
      <w:r w:rsidR="00251BB2" w:rsidRPr="009B133F">
        <w:t xml:space="preserve">ty’s accounts. </w:t>
      </w:r>
      <w:proofErr w:type="gramStart"/>
      <w:r w:rsidR="00251BB2" w:rsidRPr="009B133F">
        <w:t>At</w:t>
      </w:r>
      <w:proofErr w:type="gramEnd"/>
      <w:r w:rsidR="00251BB2" w:rsidRPr="009B133F">
        <w:t xml:space="preserve"> 31 March 202</w:t>
      </w:r>
      <w:r w:rsidR="001318F9" w:rsidRPr="009B133F">
        <w:t>4</w:t>
      </w:r>
      <w:r w:rsidRPr="009B133F">
        <w:t xml:space="preserve"> the </w:t>
      </w:r>
      <w:r w:rsidR="000756D9" w:rsidRPr="009B133F">
        <w:t xml:space="preserve">total </w:t>
      </w:r>
      <w:r w:rsidRPr="009B133F">
        <w:t>outstanding loan was £0.</w:t>
      </w:r>
      <w:r w:rsidR="00EE1D91" w:rsidRPr="009B133F">
        <w:t>0</w:t>
      </w:r>
      <w:r w:rsidR="00DC5E1C" w:rsidRPr="009B133F">
        <w:t>4</w:t>
      </w:r>
      <w:r w:rsidR="005D3C2B" w:rsidRPr="009B133F">
        <w:t>0</w:t>
      </w:r>
      <w:r w:rsidRPr="009B133F">
        <w:t>m (20</w:t>
      </w:r>
      <w:r w:rsidR="006B2155" w:rsidRPr="009B133F">
        <w:t>2</w:t>
      </w:r>
      <w:r w:rsidR="005D3C2B" w:rsidRPr="009B133F">
        <w:t>3</w:t>
      </w:r>
      <w:r w:rsidR="006B2155" w:rsidRPr="009B133F">
        <w:t>/2</w:t>
      </w:r>
      <w:r w:rsidR="005D3C2B" w:rsidRPr="009B133F">
        <w:t>4</w:t>
      </w:r>
      <w:r w:rsidRPr="009B133F">
        <w:t>: £0.</w:t>
      </w:r>
      <w:r w:rsidR="005D3C2B" w:rsidRPr="009B133F">
        <w:t>04</w:t>
      </w:r>
      <w:r w:rsidR="006138F7" w:rsidRPr="009B133F">
        <w:t>5</w:t>
      </w:r>
      <w:r w:rsidRPr="009B133F">
        <w:t>m).</w:t>
      </w:r>
    </w:p>
    <w:p w14:paraId="23B492A8" w14:textId="77777777" w:rsidR="00A50E0F" w:rsidRPr="00D948C1" w:rsidRDefault="00A50E0F" w:rsidP="00617696">
      <w:pPr>
        <w:ind w:left="720"/>
        <w:rPr>
          <w:szCs w:val="24"/>
        </w:rPr>
      </w:pPr>
    </w:p>
    <w:p w14:paraId="616AF18C" w14:textId="700CC162" w:rsidR="001E0613" w:rsidRPr="00D948C1" w:rsidRDefault="003230DB" w:rsidP="00617696">
      <w:pPr>
        <w:ind w:left="720"/>
        <w:rPr>
          <w:szCs w:val="24"/>
        </w:rPr>
      </w:pPr>
      <w:r w:rsidRPr="00D948C1">
        <w:rPr>
          <w:szCs w:val="24"/>
        </w:rPr>
        <w:t>F</w:t>
      </w:r>
      <w:r w:rsidR="001E0613" w:rsidRPr="00D948C1">
        <w:rPr>
          <w:szCs w:val="24"/>
        </w:rPr>
        <w:t>ire and Rescue NW L</w:t>
      </w:r>
      <w:r w:rsidR="002B520D" w:rsidRPr="00D948C1">
        <w:rPr>
          <w:szCs w:val="24"/>
        </w:rPr>
        <w:t>imi</w:t>
      </w:r>
      <w:r w:rsidR="001E0613" w:rsidRPr="00D948C1">
        <w:rPr>
          <w:szCs w:val="24"/>
        </w:rPr>
        <w:t>t</w:t>
      </w:r>
      <w:r w:rsidR="002B520D" w:rsidRPr="00D948C1">
        <w:rPr>
          <w:szCs w:val="24"/>
        </w:rPr>
        <w:t>e</w:t>
      </w:r>
      <w:r w:rsidR="001E0613" w:rsidRPr="00D948C1">
        <w:rPr>
          <w:szCs w:val="24"/>
        </w:rPr>
        <w:t>d</w:t>
      </w:r>
    </w:p>
    <w:p w14:paraId="5EC182BD" w14:textId="77777777" w:rsidR="001E0613" w:rsidRPr="00D948C1" w:rsidRDefault="001E0613" w:rsidP="00617696">
      <w:pPr>
        <w:ind w:left="720"/>
        <w:rPr>
          <w:szCs w:val="24"/>
        </w:rPr>
      </w:pPr>
    </w:p>
    <w:p w14:paraId="40C188AB" w14:textId="2B6C9AF5" w:rsidR="00217242" w:rsidRPr="001E2FC0" w:rsidRDefault="00217242" w:rsidP="22FF31C3">
      <w:pPr>
        <w:ind w:left="720"/>
      </w:pPr>
      <w:r w:rsidRPr="001E2FC0">
        <w:t>The Authority is also involved in a second PFI project, with Merseyside Fire and Rescue Authority and Cumbria County Council to deliver 16 new fire stations, 4 of which will be in Lancashire. Contracts were signed with Balfour Beatty Fire and Rescue NW L</w:t>
      </w:r>
      <w:r w:rsidR="002B520D" w:rsidRPr="001E2FC0">
        <w:t>imi</w:t>
      </w:r>
      <w:r w:rsidRPr="001E2FC0">
        <w:t>t</w:t>
      </w:r>
      <w:r w:rsidR="002B520D" w:rsidRPr="001E2FC0">
        <w:t>e</w:t>
      </w:r>
      <w:r w:rsidRPr="001E2FC0">
        <w:t>d in February 2011, with phased construction beginning in 2011/12 and completing in 2013/14.</w:t>
      </w:r>
    </w:p>
    <w:p w14:paraId="7ED66E80" w14:textId="035A2D9F" w:rsidR="006B2155" w:rsidRPr="001E2FC0" w:rsidRDefault="006B2155" w:rsidP="22FF31C3">
      <w:pPr>
        <w:ind w:left="720"/>
      </w:pPr>
    </w:p>
    <w:p w14:paraId="3594EFD3" w14:textId="00817463" w:rsidR="006B2155" w:rsidRPr="001E2FC0" w:rsidRDefault="006B2155" w:rsidP="22FF31C3">
      <w:pPr>
        <w:ind w:left="720"/>
      </w:pPr>
      <w:r w:rsidRPr="001E2FC0">
        <w:t xml:space="preserve">Balfour Beatty sold its’ interest in the PFI scheme </w:t>
      </w:r>
      <w:r w:rsidR="005A0490" w:rsidRPr="001E2FC0">
        <w:t xml:space="preserve">in July 2021 </w:t>
      </w:r>
      <w:r w:rsidRPr="001E2FC0">
        <w:t xml:space="preserve">to BBGI, a company who already operates several PFI schemes in the UK including within the emergency services sector. BBGI undertook a </w:t>
      </w:r>
      <w:r w:rsidR="00CF111B" w:rsidRPr="001E2FC0">
        <w:t>refinancing</w:t>
      </w:r>
      <w:r w:rsidRPr="001E2FC0">
        <w:t xml:space="preserve"> deal </w:t>
      </w:r>
      <w:r w:rsidR="000B73C5" w:rsidRPr="001E2FC0">
        <w:t>in December 2021</w:t>
      </w:r>
      <w:r w:rsidR="005A0490" w:rsidRPr="001E2FC0">
        <w:t>, resulting in a one-off saving of £0.9m for the three authorities, of which Lancashire’s share was £0.2m</w:t>
      </w:r>
      <w:r w:rsidR="000B73C5" w:rsidRPr="001E2FC0">
        <w:t>.</w:t>
      </w:r>
    </w:p>
    <w:p w14:paraId="5BA4D333" w14:textId="77777777" w:rsidR="00217242" w:rsidRPr="001E2FC0" w:rsidRDefault="00217242" w:rsidP="00617696">
      <w:pPr>
        <w:ind w:left="720"/>
        <w:rPr>
          <w:szCs w:val="24"/>
        </w:rPr>
      </w:pPr>
    </w:p>
    <w:p w14:paraId="5D472584" w14:textId="4BF57073" w:rsidR="00217242" w:rsidRPr="00753FD3" w:rsidRDefault="00217242" w:rsidP="22FF31C3">
      <w:pPr>
        <w:ind w:left="720"/>
      </w:pPr>
      <w:r w:rsidRPr="001E2FC0">
        <w:t>Under the contract the Authority pays an annual unitary charge to Fire and Rescue NW L</w:t>
      </w:r>
      <w:r w:rsidR="002B520D" w:rsidRPr="001E2FC0">
        <w:t>imi</w:t>
      </w:r>
      <w:r w:rsidRPr="001E2FC0">
        <w:t>t</w:t>
      </w:r>
      <w:r w:rsidR="002B520D" w:rsidRPr="001E2FC0">
        <w:t>e</w:t>
      </w:r>
      <w:r w:rsidRPr="001E2FC0">
        <w:t xml:space="preserve">d for serviced accommodation over the life of the contract, </w:t>
      </w:r>
      <w:r w:rsidR="008B45EF" w:rsidRPr="001E2FC0">
        <w:t xml:space="preserve">which runs for 25 years from initial handover of each station </w:t>
      </w:r>
      <w:r w:rsidRPr="00753FD3">
        <w:t xml:space="preserve">commencing in </w:t>
      </w:r>
      <w:r w:rsidR="008B45EF" w:rsidRPr="00753FD3">
        <w:t xml:space="preserve">March </w:t>
      </w:r>
      <w:r w:rsidRPr="00753FD3">
        <w:t>20</w:t>
      </w:r>
      <w:r w:rsidR="008B45EF" w:rsidRPr="00753FD3">
        <w:t>11</w:t>
      </w:r>
      <w:r w:rsidRPr="00753FD3">
        <w:t>/</w:t>
      </w:r>
      <w:r w:rsidR="008B45EF" w:rsidRPr="00753FD3">
        <w:t>12 for the Authority</w:t>
      </w:r>
      <w:r w:rsidRPr="00753FD3">
        <w:t xml:space="preserve">. The buildings and any plant installed in them at the end of the contract will be transferred to the Authority for </w:t>
      </w:r>
      <w:r w:rsidRPr="00753FD3">
        <w:lastRenderedPageBreak/>
        <w:t xml:space="preserve">nil consideration. The estimated capital value of the </w:t>
      </w:r>
      <w:r w:rsidR="008B45EF" w:rsidRPr="00753FD3">
        <w:t xml:space="preserve">total </w:t>
      </w:r>
      <w:r w:rsidRPr="00753FD3">
        <w:t>scheme at the point of financial close was £</w:t>
      </w:r>
      <w:r w:rsidR="008B45EF" w:rsidRPr="00753FD3">
        <w:t>47.886m, and for the Authority was £12.161m</w:t>
      </w:r>
      <w:r w:rsidRPr="00753FD3">
        <w:t>.</w:t>
      </w:r>
    </w:p>
    <w:p w14:paraId="3EBBA344" w14:textId="77777777" w:rsidR="00BE1512" w:rsidRPr="00D948C1" w:rsidRDefault="00BE1512" w:rsidP="22FF31C3">
      <w:pPr>
        <w:rPr>
          <w:highlight w:val="red"/>
        </w:rPr>
      </w:pPr>
    </w:p>
    <w:p w14:paraId="2CF61D76" w14:textId="01BCB014" w:rsidR="00217242" w:rsidRPr="00AA3AD2" w:rsidRDefault="005A3979" w:rsidP="22FF31C3">
      <w:pPr>
        <w:ind w:left="720"/>
      </w:pPr>
      <w:r w:rsidRPr="00AA3AD2">
        <w:t>All PFI Schemes</w:t>
      </w:r>
    </w:p>
    <w:p w14:paraId="78D506D7" w14:textId="77777777" w:rsidR="00217242" w:rsidRPr="00AA3AD2" w:rsidRDefault="00217242" w:rsidP="22FF31C3">
      <w:pPr>
        <w:ind w:left="720"/>
      </w:pPr>
    </w:p>
    <w:p w14:paraId="1F74512E" w14:textId="21E7CE3C" w:rsidR="00D90216" w:rsidRPr="00AA3AD2" w:rsidRDefault="00217242" w:rsidP="22FF31C3">
      <w:pPr>
        <w:ind w:left="720"/>
      </w:pPr>
      <w:r w:rsidRPr="00AA3AD2">
        <w:t>All PFI</w:t>
      </w:r>
      <w:r w:rsidR="00D90216" w:rsidRPr="00AA3AD2">
        <w:t xml:space="preserve"> stations are recognised on the Authority’s Balance Sheet</w:t>
      </w:r>
      <w:r w:rsidRPr="00AA3AD2">
        <w:t xml:space="preserve"> from the date of </w:t>
      </w:r>
      <w:r w:rsidR="008B45EF" w:rsidRPr="00AA3AD2">
        <w:t xml:space="preserve">initial </w:t>
      </w:r>
      <w:r w:rsidRPr="00AA3AD2">
        <w:t>handover</w:t>
      </w:r>
      <w:r w:rsidR="00D90216" w:rsidRPr="00AA3AD2">
        <w:t xml:space="preserve">. Movements in their value over the year are detailed in the analysis of the movement on Property, Plant &amp; Equipment balance in </w:t>
      </w:r>
      <w:hyperlink w:anchor="N6">
        <w:r w:rsidR="007C6DCB" w:rsidRPr="00AA3AD2">
          <w:rPr>
            <w:rStyle w:val="Hyperlink"/>
          </w:rPr>
          <w:t>N</w:t>
        </w:r>
        <w:r w:rsidR="00D90216" w:rsidRPr="00AA3AD2">
          <w:rPr>
            <w:rStyle w:val="Hyperlink"/>
          </w:rPr>
          <w:t xml:space="preserve">ote </w:t>
        </w:r>
        <w:r w:rsidR="00903724" w:rsidRPr="00AA3AD2">
          <w:rPr>
            <w:rStyle w:val="Hyperlink"/>
          </w:rPr>
          <w:t>6</w:t>
        </w:r>
      </w:hyperlink>
      <w:r w:rsidR="00D90216" w:rsidRPr="00AA3AD2">
        <w:t xml:space="preserve">. </w:t>
      </w:r>
    </w:p>
    <w:p w14:paraId="4C5B1AEA" w14:textId="77777777" w:rsidR="000669A4" w:rsidRPr="00AA3AD2" w:rsidRDefault="000669A4" w:rsidP="22FF31C3">
      <w:pPr>
        <w:ind w:left="720"/>
      </w:pPr>
    </w:p>
    <w:p w14:paraId="5E246E9A" w14:textId="5C0FF620" w:rsidR="00BB58EF" w:rsidRDefault="00D90216" w:rsidP="22FF31C3">
      <w:pPr>
        <w:ind w:left="720"/>
      </w:pPr>
      <w:r w:rsidRPr="00AA3AD2">
        <w:t>Payments made under the contract</w:t>
      </w:r>
      <w:r w:rsidR="005A3979" w:rsidRPr="00AA3AD2">
        <w:t>s</w:t>
      </w:r>
      <w:r w:rsidRPr="00AA3AD2">
        <w:t xml:space="preserve"> are performance related, so deductions are made if parts of the building are not available or if service performance (including maintenance) falls below an agreed standard. The Authority makes an agreed payment each year which is increased by inflation and can be reduced if the contractor fails to meet availability and performance standards in any </w:t>
      </w:r>
      <w:r w:rsidR="00C35551" w:rsidRPr="00AA3AD2">
        <w:t>year but</w:t>
      </w:r>
      <w:r w:rsidRPr="00AA3AD2">
        <w:t xml:space="preserve"> is otherwise fixed. In addition, the Authority receives Government Grant to offset some of these costs.</w:t>
      </w:r>
    </w:p>
    <w:p w14:paraId="7DBF3660" w14:textId="77777777" w:rsidR="00445B27" w:rsidRDefault="00445B27" w:rsidP="22FF31C3">
      <w:pPr>
        <w:ind w:left="720"/>
      </w:pPr>
    </w:p>
    <w:p w14:paraId="0BEF11F5" w14:textId="43FF0877" w:rsidR="00445B27" w:rsidRDefault="00445B27" w:rsidP="22FF31C3">
      <w:pPr>
        <w:ind w:left="720"/>
      </w:pPr>
      <w:r>
        <w:t>The following table</w:t>
      </w:r>
      <w:r w:rsidR="004B7558">
        <w:t>s</w:t>
      </w:r>
      <w:r>
        <w:t xml:space="preserve"> </w:t>
      </w:r>
      <w:r w:rsidR="00AE1815">
        <w:t>show the impact on</w:t>
      </w:r>
      <w:r w:rsidR="00D8170B">
        <w:t xml:space="preserve"> the Movement in Reserves (</w:t>
      </w:r>
      <w:proofErr w:type="spellStart"/>
      <w:r w:rsidR="00D8170B">
        <w:t>MiRS</w:t>
      </w:r>
      <w:proofErr w:type="spellEnd"/>
      <w:r w:rsidR="00D8170B">
        <w:t>) and Comprehensive</w:t>
      </w:r>
      <w:r w:rsidR="00071F6A">
        <w:t xml:space="preserve"> Income</w:t>
      </w:r>
      <w:r w:rsidR="00D8170B">
        <w:t xml:space="preserve"> and</w:t>
      </w:r>
      <w:r w:rsidR="00AE1815">
        <w:t xml:space="preserve"> </w:t>
      </w:r>
      <w:r w:rsidR="00071F6A">
        <w:t xml:space="preserve">Expenditure Statement (CIES) for </w:t>
      </w:r>
      <w:r w:rsidR="00AE1815">
        <w:t xml:space="preserve">both PFI schemes </w:t>
      </w:r>
      <w:r w:rsidR="007774E5">
        <w:t xml:space="preserve">after the </w:t>
      </w:r>
      <w:r w:rsidR="00071F6A">
        <w:t>transition</w:t>
      </w:r>
      <w:r w:rsidR="007774E5">
        <w:t xml:space="preserve"> from IAS 17 to IFRS 16</w:t>
      </w:r>
      <w:r w:rsidR="00B6285F">
        <w:t xml:space="preserve"> on 1 April 2024</w:t>
      </w:r>
      <w:r w:rsidR="00D5336C">
        <w:t>, prior to indexation</w:t>
      </w:r>
      <w:r w:rsidR="007774E5">
        <w:t>:</w:t>
      </w:r>
    </w:p>
    <w:p w14:paraId="29A98323" w14:textId="77777777" w:rsidR="00071F6A" w:rsidRDefault="00071F6A" w:rsidP="22FF31C3">
      <w:pPr>
        <w:ind w:left="720"/>
      </w:pPr>
    </w:p>
    <w:tbl>
      <w:tblPr>
        <w:tblStyle w:val="TableGrid"/>
        <w:tblW w:w="6617" w:type="dxa"/>
        <w:tblInd w:w="720" w:type="dxa"/>
        <w:tblLook w:val="04A0" w:firstRow="1" w:lastRow="0" w:firstColumn="1" w:lastColumn="0" w:noHBand="0" w:noVBand="1"/>
      </w:tblPr>
      <w:tblGrid>
        <w:gridCol w:w="2483"/>
        <w:gridCol w:w="1378"/>
        <w:gridCol w:w="1378"/>
        <w:gridCol w:w="1378"/>
      </w:tblGrid>
      <w:tr w:rsidR="00367305" w14:paraId="4F308B23" w14:textId="77777777" w:rsidTr="00D4698D">
        <w:tc>
          <w:tcPr>
            <w:tcW w:w="2483" w:type="dxa"/>
            <w:shd w:val="clear" w:color="auto" w:fill="BD2716"/>
            <w:vAlign w:val="center"/>
          </w:tcPr>
          <w:p w14:paraId="286C5110" w14:textId="292ECE08" w:rsidR="00367305" w:rsidRPr="007656CC" w:rsidRDefault="00367305" w:rsidP="00D43E45">
            <w:pPr>
              <w:rPr>
                <w:color w:val="FFFFFF" w:themeColor="background1"/>
              </w:rPr>
            </w:pPr>
            <w:proofErr w:type="spellStart"/>
            <w:r>
              <w:rPr>
                <w:color w:val="FFFFFF" w:themeColor="background1"/>
              </w:rPr>
              <w:t>MiRS</w:t>
            </w:r>
            <w:proofErr w:type="spellEnd"/>
          </w:p>
        </w:tc>
        <w:tc>
          <w:tcPr>
            <w:tcW w:w="1378" w:type="dxa"/>
            <w:shd w:val="clear" w:color="auto" w:fill="BD2716"/>
            <w:vAlign w:val="center"/>
          </w:tcPr>
          <w:p w14:paraId="5E6E91AD" w14:textId="29E16935" w:rsidR="00367305" w:rsidRPr="007656CC" w:rsidRDefault="00367305" w:rsidP="007656CC">
            <w:pPr>
              <w:jc w:val="right"/>
              <w:rPr>
                <w:color w:val="FFFFFF" w:themeColor="background1"/>
              </w:rPr>
            </w:pPr>
            <w:r>
              <w:rPr>
                <w:color w:val="FFFFFF" w:themeColor="background1"/>
              </w:rPr>
              <w:t>IAS 17 MRP</w:t>
            </w:r>
          </w:p>
        </w:tc>
        <w:tc>
          <w:tcPr>
            <w:tcW w:w="1378" w:type="dxa"/>
            <w:shd w:val="clear" w:color="auto" w:fill="BD2716"/>
            <w:vAlign w:val="center"/>
          </w:tcPr>
          <w:p w14:paraId="52D79148" w14:textId="2FB71D6E" w:rsidR="00367305" w:rsidRPr="007656CC" w:rsidRDefault="00367305" w:rsidP="007656CC">
            <w:pPr>
              <w:jc w:val="right"/>
              <w:rPr>
                <w:color w:val="FFFFFF" w:themeColor="background1"/>
              </w:rPr>
            </w:pPr>
            <w:r>
              <w:rPr>
                <w:color w:val="FFFFFF" w:themeColor="background1"/>
              </w:rPr>
              <w:t>IFRS 16 MRP</w:t>
            </w:r>
          </w:p>
        </w:tc>
        <w:tc>
          <w:tcPr>
            <w:tcW w:w="1378" w:type="dxa"/>
            <w:shd w:val="clear" w:color="auto" w:fill="BD2716"/>
            <w:vAlign w:val="center"/>
          </w:tcPr>
          <w:p w14:paraId="32ED6587" w14:textId="4DB58CD9" w:rsidR="00367305" w:rsidRPr="007656CC" w:rsidRDefault="00367305" w:rsidP="007656CC">
            <w:pPr>
              <w:jc w:val="right"/>
              <w:rPr>
                <w:color w:val="FFFFFF" w:themeColor="background1"/>
              </w:rPr>
            </w:pPr>
            <w:r>
              <w:rPr>
                <w:color w:val="FFFFFF" w:themeColor="background1"/>
              </w:rPr>
              <w:t>Variance</w:t>
            </w:r>
          </w:p>
        </w:tc>
      </w:tr>
      <w:tr w:rsidR="00367305" w14:paraId="5DA37513" w14:textId="77777777" w:rsidTr="00D4698D">
        <w:tc>
          <w:tcPr>
            <w:tcW w:w="2483" w:type="dxa"/>
            <w:vAlign w:val="bottom"/>
          </w:tcPr>
          <w:p w14:paraId="57A59ADB" w14:textId="26684400" w:rsidR="00367305" w:rsidRDefault="00367305" w:rsidP="00A14488">
            <w:r w:rsidRPr="00D948C1">
              <w:rPr>
                <w:szCs w:val="24"/>
              </w:rPr>
              <w:t>Payable in year</w:t>
            </w:r>
          </w:p>
        </w:tc>
        <w:tc>
          <w:tcPr>
            <w:tcW w:w="1378" w:type="dxa"/>
            <w:vAlign w:val="center"/>
          </w:tcPr>
          <w:p w14:paraId="0732B395" w14:textId="0677E924" w:rsidR="00367305" w:rsidRDefault="00624131" w:rsidP="007656CC">
            <w:pPr>
              <w:jc w:val="right"/>
            </w:pPr>
            <w:r>
              <w:t>528</w:t>
            </w:r>
          </w:p>
        </w:tc>
        <w:tc>
          <w:tcPr>
            <w:tcW w:w="1378" w:type="dxa"/>
            <w:vAlign w:val="center"/>
          </w:tcPr>
          <w:p w14:paraId="3F1FFD72" w14:textId="4ECC8512" w:rsidR="00367305" w:rsidRDefault="00624131" w:rsidP="007656CC">
            <w:pPr>
              <w:jc w:val="right"/>
            </w:pPr>
            <w:r>
              <w:t>598</w:t>
            </w:r>
          </w:p>
        </w:tc>
        <w:tc>
          <w:tcPr>
            <w:tcW w:w="1378" w:type="dxa"/>
            <w:vAlign w:val="center"/>
          </w:tcPr>
          <w:p w14:paraId="494ADF99" w14:textId="0AFBB04C" w:rsidR="00367305" w:rsidRDefault="00250186" w:rsidP="007656CC">
            <w:pPr>
              <w:jc w:val="right"/>
            </w:pPr>
            <w:r>
              <w:t>70</w:t>
            </w:r>
          </w:p>
        </w:tc>
      </w:tr>
      <w:tr w:rsidR="003E43A9" w14:paraId="543355A7" w14:textId="77777777" w:rsidTr="00D5336C">
        <w:tc>
          <w:tcPr>
            <w:tcW w:w="2483" w:type="dxa"/>
            <w:vAlign w:val="bottom"/>
          </w:tcPr>
          <w:p w14:paraId="3BE119CA" w14:textId="4A1638D3" w:rsidR="003E43A9" w:rsidRPr="00D948C1" w:rsidRDefault="003E43A9" w:rsidP="00A14488">
            <w:pPr>
              <w:rPr>
                <w:szCs w:val="24"/>
              </w:rPr>
            </w:pPr>
            <w:r w:rsidRPr="00D948C1">
              <w:rPr>
                <w:szCs w:val="24"/>
              </w:rPr>
              <w:t>Payable in 1 year</w:t>
            </w:r>
          </w:p>
        </w:tc>
        <w:tc>
          <w:tcPr>
            <w:tcW w:w="1378" w:type="dxa"/>
            <w:vAlign w:val="center"/>
          </w:tcPr>
          <w:p w14:paraId="45A72D2E" w14:textId="1C1B61FB" w:rsidR="003E43A9" w:rsidRDefault="00250186" w:rsidP="00D5336C">
            <w:pPr>
              <w:jc w:val="right"/>
            </w:pPr>
            <w:r>
              <w:t>577</w:t>
            </w:r>
          </w:p>
        </w:tc>
        <w:tc>
          <w:tcPr>
            <w:tcW w:w="1378" w:type="dxa"/>
            <w:vAlign w:val="center"/>
          </w:tcPr>
          <w:p w14:paraId="397D0C89" w14:textId="0FE56D76" w:rsidR="003E43A9" w:rsidRDefault="00250186" w:rsidP="00D5336C">
            <w:pPr>
              <w:jc w:val="right"/>
            </w:pPr>
            <w:r>
              <w:t>658</w:t>
            </w:r>
          </w:p>
        </w:tc>
        <w:tc>
          <w:tcPr>
            <w:tcW w:w="1378" w:type="dxa"/>
            <w:vAlign w:val="center"/>
          </w:tcPr>
          <w:p w14:paraId="0D56C0E9" w14:textId="3AF7F331" w:rsidR="003E43A9" w:rsidRDefault="00250186" w:rsidP="00D5336C">
            <w:pPr>
              <w:jc w:val="right"/>
            </w:pPr>
            <w:r>
              <w:t>81</w:t>
            </w:r>
          </w:p>
        </w:tc>
      </w:tr>
      <w:tr w:rsidR="00367305" w14:paraId="21B07042" w14:textId="77777777" w:rsidTr="007656CC">
        <w:tc>
          <w:tcPr>
            <w:tcW w:w="2483" w:type="dxa"/>
            <w:vAlign w:val="bottom"/>
          </w:tcPr>
          <w:p w14:paraId="14569143" w14:textId="6E83BD0F" w:rsidR="00367305" w:rsidRDefault="00367305" w:rsidP="00A14488">
            <w:r w:rsidRPr="00D948C1">
              <w:rPr>
                <w:szCs w:val="24"/>
              </w:rPr>
              <w:t>Payable within 2-5 years</w:t>
            </w:r>
          </w:p>
        </w:tc>
        <w:tc>
          <w:tcPr>
            <w:tcW w:w="1378" w:type="dxa"/>
            <w:vAlign w:val="center"/>
          </w:tcPr>
          <w:p w14:paraId="580F7F1F" w14:textId="50B4A834" w:rsidR="00367305" w:rsidRDefault="00250186" w:rsidP="007656CC">
            <w:pPr>
              <w:jc w:val="right"/>
            </w:pPr>
            <w:r>
              <w:t>2,998</w:t>
            </w:r>
          </w:p>
        </w:tc>
        <w:tc>
          <w:tcPr>
            <w:tcW w:w="1378" w:type="dxa"/>
            <w:vAlign w:val="center"/>
          </w:tcPr>
          <w:p w14:paraId="658CA28C" w14:textId="297DB19B" w:rsidR="00367305" w:rsidRDefault="00250186" w:rsidP="007656CC">
            <w:pPr>
              <w:jc w:val="right"/>
            </w:pPr>
            <w:r>
              <w:t>3,262</w:t>
            </w:r>
          </w:p>
        </w:tc>
        <w:tc>
          <w:tcPr>
            <w:tcW w:w="1378" w:type="dxa"/>
            <w:vAlign w:val="center"/>
          </w:tcPr>
          <w:p w14:paraId="5F44D057" w14:textId="05CBDB06" w:rsidR="00367305" w:rsidRDefault="00250186" w:rsidP="007656CC">
            <w:pPr>
              <w:jc w:val="right"/>
            </w:pPr>
            <w:r>
              <w:t>264</w:t>
            </w:r>
          </w:p>
        </w:tc>
      </w:tr>
      <w:tr w:rsidR="00367305" w14:paraId="23EA25D5" w14:textId="77777777" w:rsidTr="007656CC">
        <w:tc>
          <w:tcPr>
            <w:tcW w:w="2483" w:type="dxa"/>
            <w:vAlign w:val="bottom"/>
          </w:tcPr>
          <w:p w14:paraId="08CF517F" w14:textId="4EF8E31C" w:rsidR="00367305" w:rsidRDefault="00367305" w:rsidP="00A14488">
            <w:r w:rsidRPr="00D948C1">
              <w:rPr>
                <w:szCs w:val="24"/>
              </w:rPr>
              <w:t>Payable within 6-10 years</w:t>
            </w:r>
          </w:p>
        </w:tc>
        <w:tc>
          <w:tcPr>
            <w:tcW w:w="1378" w:type="dxa"/>
            <w:vAlign w:val="center"/>
          </w:tcPr>
          <w:p w14:paraId="14762D7C" w14:textId="7A295D11" w:rsidR="00367305" w:rsidRDefault="005E4F8D" w:rsidP="007656CC">
            <w:pPr>
              <w:jc w:val="right"/>
            </w:pPr>
            <w:r>
              <w:t>4,538</w:t>
            </w:r>
          </w:p>
        </w:tc>
        <w:tc>
          <w:tcPr>
            <w:tcW w:w="1378" w:type="dxa"/>
            <w:vAlign w:val="center"/>
          </w:tcPr>
          <w:p w14:paraId="14BBB84E" w14:textId="77557E97" w:rsidR="00367305" w:rsidRDefault="005E4F8D" w:rsidP="007656CC">
            <w:pPr>
              <w:jc w:val="right"/>
            </w:pPr>
            <w:r>
              <w:t>5,006</w:t>
            </w:r>
          </w:p>
        </w:tc>
        <w:tc>
          <w:tcPr>
            <w:tcW w:w="1378" w:type="dxa"/>
            <w:vAlign w:val="center"/>
          </w:tcPr>
          <w:p w14:paraId="009A3C0A" w14:textId="04973A76" w:rsidR="00367305" w:rsidRDefault="005E4F8D" w:rsidP="007656CC">
            <w:pPr>
              <w:jc w:val="right"/>
            </w:pPr>
            <w:r>
              <w:t>469</w:t>
            </w:r>
          </w:p>
        </w:tc>
      </w:tr>
      <w:tr w:rsidR="00367305" w14:paraId="6D7BD1E2" w14:textId="77777777" w:rsidTr="007656CC">
        <w:tc>
          <w:tcPr>
            <w:tcW w:w="2483" w:type="dxa"/>
            <w:vAlign w:val="bottom"/>
          </w:tcPr>
          <w:p w14:paraId="68BA26A1" w14:textId="3D2D80EA" w:rsidR="00367305" w:rsidRDefault="00367305" w:rsidP="00A14488">
            <w:r w:rsidRPr="00D948C1">
              <w:rPr>
                <w:szCs w:val="24"/>
              </w:rPr>
              <w:t>Payable within 11-15 years</w:t>
            </w:r>
          </w:p>
        </w:tc>
        <w:tc>
          <w:tcPr>
            <w:tcW w:w="1378" w:type="dxa"/>
            <w:vAlign w:val="center"/>
          </w:tcPr>
          <w:p w14:paraId="4868EEEA" w14:textId="6CD89DEF" w:rsidR="00367305" w:rsidRDefault="005E4F8D" w:rsidP="007656CC">
            <w:pPr>
              <w:jc w:val="right"/>
            </w:pPr>
            <w:r>
              <w:t>3,226</w:t>
            </w:r>
          </w:p>
        </w:tc>
        <w:tc>
          <w:tcPr>
            <w:tcW w:w="1378" w:type="dxa"/>
            <w:vAlign w:val="center"/>
          </w:tcPr>
          <w:p w14:paraId="7CA26D95" w14:textId="7CDA35A5" w:rsidR="00367305" w:rsidRDefault="005E4F8D" w:rsidP="007656CC">
            <w:pPr>
              <w:jc w:val="right"/>
            </w:pPr>
            <w:r>
              <w:t>3,448</w:t>
            </w:r>
          </w:p>
        </w:tc>
        <w:tc>
          <w:tcPr>
            <w:tcW w:w="1378" w:type="dxa"/>
            <w:vAlign w:val="center"/>
          </w:tcPr>
          <w:p w14:paraId="7E52E084" w14:textId="52F3DC40" w:rsidR="00367305" w:rsidRDefault="005E4F8D" w:rsidP="007656CC">
            <w:pPr>
              <w:jc w:val="right"/>
            </w:pPr>
            <w:r>
              <w:t>221</w:t>
            </w:r>
          </w:p>
        </w:tc>
      </w:tr>
      <w:tr w:rsidR="00367305" w14:paraId="4250C79F" w14:textId="77777777" w:rsidTr="007656CC">
        <w:tc>
          <w:tcPr>
            <w:tcW w:w="2483" w:type="dxa"/>
            <w:vAlign w:val="bottom"/>
          </w:tcPr>
          <w:p w14:paraId="3F3185A3" w14:textId="36D30C4B" w:rsidR="00367305" w:rsidRDefault="00367305" w:rsidP="00A14488">
            <w:r w:rsidRPr="00D948C1">
              <w:rPr>
                <w:szCs w:val="24"/>
              </w:rPr>
              <w:t>Total</w:t>
            </w:r>
          </w:p>
        </w:tc>
        <w:tc>
          <w:tcPr>
            <w:tcW w:w="1378" w:type="dxa"/>
            <w:vAlign w:val="center"/>
          </w:tcPr>
          <w:p w14:paraId="69E09CC6" w14:textId="1A8F042F" w:rsidR="00367305" w:rsidRDefault="00B56D8E" w:rsidP="007656CC">
            <w:pPr>
              <w:jc w:val="right"/>
            </w:pPr>
            <w:r>
              <w:t>11,868</w:t>
            </w:r>
          </w:p>
        </w:tc>
        <w:tc>
          <w:tcPr>
            <w:tcW w:w="1378" w:type="dxa"/>
            <w:vAlign w:val="center"/>
          </w:tcPr>
          <w:p w14:paraId="68EB519C" w14:textId="143E54DF" w:rsidR="00367305" w:rsidRDefault="00B56D8E" w:rsidP="007656CC">
            <w:pPr>
              <w:jc w:val="right"/>
            </w:pPr>
            <w:r>
              <w:t>12,972</w:t>
            </w:r>
          </w:p>
        </w:tc>
        <w:tc>
          <w:tcPr>
            <w:tcW w:w="1378" w:type="dxa"/>
            <w:vAlign w:val="center"/>
          </w:tcPr>
          <w:p w14:paraId="26A6CD47" w14:textId="7A51F40B" w:rsidR="00367305" w:rsidRDefault="00B56D8E" w:rsidP="007656CC">
            <w:pPr>
              <w:jc w:val="right"/>
            </w:pPr>
            <w:r>
              <w:t>1,104</w:t>
            </w:r>
          </w:p>
        </w:tc>
      </w:tr>
    </w:tbl>
    <w:p w14:paraId="1BAACCBF" w14:textId="4A9D5E85" w:rsidR="00263403" w:rsidRDefault="00263403">
      <w:pPr>
        <w:rPr>
          <w:szCs w:val="24"/>
        </w:rPr>
      </w:pPr>
    </w:p>
    <w:tbl>
      <w:tblPr>
        <w:tblStyle w:val="TableGrid"/>
        <w:tblW w:w="7995" w:type="dxa"/>
        <w:tblInd w:w="720" w:type="dxa"/>
        <w:tblLook w:val="04A0" w:firstRow="1" w:lastRow="0" w:firstColumn="1" w:lastColumn="0" w:noHBand="0" w:noVBand="1"/>
      </w:tblPr>
      <w:tblGrid>
        <w:gridCol w:w="2483"/>
        <w:gridCol w:w="1378"/>
        <w:gridCol w:w="1378"/>
        <w:gridCol w:w="1378"/>
        <w:gridCol w:w="1378"/>
      </w:tblGrid>
      <w:tr w:rsidR="003115A0" w:rsidRPr="00D921F9" w14:paraId="70DF2260" w14:textId="77777777" w:rsidTr="007656CC">
        <w:tc>
          <w:tcPr>
            <w:tcW w:w="2483" w:type="dxa"/>
            <w:shd w:val="clear" w:color="auto" w:fill="BD2716"/>
            <w:vAlign w:val="center"/>
          </w:tcPr>
          <w:p w14:paraId="027D7B4E" w14:textId="5E9F326D" w:rsidR="00263403" w:rsidRPr="00D921F9" w:rsidRDefault="00367305" w:rsidP="00D43E45">
            <w:pPr>
              <w:rPr>
                <w:color w:val="FFFFFF" w:themeColor="background1"/>
              </w:rPr>
            </w:pPr>
            <w:r>
              <w:rPr>
                <w:color w:val="FFFFFF" w:themeColor="background1"/>
              </w:rPr>
              <w:t>CIES</w:t>
            </w:r>
          </w:p>
        </w:tc>
        <w:tc>
          <w:tcPr>
            <w:tcW w:w="1378" w:type="dxa"/>
            <w:shd w:val="clear" w:color="auto" w:fill="BD2716"/>
            <w:vAlign w:val="center"/>
          </w:tcPr>
          <w:p w14:paraId="22F0107E" w14:textId="71595D73" w:rsidR="00263403" w:rsidRPr="00D921F9" w:rsidRDefault="00263403">
            <w:pPr>
              <w:jc w:val="right"/>
              <w:rPr>
                <w:color w:val="FFFFFF" w:themeColor="background1"/>
              </w:rPr>
            </w:pPr>
            <w:r>
              <w:rPr>
                <w:color w:val="FFFFFF" w:themeColor="background1"/>
              </w:rPr>
              <w:t xml:space="preserve">IAS 17 </w:t>
            </w:r>
            <w:r w:rsidR="00367305">
              <w:rPr>
                <w:color w:val="FFFFFF" w:themeColor="background1"/>
              </w:rPr>
              <w:t>Interest</w:t>
            </w:r>
          </w:p>
        </w:tc>
        <w:tc>
          <w:tcPr>
            <w:tcW w:w="1378" w:type="dxa"/>
            <w:shd w:val="clear" w:color="auto" w:fill="BD2716"/>
            <w:vAlign w:val="center"/>
          </w:tcPr>
          <w:p w14:paraId="6EB56B3E" w14:textId="42C78385" w:rsidR="00263403" w:rsidRPr="00D921F9" w:rsidRDefault="003115A0">
            <w:pPr>
              <w:jc w:val="right"/>
              <w:rPr>
                <w:color w:val="FFFFFF" w:themeColor="background1"/>
              </w:rPr>
            </w:pPr>
            <w:r>
              <w:rPr>
                <w:color w:val="FFFFFF" w:themeColor="background1"/>
              </w:rPr>
              <w:t>IAS 17 Contingent Rent</w:t>
            </w:r>
          </w:p>
        </w:tc>
        <w:tc>
          <w:tcPr>
            <w:tcW w:w="1378" w:type="dxa"/>
            <w:shd w:val="clear" w:color="auto" w:fill="BD2716"/>
            <w:vAlign w:val="center"/>
          </w:tcPr>
          <w:p w14:paraId="40E02694" w14:textId="2BDBAD9E" w:rsidR="00263403" w:rsidRPr="00D921F9" w:rsidRDefault="003115A0">
            <w:pPr>
              <w:jc w:val="right"/>
              <w:rPr>
                <w:color w:val="FFFFFF" w:themeColor="background1"/>
              </w:rPr>
            </w:pPr>
            <w:r>
              <w:rPr>
                <w:color w:val="FFFFFF" w:themeColor="background1"/>
              </w:rPr>
              <w:t>IFRS 16 Interest</w:t>
            </w:r>
          </w:p>
        </w:tc>
        <w:tc>
          <w:tcPr>
            <w:tcW w:w="1378" w:type="dxa"/>
            <w:shd w:val="clear" w:color="auto" w:fill="BD2716"/>
            <w:vAlign w:val="center"/>
          </w:tcPr>
          <w:p w14:paraId="7234DBBF" w14:textId="57078237" w:rsidR="00263403" w:rsidRPr="00D921F9" w:rsidRDefault="003115A0">
            <w:pPr>
              <w:jc w:val="right"/>
              <w:rPr>
                <w:color w:val="FFFFFF" w:themeColor="background1"/>
              </w:rPr>
            </w:pPr>
            <w:r>
              <w:rPr>
                <w:color w:val="FFFFFF" w:themeColor="background1"/>
              </w:rPr>
              <w:t>Variance</w:t>
            </w:r>
          </w:p>
        </w:tc>
      </w:tr>
      <w:tr w:rsidR="003115A0" w14:paraId="3856C32F" w14:textId="77777777" w:rsidTr="007656CC">
        <w:tc>
          <w:tcPr>
            <w:tcW w:w="2483" w:type="dxa"/>
            <w:vAlign w:val="bottom"/>
          </w:tcPr>
          <w:p w14:paraId="3B369D9C" w14:textId="2790BA48" w:rsidR="00263403" w:rsidRDefault="00263403">
            <w:r w:rsidRPr="00D948C1">
              <w:rPr>
                <w:szCs w:val="24"/>
              </w:rPr>
              <w:t>Payable in year</w:t>
            </w:r>
          </w:p>
        </w:tc>
        <w:tc>
          <w:tcPr>
            <w:tcW w:w="1378" w:type="dxa"/>
            <w:vAlign w:val="center"/>
          </w:tcPr>
          <w:p w14:paraId="39493054" w14:textId="3393ABB5" w:rsidR="00263403" w:rsidRDefault="00B56D8E" w:rsidP="007656CC">
            <w:pPr>
              <w:jc w:val="right"/>
            </w:pPr>
            <w:r>
              <w:t>1,068</w:t>
            </w:r>
          </w:p>
        </w:tc>
        <w:tc>
          <w:tcPr>
            <w:tcW w:w="1378" w:type="dxa"/>
            <w:vAlign w:val="center"/>
          </w:tcPr>
          <w:p w14:paraId="47CFEB5E" w14:textId="4CA172FD" w:rsidR="00263403" w:rsidRDefault="00B56D8E" w:rsidP="007656CC">
            <w:pPr>
              <w:jc w:val="right"/>
            </w:pPr>
            <w:r>
              <w:t>173</w:t>
            </w:r>
          </w:p>
        </w:tc>
        <w:tc>
          <w:tcPr>
            <w:tcW w:w="1378" w:type="dxa"/>
            <w:vAlign w:val="center"/>
          </w:tcPr>
          <w:p w14:paraId="0E8561B9" w14:textId="7A9AB50E" w:rsidR="00263403" w:rsidRDefault="00B56D8E" w:rsidP="007656CC">
            <w:pPr>
              <w:jc w:val="right"/>
            </w:pPr>
            <w:r>
              <w:t>1,171</w:t>
            </w:r>
          </w:p>
        </w:tc>
        <w:tc>
          <w:tcPr>
            <w:tcW w:w="1378" w:type="dxa"/>
            <w:vAlign w:val="center"/>
          </w:tcPr>
          <w:p w14:paraId="2E02B140" w14:textId="5DEC3BBA" w:rsidR="00263403" w:rsidRDefault="00B56D8E" w:rsidP="007656CC">
            <w:pPr>
              <w:jc w:val="right"/>
            </w:pPr>
            <w:r>
              <w:t>(70)</w:t>
            </w:r>
          </w:p>
        </w:tc>
      </w:tr>
      <w:tr w:rsidR="003E43A9" w14:paraId="7E00063A" w14:textId="77777777" w:rsidTr="00D5336C">
        <w:tc>
          <w:tcPr>
            <w:tcW w:w="2483" w:type="dxa"/>
            <w:vAlign w:val="bottom"/>
          </w:tcPr>
          <w:p w14:paraId="7172B190" w14:textId="4F4D766D" w:rsidR="003E43A9" w:rsidRPr="00D948C1" w:rsidRDefault="003E43A9">
            <w:pPr>
              <w:rPr>
                <w:szCs w:val="24"/>
              </w:rPr>
            </w:pPr>
            <w:r w:rsidRPr="00D948C1">
              <w:rPr>
                <w:szCs w:val="24"/>
              </w:rPr>
              <w:t>Payable in 1 year</w:t>
            </w:r>
          </w:p>
        </w:tc>
        <w:tc>
          <w:tcPr>
            <w:tcW w:w="1378" w:type="dxa"/>
            <w:vAlign w:val="center"/>
          </w:tcPr>
          <w:p w14:paraId="5812CBDC" w14:textId="199AC265" w:rsidR="003E43A9" w:rsidRDefault="00A418D3" w:rsidP="00D5336C">
            <w:pPr>
              <w:jc w:val="right"/>
            </w:pPr>
            <w:r>
              <w:t>1,018</w:t>
            </w:r>
          </w:p>
        </w:tc>
        <w:tc>
          <w:tcPr>
            <w:tcW w:w="1378" w:type="dxa"/>
            <w:vAlign w:val="center"/>
          </w:tcPr>
          <w:p w14:paraId="64239C26" w14:textId="0AC7D05A" w:rsidR="003E43A9" w:rsidRDefault="00A418D3" w:rsidP="00D5336C">
            <w:pPr>
              <w:jc w:val="right"/>
            </w:pPr>
            <w:r>
              <w:t>177</w:t>
            </w:r>
          </w:p>
        </w:tc>
        <w:tc>
          <w:tcPr>
            <w:tcW w:w="1378" w:type="dxa"/>
            <w:vAlign w:val="center"/>
          </w:tcPr>
          <w:p w14:paraId="452A46DB" w14:textId="77CE2BEE" w:rsidR="003E43A9" w:rsidRDefault="00A418D3" w:rsidP="00D5336C">
            <w:pPr>
              <w:jc w:val="right"/>
            </w:pPr>
            <w:r>
              <w:t>1,114</w:t>
            </w:r>
          </w:p>
        </w:tc>
        <w:tc>
          <w:tcPr>
            <w:tcW w:w="1378" w:type="dxa"/>
            <w:vAlign w:val="center"/>
          </w:tcPr>
          <w:p w14:paraId="01ED0C5D" w14:textId="758CAFFA" w:rsidR="003E43A9" w:rsidRDefault="000364BA" w:rsidP="00D5336C">
            <w:pPr>
              <w:jc w:val="right"/>
            </w:pPr>
            <w:r>
              <w:t>(81)</w:t>
            </w:r>
          </w:p>
        </w:tc>
      </w:tr>
      <w:tr w:rsidR="003115A0" w14:paraId="7180A332" w14:textId="77777777" w:rsidTr="007656CC">
        <w:tc>
          <w:tcPr>
            <w:tcW w:w="2483" w:type="dxa"/>
            <w:vAlign w:val="bottom"/>
          </w:tcPr>
          <w:p w14:paraId="738AC13B" w14:textId="77777777" w:rsidR="00263403" w:rsidRDefault="00263403">
            <w:r w:rsidRPr="00D948C1">
              <w:rPr>
                <w:szCs w:val="24"/>
              </w:rPr>
              <w:t>Payable within 2-5 years</w:t>
            </w:r>
          </w:p>
        </w:tc>
        <w:tc>
          <w:tcPr>
            <w:tcW w:w="1378" w:type="dxa"/>
            <w:vAlign w:val="center"/>
          </w:tcPr>
          <w:p w14:paraId="2D23E880" w14:textId="47B2BA67" w:rsidR="00263403" w:rsidRDefault="000364BA" w:rsidP="007656CC">
            <w:pPr>
              <w:jc w:val="right"/>
            </w:pPr>
            <w:r>
              <w:t>3,281</w:t>
            </w:r>
          </w:p>
        </w:tc>
        <w:tc>
          <w:tcPr>
            <w:tcW w:w="1378" w:type="dxa"/>
            <w:vAlign w:val="center"/>
          </w:tcPr>
          <w:p w14:paraId="559B37E9" w14:textId="6FD5B325" w:rsidR="00263403" w:rsidRDefault="000364BA" w:rsidP="007656CC">
            <w:pPr>
              <w:jc w:val="right"/>
            </w:pPr>
            <w:r>
              <w:t>750</w:t>
            </w:r>
          </w:p>
        </w:tc>
        <w:tc>
          <w:tcPr>
            <w:tcW w:w="1378" w:type="dxa"/>
            <w:vAlign w:val="center"/>
          </w:tcPr>
          <w:p w14:paraId="3EBCD570" w14:textId="46E4B749" w:rsidR="00263403" w:rsidRDefault="000364BA" w:rsidP="007656CC">
            <w:pPr>
              <w:jc w:val="right"/>
            </w:pPr>
            <w:r>
              <w:t>3,768</w:t>
            </w:r>
          </w:p>
        </w:tc>
        <w:tc>
          <w:tcPr>
            <w:tcW w:w="1378" w:type="dxa"/>
            <w:vAlign w:val="center"/>
          </w:tcPr>
          <w:p w14:paraId="6D5503D3" w14:textId="078EDDE1" w:rsidR="00263403" w:rsidRDefault="000364BA" w:rsidP="007656CC">
            <w:pPr>
              <w:jc w:val="right"/>
            </w:pPr>
            <w:r>
              <w:t>(264)</w:t>
            </w:r>
          </w:p>
        </w:tc>
      </w:tr>
      <w:tr w:rsidR="003115A0" w14:paraId="3778818F" w14:textId="77777777" w:rsidTr="007656CC">
        <w:tc>
          <w:tcPr>
            <w:tcW w:w="2483" w:type="dxa"/>
            <w:vAlign w:val="bottom"/>
          </w:tcPr>
          <w:p w14:paraId="6F01A494" w14:textId="77777777" w:rsidR="00263403" w:rsidRDefault="00263403">
            <w:r w:rsidRPr="00D948C1">
              <w:rPr>
                <w:szCs w:val="24"/>
              </w:rPr>
              <w:t>Payable within 6-10 years</w:t>
            </w:r>
          </w:p>
        </w:tc>
        <w:tc>
          <w:tcPr>
            <w:tcW w:w="1378" w:type="dxa"/>
            <w:vAlign w:val="center"/>
          </w:tcPr>
          <w:p w14:paraId="2D13C5DE" w14:textId="778D1A8E" w:rsidR="00263403" w:rsidRDefault="00BE0A84" w:rsidP="007656CC">
            <w:pPr>
              <w:jc w:val="right"/>
            </w:pPr>
            <w:r>
              <w:t>2,382</w:t>
            </w:r>
          </w:p>
        </w:tc>
        <w:tc>
          <w:tcPr>
            <w:tcW w:w="1378" w:type="dxa"/>
            <w:vAlign w:val="center"/>
          </w:tcPr>
          <w:p w14:paraId="6A9A921D" w14:textId="46BF8DB0" w:rsidR="00263403" w:rsidRDefault="00BE0A84" w:rsidP="007656CC">
            <w:pPr>
              <w:jc w:val="right"/>
            </w:pPr>
            <w:r>
              <w:t>788</w:t>
            </w:r>
          </w:p>
        </w:tc>
        <w:tc>
          <w:tcPr>
            <w:tcW w:w="1378" w:type="dxa"/>
            <w:vAlign w:val="center"/>
          </w:tcPr>
          <w:p w14:paraId="46E452C7" w14:textId="01DACFDA" w:rsidR="00263403" w:rsidRDefault="00BE0A84" w:rsidP="007656CC">
            <w:pPr>
              <w:jc w:val="right"/>
            </w:pPr>
            <w:r>
              <w:t>2,702</w:t>
            </w:r>
          </w:p>
        </w:tc>
        <w:tc>
          <w:tcPr>
            <w:tcW w:w="1378" w:type="dxa"/>
            <w:vAlign w:val="center"/>
          </w:tcPr>
          <w:p w14:paraId="404879E1" w14:textId="749F4C02" w:rsidR="00263403" w:rsidRDefault="00BE0A84" w:rsidP="007656CC">
            <w:pPr>
              <w:jc w:val="right"/>
            </w:pPr>
            <w:r>
              <w:t>(469)</w:t>
            </w:r>
          </w:p>
        </w:tc>
      </w:tr>
      <w:tr w:rsidR="003115A0" w14:paraId="2866225A" w14:textId="77777777" w:rsidTr="007656CC">
        <w:tc>
          <w:tcPr>
            <w:tcW w:w="2483" w:type="dxa"/>
            <w:vAlign w:val="bottom"/>
          </w:tcPr>
          <w:p w14:paraId="250F161B" w14:textId="77777777" w:rsidR="00263403" w:rsidRDefault="00263403">
            <w:r w:rsidRPr="00D948C1">
              <w:rPr>
                <w:szCs w:val="24"/>
              </w:rPr>
              <w:t>Payable within 11-15 years</w:t>
            </w:r>
          </w:p>
        </w:tc>
        <w:tc>
          <w:tcPr>
            <w:tcW w:w="1378" w:type="dxa"/>
            <w:vAlign w:val="center"/>
          </w:tcPr>
          <w:p w14:paraId="4ECFC467" w14:textId="5BF2D207" w:rsidR="00263403" w:rsidRDefault="00BE0A84" w:rsidP="007656CC">
            <w:pPr>
              <w:jc w:val="right"/>
            </w:pPr>
            <w:r>
              <w:t>537</w:t>
            </w:r>
          </w:p>
        </w:tc>
        <w:tc>
          <w:tcPr>
            <w:tcW w:w="1378" w:type="dxa"/>
            <w:vAlign w:val="center"/>
          </w:tcPr>
          <w:p w14:paraId="13AE7EE9" w14:textId="09A148DD" w:rsidR="00263403" w:rsidRDefault="00BE0A84" w:rsidP="007656CC">
            <w:pPr>
              <w:jc w:val="right"/>
            </w:pPr>
            <w:r>
              <w:t>256</w:t>
            </w:r>
          </w:p>
        </w:tc>
        <w:tc>
          <w:tcPr>
            <w:tcW w:w="1378" w:type="dxa"/>
            <w:vAlign w:val="center"/>
          </w:tcPr>
          <w:p w14:paraId="28475BCE" w14:textId="6E24BEAF" w:rsidR="00263403" w:rsidRDefault="00BE0A84" w:rsidP="007656CC">
            <w:pPr>
              <w:jc w:val="right"/>
            </w:pPr>
            <w:r>
              <w:t>571</w:t>
            </w:r>
          </w:p>
        </w:tc>
        <w:tc>
          <w:tcPr>
            <w:tcW w:w="1378" w:type="dxa"/>
            <w:vAlign w:val="center"/>
          </w:tcPr>
          <w:p w14:paraId="5499B94A" w14:textId="0FC7CE3E" w:rsidR="00263403" w:rsidRDefault="00BE0A84" w:rsidP="007656CC">
            <w:pPr>
              <w:jc w:val="right"/>
            </w:pPr>
            <w:r>
              <w:t>(221)</w:t>
            </w:r>
          </w:p>
        </w:tc>
      </w:tr>
      <w:tr w:rsidR="003115A0" w14:paraId="202A9DB1" w14:textId="77777777" w:rsidTr="007656CC">
        <w:tc>
          <w:tcPr>
            <w:tcW w:w="2483" w:type="dxa"/>
            <w:vAlign w:val="bottom"/>
          </w:tcPr>
          <w:p w14:paraId="7BB6D6E9" w14:textId="77777777" w:rsidR="00263403" w:rsidRDefault="00263403">
            <w:r w:rsidRPr="00D948C1">
              <w:rPr>
                <w:szCs w:val="24"/>
              </w:rPr>
              <w:t>Total</w:t>
            </w:r>
          </w:p>
        </w:tc>
        <w:tc>
          <w:tcPr>
            <w:tcW w:w="1378" w:type="dxa"/>
            <w:vAlign w:val="center"/>
          </w:tcPr>
          <w:p w14:paraId="305F9AC3" w14:textId="6D354488" w:rsidR="00263403" w:rsidRDefault="00BE0A84" w:rsidP="007656CC">
            <w:pPr>
              <w:jc w:val="right"/>
            </w:pPr>
            <w:r>
              <w:t>8,286</w:t>
            </w:r>
          </w:p>
        </w:tc>
        <w:tc>
          <w:tcPr>
            <w:tcW w:w="1378" w:type="dxa"/>
            <w:vAlign w:val="center"/>
          </w:tcPr>
          <w:p w14:paraId="5EC0F6E4" w14:textId="79B0E4E2" w:rsidR="00263403" w:rsidRDefault="00BE0A84" w:rsidP="007656CC">
            <w:pPr>
              <w:jc w:val="right"/>
            </w:pPr>
            <w:r>
              <w:t>2,145</w:t>
            </w:r>
          </w:p>
        </w:tc>
        <w:tc>
          <w:tcPr>
            <w:tcW w:w="1378" w:type="dxa"/>
            <w:vAlign w:val="center"/>
          </w:tcPr>
          <w:p w14:paraId="2BCC70AE" w14:textId="14EFB8F6" w:rsidR="00263403" w:rsidRDefault="00BE0A84" w:rsidP="007656CC">
            <w:pPr>
              <w:jc w:val="right"/>
            </w:pPr>
            <w:r>
              <w:t>9,327</w:t>
            </w:r>
          </w:p>
        </w:tc>
        <w:tc>
          <w:tcPr>
            <w:tcW w:w="1378" w:type="dxa"/>
            <w:vAlign w:val="center"/>
          </w:tcPr>
          <w:p w14:paraId="5D0B939C" w14:textId="06F5A623" w:rsidR="00263403" w:rsidRDefault="00BE0A84" w:rsidP="007656CC">
            <w:pPr>
              <w:jc w:val="right"/>
            </w:pPr>
            <w:r>
              <w:t>(1,104)</w:t>
            </w:r>
          </w:p>
        </w:tc>
      </w:tr>
    </w:tbl>
    <w:p w14:paraId="1BD3CA62" w14:textId="77777777" w:rsidR="00263403" w:rsidRPr="00D948C1" w:rsidRDefault="00263403">
      <w:pPr>
        <w:rPr>
          <w:szCs w:val="24"/>
        </w:rPr>
      </w:pPr>
    </w:p>
    <w:p w14:paraId="3304B057" w14:textId="241AF44B" w:rsidR="00D90216" w:rsidRPr="00D948C1" w:rsidRDefault="00D90216" w:rsidP="00300384">
      <w:pPr>
        <w:ind w:left="720"/>
        <w:rPr>
          <w:szCs w:val="24"/>
        </w:rPr>
      </w:pPr>
      <w:r w:rsidRPr="00D948C1">
        <w:rPr>
          <w:szCs w:val="24"/>
        </w:rPr>
        <w:t xml:space="preserve">Payments remaining to be made under </w:t>
      </w:r>
      <w:r w:rsidR="005A3979" w:rsidRPr="00D948C1">
        <w:rPr>
          <w:szCs w:val="24"/>
        </w:rPr>
        <w:t>both</w:t>
      </w:r>
      <w:r w:rsidRPr="00D948C1">
        <w:rPr>
          <w:szCs w:val="24"/>
        </w:rPr>
        <w:t xml:space="preserve"> PFI </w:t>
      </w:r>
      <w:r w:rsidR="000414B9" w:rsidRPr="00D948C1">
        <w:rPr>
          <w:szCs w:val="24"/>
        </w:rPr>
        <w:t>contracts</w:t>
      </w:r>
      <w:r w:rsidRPr="00D948C1">
        <w:rPr>
          <w:szCs w:val="24"/>
        </w:rPr>
        <w:t xml:space="preserve"> and Government Subsidie</w:t>
      </w:r>
      <w:r w:rsidR="00251BB2" w:rsidRPr="00D948C1">
        <w:rPr>
          <w:szCs w:val="24"/>
        </w:rPr>
        <w:t xml:space="preserve">s to be received </w:t>
      </w:r>
      <w:proofErr w:type="gramStart"/>
      <w:r w:rsidR="00251BB2" w:rsidRPr="00D948C1">
        <w:rPr>
          <w:szCs w:val="24"/>
        </w:rPr>
        <w:t>at</w:t>
      </w:r>
      <w:proofErr w:type="gramEnd"/>
      <w:r w:rsidR="00251BB2" w:rsidRPr="00D948C1">
        <w:rPr>
          <w:szCs w:val="24"/>
        </w:rPr>
        <w:t xml:space="preserve"> 31 March 202</w:t>
      </w:r>
      <w:r w:rsidR="001D07AD">
        <w:rPr>
          <w:szCs w:val="24"/>
        </w:rPr>
        <w:t>5</w:t>
      </w:r>
      <w:r w:rsidR="0003405C" w:rsidRPr="00D948C1">
        <w:rPr>
          <w:szCs w:val="24"/>
        </w:rPr>
        <w:t xml:space="preserve"> </w:t>
      </w:r>
      <w:r w:rsidRPr="00D948C1">
        <w:rPr>
          <w:szCs w:val="24"/>
        </w:rPr>
        <w:t>are as follows:</w:t>
      </w:r>
    </w:p>
    <w:p w14:paraId="55EDD3E5" w14:textId="77777777" w:rsidR="00D90216" w:rsidRPr="00D948C1" w:rsidRDefault="00D90216" w:rsidP="00D90216">
      <w:pPr>
        <w:pStyle w:val="BodyTextIndent"/>
        <w:rPr>
          <w:sz w:val="22"/>
          <w:szCs w:val="22"/>
          <w:lang w:val="en-GB"/>
        </w:rPr>
      </w:pPr>
    </w:p>
    <w:tbl>
      <w:tblPr>
        <w:tblW w:w="99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1"/>
        <w:gridCol w:w="1439"/>
        <w:gridCol w:w="2067"/>
        <w:gridCol w:w="1276"/>
        <w:gridCol w:w="1134"/>
        <w:gridCol w:w="1554"/>
      </w:tblGrid>
      <w:tr w:rsidR="00405586" w:rsidRPr="00D948C1" w14:paraId="0EAF2185" w14:textId="77777777" w:rsidTr="00D63769">
        <w:trPr>
          <w:tblHeader/>
        </w:trPr>
        <w:tc>
          <w:tcPr>
            <w:tcW w:w="2481" w:type="dxa"/>
            <w:shd w:val="clear" w:color="auto" w:fill="BD2716"/>
          </w:tcPr>
          <w:p w14:paraId="1FE6CD50" w14:textId="77777777" w:rsidR="00D90216" w:rsidRPr="00D948C1" w:rsidRDefault="00D90216" w:rsidP="00D72DD9">
            <w:pPr>
              <w:pStyle w:val="BodyTextIndent"/>
              <w:ind w:left="0"/>
              <w:rPr>
                <w:color w:val="FFFFFF" w:themeColor="background1"/>
                <w:szCs w:val="24"/>
                <w:lang w:val="en-GB"/>
              </w:rPr>
            </w:pPr>
          </w:p>
        </w:tc>
        <w:tc>
          <w:tcPr>
            <w:tcW w:w="1439" w:type="dxa"/>
            <w:shd w:val="clear" w:color="auto" w:fill="BD2716"/>
            <w:vAlign w:val="center"/>
          </w:tcPr>
          <w:p w14:paraId="2ABC2450" w14:textId="77777777" w:rsidR="00D90216" w:rsidRPr="00D948C1" w:rsidRDefault="00D90216" w:rsidP="00611673">
            <w:pPr>
              <w:pStyle w:val="BodyTextIndent"/>
              <w:ind w:left="0"/>
              <w:jc w:val="right"/>
              <w:rPr>
                <w:color w:val="FFFFFF" w:themeColor="background1"/>
                <w:szCs w:val="24"/>
                <w:lang w:val="en-GB"/>
              </w:rPr>
            </w:pPr>
            <w:r w:rsidRPr="00D948C1">
              <w:rPr>
                <w:color w:val="FFFFFF" w:themeColor="background1"/>
                <w:szCs w:val="24"/>
                <w:lang w:val="en-GB"/>
              </w:rPr>
              <w:t>Payment for Services</w:t>
            </w:r>
          </w:p>
          <w:p w14:paraId="745F36B9" w14:textId="6980CD51" w:rsidR="0058790E" w:rsidRPr="00D948C1" w:rsidRDefault="0058790E"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2067" w:type="dxa"/>
            <w:shd w:val="clear" w:color="auto" w:fill="BD2716"/>
            <w:vAlign w:val="center"/>
          </w:tcPr>
          <w:p w14:paraId="0E20D5FE" w14:textId="77777777" w:rsidR="00D90216" w:rsidRPr="00D948C1" w:rsidRDefault="00D90216" w:rsidP="00611673">
            <w:pPr>
              <w:pStyle w:val="BodyTextIndent"/>
              <w:ind w:left="0" w:right="139"/>
              <w:jc w:val="right"/>
              <w:rPr>
                <w:color w:val="FFFFFF" w:themeColor="background1"/>
                <w:szCs w:val="24"/>
                <w:lang w:val="en-GB"/>
              </w:rPr>
            </w:pPr>
            <w:r w:rsidRPr="00D948C1">
              <w:rPr>
                <w:color w:val="FFFFFF" w:themeColor="background1"/>
                <w:szCs w:val="24"/>
                <w:lang w:val="en-GB"/>
              </w:rPr>
              <w:t xml:space="preserve">Reimbursement of Capital </w:t>
            </w:r>
            <w:r w:rsidR="00405586" w:rsidRPr="00D948C1">
              <w:rPr>
                <w:color w:val="FFFFFF" w:themeColor="background1"/>
                <w:szCs w:val="24"/>
                <w:lang w:val="en-GB"/>
              </w:rPr>
              <w:t>Expenditure</w:t>
            </w:r>
          </w:p>
          <w:p w14:paraId="03C34E0C" w14:textId="4AD6A4BB" w:rsidR="0058790E" w:rsidRPr="00D948C1" w:rsidRDefault="0058790E" w:rsidP="00611673">
            <w:pPr>
              <w:pStyle w:val="BodyTextIndent"/>
              <w:ind w:left="0" w:right="139"/>
              <w:jc w:val="right"/>
              <w:rPr>
                <w:color w:val="FFFFFF" w:themeColor="background1"/>
                <w:szCs w:val="24"/>
                <w:lang w:val="en-GB"/>
              </w:rPr>
            </w:pPr>
            <w:r w:rsidRPr="00D948C1">
              <w:rPr>
                <w:color w:val="FFFFFF" w:themeColor="background1"/>
                <w:szCs w:val="24"/>
                <w:lang w:val="en-GB"/>
              </w:rPr>
              <w:t>£000</w:t>
            </w:r>
          </w:p>
        </w:tc>
        <w:tc>
          <w:tcPr>
            <w:tcW w:w="1276" w:type="dxa"/>
            <w:shd w:val="clear" w:color="auto" w:fill="BD2716"/>
            <w:vAlign w:val="center"/>
          </w:tcPr>
          <w:p w14:paraId="228F83E2" w14:textId="77777777" w:rsidR="00D90216" w:rsidRPr="00D948C1" w:rsidRDefault="00D90216" w:rsidP="00611673">
            <w:pPr>
              <w:pStyle w:val="BodyTextIndent"/>
              <w:ind w:left="-81" w:right="40"/>
              <w:jc w:val="right"/>
              <w:rPr>
                <w:color w:val="FFFFFF" w:themeColor="background1"/>
                <w:szCs w:val="24"/>
                <w:lang w:val="en-GB"/>
              </w:rPr>
            </w:pPr>
            <w:r w:rsidRPr="00D948C1">
              <w:rPr>
                <w:color w:val="FFFFFF" w:themeColor="background1"/>
                <w:szCs w:val="24"/>
                <w:lang w:val="en-GB"/>
              </w:rPr>
              <w:t>Interest</w:t>
            </w:r>
          </w:p>
          <w:p w14:paraId="7695D921" w14:textId="5A658A82" w:rsidR="0058790E" w:rsidRPr="00D948C1" w:rsidRDefault="0058790E" w:rsidP="00611673">
            <w:pPr>
              <w:pStyle w:val="BodyTextIndent"/>
              <w:ind w:left="-81" w:right="40"/>
              <w:jc w:val="right"/>
              <w:rPr>
                <w:color w:val="FFFFFF" w:themeColor="background1"/>
                <w:szCs w:val="24"/>
                <w:lang w:val="en-GB"/>
              </w:rPr>
            </w:pPr>
            <w:r w:rsidRPr="00D948C1">
              <w:rPr>
                <w:color w:val="FFFFFF" w:themeColor="background1"/>
                <w:szCs w:val="24"/>
                <w:lang w:val="en-GB"/>
              </w:rPr>
              <w:t>£000</w:t>
            </w:r>
          </w:p>
        </w:tc>
        <w:tc>
          <w:tcPr>
            <w:tcW w:w="1134" w:type="dxa"/>
            <w:shd w:val="clear" w:color="auto" w:fill="BD2716"/>
            <w:vAlign w:val="center"/>
          </w:tcPr>
          <w:p w14:paraId="2B7FFC66" w14:textId="77777777" w:rsidR="00D90216" w:rsidRPr="00D948C1" w:rsidRDefault="00D90216" w:rsidP="00611673">
            <w:pPr>
              <w:pStyle w:val="BodyTextIndent"/>
              <w:ind w:left="0"/>
              <w:jc w:val="right"/>
              <w:rPr>
                <w:color w:val="FFFFFF" w:themeColor="background1"/>
                <w:szCs w:val="24"/>
                <w:lang w:val="en-GB"/>
              </w:rPr>
            </w:pPr>
            <w:r w:rsidRPr="00D948C1">
              <w:rPr>
                <w:color w:val="FFFFFF" w:themeColor="background1"/>
                <w:szCs w:val="24"/>
                <w:lang w:val="en-GB"/>
              </w:rPr>
              <w:t>Total</w:t>
            </w:r>
          </w:p>
          <w:p w14:paraId="6DB7BEB9" w14:textId="193D2B2A" w:rsidR="0058790E" w:rsidRPr="00D948C1" w:rsidRDefault="0058790E"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1554" w:type="dxa"/>
            <w:shd w:val="clear" w:color="auto" w:fill="BD2716"/>
            <w:vAlign w:val="center"/>
          </w:tcPr>
          <w:p w14:paraId="511BCBE2" w14:textId="77777777" w:rsidR="00D90216" w:rsidRPr="00D948C1" w:rsidRDefault="00D90216" w:rsidP="00611673">
            <w:pPr>
              <w:pStyle w:val="BodyTextIndent"/>
              <w:ind w:left="0"/>
              <w:jc w:val="right"/>
              <w:rPr>
                <w:color w:val="FFFFFF" w:themeColor="background1"/>
                <w:szCs w:val="24"/>
                <w:lang w:val="en-GB"/>
              </w:rPr>
            </w:pPr>
            <w:r w:rsidRPr="00D948C1">
              <w:rPr>
                <w:color w:val="FFFFFF" w:themeColor="background1"/>
                <w:szCs w:val="24"/>
                <w:lang w:val="en-GB"/>
              </w:rPr>
              <w:t>Government Subsidy</w:t>
            </w:r>
          </w:p>
          <w:p w14:paraId="3D1CA33D" w14:textId="02871D9C" w:rsidR="0058790E" w:rsidRPr="00D948C1" w:rsidRDefault="0058790E" w:rsidP="00611673">
            <w:pPr>
              <w:pStyle w:val="BodyTextIndent"/>
              <w:ind w:left="0"/>
              <w:jc w:val="right"/>
              <w:rPr>
                <w:color w:val="FFFFFF" w:themeColor="background1"/>
                <w:szCs w:val="24"/>
                <w:lang w:val="en-GB"/>
              </w:rPr>
            </w:pPr>
            <w:r w:rsidRPr="00D948C1">
              <w:rPr>
                <w:color w:val="FFFFFF" w:themeColor="background1"/>
                <w:szCs w:val="24"/>
                <w:lang w:val="en-GB"/>
              </w:rPr>
              <w:t>£000</w:t>
            </w:r>
          </w:p>
        </w:tc>
      </w:tr>
      <w:tr w:rsidR="00915C49" w:rsidRPr="00D948C1" w14:paraId="15DBA55F" w14:textId="77777777" w:rsidTr="00D63769">
        <w:tc>
          <w:tcPr>
            <w:tcW w:w="2481" w:type="dxa"/>
            <w:vAlign w:val="bottom"/>
          </w:tcPr>
          <w:p w14:paraId="7EAC91DE" w14:textId="77777777" w:rsidR="00915C49" w:rsidRPr="00D948C1" w:rsidRDefault="00915C49" w:rsidP="00915C49">
            <w:pPr>
              <w:pStyle w:val="BodyTextIndent"/>
              <w:ind w:left="0"/>
              <w:rPr>
                <w:szCs w:val="24"/>
                <w:lang w:val="en-GB"/>
              </w:rPr>
            </w:pPr>
            <w:r w:rsidRPr="00D948C1">
              <w:rPr>
                <w:szCs w:val="24"/>
                <w:lang w:val="en-GB"/>
              </w:rPr>
              <w:t>Payable in 1 year</w:t>
            </w:r>
          </w:p>
        </w:tc>
        <w:tc>
          <w:tcPr>
            <w:tcW w:w="1439" w:type="dxa"/>
            <w:vAlign w:val="center"/>
          </w:tcPr>
          <w:p w14:paraId="3D64EE68" w14:textId="28550D4E" w:rsidR="00915C49" w:rsidRPr="001A4EDE" w:rsidRDefault="002B3A1E" w:rsidP="00F40AE4">
            <w:pPr>
              <w:tabs>
                <w:tab w:val="decimal" w:pos="648"/>
                <w:tab w:val="decimal" w:pos="738"/>
              </w:tabs>
              <w:jc w:val="right"/>
            </w:pPr>
            <w:r w:rsidRPr="001A4EDE">
              <w:t>1,013</w:t>
            </w:r>
          </w:p>
        </w:tc>
        <w:tc>
          <w:tcPr>
            <w:tcW w:w="2067" w:type="dxa"/>
            <w:vAlign w:val="center"/>
          </w:tcPr>
          <w:p w14:paraId="641ACFE4" w14:textId="0A95AC03" w:rsidR="00915C49" w:rsidRPr="001A4EDE" w:rsidRDefault="00CC4631" w:rsidP="00F40AE4">
            <w:pPr>
              <w:tabs>
                <w:tab w:val="decimal" w:pos="648"/>
                <w:tab w:val="decimal" w:pos="738"/>
              </w:tabs>
              <w:jc w:val="right"/>
            </w:pPr>
            <w:r w:rsidRPr="001A4EDE">
              <w:t>661</w:t>
            </w:r>
          </w:p>
        </w:tc>
        <w:tc>
          <w:tcPr>
            <w:tcW w:w="1276" w:type="dxa"/>
            <w:vAlign w:val="center"/>
          </w:tcPr>
          <w:p w14:paraId="73A63BEF" w14:textId="7EC5228D" w:rsidR="00915C49" w:rsidRPr="001A4EDE" w:rsidRDefault="005D3B92" w:rsidP="00F40AE4">
            <w:pPr>
              <w:tabs>
                <w:tab w:val="decimal" w:pos="648"/>
              </w:tabs>
              <w:jc w:val="right"/>
            </w:pPr>
            <w:r w:rsidRPr="001A4EDE">
              <w:t>1,120</w:t>
            </w:r>
          </w:p>
        </w:tc>
        <w:tc>
          <w:tcPr>
            <w:tcW w:w="1134" w:type="dxa"/>
            <w:vAlign w:val="center"/>
          </w:tcPr>
          <w:p w14:paraId="4B56456C" w14:textId="5C7D128B" w:rsidR="00915C49" w:rsidRPr="001A4EDE" w:rsidRDefault="00B152E0" w:rsidP="00F40AE4">
            <w:pPr>
              <w:tabs>
                <w:tab w:val="decimal" w:pos="648"/>
                <w:tab w:val="decimal" w:pos="738"/>
              </w:tabs>
              <w:jc w:val="right"/>
            </w:pPr>
            <w:r w:rsidRPr="001A4EDE">
              <w:t>2,795</w:t>
            </w:r>
          </w:p>
        </w:tc>
        <w:tc>
          <w:tcPr>
            <w:tcW w:w="1554" w:type="dxa"/>
            <w:vAlign w:val="center"/>
          </w:tcPr>
          <w:p w14:paraId="47B214FA" w14:textId="3D86E1CA" w:rsidR="00915C49" w:rsidRPr="001A4EDE" w:rsidRDefault="40AE98F6" w:rsidP="00F40AE4">
            <w:pPr>
              <w:tabs>
                <w:tab w:val="decimal" w:pos="648"/>
                <w:tab w:val="decimal" w:pos="738"/>
                <w:tab w:val="decimal" w:pos="1046"/>
              </w:tabs>
              <w:jc w:val="right"/>
            </w:pPr>
            <w:r w:rsidRPr="001A4EDE">
              <w:t>1,734</w:t>
            </w:r>
          </w:p>
        </w:tc>
      </w:tr>
      <w:tr w:rsidR="00915C49" w:rsidRPr="00D948C1" w14:paraId="2FFB281F" w14:textId="77777777" w:rsidTr="00D63769">
        <w:trPr>
          <w:trHeight w:val="257"/>
        </w:trPr>
        <w:tc>
          <w:tcPr>
            <w:tcW w:w="2481" w:type="dxa"/>
            <w:vAlign w:val="bottom"/>
          </w:tcPr>
          <w:p w14:paraId="2663EC3B" w14:textId="77777777" w:rsidR="00915C49" w:rsidRPr="00D948C1" w:rsidRDefault="00915C49" w:rsidP="00915C49">
            <w:pPr>
              <w:pStyle w:val="BodyTextIndent"/>
              <w:ind w:left="0"/>
              <w:rPr>
                <w:szCs w:val="24"/>
                <w:lang w:val="en-GB"/>
              </w:rPr>
            </w:pPr>
            <w:r w:rsidRPr="00D948C1">
              <w:rPr>
                <w:szCs w:val="24"/>
                <w:lang w:val="en-GB"/>
              </w:rPr>
              <w:t>Payable within 2-5 years</w:t>
            </w:r>
          </w:p>
        </w:tc>
        <w:tc>
          <w:tcPr>
            <w:tcW w:w="1439" w:type="dxa"/>
            <w:vAlign w:val="center"/>
          </w:tcPr>
          <w:p w14:paraId="626A482E" w14:textId="23A7D982" w:rsidR="00915C49" w:rsidRPr="001A4EDE" w:rsidRDefault="40AE98F6" w:rsidP="00F40AE4">
            <w:pPr>
              <w:tabs>
                <w:tab w:val="decimal" w:pos="648"/>
                <w:tab w:val="decimal" w:pos="738"/>
              </w:tabs>
              <w:jc w:val="right"/>
            </w:pPr>
            <w:r w:rsidRPr="001A4EDE">
              <w:t xml:space="preserve"> </w:t>
            </w:r>
            <w:r w:rsidR="002B3A1E" w:rsidRPr="001A4EDE">
              <w:t>4,197</w:t>
            </w:r>
          </w:p>
        </w:tc>
        <w:tc>
          <w:tcPr>
            <w:tcW w:w="2067" w:type="dxa"/>
            <w:vAlign w:val="center"/>
          </w:tcPr>
          <w:p w14:paraId="2260081F" w14:textId="4FEE8265" w:rsidR="00915C49" w:rsidRPr="001A4EDE" w:rsidRDefault="003D32BA" w:rsidP="00F40AE4">
            <w:pPr>
              <w:tabs>
                <w:tab w:val="decimal" w:pos="648"/>
                <w:tab w:val="decimal" w:pos="738"/>
              </w:tabs>
              <w:jc w:val="right"/>
            </w:pPr>
            <w:r w:rsidRPr="001A4EDE">
              <w:t>3,279</w:t>
            </w:r>
          </w:p>
        </w:tc>
        <w:tc>
          <w:tcPr>
            <w:tcW w:w="1276" w:type="dxa"/>
            <w:vAlign w:val="center"/>
          </w:tcPr>
          <w:p w14:paraId="592446F5" w14:textId="75ADA9DA" w:rsidR="00915C49" w:rsidRPr="001A4EDE" w:rsidRDefault="005D3B92" w:rsidP="00F40AE4">
            <w:pPr>
              <w:tabs>
                <w:tab w:val="decimal" w:pos="648"/>
              </w:tabs>
              <w:jc w:val="right"/>
            </w:pPr>
            <w:r w:rsidRPr="001A4EDE">
              <w:t>3,788</w:t>
            </w:r>
          </w:p>
        </w:tc>
        <w:tc>
          <w:tcPr>
            <w:tcW w:w="1134" w:type="dxa"/>
            <w:vAlign w:val="center"/>
          </w:tcPr>
          <w:p w14:paraId="5FC2F999" w14:textId="7A993BF1" w:rsidR="00915C49" w:rsidRPr="001A4EDE" w:rsidRDefault="009F02E6" w:rsidP="00F40AE4">
            <w:pPr>
              <w:tabs>
                <w:tab w:val="decimal" w:pos="648"/>
                <w:tab w:val="decimal" w:pos="738"/>
              </w:tabs>
              <w:jc w:val="right"/>
            </w:pPr>
            <w:r w:rsidRPr="001A4EDE">
              <w:t>11,264</w:t>
            </w:r>
          </w:p>
        </w:tc>
        <w:tc>
          <w:tcPr>
            <w:tcW w:w="1554" w:type="dxa"/>
            <w:vAlign w:val="center"/>
          </w:tcPr>
          <w:p w14:paraId="55EE3F31" w14:textId="3F505D38" w:rsidR="00915C49" w:rsidRPr="001A4EDE" w:rsidRDefault="40AE98F6" w:rsidP="00F40AE4">
            <w:pPr>
              <w:tabs>
                <w:tab w:val="decimal" w:pos="648"/>
                <w:tab w:val="decimal" w:pos="738"/>
                <w:tab w:val="decimal" w:pos="1046"/>
              </w:tabs>
              <w:jc w:val="right"/>
            </w:pPr>
            <w:r w:rsidRPr="001A4EDE">
              <w:t>6,935</w:t>
            </w:r>
          </w:p>
        </w:tc>
      </w:tr>
      <w:tr w:rsidR="00915C49" w:rsidRPr="00D948C1" w14:paraId="051984C3" w14:textId="77777777" w:rsidTr="00D63769">
        <w:tc>
          <w:tcPr>
            <w:tcW w:w="2481" w:type="dxa"/>
            <w:vAlign w:val="bottom"/>
          </w:tcPr>
          <w:p w14:paraId="513F07A0" w14:textId="77777777" w:rsidR="00915C49" w:rsidRPr="00D948C1" w:rsidRDefault="00915C49" w:rsidP="00915C49">
            <w:pPr>
              <w:pStyle w:val="BodyTextIndent"/>
              <w:ind w:left="0"/>
              <w:rPr>
                <w:szCs w:val="24"/>
                <w:lang w:val="en-GB"/>
              </w:rPr>
            </w:pPr>
            <w:r w:rsidRPr="00D948C1">
              <w:rPr>
                <w:szCs w:val="24"/>
                <w:lang w:val="en-GB"/>
              </w:rPr>
              <w:t>Payable within 6-10 years</w:t>
            </w:r>
          </w:p>
        </w:tc>
        <w:tc>
          <w:tcPr>
            <w:tcW w:w="1439" w:type="dxa"/>
            <w:vAlign w:val="center"/>
          </w:tcPr>
          <w:p w14:paraId="7A146135" w14:textId="059C34F1" w:rsidR="00915C49" w:rsidRPr="00225E6D" w:rsidRDefault="40AE98F6" w:rsidP="00F40AE4">
            <w:pPr>
              <w:tabs>
                <w:tab w:val="decimal" w:pos="648"/>
                <w:tab w:val="decimal" w:pos="738"/>
              </w:tabs>
              <w:jc w:val="right"/>
            </w:pPr>
            <w:r w:rsidRPr="00225E6D">
              <w:t xml:space="preserve"> </w:t>
            </w:r>
            <w:r w:rsidR="002B3A1E" w:rsidRPr="00225E6D">
              <w:t>4,471</w:t>
            </w:r>
          </w:p>
        </w:tc>
        <w:tc>
          <w:tcPr>
            <w:tcW w:w="2067" w:type="dxa"/>
            <w:vAlign w:val="center"/>
          </w:tcPr>
          <w:p w14:paraId="7AE23785" w14:textId="4413401E" w:rsidR="00915C49" w:rsidRPr="00225E6D" w:rsidRDefault="000D736C" w:rsidP="00F40AE4">
            <w:pPr>
              <w:tabs>
                <w:tab w:val="decimal" w:pos="648"/>
                <w:tab w:val="decimal" w:pos="738"/>
              </w:tabs>
              <w:jc w:val="right"/>
            </w:pPr>
            <w:r w:rsidRPr="00225E6D">
              <w:t>5,034</w:t>
            </w:r>
          </w:p>
        </w:tc>
        <w:tc>
          <w:tcPr>
            <w:tcW w:w="1276" w:type="dxa"/>
            <w:vAlign w:val="center"/>
          </w:tcPr>
          <w:p w14:paraId="5378E087" w14:textId="1CDDA6B9" w:rsidR="00915C49" w:rsidRPr="00225E6D" w:rsidRDefault="005D3B92" w:rsidP="00F40AE4">
            <w:pPr>
              <w:tabs>
                <w:tab w:val="decimal" w:pos="648"/>
              </w:tabs>
              <w:jc w:val="right"/>
            </w:pPr>
            <w:r w:rsidRPr="00225E6D">
              <w:t>2,718</w:t>
            </w:r>
          </w:p>
        </w:tc>
        <w:tc>
          <w:tcPr>
            <w:tcW w:w="1134" w:type="dxa"/>
            <w:vAlign w:val="center"/>
          </w:tcPr>
          <w:p w14:paraId="5F4A7495" w14:textId="19C31AB4" w:rsidR="00915C49" w:rsidRPr="00225E6D" w:rsidRDefault="009F02E6" w:rsidP="00F40AE4">
            <w:pPr>
              <w:tabs>
                <w:tab w:val="decimal" w:pos="648"/>
                <w:tab w:val="decimal" w:pos="738"/>
              </w:tabs>
              <w:jc w:val="right"/>
            </w:pPr>
            <w:r w:rsidRPr="00225E6D">
              <w:t>12,224</w:t>
            </w:r>
          </w:p>
        </w:tc>
        <w:tc>
          <w:tcPr>
            <w:tcW w:w="1554" w:type="dxa"/>
            <w:vAlign w:val="center"/>
          </w:tcPr>
          <w:p w14:paraId="4667544A" w14:textId="408822D6" w:rsidR="00915C49" w:rsidRPr="00225E6D" w:rsidRDefault="00520C7B" w:rsidP="00F40AE4">
            <w:pPr>
              <w:tabs>
                <w:tab w:val="decimal" w:pos="648"/>
                <w:tab w:val="decimal" w:pos="738"/>
                <w:tab w:val="decimal" w:pos="1046"/>
              </w:tabs>
              <w:jc w:val="right"/>
            </w:pPr>
            <w:r w:rsidRPr="00225E6D">
              <w:t>7,704</w:t>
            </w:r>
          </w:p>
        </w:tc>
      </w:tr>
      <w:tr w:rsidR="00915C49" w:rsidRPr="00D948C1" w14:paraId="4AECCF04" w14:textId="77777777" w:rsidTr="00D63769">
        <w:tc>
          <w:tcPr>
            <w:tcW w:w="2481" w:type="dxa"/>
            <w:vAlign w:val="bottom"/>
          </w:tcPr>
          <w:p w14:paraId="3F06D334" w14:textId="77777777" w:rsidR="00915C49" w:rsidRPr="00D948C1" w:rsidRDefault="00915C49" w:rsidP="00915C49">
            <w:pPr>
              <w:pStyle w:val="BodyTextIndent"/>
              <w:ind w:left="0"/>
              <w:rPr>
                <w:szCs w:val="24"/>
                <w:lang w:val="en-GB"/>
              </w:rPr>
            </w:pPr>
            <w:r w:rsidRPr="00D948C1">
              <w:rPr>
                <w:szCs w:val="24"/>
                <w:lang w:val="en-GB"/>
              </w:rPr>
              <w:t>Payable within 11-15 years</w:t>
            </w:r>
          </w:p>
        </w:tc>
        <w:tc>
          <w:tcPr>
            <w:tcW w:w="1439" w:type="dxa"/>
            <w:vAlign w:val="center"/>
          </w:tcPr>
          <w:p w14:paraId="03E14BBC" w14:textId="49DD5C15" w:rsidR="00915C49" w:rsidRPr="00225E6D" w:rsidRDefault="00D43E2B" w:rsidP="00F40AE4">
            <w:pPr>
              <w:tabs>
                <w:tab w:val="decimal" w:pos="648"/>
                <w:tab w:val="decimal" w:pos="738"/>
              </w:tabs>
              <w:jc w:val="right"/>
            </w:pPr>
            <w:r w:rsidRPr="00225E6D">
              <w:t>1,9</w:t>
            </w:r>
            <w:r w:rsidR="00DC0061" w:rsidRPr="00225E6D">
              <w:t>84</w:t>
            </w:r>
          </w:p>
        </w:tc>
        <w:tc>
          <w:tcPr>
            <w:tcW w:w="2067" w:type="dxa"/>
            <w:vAlign w:val="center"/>
          </w:tcPr>
          <w:p w14:paraId="7523169A" w14:textId="7A36008D" w:rsidR="00915C49" w:rsidRPr="00225E6D" w:rsidRDefault="000D736C" w:rsidP="00F40AE4">
            <w:pPr>
              <w:tabs>
                <w:tab w:val="decimal" w:pos="648"/>
                <w:tab w:val="decimal" w:pos="738"/>
              </w:tabs>
              <w:jc w:val="right"/>
            </w:pPr>
            <w:r w:rsidRPr="00225E6D">
              <w:t>3,470</w:t>
            </w:r>
          </w:p>
        </w:tc>
        <w:tc>
          <w:tcPr>
            <w:tcW w:w="1276" w:type="dxa"/>
            <w:vAlign w:val="center"/>
          </w:tcPr>
          <w:p w14:paraId="5E2711B2" w14:textId="5D27F5F9" w:rsidR="00915C49" w:rsidRPr="00225E6D" w:rsidRDefault="00F40AE4" w:rsidP="00F40AE4">
            <w:pPr>
              <w:tabs>
                <w:tab w:val="decimal" w:pos="648"/>
              </w:tabs>
              <w:jc w:val="right"/>
            </w:pPr>
            <w:r w:rsidRPr="00225E6D">
              <w:t>575</w:t>
            </w:r>
          </w:p>
        </w:tc>
        <w:tc>
          <w:tcPr>
            <w:tcW w:w="1134" w:type="dxa"/>
            <w:vAlign w:val="center"/>
          </w:tcPr>
          <w:p w14:paraId="1BDECE54" w14:textId="3F9B6BC1" w:rsidR="00915C49" w:rsidRPr="00225E6D" w:rsidRDefault="009F02E6" w:rsidP="00F40AE4">
            <w:pPr>
              <w:tabs>
                <w:tab w:val="decimal" w:pos="648"/>
                <w:tab w:val="decimal" w:pos="738"/>
              </w:tabs>
              <w:jc w:val="right"/>
            </w:pPr>
            <w:r w:rsidRPr="00225E6D">
              <w:t>6,028</w:t>
            </w:r>
          </w:p>
        </w:tc>
        <w:tc>
          <w:tcPr>
            <w:tcW w:w="1554" w:type="dxa"/>
            <w:vAlign w:val="center"/>
          </w:tcPr>
          <w:p w14:paraId="4D9E3F3C" w14:textId="79584621" w:rsidR="00915C49" w:rsidRPr="00225E6D" w:rsidRDefault="007644A3" w:rsidP="00F40AE4">
            <w:pPr>
              <w:tabs>
                <w:tab w:val="decimal" w:pos="648"/>
                <w:tab w:val="decimal" w:pos="738"/>
                <w:tab w:val="decimal" w:pos="1046"/>
              </w:tabs>
              <w:jc w:val="right"/>
            </w:pPr>
            <w:r w:rsidRPr="00225E6D">
              <w:t>4,097</w:t>
            </w:r>
          </w:p>
        </w:tc>
      </w:tr>
      <w:tr w:rsidR="00915C49" w:rsidRPr="00D948C1" w14:paraId="6C2262DE" w14:textId="77777777" w:rsidTr="00D63769">
        <w:tc>
          <w:tcPr>
            <w:tcW w:w="2481" w:type="dxa"/>
            <w:vAlign w:val="bottom"/>
          </w:tcPr>
          <w:p w14:paraId="7A65FD0A" w14:textId="77777777" w:rsidR="00915C49" w:rsidRPr="00D948C1" w:rsidRDefault="00915C49" w:rsidP="00915C49">
            <w:pPr>
              <w:pStyle w:val="BodyTextIndent"/>
              <w:ind w:left="0"/>
              <w:rPr>
                <w:szCs w:val="24"/>
                <w:lang w:val="en-GB"/>
              </w:rPr>
            </w:pPr>
            <w:r w:rsidRPr="00D948C1">
              <w:rPr>
                <w:szCs w:val="24"/>
                <w:lang w:val="en-GB"/>
              </w:rPr>
              <w:t>Total</w:t>
            </w:r>
          </w:p>
        </w:tc>
        <w:tc>
          <w:tcPr>
            <w:tcW w:w="1439" w:type="dxa"/>
            <w:vAlign w:val="center"/>
          </w:tcPr>
          <w:p w14:paraId="35A95B6D" w14:textId="4322FBFD" w:rsidR="00915C49" w:rsidRPr="00225E6D" w:rsidRDefault="40AE98F6" w:rsidP="00F40AE4">
            <w:pPr>
              <w:tabs>
                <w:tab w:val="decimal" w:pos="648"/>
                <w:tab w:val="decimal" w:pos="738"/>
              </w:tabs>
              <w:jc w:val="right"/>
            </w:pPr>
            <w:r w:rsidRPr="00225E6D">
              <w:t xml:space="preserve"> 1</w:t>
            </w:r>
            <w:r w:rsidR="00A157BC" w:rsidRPr="00225E6D">
              <w:t>1</w:t>
            </w:r>
            <w:r w:rsidRPr="00225E6D">
              <w:t>,66</w:t>
            </w:r>
            <w:r w:rsidR="00A157BC" w:rsidRPr="00225E6D">
              <w:t>6</w:t>
            </w:r>
          </w:p>
        </w:tc>
        <w:tc>
          <w:tcPr>
            <w:tcW w:w="2067" w:type="dxa"/>
            <w:vAlign w:val="center"/>
          </w:tcPr>
          <w:p w14:paraId="3D252290" w14:textId="57236AC4" w:rsidR="00915C49" w:rsidRPr="00225E6D" w:rsidRDefault="0083717B" w:rsidP="00F40AE4">
            <w:pPr>
              <w:tabs>
                <w:tab w:val="decimal" w:pos="648"/>
                <w:tab w:val="decimal" w:pos="738"/>
              </w:tabs>
              <w:jc w:val="right"/>
            </w:pPr>
            <w:r w:rsidRPr="00225E6D">
              <w:t>12,444</w:t>
            </w:r>
          </w:p>
        </w:tc>
        <w:tc>
          <w:tcPr>
            <w:tcW w:w="1276" w:type="dxa"/>
            <w:vAlign w:val="center"/>
          </w:tcPr>
          <w:p w14:paraId="54ABD078" w14:textId="29D91186" w:rsidR="00915C49" w:rsidRPr="00225E6D" w:rsidRDefault="00FD24EB" w:rsidP="00F40AE4">
            <w:pPr>
              <w:tabs>
                <w:tab w:val="decimal" w:pos="648"/>
              </w:tabs>
              <w:jc w:val="right"/>
            </w:pPr>
            <w:r w:rsidRPr="00225E6D">
              <w:t>8,202</w:t>
            </w:r>
          </w:p>
        </w:tc>
        <w:tc>
          <w:tcPr>
            <w:tcW w:w="1134" w:type="dxa"/>
            <w:vAlign w:val="center"/>
          </w:tcPr>
          <w:p w14:paraId="5E69637C" w14:textId="0AF2649E" w:rsidR="00915C49" w:rsidRPr="00225E6D" w:rsidRDefault="009F02E6" w:rsidP="00F40AE4">
            <w:pPr>
              <w:tabs>
                <w:tab w:val="decimal" w:pos="648"/>
              </w:tabs>
              <w:jc w:val="right"/>
            </w:pPr>
            <w:r w:rsidRPr="00225E6D">
              <w:t>32,311</w:t>
            </w:r>
          </w:p>
        </w:tc>
        <w:tc>
          <w:tcPr>
            <w:tcW w:w="1554" w:type="dxa"/>
            <w:vAlign w:val="center"/>
          </w:tcPr>
          <w:p w14:paraId="0C1A685D" w14:textId="39BEE6D9" w:rsidR="00915C49" w:rsidRPr="00225E6D" w:rsidRDefault="40AE98F6" w:rsidP="00F40AE4">
            <w:pPr>
              <w:tabs>
                <w:tab w:val="decimal" w:pos="648"/>
                <w:tab w:val="decimal" w:pos="1046"/>
              </w:tabs>
              <w:jc w:val="right"/>
            </w:pPr>
            <w:r w:rsidRPr="00225E6D">
              <w:t>2</w:t>
            </w:r>
            <w:r w:rsidR="007644A3" w:rsidRPr="00225E6D">
              <w:t>0,470</w:t>
            </w:r>
          </w:p>
        </w:tc>
      </w:tr>
    </w:tbl>
    <w:p w14:paraId="7BE4AC41" w14:textId="77777777" w:rsidR="00A43D8F" w:rsidRPr="00D948C1" w:rsidRDefault="00A43D8F" w:rsidP="00617696">
      <w:pPr>
        <w:jc w:val="both"/>
        <w:rPr>
          <w:szCs w:val="24"/>
        </w:rPr>
      </w:pPr>
    </w:p>
    <w:p w14:paraId="3D39E7E0" w14:textId="503E2A2C" w:rsidR="0061700B" w:rsidRPr="00D948C1" w:rsidRDefault="0061700B" w:rsidP="00BC6C4F">
      <w:pPr>
        <w:ind w:left="720"/>
      </w:pPr>
      <w:r w:rsidRPr="00124FF4">
        <w:t xml:space="preserve">Although the payments made to the contractor are described as unitary payments, they have been calculated to compensate the contractor for the fair value of the services they provide, the capital expenditure incurred and interest payable </w:t>
      </w:r>
      <w:r w:rsidR="00B1753C" w:rsidRPr="00124FF4">
        <w:t>over the life of the contract</w:t>
      </w:r>
      <w:r w:rsidRPr="00124FF4">
        <w:t>. The liability outstanding to pay the contractor for capital expenditure incurred is as follows:</w:t>
      </w:r>
    </w:p>
    <w:p w14:paraId="71815503" w14:textId="77777777" w:rsidR="0061700B" w:rsidRPr="00D948C1" w:rsidRDefault="0061700B" w:rsidP="0061700B">
      <w:pPr>
        <w:ind w:left="720"/>
        <w:jc w:val="both"/>
        <w:rPr>
          <w:sz w:val="22"/>
        </w:rPr>
      </w:pPr>
    </w:p>
    <w:tbl>
      <w:tblPr>
        <w:tblW w:w="90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984"/>
        <w:gridCol w:w="1855"/>
      </w:tblGrid>
      <w:tr w:rsidR="00BA53E7" w:rsidRPr="00D948C1" w14:paraId="517B30A0" w14:textId="77777777" w:rsidTr="00611673">
        <w:trPr>
          <w:tblHeader/>
        </w:trPr>
        <w:tc>
          <w:tcPr>
            <w:tcW w:w="5245" w:type="dxa"/>
            <w:shd w:val="clear" w:color="auto" w:fill="BD2716"/>
          </w:tcPr>
          <w:p w14:paraId="09A74FBA" w14:textId="77777777" w:rsidR="00BA53E7" w:rsidRPr="00D948C1" w:rsidRDefault="00BA53E7" w:rsidP="00BA53E7">
            <w:pPr>
              <w:jc w:val="both"/>
              <w:rPr>
                <w:color w:val="FFFFFF" w:themeColor="background1"/>
                <w:szCs w:val="24"/>
              </w:rPr>
            </w:pPr>
          </w:p>
        </w:tc>
        <w:tc>
          <w:tcPr>
            <w:tcW w:w="1984" w:type="dxa"/>
            <w:shd w:val="clear" w:color="auto" w:fill="BD2716"/>
            <w:vAlign w:val="center"/>
          </w:tcPr>
          <w:p w14:paraId="1D9CBE26" w14:textId="154A26B1" w:rsidR="00BA53E7" w:rsidRPr="00D948C1" w:rsidRDefault="00670DBF" w:rsidP="00611673">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72AA3AF4" w14:textId="4DBC5745" w:rsidR="00C67044" w:rsidRPr="00D948C1" w:rsidRDefault="00C67044"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1855" w:type="dxa"/>
            <w:shd w:val="clear" w:color="auto" w:fill="BD2716"/>
            <w:vAlign w:val="center"/>
          </w:tcPr>
          <w:p w14:paraId="6155FAC5" w14:textId="5233E78A" w:rsidR="00BA53E7" w:rsidRPr="00D948C1" w:rsidRDefault="00BA53E7" w:rsidP="008F3F7F">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3</w:t>
            </w:r>
            <w:r w:rsidRPr="00D948C1">
              <w:rPr>
                <w:color w:val="FFFFFF" w:themeColor="background1"/>
                <w:szCs w:val="24"/>
                <w:lang w:val="en-GB"/>
              </w:rPr>
              <w:t>/2</w:t>
            </w:r>
            <w:r w:rsidR="006636C3">
              <w:rPr>
                <w:color w:val="FFFFFF" w:themeColor="background1"/>
                <w:szCs w:val="24"/>
                <w:lang w:val="en-GB"/>
              </w:rPr>
              <w:t>4</w:t>
            </w:r>
          </w:p>
          <w:p w14:paraId="285EF060" w14:textId="368957FF" w:rsidR="00C67044" w:rsidRPr="00D948C1" w:rsidRDefault="00C67044" w:rsidP="00611673">
            <w:pPr>
              <w:pStyle w:val="BodyTextIndent"/>
              <w:ind w:left="0"/>
              <w:jc w:val="right"/>
              <w:rPr>
                <w:color w:val="FFFFFF" w:themeColor="background1"/>
                <w:szCs w:val="24"/>
                <w:lang w:val="en-GB"/>
              </w:rPr>
            </w:pPr>
            <w:r w:rsidRPr="00D948C1">
              <w:rPr>
                <w:color w:val="FFFFFF" w:themeColor="background1"/>
                <w:szCs w:val="24"/>
                <w:lang w:val="en-GB"/>
              </w:rPr>
              <w:t>£000</w:t>
            </w:r>
          </w:p>
        </w:tc>
      </w:tr>
      <w:tr w:rsidR="006636C3" w:rsidRPr="00D948C1" w14:paraId="488B905B" w14:textId="77777777" w:rsidTr="00DD63D7">
        <w:tc>
          <w:tcPr>
            <w:tcW w:w="5245" w:type="dxa"/>
          </w:tcPr>
          <w:p w14:paraId="1FF56D3D" w14:textId="77777777" w:rsidR="006636C3" w:rsidRPr="00D948C1" w:rsidRDefault="006636C3" w:rsidP="006636C3">
            <w:pPr>
              <w:rPr>
                <w:szCs w:val="24"/>
              </w:rPr>
            </w:pPr>
            <w:r w:rsidRPr="00D948C1">
              <w:rPr>
                <w:szCs w:val="24"/>
              </w:rPr>
              <w:t>Balance outstanding at the start of the year</w:t>
            </w:r>
          </w:p>
        </w:tc>
        <w:tc>
          <w:tcPr>
            <w:tcW w:w="1984" w:type="dxa"/>
            <w:vAlign w:val="center"/>
          </w:tcPr>
          <w:p w14:paraId="256C7309" w14:textId="0C9B989B" w:rsidR="006636C3" w:rsidRPr="00294859" w:rsidRDefault="009056C8" w:rsidP="006636C3">
            <w:pPr>
              <w:tabs>
                <w:tab w:val="decimal" w:pos="648"/>
                <w:tab w:val="decimal" w:pos="738"/>
              </w:tabs>
              <w:jc w:val="right"/>
              <w:rPr>
                <w:szCs w:val="24"/>
              </w:rPr>
            </w:pPr>
            <w:r w:rsidRPr="00294859">
              <w:rPr>
                <w:szCs w:val="24"/>
              </w:rPr>
              <w:t>11,868</w:t>
            </w:r>
          </w:p>
        </w:tc>
        <w:tc>
          <w:tcPr>
            <w:tcW w:w="1855" w:type="dxa"/>
            <w:vAlign w:val="center"/>
          </w:tcPr>
          <w:p w14:paraId="15F244E1" w14:textId="48E2DA8D" w:rsidR="006636C3" w:rsidRPr="00124FF4" w:rsidRDefault="006636C3" w:rsidP="006636C3">
            <w:pPr>
              <w:tabs>
                <w:tab w:val="decimal" w:pos="648"/>
                <w:tab w:val="decimal" w:pos="738"/>
              </w:tabs>
              <w:jc w:val="right"/>
              <w:rPr>
                <w:szCs w:val="24"/>
              </w:rPr>
            </w:pPr>
            <w:r w:rsidRPr="00124FF4">
              <w:rPr>
                <w:szCs w:val="24"/>
              </w:rPr>
              <w:t>12,351</w:t>
            </w:r>
          </w:p>
        </w:tc>
      </w:tr>
      <w:tr w:rsidR="006D7FA6" w:rsidRPr="00D948C1" w14:paraId="7852B02A" w14:textId="77777777" w:rsidTr="00DD63D7">
        <w:tc>
          <w:tcPr>
            <w:tcW w:w="5245" w:type="dxa"/>
          </w:tcPr>
          <w:p w14:paraId="08B57A83" w14:textId="09BB4145" w:rsidR="006D7FA6" w:rsidRPr="00D948C1" w:rsidRDefault="006D7FA6" w:rsidP="006636C3">
            <w:pPr>
              <w:rPr>
                <w:szCs w:val="24"/>
              </w:rPr>
            </w:pPr>
            <w:r>
              <w:rPr>
                <w:szCs w:val="24"/>
              </w:rPr>
              <w:t xml:space="preserve">IFRS 16 </w:t>
            </w:r>
            <w:r w:rsidR="009056C8">
              <w:rPr>
                <w:szCs w:val="24"/>
              </w:rPr>
              <w:t>PFI transition &amp; indexation</w:t>
            </w:r>
          </w:p>
        </w:tc>
        <w:tc>
          <w:tcPr>
            <w:tcW w:w="1984" w:type="dxa"/>
            <w:vAlign w:val="center"/>
          </w:tcPr>
          <w:p w14:paraId="352996A8" w14:textId="73F0C94E" w:rsidR="006D7FA6" w:rsidRPr="00294859" w:rsidRDefault="002D0B98" w:rsidP="006636C3">
            <w:pPr>
              <w:tabs>
                <w:tab w:val="decimal" w:pos="648"/>
                <w:tab w:val="decimal" w:pos="738"/>
              </w:tabs>
              <w:jc w:val="right"/>
              <w:rPr>
                <w:szCs w:val="24"/>
              </w:rPr>
            </w:pPr>
            <w:r w:rsidRPr="00124FF4">
              <w:rPr>
                <w:szCs w:val="24"/>
              </w:rPr>
              <w:t>1,178</w:t>
            </w:r>
          </w:p>
        </w:tc>
        <w:tc>
          <w:tcPr>
            <w:tcW w:w="1855" w:type="dxa"/>
            <w:vAlign w:val="center"/>
          </w:tcPr>
          <w:p w14:paraId="1785852C" w14:textId="0FCCEAD1" w:rsidR="006D7FA6" w:rsidRPr="00124FF4" w:rsidRDefault="009056C8" w:rsidP="006636C3">
            <w:pPr>
              <w:tabs>
                <w:tab w:val="decimal" w:pos="648"/>
                <w:tab w:val="decimal" w:pos="738"/>
              </w:tabs>
              <w:jc w:val="right"/>
              <w:rPr>
                <w:szCs w:val="24"/>
              </w:rPr>
            </w:pPr>
            <w:r w:rsidRPr="00124FF4">
              <w:rPr>
                <w:szCs w:val="24"/>
              </w:rPr>
              <w:t>-</w:t>
            </w:r>
          </w:p>
        </w:tc>
      </w:tr>
      <w:tr w:rsidR="006636C3" w:rsidRPr="00D948C1" w14:paraId="3A357D1B" w14:textId="77777777" w:rsidTr="00DD63D7">
        <w:tc>
          <w:tcPr>
            <w:tcW w:w="5245" w:type="dxa"/>
          </w:tcPr>
          <w:p w14:paraId="2D2DCD46" w14:textId="77777777" w:rsidR="006636C3" w:rsidRPr="00D948C1" w:rsidRDefault="006636C3" w:rsidP="006636C3">
            <w:pPr>
              <w:rPr>
                <w:szCs w:val="24"/>
              </w:rPr>
            </w:pPr>
            <w:r w:rsidRPr="00D948C1">
              <w:rPr>
                <w:szCs w:val="24"/>
              </w:rPr>
              <w:t>Payments during the year</w:t>
            </w:r>
          </w:p>
        </w:tc>
        <w:tc>
          <w:tcPr>
            <w:tcW w:w="1984" w:type="dxa"/>
            <w:vAlign w:val="center"/>
          </w:tcPr>
          <w:p w14:paraId="5128C494" w14:textId="70DBA91E" w:rsidR="006636C3" w:rsidRPr="00294859" w:rsidRDefault="00020EDF" w:rsidP="006636C3">
            <w:pPr>
              <w:tabs>
                <w:tab w:val="decimal" w:pos="648"/>
                <w:tab w:val="decimal" w:pos="738"/>
              </w:tabs>
              <w:jc w:val="right"/>
              <w:rPr>
                <w:szCs w:val="24"/>
              </w:rPr>
            </w:pPr>
            <w:r w:rsidRPr="00124FF4">
              <w:rPr>
                <w:szCs w:val="24"/>
              </w:rPr>
              <w:t>(601)</w:t>
            </w:r>
          </w:p>
        </w:tc>
        <w:tc>
          <w:tcPr>
            <w:tcW w:w="1855" w:type="dxa"/>
            <w:vAlign w:val="center"/>
          </w:tcPr>
          <w:p w14:paraId="34EB73E0" w14:textId="5CC13018" w:rsidR="006636C3" w:rsidRPr="00124FF4" w:rsidRDefault="006636C3" w:rsidP="006636C3">
            <w:pPr>
              <w:tabs>
                <w:tab w:val="decimal" w:pos="648"/>
                <w:tab w:val="decimal" w:pos="738"/>
              </w:tabs>
              <w:jc w:val="right"/>
              <w:rPr>
                <w:szCs w:val="24"/>
              </w:rPr>
            </w:pPr>
            <w:r w:rsidRPr="00124FF4">
              <w:rPr>
                <w:szCs w:val="24"/>
              </w:rPr>
              <w:t>(483)</w:t>
            </w:r>
          </w:p>
        </w:tc>
      </w:tr>
      <w:tr w:rsidR="006636C3" w:rsidRPr="00D948C1" w14:paraId="713B56E3" w14:textId="77777777" w:rsidTr="00DD63D7">
        <w:tc>
          <w:tcPr>
            <w:tcW w:w="5245" w:type="dxa"/>
          </w:tcPr>
          <w:p w14:paraId="310D5551" w14:textId="77777777" w:rsidR="006636C3" w:rsidRPr="00D948C1" w:rsidRDefault="006636C3" w:rsidP="006636C3">
            <w:pPr>
              <w:rPr>
                <w:szCs w:val="24"/>
              </w:rPr>
            </w:pPr>
            <w:r w:rsidRPr="00D948C1">
              <w:rPr>
                <w:szCs w:val="24"/>
              </w:rPr>
              <w:t>Balance outstanding at year end</w:t>
            </w:r>
          </w:p>
        </w:tc>
        <w:tc>
          <w:tcPr>
            <w:tcW w:w="1984" w:type="dxa"/>
            <w:vAlign w:val="center"/>
          </w:tcPr>
          <w:p w14:paraId="678EDC77" w14:textId="2E0A9BE6" w:rsidR="006636C3" w:rsidRPr="00294859" w:rsidRDefault="00020EDF" w:rsidP="006636C3">
            <w:pPr>
              <w:tabs>
                <w:tab w:val="decimal" w:pos="648"/>
                <w:tab w:val="decimal" w:pos="738"/>
              </w:tabs>
              <w:jc w:val="right"/>
              <w:rPr>
                <w:szCs w:val="24"/>
              </w:rPr>
            </w:pPr>
            <w:r w:rsidRPr="00124FF4">
              <w:rPr>
                <w:szCs w:val="24"/>
              </w:rPr>
              <w:t>12,444</w:t>
            </w:r>
          </w:p>
        </w:tc>
        <w:tc>
          <w:tcPr>
            <w:tcW w:w="1855" w:type="dxa"/>
            <w:vAlign w:val="center"/>
          </w:tcPr>
          <w:p w14:paraId="09455FF0" w14:textId="28FA8D86" w:rsidR="006636C3" w:rsidRPr="00124FF4" w:rsidRDefault="006636C3" w:rsidP="006636C3">
            <w:pPr>
              <w:tabs>
                <w:tab w:val="decimal" w:pos="648"/>
                <w:tab w:val="decimal" w:pos="738"/>
              </w:tabs>
              <w:jc w:val="right"/>
              <w:rPr>
                <w:szCs w:val="24"/>
              </w:rPr>
            </w:pPr>
            <w:r w:rsidRPr="00124FF4">
              <w:rPr>
                <w:szCs w:val="24"/>
              </w:rPr>
              <w:t>11,868</w:t>
            </w:r>
          </w:p>
        </w:tc>
      </w:tr>
    </w:tbl>
    <w:p w14:paraId="0153D500" w14:textId="77777777" w:rsidR="003E5739" w:rsidRPr="00D948C1" w:rsidRDefault="003E5739">
      <w:pPr>
        <w:rPr>
          <w:b/>
          <w:szCs w:val="24"/>
        </w:rPr>
      </w:pPr>
    </w:p>
    <w:p w14:paraId="52D3CF4D" w14:textId="68768C75" w:rsidR="00D90216" w:rsidRPr="00D948C1" w:rsidRDefault="001C592E" w:rsidP="003278CF">
      <w:pPr>
        <w:pStyle w:val="Heading2"/>
        <w:jc w:val="left"/>
        <w:rPr>
          <w:sz w:val="24"/>
          <w:szCs w:val="24"/>
        </w:rPr>
      </w:pPr>
      <w:bookmarkStart w:id="60" w:name="_16_Net_Liability"/>
      <w:bookmarkStart w:id="61" w:name="_Toc215593407"/>
      <w:bookmarkEnd w:id="60"/>
      <w:r w:rsidRPr="00D948C1">
        <w:rPr>
          <w:sz w:val="24"/>
          <w:szCs w:val="24"/>
        </w:rPr>
        <w:t>1</w:t>
      </w:r>
      <w:r w:rsidR="00B62A26">
        <w:rPr>
          <w:sz w:val="24"/>
          <w:szCs w:val="24"/>
        </w:rPr>
        <w:t>6</w:t>
      </w:r>
      <w:r w:rsidR="00D90216" w:rsidRPr="00D948C1">
        <w:rPr>
          <w:sz w:val="24"/>
          <w:szCs w:val="24"/>
        </w:rPr>
        <w:tab/>
      </w:r>
      <w:bookmarkStart w:id="62" w:name="N15"/>
      <w:bookmarkEnd w:id="62"/>
      <w:r w:rsidR="00D90216" w:rsidRPr="00D948C1">
        <w:rPr>
          <w:sz w:val="24"/>
          <w:szCs w:val="24"/>
        </w:rPr>
        <w:t>Net</w:t>
      </w:r>
      <w:r w:rsidR="00F26246" w:rsidRPr="00D948C1">
        <w:rPr>
          <w:sz w:val="24"/>
          <w:szCs w:val="24"/>
        </w:rPr>
        <w:t xml:space="preserve"> </w:t>
      </w:r>
      <w:r w:rsidR="00D90216" w:rsidRPr="00D948C1">
        <w:rPr>
          <w:sz w:val="24"/>
          <w:szCs w:val="24"/>
        </w:rPr>
        <w:t>Liability Related to Local Government and Firefighters’ Pensions Schemes</w:t>
      </w:r>
      <w:bookmarkEnd w:id="61"/>
      <w:r w:rsidR="00D90216" w:rsidRPr="00D948C1">
        <w:rPr>
          <w:sz w:val="24"/>
          <w:szCs w:val="24"/>
        </w:rPr>
        <w:t xml:space="preserve"> </w:t>
      </w:r>
    </w:p>
    <w:p w14:paraId="6E52B345" w14:textId="597C7A7E" w:rsidR="00D90216" w:rsidRPr="00D948C1" w:rsidRDefault="00D90216" w:rsidP="00233BF0">
      <w:r w:rsidRPr="00D948C1">
        <w:tab/>
      </w:r>
    </w:p>
    <w:p w14:paraId="75B45666" w14:textId="77777777" w:rsidR="00D90216" w:rsidRPr="00D948C1" w:rsidRDefault="00D90216" w:rsidP="00233BF0">
      <w:pPr>
        <w:pStyle w:val="BodyTextIndent"/>
        <w:rPr>
          <w:szCs w:val="24"/>
        </w:rPr>
      </w:pPr>
      <w:r w:rsidRPr="00D948C1">
        <w:rPr>
          <w:szCs w:val="24"/>
        </w:rPr>
        <w:t xml:space="preserve">During the year the Authority made contributions to the cost of pensions for all employees (except for those who chose not to be members of the scheme) as required by statute. </w:t>
      </w:r>
    </w:p>
    <w:p w14:paraId="22637C78" w14:textId="77777777" w:rsidR="00D90216" w:rsidRPr="00D948C1" w:rsidRDefault="00D90216" w:rsidP="00233BF0">
      <w:pPr>
        <w:pStyle w:val="BodyText2"/>
        <w:rPr>
          <w:color w:val="auto"/>
          <w:szCs w:val="24"/>
        </w:rPr>
      </w:pPr>
    </w:p>
    <w:p w14:paraId="5DAAD358" w14:textId="77777777" w:rsidR="00D90216" w:rsidRPr="00D948C1" w:rsidRDefault="00D90216" w:rsidP="00233BF0">
      <w:pPr>
        <w:pStyle w:val="BodyText2"/>
        <w:ind w:left="720"/>
        <w:rPr>
          <w:color w:val="auto"/>
          <w:szCs w:val="24"/>
        </w:rPr>
      </w:pPr>
      <w:r w:rsidRPr="00D948C1">
        <w:rPr>
          <w:color w:val="auto"/>
          <w:szCs w:val="24"/>
        </w:rPr>
        <w:t>The Authority participates in two pension schemes:</w:t>
      </w:r>
    </w:p>
    <w:p w14:paraId="7D7AC94E" w14:textId="77777777" w:rsidR="00D90216" w:rsidRPr="00D948C1" w:rsidRDefault="00D90216" w:rsidP="00233BF0">
      <w:pPr>
        <w:rPr>
          <w:szCs w:val="24"/>
        </w:rPr>
      </w:pPr>
    </w:p>
    <w:p w14:paraId="6A89BC94" w14:textId="14B44C25" w:rsidR="00D90216" w:rsidRPr="00D948C1" w:rsidRDefault="00D90216" w:rsidP="00233BF0">
      <w:pPr>
        <w:pStyle w:val="BodyTextIndent"/>
        <w:ind w:left="1440" w:hanging="720"/>
        <w:rPr>
          <w:szCs w:val="24"/>
          <w:lang w:val="en-GB"/>
        </w:rPr>
      </w:pPr>
      <w:proofErr w:type="spellStart"/>
      <w:r w:rsidRPr="00D948C1">
        <w:rPr>
          <w:szCs w:val="24"/>
          <w:lang w:val="en-GB"/>
        </w:rPr>
        <w:t>i</w:t>
      </w:r>
      <w:proofErr w:type="spellEnd"/>
      <w:r w:rsidRPr="00D948C1">
        <w:rPr>
          <w:szCs w:val="24"/>
          <w:lang w:val="en-GB"/>
        </w:rPr>
        <w:t>)</w:t>
      </w:r>
      <w:r w:rsidRPr="00D948C1">
        <w:rPr>
          <w:szCs w:val="24"/>
          <w:lang w:val="en-GB"/>
        </w:rPr>
        <w:tab/>
        <w:t xml:space="preserve">Uniformed Firefighters are covered by an unfunded, defined benefit scheme, meaning that there </w:t>
      </w:r>
      <w:proofErr w:type="gramStart"/>
      <w:r w:rsidRPr="00D948C1">
        <w:rPr>
          <w:szCs w:val="24"/>
          <w:lang w:val="en-GB"/>
        </w:rPr>
        <w:t>are</w:t>
      </w:r>
      <w:proofErr w:type="gramEnd"/>
      <w:r w:rsidRPr="00D948C1">
        <w:rPr>
          <w:szCs w:val="24"/>
          <w:lang w:val="en-GB"/>
        </w:rPr>
        <w:t xml:space="preserve"> no investment assets built up to meet the pensions liabilities and that cash </w:t>
      </w:r>
      <w:r w:rsidR="000A40E3" w:rsidRPr="00D948C1">
        <w:rPr>
          <w:szCs w:val="24"/>
          <w:lang w:val="en-GB"/>
        </w:rPr>
        <w:t>must</w:t>
      </w:r>
      <w:r w:rsidRPr="00D948C1">
        <w:rPr>
          <w:szCs w:val="24"/>
          <w:lang w:val="en-GB"/>
        </w:rPr>
        <w:t xml:space="preserve"> be generated by the Authority to meet actual pensions payments as they fall due.</w:t>
      </w:r>
    </w:p>
    <w:p w14:paraId="411474B9" w14:textId="77777777" w:rsidR="00D90216" w:rsidRPr="00D948C1" w:rsidRDefault="00D90216" w:rsidP="00233BF0">
      <w:pPr>
        <w:ind w:hanging="425"/>
        <w:rPr>
          <w:szCs w:val="24"/>
        </w:rPr>
      </w:pPr>
    </w:p>
    <w:p w14:paraId="260979E0" w14:textId="77777777" w:rsidR="00DD63D7" w:rsidRPr="00D948C1" w:rsidRDefault="00D90216" w:rsidP="00DD63D7">
      <w:pPr>
        <w:pStyle w:val="BodyTextIndent"/>
        <w:ind w:left="1440" w:hanging="720"/>
        <w:rPr>
          <w:szCs w:val="24"/>
          <w:lang w:val="en-GB"/>
        </w:rPr>
      </w:pPr>
      <w:r w:rsidRPr="00D948C1">
        <w:rPr>
          <w:szCs w:val="24"/>
          <w:lang w:val="en-GB"/>
        </w:rPr>
        <w:t>ii)</w:t>
      </w:r>
      <w:r w:rsidRPr="00D948C1">
        <w:rPr>
          <w:szCs w:val="24"/>
          <w:lang w:val="en-GB"/>
        </w:rPr>
        <w:tab/>
      </w:r>
      <w:proofErr w:type="gramStart"/>
      <w:r w:rsidRPr="00D948C1">
        <w:rPr>
          <w:szCs w:val="24"/>
          <w:lang w:val="en-GB"/>
        </w:rPr>
        <w:t>Other</w:t>
      </w:r>
      <w:proofErr w:type="gramEnd"/>
      <w:r w:rsidRPr="00D948C1">
        <w:rPr>
          <w:szCs w:val="24"/>
          <w:lang w:val="en-GB"/>
        </w:rPr>
        <w:t xml:space="preserve"> staff pensions are provided from the Lancashire County Pension Fund. This is a funded scheme, meaning that the Authority and employees pay contributions into a fund calculated at a level intended to balance the pensions liabilities with the investment assets. </w:t>
      </w:r>
    </w:p>
    <w:p w14:paraId="00AA5A64" w14:textId="77777777" w:rsidR="00DD63D7" w:rsidRPr="00D948C1" w:rsidRDefault="00DD63D7">
      <w:pPr>
        <w:rPr>
          <w:szCs w:val="24"/>
        </w:rPr>
      </w:pPr>
      <w:r w:rsidRPr="00D948C1">
        <w:rPr>
          <w:szCs w:val="24"/>
        </w:rPr>
        <w:br w:type="page"/>
      </w:r>
    </w:p>
    <w:p w14:paraId="5B676F40" w14:textId="549559FE" w:rsidR="00D90216" w:rsidRPr="00D948C1" w:rsidRDefault="00D90216" w:rsidP="00DD63D7">
      <w:pPr>
        <w:pStyle w:val="BodyTextIndent"/>
        <w:ind w:left="1440" w:hanging="720"/>
        <w:rPr>
          <w:szCs w:val="24"/>
          <w:lang w:val="en-GB"/>
        </w:rPr>
      </w:pPr>
      <w:r w:rsidRPr="00D948C1">
        <w:rPr>
          <w:b/>
          <w:color w:val="000000"/>
          <w:szCs w:val="24"/>
        </w:rPr>
        <w:lastRenderedPageBreak/>
        <w:t>Transactions Relating to Post-employment Benefits</w:t>
      </w:r>
    </w:p>
    <w:p w14:paraId="2A23C657" w14:textId="77777777" w:rsidR="00D90216" w:rsidRPr="00D948C1" w:rsidRDefault="00D90216" w:rsidP="00233BF0">
      <w:pPr>
        <w:pStyle w:val="BodyTextIndent"/>
        <w:ind w:left="0" w:hanging="425"/>
        <w:rPr>
          <w:szCs w:val="24"/>
          <w:lang w:val="en-GB"/>
        </w:rPr>
      </w:pPr>
    </w:p>
    <w:p w14:paraId="294822B1" w14:textId="4C12164C" w:rsidR="003278CF" w:rsidRPr="00D948C1" w:rsidRDefault="00D90216" w:rsidP="00233BF0">
      <w:pPr>
        <w:ind w:left="720"/>
        <w:rPr>
          <w:color w:val="000000"/>
          <w:szCs w:val="24"/>
        </w:rPr>
      </w:pPr>
      <w:r w:rsidRPr="00D948C1">
        <w:rPr>
          <w:color w:val="000000"/>
          <w:szCs w:val="24"/>
        </w:rPr>
        <w:t>We recognise the cost of retirement benefits in the reported cost of services when they are earned by employees, rather than when the benefits are eventually paid as pensions.</w:t>
      </w:r>
      <w:r w:rsidR="00607136" w:rsidRPr="00D948C1">
        <w:rPr>
          <w:color w:val="000000"/>
          <w:szCs w:val="24"/>
        </w:rPr>
        <w:t xml:space="preserve"> </w:t>
      </w:r>
      <w:r w:rsidRPr="00D948C1">
        <w:rPr>
          <w:color w:val="000000"/>
          <w:szCs w:val="24"/>
        </w:rPr>
        <w:t xml:space="preserve">However, the charge we are required to make against council tax is based on the cash payable in the year, so the real cost of </w:t>
      </w:r>
      <w:r w:rsidR="003278CF" w:rsidRPr="00D948C1">
        <w:rPr>
          <w:color w:val="000000"/>
          <w:szCs w:val="24"/>
        </w:rPr>
        <w:t>post-employment</w:t>
      </w:r>
      <w:r w:rsidRPr="00D948C1">
        <w:rPr>
          <w:color w:val="000000"/>
          <w:szCs w:val="24"/>
        </w:rPr>
        <w:t xml:space="preserve">/retirement benefits is reversed out of the General Fund via the Movement in Reserves Statement. </w:t>
      </w:r>
    </w:p>
    <w:p w14:paraId="594B8986" w14:textId="5723E9C8" w:rsidR="003278CF" w:rsidRPr="00D948C1" w:rsidRDefault="003278CF">
      <w:pPr>
        <w:rPr>
          <w:color w:val="000000"/>
          <w:szCs w:val="24"/>
        </w:rPr>
      </w:pPr>
    </w:p>
    <w:p w14:paraId="0017E6A8" w14:textId="539ED99A" w:rsidR="006454EE" w:rsidRPr="00D948C1" w:rsidRDefault="00D90216" w:rsidP="00233BF0">
      <w:pPr>
        <w:ind w:left="720"/>
        <w:rPr>
          <w:color w:val="000000"/>
          <w:szCs w:val="24"/>
        </w:rPr>
      </w:pPr>
      <w:r w:rsidRPr="00D948C1">
        <w:rPr>
          <w:color w:val="000000"/>
          <w:szCs w:val="24"/>
        </w:rPr>
        <w:t>The following transactions have been made in the Comprehensive Income &amp; Expenditure Statement and the General Fund via the Movement in Reserves Statement during the year:</w:t>
      </w:r>
    </w:p>
    <w:p w14:paraId="1A789028" w14:textId="77777777" w:rsidR="001E71F1" w:rsidRPr="00D948C1" w:rsidRDefault="001E71F1" w:rsidP="000E23AE">
      <w:pPr>
        <w:rPr>
          <w:color w:val="000000"/>
          <w:szCs w:val="24"/>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67"/>
        <w:gridCol w:w="1243"/>
      </w:tblGrid>
      <w:tr w:rsidR="00D90216" w:rsidRPr="00D948C1" w14:paraId="7B108B96" w14:textId="77777777" w:rsidTr="00611673">
        <w:trPr>
          <w:trHeight w:val="300"/>
          <w:tblHeader/>
        </w:trPr>
        <w:tc>
          <w:tcPr>
            <w:tcW w:w="4536" w:type="dxa"/>
            <w:shd w:val="clear" w:color="auto" w:fill="BD2716"/>
          </w:tcPr>
          <w:p w14:paraId="2FF86E22" w14:textId="77777777" w:rsidR="00D90216" w:rsidRPr="00D948C1" w:rsidRDefault="006454EE" w:rsidP="00BC6C4F">
            <w:pPr>
              <w:ind w:left="34"/>
              <w:jc w:val="center"/>
              <w:rPr>
                <w:color w:val="FFFFFF" w:themeColor="background1"/>
                <w:szCs w:val="24"/>
              </w:rPr>
            </w:pPr>
            <w:r w:rsidRPr="00D948C1">
              <w:rPr>
                <w:color w:val="FFFFFF" w:themeColor="background1"/>
                <w:szCs w:val="24"/>
              </w:rPr>
              <w:br w:type="page"/>
            </w:r>
          </w:p>
        </w:tc>
        <w:tc>
          <w:tcPr>
            <w:tcW w:w="2410" w:type="dxa"/>
            <w:gridSpan w:val="2"/>
            <w:shd w:val="clear" w:color="auto" w:fill="BD2716"/>
            <w:vAlign w:val="center"/>
          </w:tcPr>
          <w:p w14:paraId="68A5E38B" w14:textId="77777777" w:rsidR="00D90216" w:rsidRPr="00D948C1" w:rsidRDefault="00D90216" w:rsidP="00611673">
            <w:pPr>
              <w:ind w:left="34"/>
              <w:jc w:val="center"/>
              <w:rPr>
                <w:color w:val="FFFFFF" w:themeColor="background1"/>
                <w:szCs w:val="24"/>
              </w:rPr>
            </w:pPr>
            <w:r w:rsidRPr="00D948C1">
              <w:rPr>
                <w:color w:val="FFFFFF" w:themeColor="background1"/>
                <w:szCs w:val="24"/>
              </w:rPr>
              <w:t>Local Government Pension Scheme</w:t>
            </w:r>
          </w:p>
        </w:tc>
        <w:tc>
          <w:tcPr>
            <w:tcW w:w="2552" w:type="dxa"/>
            <w:gridSpan w:val="3"/>
            <w:shd w:val="clear" w:color="auto" w:fill="BD2716"/>
            <w:vAlign w:val="center"/>
          </w:tcPr>
          <w:p w14:paraId="3F174721" w14:textId="77777777" w:rsidR="00D90216" w:rsidRPr="00D948C1" w:rsidRDefault="00D90216" w:rsidP="00611673">
            <w:pPr>
              <w:ind w:left="34"/>
              <w:jc w:val="center"/>
              <w:rPr>
                <w:color w:val="FFFFFF" w:themeColor="background1"/>
                <w:szCs w:val="24"/>
              </w:rPr>
            </w:pPr>
            <w:r w:rsidRPr="00D948C1">
              <w:rPr>
                <w:color w:val="FFFFFF" w:themeColor="background1"/>
                <w:szCs w:val="24"/>
              </w:rPr>
              <w:t>Uniformed Firefighters’ Pension Scheme</w:t>
            </w:r>
          </w:p>
        </w:tc>
      </w:tr>
      <w:tr w:rsidR="008F3F7F" w:rsidRPr="00D948C1" w14:paraId="58F96BC7" w14:textId="77777777" w:rsidTr="00611673">
        <w:trPr>
          <w:trHeight w:val="300"/>
          <w:tblHeader/>
        </w:trPr>
        <w:tc>
          <w:tcPr>
            <w:tcW w:w="4536" w:type="dxa"/>
            <w:shd w:val="clear" w:color="auto" w:fill="BD2716"/>
          </w:tcPr>
          <w:p w14:paraId="44C7E816" w14:textId="77777777" w:rsidR="008F3F7F" w:rsidRPr="00D948C1" w:rsidRDefault="008F3F7F" w:rsidP="008F3F7F">
            <w:pPr>
              <w:ind w:left="34"/>
              <w:jc w:val="center"/>
              <w:rPr>
                <w:color w:val="FFFFFF" w:themeColor="background1"/>
                <w:szCs w:val="24"/>
              </w:rPr>
            </w:pPr>
          </w:p>
        </w:tc>
        <w:tc>
          <w:tcPr>
            <w:tcW w:w="1168" w:type="dxa"/>
            <w:shd w:val="clear" w:color="auto" w:fill="BD2716"/>
            <w:vAlign w:val="center"/>
          </w:tcPr>
          <w:p w14:paraId="0FC8E6CC" w14:textId="4F65541A" w:rsidR="008F3F7F" w:rsidRPr="00D948C1" w:rsidRDefault="008F3F7F" w:rsidP="008F3F7F">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441F71BA" w14:textId="294ACC65" w:rsidR="008F3F7F" w:rsidRPr="00D948C1" w:rsidRDefault="008F3F7F" w:rsidP="008F3F7F">
            <w:pPr>
              <w:pStyle w:val="BodyTextIndent"/>
              <w:ind w:left="0"/>
              <w:jc w:val="right"/>
              <w:rPr>
                <w:color w:val="FFFFFF" w:themeColor="background1"/>
                <w:szCs w:val="24"/>
                <w:lang w:val="en-GB"/>
              </w:rPr>
            </w:pPr>
            <w:r w:rsidRPr="00D948C1">
              <w:rPr>
                <w:color w:val="FFFFFF" w:themeColor="background1"/>
                <w:szCs w:val="24"/>
                <w:lang w:val="en-GB"/>
              </w:rPr>
              <w:t>£000</w:t>
            </w:r>
          </w:p>
        </w:tc>
        <w:tc>
          <w:tcPr>
            <w:tcW w:w="1242" w:type="dxa"/>
            <w:shd w:val="clear" w:color="auto" w:fill="BD2716"/>
            <w:vAlign w:val="center"/>
          </w:tcPr>
          <w:p w14:paraId="2F250F42" w14:textId="77777777" w:rsidR="006636C3" w:rsidRPr="00D948C1" w:rsidRDefault="006636C3" w:rsidP="006636C3">
            <w:pPr>
              <w:pStyle w:val="BodyTextIndent"/>
              <w:ind w:left="0"/>
              <w:jc w:val="right"/>
              <w:rPr>
                <w:color w:val="FFFFFF" w:themeColor="background1"/>
                <w:szCs w:val="24"/>
                <w:lang w:val="en-GB"/>
              </w:rPr>
            </w:pPr>
            <w:r w:rsidRPr="00D948C1">
              <w:rPr>
                <w:color w:val="FFFFFF" w:themeColor="background1"/>
                <w:szCs w:val="24"/>
                <w:lang w:val="en-GB"/>
              </w:rPr>
              <w:t>2023/24</w:t>
            </w:r>
          </w:p>
          <w:p w14:paraId="055ACF54" w14:textId="3BC71D2F" w:rsidR="008F3F7F" w:rsidRPr="00D948C1" w:rsidRDefault="006636C3" w:rsidP="006636C3">
            <w:pPr>
              <w:pStyle w:val="BodyTextIndent"/>
              <w:ind w:left="0"/>
              <w:jc w:val="right"/>
              <w:rPr>
                <w:color w:val="FFFFFF" w:themeColor="background1"/>
                <w:szCs w:val="24"/>
                <w:lang w:val="en-GB"/>
              </w:rPr>
            </w:pPr>
            <w:r w:rsidRPr="00D948C1">
              <w:rPr>
                <w:color w:val="FFFFFF" w:themeColor="background1"/>
                <w:szCs w:val="24"/>
                <w:lang w:val="en-GB"/>
              </w:rPr>
              <w:t>£000</w:t>
            </w:r>
          </w:p>
        </w:tc>
        <w:tc>
          <w:tcPr>
            <w:tcW w:w="1309" w:type="dxa"/>
            <w:gridSpan w:val="2"/>
            <w:shd w:val="clear" w:color="auto" w:fill="BD2716"/>
            <w:vAlign w:val="center"/>
          </w:tcPr>
          <w:p w14:paraId="4A9EE7DA" w14:textId="3B8BB506" w:rsidR="008F3F7F" w:rsidRPr="00D948C1" w:rsidRDefault="008F3F7F" w:rsidP="008F3F7F">
            <w:pPr>
              <w:pStyle w:val="BodyTextIndent"/>
              <w:ind w:left="0"/>
              <w:jc w:val="right"/>
              <w:rPr>
                <w:color w:val="FFFFFF" w:themeColor="background1"/>
                <w:szCs w:val="24"/>
                <w:lang w:val="en-GB"/>
              </w:rPr>
            </w:pPr>
            <w:r w:rsidRPr="00D948C1">
              <w:rPr>
                <w:color w:val="FFFFFF" w:themeColor="background1"/>
                <w:szCs w:val="24"/>
                <w:lang w:val="en-GB"/>
              </w:rPr>
              <w:t>202</w:t>
            </w:r>
            <w:r w:rsidR="006636C3">
              <w:rPr>
                <w:color w:val="FFFFFF" w:themeColor="background1"/>
                <w:szCs w:val="24"/>
                <w:lang w:val="en-GB"/>
              </w:rPr>
              <w:t>4</w:t>
            </w:r>
            <w:r w:rsidRPr="00D948C1">
              <w:rPr>
                <w:color w:val="FFFFFF" w:themeColor="background1"/>
                <w:szCs w:val="24"/>
                <w:lang w:val="en-GB"/>
              </w:rPr>
              <w:t>/2</w:t>
            </w:r>
            <w:r w:rsidR="006636C3">
              <w:rPr>
                <w:color w:val="FFFFFF" w:themeColor="background1"/>
                <w:szCs w:val="24"/>
                <w:lang w:val="en-GB"/>
              </w:rPr>
              <w:t>5</w:t>
            </w:r>
          </w:p>
          <w:p w14:paraId="07D08C6E" w14:textId="4D318311" w:rsidR="008F3F7F" w:rsidRPr="00D948C1" w:rsidRDefault="008F3F7F" w:rsidP="008F3F7F">
            <w:pPr>
              <w:pStyle w:val="BodyTextIndent"/>
              <w:ind w:left="0"/>
              <w:jc w:val="right"/>
              <w:rPr>
                <w:color w:val="FFFFFF" w:themeColor="background1"/>
                <w:szCs w:val="24"/>
                <w:lang w:val="en-GB"/>
              </w:rPr>
            </w:pPr>
            <w:r w:rsidRPr="00D948C1">
              <w:rPr>
                <w:color w:val="FFFFFF" w:themeColor="background1"/>
                <w:szCs w:val="24"/>
                <w:lang w:val="en-GB"/>
              </w:rPr>
              <w:t>£000</w:t>
            </w:r>
          </w:p>
        </w:tc>
        <w:tc>
          <w:tcPr>
            <w:tcW w:w="1243" w:type="dxa"/>
            <w:shd w:val="clear" w:color="auto" w:fill="BD2716"/>
            <w:vAlign w:val="center"/>
          </w:tcPr>
          <w:p w14:paraId="7922CE9D" w14:textId="77777777" w:rsidR="006636C3" w:rsidRPr="00D948C1" w:rsidRDefault="006636C3" w:rsidP="006636C3">
            <w:pPr>
              <w:pStyle w:val="BodyTextIndent"/>
              <w:ind w:left="0"/>
              <w:jc w:val="right"/>
              <w:rPr>
                <w:color w:val="FFFFFF" w:themeColor="background1"/>
                <w:szCs w:val="24"/>
                <w:lang w:val="en-GB"/>
              </w:rPr>
            </w:pPr>
            <w:r w:rsidRPr="00D948C1">
              <w:rPr>
                <w:color w:val="FFFFFF" w:themeColor="background1"/>
                <w:szCs w:val="24"/>
                <w:lang w:val="en-GB"/>
              </w:rPr>
              <w:t>2023/24</w:t>
            </w:r>
          </w:p>
          <w:p w14:paraId="66A8134D" w14:textId="475D628F" w:rsidR="008F3F7F" w:rsidRPr="00D948C1" w:rsidRDefault="006636C3" w:rsidP="006636C3">
            <w:pPr>
              <w:pStyle w:val="BodyTextIndent"/>
              <w:ind w:left="0"/>
              <w:jc w:val="right"/>
              <w:rPr>
                <w:color w:val="FFFFFF" w:themeColor="background1"/>
                <w:szCs w:val="24"/>
                <w:lang w:val="en-GB"/>
              </w:rPr>
            </w:pPr>
            <w:r w:rsidRPr="00D948C1">
              <w:rPr>
                <w:color w:val="FFFFFF" w:themeColor="background1"/>
                <w:szCs w:val="24"/>
                <w:lang w:val="en-GB"/>
              </w:rPr>
              <w:t>£000</w:t>
            </w:r>
          </w:p>
        </w:tc>
      </w:tr>
      <w:tr w:rsidR="00053629" w:rsidRPr="00D948C1" w14:paraId="4C252FE8" w14:textId="77777777" w:rsidTr="007641BA">
        <w:trPr>
          <w:trHeight w:val="300"/>
        </w:trPr>
        <w:tc>
          <w:tcPr>
            <w:tcW w:w="9498" w:type="dxa"/>
            <w:gridSpan w:val="6"/>
            <w:shd w:val="clear" w:color="auto" w:fill="D9D9D9" w:themeFill="background1" w:themeFillShade="D9"/>
          </w:tcPr>
          <w:p w14:paraId="6131BCCF" w14:textId="0457A4AF" w:rsidR="00053629" w:rsidRPr="00D948C1" w:rsidRDefault="00053629" w:rsidP="00053629">
            <w:pPr>
              <w:ind w:left="34"/>
              <w:rPr>
                <w:b/>
                <w:bCs/>
                <w:szCs w:val="24"/>
              </w:rPr>
            </w:pPr>
            <w:r w:rsidRPr="00D948C1">
              <w:rPr>
                <w:b/>
                <w:bCs/>
                <w:color w:val="000000"/>
                <w:szCs w:val="24"/>
              </w:rPr>
              <w:t>Comprehensive Income &amp; Expenditure Statement</w:t>
            </w:r>
          </w:p>
        </w:tc>
      </w:tr>
      <w:tr w:rsidR="00053629" w:rsidRPr="00D948C1" w14:paraId="62E32643" w14:textId="77777777" w:rsidTr="007641BA">
        <w:trPr>
          <w:trHeight w:val="300"/>
        </w:trPr>
        <w:tc>
          <w:tcPr>
            <w:tcW w:w="9498" w:type="dxa"/>
            <w:gridSpan w:val="6"/>
            <w:shd w:val="clear" w:color="auto" w:fill="D9D9D9" w:themeFill="background1" w:themeFillShade="D9"/>
          </w:tcPr>
          <w:p w14:paraId="5423222E" w14:textId="2EEC8719" w:rsidR="00053629" w:rsidRPr="00D948C1" w:rsidRDefault="00053629" w:rsidP="00053629">
            <w:pPr>
              <w:ind w:left="34"/>
              <w:rPr>
                <w:b/>
                <w:bCs/>
                <w:szCs w:val="24"/>
              </w:rPr>
            </w:pPr>
            <w:r w:rsidRPr="00D948C1">
              <w:rPr>
                <w:b/>
                <w:bCs/>
                <w:szCs w:val="24"/>
              </w:rPr>
              <w:t>Cost of Services:</w:t>
            </w:r>
          </w:p>
        </w:tc>
      </w:tr>
      <w:tr w:rsidR="006636C3" w:rsidRPr="00670646" w14:paraId="71095A47" w14:textId="77777777" w:rsidTr="008F6F5D">
        <w:trPr>
          <w:trHeight w:val="300"/>
        </w:trPr>
        <w:tc>
          <w:tcPr>
            <w:tcW w:w="4536" w:type="dxa"/>
          </w:tcPr>
          <w:p w14:paraId="3F3FB33A" w14:textId="77777777" w:rsidR="006636C3" w:rsidRPr="00670646" w:rsidRDefault="006636C3" w:rsidP="006636C3">
            <w:pPr>
              <w:numPr>
                <w:ilvl w:val="0"/>
                <w:numId w:val="17"/>
              </w:numPr>
              <w:tabs>
                <w:tab w:val="clear" w:pos="754"/>
                <w:tab w:val="num" w:pos="459"/>
              </w:tabs>
              <w:ind w:hanging="720"/>
              <w:rPr>
                <w:szCs w:val="24"/>
              </w:rPr>
            </w:pPr>
            <w:r w:rsidRPr="00670646">
              <w:rPr>
                <w:szCs w:val="24"/>
              </w:rPr>
              <w:t>Current service cost</w:t>
            </w:r>
          </w:p>
        </w:tc>
        <w:tc>
          <w:tcPr>
            <w:tcW w:w="1168" w:type="dxa"/>
            <w:vAlign w:val="center"/>
          </w:tcPr>
          <w:p w14:paraId="09CB9E93" w14:textId="2CAB8E2C" w:rsidR="006636C3" w:rsidRPr="00294859" w:rsidRDefault="00EF0A14" w:rsidP="006636C3">
            <w:pPr>
              <w:tabs>
                <w:tab w:val="decimal" w:pos="717"/>
              </w:tabs>
              <w:ind w:left="34"/>
              <w:jc w:val="right"/>
              <w:rPr>
                <w:szCs w:val="24"/>
              </w:rPr>
            </w:pPr>
            <w:r w:rsidRPr="00294859">
              <w:rPr>
                <w:szCs w:val="24"/>
              </w:rPr>
              <w:t>1,439</w:t>
            </w:r>
          </w:p>
        </w:tc>
        <w:tc>
          <w:tcPr>
            <w:tcW w:w="1242" w:type="dxa"/>
            <w:vAlign w:val="center"/>
          </w:tcPr>
          <w:p w14:paraId="638F3375" w14:textId="75C34DE6" w:rsidR="006636C3" w:rsidRPr="00670646" w:rsidRDefault="006636C3" w:rsidP="006636C3">
            <w:pPr>
              <w:tabs>
                <w:tab w:val="decimal" w:pos="717"/>
              </w:tabs>
              <w:ind w:left="34"/>
              <w:jc w:val="right"/>
              <w:rPr>
                <w:szCs w:val="24"/>
              </w:rPr>
            </w:pPr>
            <w:r w:rsidRPr="00670646">
              <w:rPr>
                <w:szCs w:val="24"/>
              </w:rPr>
              <w:t>1,414</w:t>
            </w:r>
          </w:p>
        </w:tc>
        <w:tc>
          <w:tcPr>
            <w:tcW w:w="1242" w:type="dxa"/>
            <w:vAlign w:val="center"/>
          </w:tcPr>
          <w:p w14:paraId="07B60957" w14:textId="0C0C2DC4" w:rsidR="006636C3" w:rsidRPr="00294859" w:rsidRDefault="006E7D06" w:rsidP="006636C3">
            <w:pPr>
              <w:tabs>
                <w:tab w:val="decimal" w:pos="884"/>
              </w:tabs>
              <w:ind w:left="34"/>
              <w:jc w:val="right"/>
              <w:rPr>
                <w:szCs w:val="24"/>
              </w:rPr>
            </w:pPr>
            <w:r w:rsidRPr="00294859">
              <w:rPr>
                <w:szCs w:val="24"/>
              </w:rPr>
              <w:t>3,360</w:t>
            </w:r>
          </w:p>
        </w:tc>
        <w:tc>
          <w:tcPr>
            <w:tcW w:w="1310" w:type="dxa"/>
            <w:gridSpan w:val="2"/>
            <w:vAlign w:val="center"/>
          </w:tcPr>
          <w:p w14:paraId="6D910F6A" w14:textId="48B28866" w:rsidR="006636C3" w:rsidRPr="00670646" w:rsidRDefault="006636C3" w:rsidP="006636C3">
            <w:pPr>
              <w:tabs>
                <w:tab w:val="decimal" w:pos="884"/>
              </w:tabs>
              <w:ind w:left="34"/>
              <w:jc w:val="right"/>
              <w:rPr>
                <w:szCs w:val="24"/>
              </w:rPr>
            </w:pPr>
            <w:r w:rsidRPr="00670646">
              <w:rPr>
                <w:szCs w:val="24"/>
              </w:rPr>
              <w:t>3,670</w:t>
            </w:r>
          </w:p>
        </w:tc>
      </w:tr>
      <w:tr w:rsidR="006636C3" w:rsidRPr="00670646" w14:paraId="3580E7D0" w14:textId="77777777" w:rsidTr="008F6F5D">
        <w:trPr>
          <w:trHeight w:val="300"/>
        </w:trPr>
        <w:tc>
          <w:tcPr>
            <w:tcW w:w="4536" w:type="dxa"/>
          </w:tcPr>
          <w:p w14:paraId="0ED950E7" w14:textId="77777777" w:rsidR="006636C3" w:rsidRPr="00670646" w:rsidRDefault="006636C3" w:rsidP="006636C3">
            <w:pPr>
              <w:numPr>
                <w:ilvl w:val="0"/>
                <w:numId w:val="17"/>
              </w:numPr>
              <w:tabs>
                <w:tab w:val="clear" w:pos="754"/>
                <w:tab w:val="num" w:pos="459"/>
              </w:tabs>
              <w:ind w:hanging="720"/>
              <w:rPr>
                <w:szCs w:val="24"/>
              </w:rPr>
            </w:pPr>
            <w:r w:rsidRPr="00670646">
              <w:rPr>
                <w:szCs w:val="24"/>
              </w:rPr>
              <w:t>Administrative expenses</w:t>
            </w:r>
          </w:p>
        </w:tc>
        <w:tc>
          <w:tcPr>
            <w:tcW w:w="1168" w:type="dxa"/>
            <w:vAlign w:val="center"/>
          </w:tcPr>
          <w:p w14:paraId="4201722E" w14:textId="4F0A42A4" w:rsidR="006636C3" w:rsidRPr="00294859" w:rsidRDefault="001369DA" w:rsidP="006636C3">
            <w:pPr>
              <w:tabs>
                <w:tab w:val="decimal" w:pos="717"/>
              </w:tabs>
              <w:ind w:left="34"/>
              <w:jc w:val="right"/>
              <w:rPr>
                <w:szCs w:val="24"/>
              </w:rPr>
            </w:pPr>
            <w:r w:rsidRPr="00294859">
              <w:rPr>
                <w:szCs w:val="24"/>
              </w:rPr>
              <w:t>49</w:t>
            </w:r>
          </w:p>
        </w:tc>
        <w:tc>
          <w:tcPr>
            <w:tcW w:w="1242" w:type="dxa"/>
            <w:vAlign w:val="center"/>
          </w:tcPr>
          <w:p w14:paraId="4C861465" w14:textId="1D0C7937" w:rsidR="006636C3" w:rsidRPr="00670646" w:rsidRDefault="006636C3" w:rsidP="006636C3">
            <w:pPr>
              <w:tabs>
                <w:tab w:val="decimal" w:pos="717"/>
              </w:tabs>
              <w:ind w:left="34"/>
              <w:jc w:val="right"/>
              <w:rPr>
                <w:szCs w:val="24"/>
              </w:rPr>
            </w:pPr>
            <w:r w:rsidRPr="00670646">
              <w:rPr>
                <w:szCs w:val="24"/>
              </w:rPr>
              <w:t>46</w:t>
            </w:r>
          </w:p>
        </w:tc>
        <w:tc>
          <w:tcPr>
            <w:tcW w:w="1242" w:type="dxa"/>
            <w:vAlign w:val="center"/>
          </w:tcPr>
          <w:p w14:paraId="4EC93DAF" w14:textId="6B3EE094" w:rsidR="006636C3" w:rsidRPr="00294859" w:rsidRDefault="006E7D06" w:rsidP="006636C3">
            <w:pPr>
              <w:tabs>
                <w:tab w:val="decimal" w:pos="884"/>
              </w:tabs>
              <w:ind w:left="34"/>
              <w:jc w:val="right"/>
              <w:rPr>
                <w:szCs w:val="24"/>
              </w:rPr>
            </w:pPr>
            <w:r w:rsidRPr="00294859">
              <w:rPr>
                <w:szCs w:val="24"/>
              </w:rPr>
              <w:t>-</w:t>
            </w:r>
          </w:p>
        </w:tc>
        <w:tc>
          <w:tcPr>
            <w:tcW w:w="1310" w:type="dxa"/>
            <w:gridSpan w:val="2"/>
            <w:vAlign w:val="center"/>
          </w:tcPr>
          <w:p w14:paraId="195037FF" w14:textId="7A871631" w:rsidR="006636C3" w:rsidRPr="00670646" w:rsidRDefault="006636C3" w:rsidP="006636C3">
            <w:pPr>
              <w:tabs>
                <w:tab w:val="decimal" w:pos="884"/>
              </w:tabs>
              <w:ind w:left="34"/>
              <w:jc w:val="right"/>
              <w:rPr>
                <w:szCs w:val="24"/>
              </w:rPr>
            </w:pPr>
            <w:r w:rsidRPr="00670646">
              <w:rPr>
                <w:szCs w:val="24"/>
              </w:rPr>
              <w:t>-</w:t>
            </w:r>
          </w:p>
        </w:tc>
      </w:tr>
      <w:tr w:rsidR="0035247F" w:rsidRPr="00670646" w14:paraId="4B6029D6" w14:textId="77777777" w:rsidTr="008F6F5D">
        <w:trPr>
          <w:trHeight w:val="300"/>
        </w:trPr>
        <w:tc>
          <w:tcPr>
            <w:tcW w:w="4536" w:type="dxa"/>
          </w:tcPr>
          <w:p w14:paraId="18B0A2DC" w14:textId="0374C653" w:rsidR="0035247F" w:rsidRPr="00670646" w:rsidRDefault="002B496B" w:rsidP="000E23AE">
            <w:pPr>
              <w:numPr>
                <w:ilvl w:val="0"/>
                <w:numId w:val="17"/>
              </w:numPr>
              <w:tabs>
                <w:tab w:val="clear" w:pos="754"/>
                <w:tab w:val="num" w:pos="459"/>
              </w:tabs>
              <w:ind w:left="459" w:hanging="425"/>
              <w:rPr>
                <w:szCs w:val="24"/>
              </w:rPr>
            </w:pPr>
            <w:r w:rsidRPr="00670646">
              <w:rPr>
                <w:szCs w:val="24"/>
              </w:rPr>
              <w:t xml:space="preserve">Interest on scheme assets above </w:t>
            </w:r>
            <w:r w:rsidR="0081234F" w:rsidRPr="00670646">
              <w:rPr>
                <w:szCs w:val="24"/>
              </w:rPr>
              <w:t>a</w:t>
            </w:r>
            <w:r w:rsidRPr="00670646">
              <w:rPr>
                <w:szCs w:val="24"/>
              </w:rPr>
              <w:t>sset ceiling</w:t>
            </w:r>
          </w:p>
        </w:tc>
        <w:tc>
          <w:tcPr>
            <w:tcW w:w="1168" w:type="dxa"/>
            <w:vAlign w:val="center"/>
          </w:tcPr>
          <w:p w14:paraId="4B648EC3" w14:textId="47DB73E9" w:rsidR="0035247F" w:rsidRPr="00670646" w:rsidRDefault="007D37F1" w:rsidP="006636C3">
            <w:pPr>
              <w:tabs>
                <w:tab w:val="decimal" w:pos="717"/>
              </w:tabs>
              <w:ind w:left="34"/>
              <w:jc w:val="right"/>
              <w:rPr>
                <w:szCs w:val="24"/>
              </w:rPr>
            </w:pPr>
            <w:r w:rsidRPr="00670646">
              <w:rPr>
                <w:szCs w:val="24"/>
              </w:rPr>
              <w:t>1,170</w:t>
            </w:r>
          </w:p>
        </w:tc>
        <w:tc>
          <w:tcPr>
            <w:tcW w:w="1242" w:type="dxa"/>
            <w:vAlign w:val="center"/>
          </w:tcPr>
          <w:p w14:paraId="6BC5BB8F" w14:textId="27603AC0" w:rsidR="0035247F" w:rsidRPr="00670646" w:rsidRDefault="003A3266" w:rsidP="006636C3">
            <w:pPr>
              <w:tabs>
                <w:tab w:val="decimal" w:pos="717"/>
              </w:tabs>
              <w:ind w:left="34"/>
              <w:jc w:val="right"/>
              <w:rPr>
                <w:szCs w:val="24"/>
              </w:rPr>
            </w:pPr>
            <w:r w:rsidRPr="00670646">
              <w:rPr>
                <w:szCs w:val="24"/>
              </w:rPr>
              <w:t>-</w:t>
            </w:r>
          </w:p>
        </w:tc>
        <w:tc>
          <w:tcPr>
            <w:tcW w:w="1242" w:type="dxa"/>
            <w:vAlign w:val="center"/>
          </w:tcPr>
          <w:p w14:paraId="1BB94C4C" w14:textId="73567785" w:rsidR="0035247F" w:rsidRPr="00670646" w:rsidRDefault="003A3266" w:rsidP="006636C3">
            <w:pPr>
              <w:tabs>
                <w:tab w:val="decimal" w:pos="884"/>
              </w:tabs>
              <w:ind w:left="34"/>
              <w:jc w:val="right"/>
              <w:rPr>
                <w:szCs w:val="24"/>
              </w:rPr>
            </w:pPr>
            <w:r w:rsidRPr="00670646">
              <w:rPr>
                <w:szCs w:val="24"/>
              </w:rPr>
              <w:t>-</w:t>
            </w:r>
          </w:p>
        </w:tc>
        <w:tc>
          <w:tcPr>
            <w:tcW w:w="1310" w:type="dxa"/>
            <w:gridSpan w:val="2"/>
            <w:vAlign w:val="center"/>
          </w:tcPr>
          <w:p w14:paraId="2EB0B017" w14:textId="3D24FF58" w:rsidR="0035247F" w:rsidRPr="00670646" w:rsidRDefault="003A3266" w:rsidP="006636C3">
            <w:pPr>
              <w:tabs>
                <w:tab w:val="decimal" w:pos="884"/>
              </w:tabs>
              <w:ind w:left="34"/>
              <w:jc w:val="right"/>
              <w:rPr>
                <w:szCs w:val="24"/>
              </w:rPr>
            </w:pPr>
            <w:r w:rsidRPr="00670646">
              <w:rPr>
                <w:szCs w:val="24"/>
              </w:rPr>
              <w:t>-</w:t>
            </w:r>
          </w:p>
        </w:tc>
      </w:tr>
      <w:tr w:rsidR="006636C3" w:rsidRPr="00670646" w14:paraId="508DC4B6" w14:textId="77777777" w:rsidTr="008F6F5D">
        <w:trPr>
          <w:trHeight w:val="300"/>
        </w:trPr>
        <w:tc>
          <w:tcPr>
            <w:tcW w:w="4536" w:type="dxa"/>
          </w:tcPr>
          <w:p w14:paraId="45EB3D04" w14:textId="4A25C72F" w:rsidR="006636C3" w:rsidRPr="00670646" w:rsidRDefault="006636C3" w:rsidP="006636C3">
            <w:pPr>
              <w:ind w:left="34"/>
              <w:rPr>
                <w:b/>
                <w:bCs/>
                <w:szCs w:val="24"/>
              </w:rPr>
            </w:pPr>
            <w:r w:rsidRPr="00670646">
              <w:rPr>
                <w:b/>
                <w:bCs/>
                <w:szCs w:val="24"/>
              </w:rPr>
              <w:t>Cost of Services total</w:t>
            </w:r>
          </w:p>
        </w:tc>
        <w:tc>
          <w:tcPr>
            <w:tcW w:w="1168" w:type="dxa"/>
            <w:vAlign w:val="center"/>
          </w:tcPr>
          <w:p w14:paraId="6C90A462" w14:textId="555AF8D2" w:rsidR="006636C3" w:rsidRPr="00294859" w:rsidRDefault="007D37F1" w:rsidP="006636C3">
            <w:pPr>
              <w:tabs>
                <w:tab w:val="decimal" w:pos="717"/>
              </w:tabs>
              <w:ind w:left="34"/>
              <w:jc w:val="right"/>
              <w:rPr>
                <w:b/>
                <w:szCs w:val="24"/>
              </w:rPr>
            </w:pPr>
            <w:r w:rsidRPr="00670646">
              <w:rPr>
                <w:b/>
                <w:bCs/>
                <w:szCs w:val="24"/>
              </w:rPr>
              <w:t>2,658</w:t>
            </w:r>
          </w:p>
        </w:tc>
        <w:tc>
          <w:tcPr>
            <w:tcW w:w="1242" w:type="dxa"/>
            <w:vAlign w:val="center"/>
          </w:tcPr>
          <w:p w14:paraId="03FF2CF4" w14:textId="6020FFBC" w:rsidR="006636C3" w:rsidRPr="00670646" w:rsidRDefault="006636C3" w:rsidP="006636C3">
            <w:pPr>
              <w:tabs>
                <w:tab w:val="decimal" w:pos="717"/>
              </w:tabs>
              <w:ind w:left="34"/>
              <w:jc w:val="right"/>
              <w:rPr>
                <w:b/>
                <w:bCs/>
                <w:szCs w:val="24"/>
              </w:rPr>
            </w:pPr>
            <w:r w:rsidRPr="00670646">
              <w:rPr>
                <w:b/>
                <w:bCs/>
                <w:szCs w:val="24"/>
              </w:rPr>
              <w:t>1,460</w:t>
            </w:r>
          </w:p>
        </w:tc>
        <w:tc>
          <w:tcPr>
            <w:tcW w:w="1242" w:type="dxa"/>
            <w:vAlign w:val="center"/>
          </w:tcPr>
          <w:p w14:paraId="6F6C4F19" w14:textId="34E25E0D" w:rsidR="006636C3" w:rsidRPr="00294859" w:rsidRDefault="006E7D06" w:rsidP="006636C3">
            <w:pPr>
              <w:tabs>
                <w:tab w:val="decimal" w:pos="884"/>
              </w:tabs>
              <w:ind w:left="34"/>
              <w:jc w:val="right"/>
              <w:rPr>
                <w:b/>
                <w:szCs w:val="24"/>
              </w:rPr>
            </w:pPr>
            <w:r w:rsidRPr="00294859">
              <w:rPr>
                <w:b/>
                <w:szCs w:val="24"/>
              </w:rPr>
              <w:t>3,360</w:t>
            </w:r>
          </w:p>
        </w:tc>
        <w:tc>
          <w:tcPr>
            <w:tcW w:w="1310" w:type="dxa"/>
            <w:gridSpan w:val="2"/>
            <w:vAlign w:val="center"/>
          </w:tcPr>
          <w:p w14:paraId="292376B5" w14:textId="555D1B6F" w:rsidR="006636C3" w:rsidRPr="00670646" w:rsidRDefault="006636C3" w:rsidP="006636C3">
            <w:pPr>
              <w:tabs>
                <w:tab w:val="decimal" w:pos="884"/>
              </w:tabs>
              <w:ind w:left="34"/>
              <w:jc w:val="right"/>
              <w:rPr>
                <w:b/>
                <w:bCs/>
                <w:szCs w:val="24"/>
              </w:rPr>
            </w:pPr>
            <w:r w:rsidRPr="00670646">
              <w:rPr>
                <w:b/>
                <w:bCs/>
                <w:szCs w:val="24"/>
              </w:rPr>
              <w:t>3,670</w:t>
            </w:r>
          </w:p>
        </w:tc>
      </w:tr>
    </w:tbl>
    <w:p w14:paraId="72EF1061"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42636F51" w14:textId="77777777" w:rsidTr="007641BA">
        <w:trPr>
          <w:trHeight w:val="300"/>
        </w:trPr>
        <w:tc>
          <w:tcPr>
            <w:tcW w:w="9498" w:type="dxa"/>
            <w:gridSpan w:val="5"/>
            <w:shd w:val="clear" w:color="auto" w:fill="D9D9D9" w:themeFill="background1" w:themeFillShade="D9"/>
          </w:tcPr>
          <w:p w14:paraId="77A6504C" w14:textId="3B17E845" w:rsidR="00053629" w:rsidRPr="00670646" w:rsidRDefault="00053629" w:rsidP="00053629">
            <w:pPr>
              <w:tabs>
                <w:tab w:val="decimal" w:pos="884"/>
              </w:tabs>
              <w:ind w:left="34"/>
              <w:rPr>
                <w:b/>
                <w:bCs/>
                <w:szCs w:val="24"/>
              </w:rPr>
            </w:pPr>
            <w:r w:rsidRPr="00670646">
              <w:rPr>
                <w:b/>
                <w:bCs/>
                <w:szCs w:val="24"/>
              </w:rPr>
              <w:t>Financing and Investment Income and Expenditure:</w:t>
            </w:r>
          </w:p>
        </w:tc>
      </w:tr>
      <w:tr w:rsidR="006636C3" w:rsidRPr="00670646" w14:paraId="5A46A9E6" w14:textId="77777777" w:rsidTr="008F6F5D">
        <w:trPr>
          <w:trHeight w:val="300"/>
        </w:trPr>
        <w:tc>
          <w:tcPr>
            <w:tcW w:w="4536" w:type="dxa"/>
          </w:tcPr>
          <w:p w14:paraId="7BB24C11" w14:textId="77777777" w:rsidR="006636C3" w:rsidRPr="00670646" w:rsidRDefault="006636C3" w:rsidP="006636C3">
            <w:pPr>
              <w:numPr>
                <w:ilvl w:val="0"/>
                <w:numId w:val="17"/>
              </w:numPr>
              <w:tabs>
                <w:tab w:val="clear" w:pos="754"/>
                <w:tab w:val="num" w:pos="459"/>
              </w:tabs>
              <w:ind w:hanging="720"/>
              <w:rPr>
                <w:szCs w:val="24"/>
              </w:rPr>
            </w:pPr>
            <w:r w:rsidRPr="00670646">
              <w:rPr>
                <w:szCs w:val="24"/>
              </w:rPr>
              <w:t>Interest cost</w:t>
            </w:r>
          </w:p>
        </w:tc>
        <w:tc>
          <w:tcPr>
            <w:tcW w:w="1168" w:type="dxa"/>
            <w:vAlign w:val="center"/>
          </w:tcPr>
          <w:p w14:paraId="021D199F" w14:textId="0A4157E3" w:rsidR="006636C3" w:rsidRPr="00294859" w:rsidRDefault="00F517E3" w:rsidP="006636C3">
            <w:pPr>
              <w:tabs>
                <w:tab w:val="decimal" w:pos="717"/>
              </w:tabs>
              <w:ind w:left="34"/>
              <w:jc w:val="right"/>
              <w:rPr>
                <w:szCs w:val="24"/>
              </w:rPr>
            </w:pPr>
            <w:r w:rsidRPr="00294859">
              <w:rPr>
                <w:szCs w:val="24"/>
              </w:rPr>
              <w:t>2,912</w:t>
            </w:r>
          </w:p>
        </w:tc>
        <w:tc>
          <w:tcPr>
            <w:tcW w:w="1242" w:type="dxa"/>
            <w:vAlign w:val="center"/>
          </w:tcPr>
          <w:p w14:paraId="316C9C8A" w14:textId="31921231" w:rsidR="006636C3" w:rsidRPr="00670646" w:rsidRDefault="006636C3" w:rsidP="006636C3">
            <w:pPr>
              <w:tabs>
                <w:tab w:val="decimal" w:pos="717"/>
              </w:tabs>
              <w:ind w:left="34"/>
              <w:jc w:val="right"/>
              <w:rPr>
                <w:szCs w:val="24"/>
              </w:rPr>
            </w:pPr>
            <w:r w:rsidRPr="00670646">
              <w:rPr>
                <w:szCs w:val="24"/>
              </w:rPr>
              <w:t>2,785</w:t>
            </w:r>
          </w:p>
        </w:tc>
        <w:tc>
          <w:tcPr>
            <w:tcW w:w="1242" w:type="dxa"/>
            <w:vAlign w:val="center"/>
          </w:tcPr>
          <w:p w14:paraId="2EBE2152" w14:textId="624EBFA4" w:rsidR="006636C3" w:rsidRPr="00294859" w:rsidRDefault="006E7D06" w:rsidP="006636C3">
            <w:pPr>
              <w:tabs>
                <w:tab w:val="decimal" w:pos="884"/>
              </w:tabs>
              <w:ind w:left="34"/>
              <w:jc w:val="right"/>
              <w:rPr>
                <w:szCs w:val="24"/>
              </w:rPr>
            </w:pPr>
            <w:r w:rsidRPr="00294859">
              <w:rPr>
                <w:szCs w:val="24"/>
              </w:rPr>
              <w:t>30,300</w:t>
            </w:r>
          </w:p>
        </w:tc>
        <w:tc>
          <w:tcPr>
            <w:tcW w:w="1310" w:type="dxa"/>
            <w:vAlign w:val="center"/>
          </w:tcPr>
          <w:p w14:paraId="4F110055" w14:textId="49AF4303" w:rsidR="006636C3" w:rsidRPr="00670646" w:rsidRDefault="006636C3" w:rsidP="006636C3">
            <w:pPr>
              <w:tabs>
                <w:tab w:val="decimal" w:pos="884"/>
              </w:tabs>
              <w:ind w:left="34"/>
              <w:jc w:val="right"/>
              <w:rPr>
                <w:szCs w:val="24"/>
              </w:rPr>
            </w:pPr>
            <w:r w:rsidRPr="00670646">
              <w:rPr>
                <w:szCs w:val="24"/>
              </w:rPr>
              <w:t>29,710</w:t>
            </w:r>
          </w:p>
        </w:tc>
      </w:tr>
      <w:tr w:rsidR="006636C3" w:rsidRPr="00670646" w14:paraId="598567C1" w14:textId="77777777" w:rsidTr="008F6F5D">
        <w:trPr>
          <w:trHeight w:val="300"/>
        </w:trPr>
        <w:tc>
          <w:tcPr>
            <w:tcW w:w="4536" w:type="dxa"/>
          </w:tcPr>
          <w:p w14:paraId="63F0C168" w14:textId="77777777" w:rsidR="006636C3" w:rsidRPr="00670646" w:rsidRDefault="006636C3" w:rsidP="006636C3">
            <w:pPr>
              <w:numPr>
                <w:ilvl w:val="0"/>
                <w:numId w:val="17"/>
              </w:numPr>
              <w:tabs>
                <w:tab w:val="clear" w:pos="754"/>
                <w:tab w:val="num" w:pos="459"/>
              </w:tabs>
              <w:ind w:hanging="720"/>
              <w:rPr>
                <w:szCs w:val="24"/>
              </w:rPr>
            </w:pPr>
            <w:r w:rsidRPr="00670646">
              <w:rPr>
                <w:szCs w:val="24"/>
              </w:rPr>
              <w:t>Interest on scheme assets</w:t>
            </w:r>
          </w:p>
        </w:tc>
        <w:tc>
          <w:tcPr>
            <w:tcW w:w="1168" w:type="dxa"/>
            <w:vAlign w:val="center"/>
          </w:tcPr>
          <w:p w14:paraId="26389F5B" w14:textId="4E795B5E" w:rsidR="006636C3" w:rsidRPr="00294859" w:rsidRDefault="004B4DCD" w:rsidP="006636C3">
            <w:pPr>
              <w:tabs>
                <w:tab w:val="decimal" w:pos="717"/>
              </w:tabs>
              <w:ind w:left="34"/>
              <w:jc w:val="right"/>
              <w:rPr>
                <w:szCs w:val="24"/>
              </w:rPr>
            </w:pPr>
            <w:r w:rsidRPr="00294859">
              <w:rPr>
                <w:szCs w:val="24"/>
              </w:rPr>
              <w:t>(4,086)</w:t>
            </w:r>
          </w:p>
        </w:tc>
        <w:tc>
          <w:tcPr>
            <w:tcW w:w="1242" w:type="dxa"/>
            <w:vAlign w:val="center"/>
          </w:tcPr>
          <w:p w14:paraId="6546211A" w14:textId="1D4EC735" w:rsidR="006636C3" w:rsidRPr="00670646" w:rsidRDefault="006636C3" w:rsidP="006636C3">
            <w:pPr>
              <w:tabs>
                <w:tab w:val="decimal" w:pos="717"/>
              </w:tabs>
              <w:ind w:left="34"/>
              <w:jc w:val="right"/>
              <w:rPr>
                <w:szCs w:val="24"/>
              </w:rPr>
            </w:pPr>
            <w:r w:rsidRPr="00670646">
              <w:rPr>
                <w:szCs w:val="24"/>
              </w:rPr>
              <w:t>(3,745)</w:t>
            </w:r>
          </w:p>
        </w:tc>
        <w:tc>
          <w:tcPr>
            <w:tcW w:w="1242" w:type="dxa"/>
            <w:vAlign w:val="center"/>
          </w:tcPr>
          <w:p w14:paraId="4E70C161" w14:textId="288E1B53" w:rsidR="006636C3" w:rsidRPr="00294859" w:rsidRDefault="006E7D06" w:rsidP="006636C3">
            <w:pPr>
              <w:tabs>
                <w:tab w:val="decimal" w:pos="884"/>
              </w:tabs>
              <w:ind w:left="34"/>
              <w:jc w:val="right"/>
              <w:rPr>
                <w:szCs w:val="24"/>
              </w:rPr>
            </w:pPr>
            <w:r w:rsidRPr="00294859">
              <w:rPr>
                <w:szCs w:val="24"/>
              </w:rPr>
              <w:t>-</w:t>
            </w:r>
          </w:p>
        </w:tc>
        <w:tc>
          <w:tcPr>
            <w:tcW w:w="1310" w:type="dxa"/>
            <w:vAlign w:val="center"/>
          </w:tcPr>
          <w:p w14:paraId="56B78565" w14:textId="241D961C" w:rsidR="006636C3" w:rsidRPr="00670646" w:rsidRDefault="006636C3" w:rsidP="006636C3">
            <w:pPr>
              <w:tabs>
                <w:tab w:val="decimal" w:pos="884"/>
              </w:tabs>
              <w:ind w:left="34"/>
              <w:jc w:val="right"/>
              <w:rPr>
                <w:szCs w:val="24"/>
              </w:rPr>
            </w:pPr>
            <w:r w:rsidRPr="00670646">
              <w:rPr>
                <w:szCs w:val="24"/>
              </w:rPr>
              <w:t>-</w:t>
            </w:r>
          </w:p>
        </w:tc>
      </w:tr>
      <w:tr w:rsidR="006636C3" w:rsidRPr="00670646" w14:paraId="2A2920CB" w14:textId="77777777" w:rsidTr="008F6F5D">
        <w:trPr>
          <w:trHeight w:val="300"/>
        </w:trPr>
        <w:tc>
          <w:tcPr>
            <w:tcW w:w="4536" w:type="dxa"/>
          </w:tcPr>
          <w:p w14:paraId="6DEA3ED0" w14:textId="14D6CEDB" w:rsidR="006636C3" w:rsidRPr="00670646" w:rsidRDefault="006636C3" w:rsidP="006636C3">
            <w:pPr>
              <w:ind w:left="34"/>
              <w:rPr>
                <w:b/>
                <w:bCs/>
                <w:szCs w:val="24"/>
              </w:rPr>
            </w:pPr>
            <w:r w:rsidRPr="00670646">
              <w:rPr>
                <w:b/>
                <w:bCs/>
                <w:szCs w:val="24"/>
              </w:rPr>
              <w:t>Financing total</w:t>
            </w:r>
          </w:p>
        </w:tc>
        <w:tc>
          <w:tcPr>
            <w:tcW w:w="1168" w:type="dxa"/>
            <w:vAlign w:val="center"/>
          </w:tcPr>
          <w:p w14:paraId="4E789A63" w14:textId="3FF8EEAE" w:rsidR="006636C3" w:rsidRPr="00294859" w:rsidRDefault="00A664C7" w:rsidP="006636C3">
            <w:pPr>
              <w:tabs>
                <w:tab w:val="decimal" w:pos="717"/>
              </w:tabs>
              <w:ind w:left="34"/>
              <w:jc w:val="right"/>
              <w:rPr>
                <w:b/>
                <w:szCs w:val="24"/>
              </w:rPr>
            </w:pPr>
            <w:r w:rsidRPr="00670646">
              <w:rPr>
                <w:b/>
                <w:bCs/>
                <w:szCs w:val="24"/>
              </w:rPr>
              <w:t>(1,173)</w:t>
            </w:r>
          </w:p>
        </w:tc>
        <w:tc>
          <w:tcPr>
            <w:tcW w:w="1242" w:type="dxa"/>
            <w:vAlign w:val="center"/>
          </w:tcPr>
          <w:p w14:paraId="03C7A64E" w14:textId="289195EA" w:rsidR="006636C3" w:rsidRPr="00670646" w:rsidRDefault="006636C3" w:rsidP="006636C3">
            <w:pPr>
              <w:tabs>
                <w:tab w:val="decimal" w:pos="717"/>
              </w:tabs>
              <w:ind w:left="34"/>
              <w:jc w:val="right"/>
              <w:rPr>
                <w:b/>
                <w:bCs/>
                <w:szCs w:val="24"/>
              </w:rPr>
            </w:pPr>
            <w:r w:rsidRPr="00670646">
              <w:rPr>
                <w:b/>
                <w:bCs/>
                <w:szCs w:val="24"/>
              </w:rPr>
              <w:t>(960)</w:t>
            </w:r>
          </w:p>
        </w:tc>
        <w:tc>
          <w:tcPr>
            <w:tcW w:w="1242" w:type="dxa"/>
            <w:vAlign w:val="center"/>
          </w:tcPr>
          <w:p w14:paraId="1D43A5C0" w14:textId="2834580C" w:rsidR="006636C3" w:rsidRPr="00294859" w:rsidRDefault="006E7D06" w:rsidP="006636C3">
            <w:pPr>
              <w:tabs>
                <w:tab w:val="decimal" w:pos="884"/>
              </w:tabs>
              <w:ind w:left="34"/>
              <w:jc w:val="right"/>
              <w:rPr>
                <w:b/>
                <w:szCs w:val="24"/>
              </w:rPr>
            </w:pPr>
            <w:r w:rsidRPr="00294859">
              <w:rPr>
                <w:b/>
                <w:szCs w:val="24"/>
              </w:rPr>
              <w:t>30,300</w:t>
            </w:r>
          </w:p>
        </w:tc>
        <w:tc>
          <w:tcPr>
            <w:tcW w:w="1310" w:type="dxa"/>
            <w:vAlign w:val="center"/>
          </w:tcPr>
          <w:p w14:paraId="473A7F0E" w14:textId="11E32A97" w:rsidR="006636C3" w:rsidRPr="00670646" w:rsidRDefault="006636C3" w:rsidP="006636C3">
            <w:pPr>
              <w:tabs>
                <w:tab w:val="decimal" w:pos="884"/>
              </w:tabs>
              <w:ind w:left="34"/>
              <w:jc w:val="right"/>
              <w:rPr>
                <w:b/>
                <w:bCs/>
                <w:szCs w:val="24"/>
              </w:rPr>
            </w:pPr>
            <w:r w:rsidRPr="00670646">
              <w:rPr>
                <w:b/>
                <w:bCs/>
                <w:szCs w:val="24"/>
              </w:rPr>
              <w:t>29,710</w:t>
            </w:r>
          </w:p>
        </w:tc>
      </w:tr>
      <w:tr w:rsidR="006636C3" w:rsidRPr="00670646" w14:paraId="3B64AF29" w14:textId="77777777" w:rsidTr="008F6F5D">
        <w:trPr>
          <w:trHeight w:val="300"/>
        </w:trPr>
        <w:tc>
          <w:tcPr>
            <w:tcW w:w="4536" w:type="dxa"/>
          </w:tcPr>
          <w:p w14:paraId="06DBC405" w14:textId="766BE2D7" w:rsidR="006636C3" w:rsidRPr="00670646" w:rsidRDefault="006636C3" w:rsidP="006636C3">
            <w:pPr>
              <w:ind w:left="34"/>
              <w:rPr>
                <w:b/>
                <w:szCs w:val="24"/>
              </w:rPr>
            </w:pPr>
            <w:r w:rsidRPr="00670646">
              <w:rPr>
                <w:b/>
                <w:szCs w:val="24"/>
              </w:rPr>
              <w:t xml:space="preserve">Total post-employment benefit charged to the </w:t>
            </w:r>
            <w:r w:rsidR="00D74F43">
              <w:rPr>
                <w:b/>
                <w:szCs w:val="24"/>
              </w:rPr>
              <w:t>(surplus)/</w:t>
            </w:r>
            <w:r w:rsidRPr="00670646">
              <w:rPr>
                <w:b/>
                <w:szCs w:val="24"/>
              </w:rPr>
              <w:t>deficit on provision of services</w:t>
            </w:r>
          </w:p>
        </w:tc>
        <w:tc>
          <w:tcPr>
            <w:tcW w:w="1168" w:type="dxa"/>
            <w:vAlign w:val="center"/>
          </w:tcPr>
          <w:p w14:paraId="37FBB71A" w14:textId="3B00EAAC" w:rsidR="006636C3" w:rsidRPr="00294859" w:rsidRDefault="007D37F1" w:rsidP="006636C3">
            <w:pPr>
              <w:tabs>
                <w:tab w:val="decimal" w:pos="717"/>
              </w:tabs>
              <w:ind w:left="34"/>
              <w:jc w:val="right"/>
              <w:rPr>
                <w:b/>
                <w:szCs w:val="24"/>
              </w:rPr>
            </w:pPr>
            <w:r w:rsidRPr="00670646">
              <w:rPr>
                <w:b/>
                <w:szCs w:val="24"/>
              </w:rPr>
              <w:t>1,485</w:t>
            </w:r>
          </w:p>
        </w:tc>
        <w:tc>
          <w:tcPr>
            <w:tcW w:w="1242" w:type="dxa"/>
            <w:vAlign w:val="center"/>
          </w:tcPr>
          <w:p w14:paraId="40EB8CB1" w14:textId="1780E270" w:rsidR="006636C3" w:rsidRPr="00670646" w:rsidRDefault="006636C3" w:rsidP="006636C3">
            <w:pPr>
              <w:tabs>
                <w:tab w:val="decimal" w:pos="717"/>
              </w:tabs>
              <w:ind w:left="34"/>
              <w:jc w:val="right"/>
              <w:rPr>
                <w:b/>
                <w:szCs w:val="24"/>
              </w:rPr>
            </w:pPr>
            <w:r w:rsidRPr="00670646">
              <w:rPr>
                <w:b/>
                <w:szCs w:val="24"/>
              </w:rPr>
              <w:t>500</w:t>
            </w:r>
          </w:p>
        </w:tc>
        <w:tc>
          <w:tcPr>
            <w:tcW w:w="1242" w:type="dxa"/>
            <w:vAlign w:val="center"/>
          </w:tcPr>
          <w:p w14:paraId="278132DA" w14:textId="7DC5A3EC" w:rsidR="006636C3" w:rsidRPr="00294859" w:rsidRDefault="006E7D06" w:rsidP="006636C3">
            <w:pPr>
              <w:tabs>
                <w:tab w:val="decimal" w:pos="884"/>
              </w:tabs>
              <w:ind w:left="34"/>
              <w:jc w:val="right"/>
              <w:rPr>
                <w:b/>
                <w:szCs w:val="24"/>
              </w:rPr>
            </w:pPr>
            <w:r w:rsidRPr="00294859">
              <w:rPr>
                <w:b/>
                <w:szCs w:val="24"/>
              </w:rPr>
              <w:t>33,660</w:t>
            </w:r>
          </w:p>
        </w:tc>
        <w:tc>
          <w:tcPr>
            <w:tcW w:w="1310" w:type="dxa"/>
            <w:vAlign w:val="center"/>
          </w:tcPr>
          <w:p w14:paraId="6C740EB2" w14:textId="4B4C7D7E" w:rsidR="006636C3" w:rsidRPr="00670646" w:rsidRDefault="006636C3" w:rsidP="006636C3">
            <w:pPr>
              <w:tabs>
                <w:tab w:val="decimal" w:pos="884"/>
              </w:tabs>
              <w:ind w:left="34"/>
              <w:jc w:val="right"/>
              <w:rPr>
                <w:b/>
                <w:szCs w:val="24"/>
              </w:rPr>
            </w:pPr>
            <w:r w:rsidRPr="00670646">
              <w:rPr>
                <w:b/>
                <w:szCs w:val="24"/>
              </w:rPr>
              <w:t>33,380</w:t>
            </w:r>
          </w:p>
        </w:tc>
      </w:tr>
    </w:tbl>
    <w:p w14:paraId="58543FAA"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371E6237" w14:textId="77777777" w:rsidTr="007641BA">
        <w:trPr>
          <w:trHeight w:val="300"/>
        </w:trPr>
        <w:tc>
          <w:tcPr>
            <w:tcW w:w="9498" w:type="dxa"/>
            <w:gridSpan w:val="5"/>
            <w:shd w:val="clear" w:color="auto" w:fill="D9D9D9" w:themeFill="background1" w:themeFillShade="D9"/>
          </w:tcPr>
          <w:p w14:paraId="16758FE8" w14:textId="0EBF0A18" w:rsidR="00053629" w:rsidRPr="00670646" w:rsidRDefault="00053629" w:rsidP="00053629">
            <w:pPr>
              <w:tabs>
                <w:tab w:val="decimal" w:pos="717"/>
              </w:tabs>
              <w:ind w:left="34"/>
              <w:rPr>
                <w:b/>
                <w:szCs w:val="24"/>
              </w:rPr>
            </w:pPr>
            <w:r w:rsidRPr="00670646">
              <w:rPr>
                <w:b/>
                <w:szCs w:val="24"/>
              </w:rPr>
              <w:t>Other post-employment benefit charged to the Comprehensive Income and Expenditure Statement</w:t>
            </w:r>
          </w:p>
        </w:tc>
      </w:tr>
      <w:tr w:rsidR="006636C3" w:rsidRPr="00670646" w14:paraId="04158396" w14:textId="77777777" w:rsidTr="008F6F5D">
        <w:trPr>
          <w:trHeight w:val="300"/>
        </w:trPr>
        <w:tc>
          <w:tcPr>
            <w:tcW w:w="4536" w:type="dxa"/>
          </w:tcPr>
          <w:p w14:paraId="23AAB4E5" w14:textId="77777777" w:rsidR="006636C3" w:rsidRPr="00670646" w:rsidRDefault="006636C3" w:rsidP="006636C3">
            <w:pPr>
              <w:numPr>
                <w:ilvl w:val="0"/>
                <w:numId w:val="17"/>
              </w:numPr>
              <w:tabs>
                <w:tab w:val="clear" w:pos="754"/>
                <w:tab w:val="num" w:pos="459"/>
              </w:tabs>
              <w:ind w:hanging="720"/>
              <w:rPr>
                <w:szCs w:val="24"/>
              </w:rPr>
            </w:pPr>
            <w:r w:rsidRPr="00670646">
              <w:rPr>
                <w:szCs w:val="24"/>
              </w:rPr>
              <w:t>Actuarial (gains) and losses</w:t>
            </w:r>
          </w:p>
        </w:tc>
        <w:tc>
          <w:tcPr>
            <w:tcW w:w="1168" w:type="dxa"/>
            <w:vAlign w:val="center"/>
          </w:tcPr>
          <w:p w14:paraId="66EA71A8" w14:textId="502E5CC1" w:rsidR="006636C3" w:rsidRPr="00294859" w:rsidRDefault="000764E6" w:rsidP="006636C3">
            <w:pPr>
              <w:tabs>
                <w:tab w:val="decimal" w:pos="717"/>
              </w:tabs>
              <w:ind w:left="34"/>
              <w:jc w:val="right"/>
              <w:rPr>
                <w:szCs w:val="24"/>
              </w:rPr>
            </w:pPr>
            <w:r w:rsidRPr="00670646">
              <w:rPr>
                <w:szCs w:val="24"/>
              </w:rPr>
              <w:t>(1,099)</w:t>
            </w:r>
          </w:p>
        </w:tc>
        <w:tc>
          <w:tcPr>
            <w:tcW w:w="1242" w:type="dxa"/>
            <w:vAlign w:val="center"/>
          </w:tcPr>
          <w:p w14:paraId="4B172A46" w14:textId="2B94A03D" w:rsidR="006636C3" w:rsidRPr="00670646" w:rsidRDefault="006636C3" w:rsidP="006636C3">
            <w:pPr>
              <w:tabs>
                <w:tab w:val="decimal" w:pos="717"/>
              </w:tabs>
              <w:ind w:left="34"/>
              <w:jc w:val="right"/>
              <w:rPr>
                <w:szCs w:val="24"/>
              </w:rPr>
            </w:pPr>
            <w:r w:rsidRPr="00670646">
              <w:rPr>
                <w:szCs w:val="24"/>
              </w:rPr>
              <w:t>(50)</w:t>
            </w:r>
          </w:p>
        </w:tc>
        <w:tc>
          <w:tcPr>
            <w:tcW w:w="1242" w:type="dxa"/>
            <w:vAlign w:val="center"/>
          </w:tcPr>
          <w:p w14:paraId="52BD9D04" w14:textId="0F0F66EB" w:rsidR="006636C3" w:rsidRPr="00294859" w:rsidRDefault="006E7D06" w:rsidP="006636C3">
            <w:pPr>
              <w:tabs>
                <w:tab w:val="decimal" w:pos="884"/>
              </w:tabs>
              <w:ind w:left="34"/>
              <w:jc w:val="right"/>
              <w:rPr>
                <w:szCs w:val="24"/>
              </w:rPr>
            </w:pPr>
            <w:r w:rsidRPr="00294859">
              <w:rPr>
                <w:szCs w:val="24"/>
              </w:rPr>
              <w:t>(66,100)</w:t>
            </w:r>
          </w:p>
        </w:tc>
        <w:tc>
          <w:tcPr>
            <w:tcW w:w="1310" w:type="dxa"/>
            <w:vAlign w:val="center"/>
          </w:tcPr>
          <w:p w14:paraId="4F3D7745" w14:textId="1E30C8BF" w:rsidR="006636C3" w:rsidRPr="00670646" w:rsidRDefault="006636C3" w:rsidP="006636C3">
            <w:pPr>
              <w:tabs>
                <w:tab w:val="decimal" w:pos="884"/>
              </w:tabs>
              <w:ind w:left="34"/>
              <w:jc w:val="right"/>
              <w:rPr>
                <w:szCs w:val="24"/>
              </w:rPr>
            </w:pPr>
            <w:r w:rsidRPr="00670646">
              <w:rPr>
                <w:bCs/>
                <w:szCs w:val="24"/>
              </w:rPr>
              <w:t>(4,120)</w:t>
            </w:r>
          </w:p>
        </w:tc>
      </w:tr>
      <w:tr w:rsidR="006636C3" w:rsidRPr="00670646" w14:paraId="3C89A1E0" w14:textId="77777777" w:rsidTr="008F6F5D">
        <w:trPr>
          <w:trHeight w:val="300"/>
        </w:trPr>
        <w:tc>
          <w:tcPr>
            <w:tcW w:w="4536" w:type="dxa"/>
          </w:tcPr>
          <w:p w14:paraId="4865CC16" w14:textId="6DC01BD2" w:rsidR="006636C3" w:rsidRPr="00670646" w:rsidRDefault="006636C3" w:rsidP="006636C3">
            <w:pPr>
              <w:ind w:left="34"/>
              <w:rPr>
                <w:b/>
                <w:szCs w:val="24"/>
              </w:rPr>
            </w:pPr>
            <w:r w:rsidRPr="00670646">
              <w:rPr>
                <w:b/>
                <w:szCs w:val="24"/>
              </w:rPr>
              <w:t>Total post-employment benefit charged to the Comprehensive Income and Expenditure Statement</w:t>
            </w:r>
          </w:p>
        </w:tc>
        <w:tc>
          <w:tcPr>
            <w:tcW w:w="1168" w:type="dxa"/>
            <w:vAlign w:val="center"/>
          </w:tcPr>
          <w:p w14:paraId="0453437C" w14:textId="1EB8D8BB" w:rsidR="006636C3" w:rsidRPr="00294859" w:rsidRDefault="00464FFC" w:rsidP="006636C3">
            <w:pPr>
              <w:tabs>
                <w:tab w:val="decimal" w:pos="717"/>
              </w:tabs>
              <w:ind w:left="34"/>
              <w:jc w:val="right"/>
              <w:rPr>
                <w:b/>
                <w:szCs w:val="24"/>
              </w:rPr>
            </w:pPr>
            <w:r w:rsidRPr="00670646">
              <w:rPr>
                <w:b/>
                <w:szCs w:val="24"/>
              </w:rPr>
              <w:t>386</w:t>
            </w:r>
          </w:p>
        </w:tc>
        <w:tc>
          <w:tcPr>
            <w:tcW w:w="1242" w:type="dxa"/>
            <w:vAlign w:val="center"/>
          </w:tcPr>
          <w:p w14:paraId="7E59D138" w14:textId="0C12EEA9" w:rsidR="006636C3" w:rsidRPr="00670646" w:rsidRDefault="006636C3" w:rsidP="006636C3">
            <w:pPr>
              <w:tabs>
                <w:tab w:val="decimal" w:pos="717"/>
              </w:tabs>
              <w:ind w:left="34"/>
              <w:jc w:val="right"/>
              <w:rPr>
                <w:b/>
                <w:szCs w:val="24"/>
              </w:rPr>
            </w:pPr>
            <w:r w:rsidRPr="00670646">
              <w:rPr>
                <w:b/>
                <w:szCs w:val="24"/>
              </w:rPr>
              <w:t>450</w:t>
            </w:r>
          </w:p>
        </w:tc>
        <w:tc>
          <w:tcPr>
            <w:tcW w:w="1242" w:type="dxa"/>
            <w:vAlign w:val="center"/>
          </w:tcPr>
          <w:p w14:paraId="56BC42DC" w14:textId="1D8A4181" w:rsidR="006636C3" w:rsidRPr="00294859" w:rsidRDefault="006E7D06" w:rsidP="006636C3">
            <w:pPr>
              <w:tabs>
                <w:tab w:val="decimal" w:pos="884"/>
              </w:tabs>
              <w:ind w:left="34"/>
              <w:jc w:val="right"/>
              <w:rPr>
                <w:b/>
                <w:szCs w:val="24"/>
              </w:rPr>
            </w:pPr>
            <w:r w:rsidRPr="00294859">
              <w:rPr>
                <w:b/>
                <w:szCs w:val="24"/>
              </w:rPr>
              <w:t>(32,440)</w:t>
            </w:r>
          </w:p>
        </w:tc>
        <w:tc>
          <w:tcPr>
            <w:tcW w:w="1310" w:type="dxa"/>
            <w:vAlign w:val="center"/>
          </w:tcPr>
          <w:p w14:paraId="55CD357B" w14:textId="0B772047" w:rsidR="006636C3" w:rsidRPr="00670646" w:rsidRDefault="006636C3" w:rsidP="006636C3">
            <w:pPr>
              <w:tabs>
                <w:tab w:val="decimal" w:pos="884"/>
              </w:tabs>
              <w:ind w:left="34"/>
              <w:jc w:val="right"/>
              <w:rPr>
                <w:b/>
                <w:szCs w:val="24"/>
              </w:rPr>
            </w:pPr>
            <w:r w:rsidRPr="00670646">
              <w:rPr>
                <w:b/>
                <w:szCs w:val="24"/>
              </w:rPr>
              <w:t>29,260</w:t>
            </w:r>
          </w:p>
        </w:tc>
      </w:tr>
    </w:tbl>
    <w:p w14:paraId="331B4249"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41B1CF30" w14:textId="77777777" w:rsidTr="00982FEC">
        <w:trPr>
          <w:trHeight w:val="300"/>
        </w:trPr>
        <w:tc>
          <w:tcPr>
            <w:tcW w:w="9498" w:type="dxa"/>
            <w:gridSpan w:val="5"/>
            <w:shd w:val="clear" w:color="auto" w:fill="D9D9D9" w:themeFill="background1" w:themeFillShade="D9"/>
          </w:tcPr>
          <w:p w14:paraId="446DC1D5" w14:textId="155A813C" w:rsidR="00053629" w:rsidRPr="00670646" w:rsidRDefault="00053629" w:rsidP="00053629">
            <w:pPr>
              <w:tabs>
                <w:tab w:val="decimal" w:pos="717"/>
              </w:tabs>
              <w:ind w:left="34"/>
              <w:rPr>
                <w:b/>
                <w:szCs w:val="24"/>
              </w:rPr>
            </w:pPr>
            <w:r w:rsidRPr="00670646">
              <w:rPr>
                <w:b/>
                <w:szCs w:val="24"/>
              </w:rPr>
              <w:t>Movement in reserves statement</w:t>
            </w:r>
          </w:p>
        </w:tc>
      </w:tr>
      <w:tr w:rsidR="006636C3" w:rsidRPr="00670646" w14:paraId="1FEE3C73" w14:textId="77777777" w:rsidTr="008F6F5D">
        <w:trPr>
          <w:trHeight w:val="300"/>
        </w:trPr>
        <w:tc>
          <w:tcPr>
            <w:tcW w:w="4536" w:type="dxa"/>
          </w:tcPr>
          <w:p w14:paraId="5D6630DD" w14:textId="16676097" w:rsidR="006636C3" w:rsidRPr="00670646" w:rsidRDefault="006636C3" w:rsidP="006636C3">
            <w:pPr>
              <w:numPr>
                <w:ilvl w:val="0"/>
                <w:numId w:val="17"/>
              </w:numPr>
              <w:tabs>
                <w:tab w:val="clear" w:pos="754"/>
                <w:tab w:val="num" w:pos="459"/>
              </w:tabs>
              <w:ind w:left="459" w:hanging="425"/>
              <w:rPr>
                <w:b/>
                <w:szCs w:val="24"/>
              </w:rPr>
            </w:pPr>
            <w:r w:rsidRPr="00670646">
              <w:rPr>
                <w:szCs w:val="24"/>
              </w:rPr>
              <w:t>Reversal of net charges made to the</w:t>
            </w:r>
            <w:r w:rsidRPr="00670646">
              <w:rPr>
                <w:b/>
                <w:szCs w:val="24"/>
              </w:rPr>
              <w:t xml:space="preserve"> </w:t>
            </w:r>
            <w:r w:rsidRPr="00670646">
              <w:rPr>
                <w:szCs w:val="24"/>
              </w:rPr>
              <w:t>deficit on provision of services in accordance with the code</w:t>
            </w:r>
          </w:p>
        </w:tc>
        <w:tc>
          <w:tcPr>
            <w:tcW w:w="1168" w:type="dxa"/>
            <w:vAlign w:val="center"/>
          </w:tcPr>
          <w:p w14:paraId="346D729D" w14:textId="39B6967C" w:rsidR="006636C3" w:rsidRPr="00670646" w:rsidRDefault="00213C2F" w:rsidP="006636C3">
            <w:pPr>
              <w:tabs>
                <w:tab w:val="decimal" w:pos="717"/>
              </w:tabs>
              <w:ind w:left="34"/>
              <w:jc w:val="right"/>
              <w:rPr>
                <w:szCs w:val="24"/>
              </w:rPr>
            </w:pPr>
            <w:r w:rsidRPr="00294859">
              <w:rPr>
                <w:szCs w:val="24"/>
              </w:rPr>
              <w:t>(1</w:t>
            </w:r>
            <w:r w:rsidRPr="00DE3FCE">
              <w:rPr>
                <w:szCs w:val="24"/>
              </w:rPr>
              <w:t>,089)</w:t>
            </w:r>
          </w:p>
        </w:tc>
        <w:tc>
          <w:tcPr>
            <w:tcW w:w="1242" w:type="dxa"/>
            <w:vAlign w:val="center"/>
          </w:tcPr>
          <w:p w14:paraId="75C5209C" w14:textId="5C982F00" w:rsidR="006636C3" w:rsidRPr="00670646" w:rsidRDefault="006636C3" w:rsidP="006636C3">
            <w:pPr>
              <w:tabs>
                <w:tab w:val="decimal" w:pos="717"/>
              </w:tabs>
              <w:ind w:left="34"/>
              <w:jc w:val="right"/>
              <w:rPr>
                <w:szCs w:val="24"/>
              </w:rPr>
            </w:pPr>
            <w:r w:rsidRPr="00670646">
              <w:rPr>
                <w:szCs w:val="24"/>
              </w:rPr>
              <w:t>(144)</w:t>
            </w:r>
          </w:p>
        </w:tc>
        <w:tc>
          <w:tcPr>
            <w:tcW w:w="1242" w:type="dxa"/>
            <w:vAlign w:val="center"/>
          </w:tcPr>
          <w:p w14:paraId="2680F87C" w14:textId="1ADD5E82" w:rsidR="006636C3" w:rsidRPr="00670646" w:rsidRDefault="006E7D06" w:rsidP="006636C3">
            <w:pPr>
              <w:tabs>
                <w:tab w:val="decimal" w:pos="884"/>
              </w:tabs>
              <w:ind w:left="34"/>
              <w:jc w:val="right"/>
              <w:rPr>
                <w:szCs w:val="24"/>
              </w:rPr>
            </w:pPr>
            <w:r w:rsidRPr="00294859">
              <w:rPr>
                <w:szCs w:val="24"/>
              </w:rPr>
              <w:t>(2,620)</w:t>
            </w:r>
          </w:p>
        </w:tc>
        <w:tc>
          <w:tcPr>
            <w:tcW w:w="1310" w:type="dxa"/>
            <w:vAlign w:val="center"/>
          </w:tcPr>
          <w:p w14:paraId="14E49329" w14:textId="639A6178" w:rsidR="006636C3" w:rsidRPr="00670646" w:rsidRDefault="006636C3" w:rsidP="006636C3">
            <w:pPr>
              <w:tabs>
                <w:tab w:val="decimal" w:pos="884"/>
              </w:tabs>
              <w:ind w:left="34"/>
              <w:jc w:val="right"/>
              <w:rPr>
                <w:szCs w:val="24"/>
              </w:rPr>
            </w:pPr>
            <w:r w:rsidRPr="00670646">
              <w:rPr>
                <w:szCs w:val="24"/>
              </w:rPr>
              <w:t>(4,410)</w:t>
            </w:r>
          </w:p>
        </w:tc>
      </w:tr>
    </w:tbl>
    <w:p w14:paraId="37CAC914"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3DC62280" w14:textId="77777777" w:rsidTr="00982FEC">
        <w:trPr>
          <w:trHeight w:val="300"/>
        </w:trPr>
        <w:tc>
          <w:tcPr>
            <w:tcW w:w="9498" w:type="dxa"/>
            <w:gridSpan w:val="5"/>
            <w:shd w:val="clear" w:color="auto" w:fill="D9D9D9" w:themeFill="background1" w:themeFillShade="D9"/>
          </w:tcPr>
          <w:p w14:paraId="0D74329B" w14:textId="57BAD4BD" w:rsidR="00053629" w:rsidRPr="00670646" w:rsidRDefault="00053629" w:rsidP="00053629">
            <w:pPr>
              <w:tabs>
                <w:tab w:val="decimal" w:pos="717"/>
              </w:tabs>
              <w:ind w:left="34"/>
              <w:rPr>
                <w:b/>
                <w:szCs w:val="24"/>
              </w:rPr>
            </w:pPr>
            <w:r w:rsidRPr="00670646">
              <w:rPr>
                <w:b/>
                <w:szCs w:val="24"/>
              </w:rPr>
              <w:t>Actual amount charged against the General Fund Balance for pensions in the year:</w:t>
            </w:r>
          </w:p>
        </w:tc>
      </w:tr>
      <w:tr w:rsidR="006636C3" w:rsidRPr="00670646" w14:paraId="6F8300F6" w14:textId="77777777" w:rsidTr="008F6F5D">
        <w:trPr>
          <w:trHeight w:val="300"/>
        </w:trPr>
        <w:tc>
          <w:tcPr>
            <w:tcW w:w="4536" w:type="dxa"/>
          </w:tcPr>
          <w:p w14:paraId="75265932" w14:textId="77777777" w:rsidR="006636C3" w:rsidRPr="00670646" w:rsidRDefault="006636C3" w:rsidP="006636C3">
            <w:pPr>
              <w:pStyle w:val="Footer"/>
              <w:tabs>
                <w:tab w:val="clear" w:pos="4153"/>
                <w:tab w:val="clear" w:pos="8306"/>
              </w:tabs>
              <w:ind w:left="34"/>
              <w:rPr>
                <w:szCs w:val="24"/>
              </w:rPr>
            </w:pPr>
            <w:r w:rsidRPr="00670646">
              <w:rPr>
                <w:szCs w:val="24"/>
              </w:rPr>
              <w:t>Employers’ contributions payable to the scheme</w:t>
            </w:r>
          </w:p>
        </w:tc>
        <w:tc>
          <w:tcPr>
            <w:tcW w:w="1168" w:type="dxa"/>
            <w:vAlign w:val="center"/>
          </w:tcPr>
          <w:p w14:paraId="5B38C50E" w14:textId="3DFDEB93" w:rsidR="006636C3" w:rsidRPr="00294859" w:rsidRDefault="004A66FF" w:rsidP="006636C3">
            <w:pPr>
              <w:tabs>
                <w:tab w:val="decimal" w:pos="717"/>
              </w:tabs>
              <w:ind w:left="34"/>
              <w:jc w:val="right"/>
              <w:rPr>
                <w:szCs w:val="24"/>
              </w:rPr>
            </w:pPr>
            <w:r w:rsidRPr="00294859">
              <w:rPr>
                <w:szCs w:val="24"/>
              </w:rPr>
              <w:t>(396)</w:t>
            </w:r>
          </w:p>
        </w:tc>
        <w:tc>
          <w:tcPr>
            <w:tcW w:w="1242" w:type="dxa"/>
            <w:vAlign w:val="center"/>
          </w:tcPr>
          <w:p w14:paraId="2BEC8786" w14:textId="045ED421" w:rsidR="006636C3" w:rsidRPr="00670646" w:rsidRDefault="006636C3" w:rsidP="006636C3">
            <w:pPr>
              <w:tabs>
                <w:tab w:val="decimal" w:pos="717"/>
              </w:tabs>
              <w:ind w:left="34"/>
              <w:jc w:val="right"/>
              <w:rPr>
                <w:szCs w:val="24"/>
              </w:rPr>
            </w:pPr>
            <w:r w:rsidRPr="00670646">
              <w:rPr>
                <w:szCs w:val="24"/>
              </w:rPr>
              <w:t>(356)</w:t>
            </w:r>
          </w:p>
        </w:tc>
        <w:tc>
          <w:tcPr>
            <w:tcW w:w="1242" w:type="dxa"/>
            <w:vAlign w:val="center"/>
          </w:tcPr>
          <w:p w14:paraId="2C17E690" w14:textId="3FF9693E" w:rsidR="006636C3" w:rsidRPr="00294859" w:rsidRDefault="006636C3" w:rsidP="006636C3">
            <w:pPr>
              <w:tabs>
                <w:tab w:val="decimal" w:pos="717"/>
              </w:tabs>
              <w:ind w:left="34"/>
              <w:jc w:val="right"/>
              <w:rPr>
                <w:szCs w:val="24"/>
              </w:rPr>
            </w:pPr>
          </w:p>
        </w:tc>
        <w:tc>
          <w:tcPr>
            <w:tcW w:w="1310" w:type="dxa"/>
            <w:vAlign w:val="center"/>
          </w:tcPr>
          <w:p w14:paraId="2BF4F5B6" w14:textId="1913ED00" w:rsidR="006636C3" w:rsidRPr="00670646" w:rsidRDefault="006636C3" w:rsidP="006636C3">
            <w:pPr>
              <w:tabs>
                <w:tab w:val="decimal" w:pos="717"/>
              </w:tabs>
              <w:ind w:left="34"/>
              <w:jc w:val="right"/>
              <w:rPr>
                <w:szCs w:val="24"/>
              </w:rPr>
            </w:pPr>
            <w:r w:rsidRPr="00670646">
              <w:rPr>
                <w:szCs w:val="24"/>
              </w:rPr>
              <w:t>-</w:t>
            </w:r>
          </w:p>
        </w:tc>
      </w:tr>
      <w:tr w:rsidR="006636C3" w:rsidRPr="00D948C1" w14:paraId="30B5A597" w14:textId="77777777" w:rsidTr="008F6F5D">
        <w:trPr>
          <w:trHeight w:val="300"/>
        </w:trPr>
        <w:tc>
          <w:tcPr>
            <w:tcW w:w="4536" w:type="dxa"/>
          </w:tcPr>
          <w:p w14:paraId="0FC8BFE7" w14:textId="77777777" w:rsidR="006636C3" w:rsidRPr="00670646" w:rsidRDefault="006636C3" w:rsidP="006636C3">
            <w:pPr>
              <w:pStyle w:val="Footer"/>
              <w:tabs>
                <w:tab w:val="clear" w:pos="4153"/>
                <w:tab w:val="clear" w:pos="8306"/>
              </w:tabs>
              <w:ind w:left="34"/>
              <w:rPr>
                <w:szCs w:val="24"/>
              </w:rPr>
            </w:pPr>
            <w:r w:rsidRPr="00670646">
              <w:rPr>
                <w:szCs w:val="24"/>
              </w:rPr>
              <w:t>Net retirement benefits payable to pensioners</w:t>
            </w:r>
          </w:p>
        </w:tc>
        <w:tc>
          <w:tcPr>
            <w:tcW w:w="1168" w:type="dxa"/>
            <w:vAlign w:val="center"/>
          </w:tcPr>
          <w:p w14:paraId="2376AF00" w14:textId="21922483" w:rsidR="006636C3" w:rsidRPr="00294859" w:rsidRDefault="004A66FF" w:rsidP="006636C3">
            <w:pPr>
              <w:tabs>
                <w:tab w:val="decimal" w:pos="717"/>
              </w:tabs>
              <w:ind w:left="34"/>
              <w:jc w:val="right"/>
              <w:rPr>
                <w:szCs w:val="24"/>
              </w:rPr>
            </w:pPr>
            <w:r w:rsidRPr="00294859">
              <w:rPr>
                <w:szCs w:val="24"/>
              </w:rPr>
              <w:t>-</w:t>
            </w:r>
          </w:p>
        </w:tc>
        <w:tc>
          <w:tcPr>
            <w:tcW w:w="1242" w:type="dxa"/>
            <w:vAlign w:val="center"/>
          </w:tcPr>
          <w:p w14:paraId="1B2461AD" w14:textId="2982C87C" w:rsidR="006636C3" w:rsidRPr="00670646" w:rsidRDefault="006636C3" w:rsidP="006636C3">
            <w:pPr>
              <w:tabs>
                <w:tab w:val="decimal" w:pos="717"/>
              </w:tabs>
              <w:ind w:left="34"/>
              <w:jc w:val="right"/>
              <w:rPr>
                <w:szCs w:val="24"/>
              </w:rPr>
            </w:pPr>
            <w:r w:rsidRPr="00670646">
              <w:rPr>
                <w:szCs w:val="24"/>
              </w:rPr>
              <w:t>-</w:t>
            </w:r>
          </w:p>
        </w:tc>
        <w:tc>
          <w:tcPr>
            <w:tcW w:w="1242" w:type="dxa"/>
            <w:vAlign w:val="center"/>
          </w:tcPr>
          <w:p w14:paraId="5DC3F90C" w14:textId="47610803" w:rsidR="006636C3" w:rsidRPr="00294859" w:rsidRDefault="006E7D06" w:rsidP="006636C3">
            <w:pPr>
              <w:tabs>
                <w:tab w:val="decimal" w:pos="884"/>
              </w:tabs>
              <w:ind w:left="34"/>
              <w:jc w:val="right"/>
              <w:rPr>
                <w:szCs w:val="24"/>
              </w:rPr>
            </w:pPr>
            <w:r w:rsidRPr="00294859">
              <w:rPr>
                <w:szCs w:val="24"/>
              </w:rPr>
              <w:t>(31,040)</w:t>
            </w:r>
          </w:p>
        </w:tc>
        <w:tc>
          <w:tcPr>
            <w:tcW w:w="1310" w:type="dxa"/>
            <w:vAlign w:val="center"/>
          </w:tcPr>
          <w:p w14:paraId="42361AF9" w14:textId="0B95CE5E" w:rsidR="006636C3" w:rsidRPr="00D948C1" w:rsidRDefault="006636C3" w:rsidP="006636C3">
            <w:pPr>
              <w:tabs>
                <w:tab w:val="decimal" w:pos="884"/>
              </w:tabs>
              <w:ind w:left="34"/>
              <w:jc w:val="right"/>
              <w:rPr>
                <w:szCs w:val="24"/>
              </w:rPr>
            </w:pPr>
            <w:r w:rsidRPr="00670646">
              <w:rPr>
                <w:szCs w:val="24"/>
              </w:rPr>
              <w:t>(28,970)</w:t>
            </w:r>
          </w:p>
        </w:tc>
      </w:tr>
    </w:tbl>
    <w:p w14:paraId="001D32CF" w14:textId="5BDA0B1D" w:rsidR="00D90216" w:rsidRPr="00D948C1" w:rsidRDefault="00D90216" w:rsidP="00233BF0">
      <w:pPr>
        <w:ind w:left="706"/>
        <w:rPr>
          <w:szCs w:val="24"/>
        </w:rPr>
      </w:pPr>
      <w:r w:rsidRPr="00D948C1">
        <w:rPr>
          <w:szCs w:val="24"/>
        </w:rPr>
        <w:lastRenderedPageBreak/>
        <w:t xml:space="preserve">The change in the net </w:t>
      </w:r>
      <w:r w:rsidR="003278CF" w:rsidRPr="00D948C1">
        <w:rPr>
          <w:szCs w:val="24"/>
        </w:rPr>
        <w:t>pension</w:t>
      </w:r>
      <w:r w:rsidRPr="00D948C1">
        <w:rPr>
          <w:szCs w:val="24"/>
        </w:rPr>
        <w:t xml:space="preserve"> liability is analysed into seven components:</w:t>
      </w:r>
    </w:p>
    <w:p w14:paraId="7B32DB07" w14:textId="77777777" w:rsidR="00D90216" w:rsidRPr="00D948C1" w:rsidRDefault="00D90216" w:rsidP="00233BF0">
      <w:pPr>
        <w:ind w:left="706"/>
        <w:rPr>
          <w:b/>
          <w:szCs w:val="24"/>
        </w:rPr>
      </w:pPr>
    </w:p>
    <w:p w14:paraId="6909A5B6" w14:textId="2854286F" w:rsidR="00D90216" w:rsidRPr="00D948C1" w:rsidRDefault="00D90216" w:rsidP="00233BF0">
      <w:pPr>
        <w:ind w:left="706"/>
        <w:rPr>
          <w:szCs w:val="24"/>
        </w:rPr>
      </w:pPr>
      <w:r w:rsidRPr="00D948C1">
        <w:rPr>
          <w:b/>
          <w:szCs w:val="24"/>
        </w:rPr>
        <w:t>Current service cost</w:t>
      </w:r>
      <w:r w:rsidRPr="00D948C1">
        <w:rPr>
          <w:szCs w:val="24"/>
        </w:rPr>
        <w:t xml:space="preserve"> – the increase in liabilities </w:t>
      </w:r>
      <w:r w:rsidR="00010C11" w:rsidRPr="00D948C1">
        <w:rPr>
          <w:szCs w:val="24"/>
        </w:rPr>
        <w:t>because of</w:t>
      </w:r>
      <w:r w:rsidRPr="00D948C1">
        <w:rPr>
          <w:szCs w:val="24"/>
        </w:rPr>
        <w:t xml:space="preserve"> years of service earned this year – allocated in the Comprehensive Income and Expenditure Statement to the services for which the employees worked. </w:t>
      </w:r>
    </w:p>
    <w:p w14:paraId="32271D3F" w14:textId="77777777" w:rsidR="00D90216" w:rsidRPr="00D948C1" w:rsidRDefault="00D90216" w:rsidP="00233BF0">
      <w:pPr>
        <w:ind w:left="706"/>
        <w:rPr>
          <w:b/>
          <w:szCs w:val="24"/>
        </w:rPr>
      </w:pPr>
    </w:p>
    <w:p w14:paraId="2199C378" w14:textId="1734978B" w:rsidR="00D90216" w:rsidRPr="00D948C1" w:rsidRDefault="00D90216" w:rsidP="00233BF0">
      <w:pPr>
        <w:ind w:left="706"/>
        <w:rPr>
          <w:szCs w:val="24"/>
        </w:rPr>
      </w:pPr>
      <w:r w:rsidRPr="00D948C1">
        <w:rPr>
          <w:b/>
          <w:szCs w:val="24"/>
        </w:rPr>
        <w:t>Past service cost</w:t>
      </w:r>
      <w:r w:rsidR="00075D09" w:rsidRPr="00D948C1">
        <w:rPr>
          <w:b/>
          <w:szCs w:val="24"/>
        </w:rPr>
        <w:t>/(gain)</w:t>
      </w:r>
      <w:r w:rsidRPr="00D948C1">
        <w:rPr>
          <w:szCs w:val="24"/>
        </w:rPr>
        <w:t xml:space="preserve"> – the increase</w:t>
      </w:r>
      <w:r w:rsidR="00075D09" w:rsidRPr="00D948C1">
        <w:rPr>
          <w:szCs w:val="24"/>
        </w:rPr>
        <w:t>/(decrease)</w:t>
      </w:r>
      <w:r w:rsidRPr="00D948C1">
        <w:rPr>
          <w:szCs w:val="24"/>
        </w:rPr>
        <w:t xml:space="preserve"> in liabilities arising from current year decisions whose effect relates to years of service earned in earlier years – debited</w:t>
      </w:r>
      <w:r w:rsidR="00075D09" w:rsidRPr="00D948C1">
        <w:rPr>
          <w:szCs w:val="24"/>
        </w:rPr>
        <w:t>/(credited)</w:t>
      </w:r>
      <w:r w:rsidRPr="00D948C1">
        <w:rPr>
          <w:szCs w:val="24"/>
        </w:rPr>
        <w:t xml:space="preserve"> to the deficit on the provision of services in the Comprehensive Income and Expenditure Statement</w:t>
      </w:r>
      <w:r w:rsidR="006454EE" w:rsidRPr="00D948C1">
        <w:rPr>
          <w:szCs w:val="24"/>
        </w:rPr>
        <w:t>.</w:t>
      </w:r>
    </w:p>
    <w:p w14:paraId="22EC944F" w14:textId="77777777" w:rsidR="00D90216" w:rsidRPr="00D948C1" w:rsidRDefault="00D90216" w:rsidP="00233BF0">
      <w:pPr>
        <w:ind w:left="706"/>
        <w:rPr>
          <w:szCs w:val="24"/>
        </w:rPr>
      </w:pPr>
    </w:p>
    <w:p w14:paraId="690259A3" w14:textId="77777777" w:rsidR="00D90216" w:rsidRPr="00D948C1" w:rsidRDefault="00D90216" w:rsidP="00233BF0">
      <w:pPr>
        <w:ind w:left="706"/>
        <w:rPr>
          <w:szCs w:val="24"/>
        </w:rPr>
      </w:pPr>
      <w:r w:rsidRPr="00D948C1">
        <w:rPr>
          <w:b/>
          <w:szCs w:val="24"/>
        </w:rPr>
        <w:t xml:space="preserve">Interest </w:t>
      </w:r>
      <w:r w:rsidR="0078056C" w:rsidRPr="00D948C1">
        <w:rPr>
          <w:b/>
          <w:szCs w:val="24"/>
        </w:rPr>
        <w:t>on liabilities</w:t>
      </w:r>
      <w:r w:rsidRPr="00D948C1">
        <w:rPr>
          <w:szCs w:val="24"/>
        </w:rPr>
        <w:t xml:space="preserve"> – the expected increase in the present value of liabilities during the year as they move one year closer to being paid.</w:t>
      </w:r>
    </w:p>
    <w:p w14:paraId="1A35B23C" w14:textId="77777777" w:rsidR="00D90216" w:rsidRPr="00D948C1" w:rsidRDefault="00D90216" w:rsidP="00233BF0">
      <w:pPr>
        <w:ind w:left="706"/>
        <w:rPr>
          <w:szCs w:val="24"/>
        </w:rPr>
      </w:pPr>
    </w:p>
    <w:p w14:paraId="1903707B" w14:textId="77777777" w:rsidR="00D90216" w:rsidRPr="00D948C1" w:rsidRDefault="0078056C" w:rsidP="00233BF0">
      <w:pPr>
        <w:ind w:left="706"/>
        <w:rPr>
          <w:szCs w:val="24"/>
        </w:rPr>
      </w:pPr>
      <w:r w:rsidRPr="00D948C1">
        <w:rPr>
          <w:b/>
          <w:szCs w:val="24"/>
        </w:rPr>
        <w:t>Interest</w:t>
      </w:r>
      <w:r w:rsidR="00D90216" w:rsidRPr="00D948C1">
        <w:rPr>
          <w:b/>
          <w:szCs w:val="24"/>
        </w:rPr>
        <w:t xml:space="preserve"> on </w:t>
      </w:r>
      <w:r w:rsidRPr="00D948C1">
        <w:rPr>
          <w:b/>
          <w:szCs w:val="24"/>
        </w:rPr>
        <w:t>a</w:t>
      </w:r>
      <w:r w:rsidR="00D90216" w:rsidRPr="00D948C1">
        <w:rPr>
          <w:b/>
          <w:szCs w:val="24"/>
        </w:rPr>
        <w:t>ssets</w:t>
      </w:r>
      <w:r w:rsidR="00D90216" w:rsidRPr="00D948C1">
        <w:rPr>
          <w:szCs w:val="24"/>
        </w:rPr>
        <w:t xml:space="preserve"> – the average rate of return expected on the investment assets held by the pension scheme.</w:t>
      </w:r>
    </w:p>
    <w:p w14:paraId="33FED981" w14:textId="77777777" w:rsidR="00D90216" w:rsidRPr="00D948C1" w:rsidRDefault="00D90216" w:rsidP="00233BF0">
      <w:pPr>
        <w:ind w:left="706"/>
        <w:rPr>
          <w:szCs w:val="24"/>
        </w:rPr>
      </w:pPr>
    </w:p>
    <w:p w14:paraId="52EAF3E4" w14:textId="77777777" w:rsidR="00D90216" w:rsidRPr="00D948C1" w:rsidRDefault="00D90216" w:rsidP="00233BF0">
      <w:pPr>
        <w:ind w:left="706"/>
        <w:rPr>
          <w:szCs w:val="24"/>
        </w:rPr>
      </w:pPr>
      <w:r w:rsidRPr="00D948C1">
        <w:rPr>
          <w:b/>
          <w:szCs w:val="24"/>
        </w:rPr>
        <w:t xml:space="preserve">Actuarial (gains) and losses </w:t>
      </w:r>
      <w:r w:rsidRPr="00D948C1">
        <w:rPr>
          <w:szCs w:val="24"/>
        </w:rPr>
        <w:t xml:space="preserve">– changes in the net pension liability that arise because events have not coincided with assumptions made at the last actuarial valuation or because the actuaries have updated their assumptions – </w:t>
      </w:r>
      <w:r w:rsidR="00DF3E5F" w:rsidRPr="00D948C1">
        <w:rPr>
          <w:szCs w:val="24"/>
        </w:rPr>
        <w:t>(credited)/</w:t>
      </w:r>
      <w:r w:rsidRPr="00D948C1">
        <w:rPr>
          <w:szCs w:val="24"/>
        </w:rPr>
        <w:t>debited to the pensions reserve.</w:t>
      </w:r>
    </w:p>
    <w:p w14:paraId="1A9B5D5A" w14:textId="77777777" w:rsidR="00D90216" w:rsidRPr="00D948C1" w:rsidRDefault="00D90216" w:rsidP="00233BF0">
      <w:pPr>
        <w:ind w:left="706"/>
        <w:rPr>
          <w:szCs w:val="24"/>
        </w:rPr>
      </w:pPr>
    </w:p>
    <w:p w14:paraId="55591245" w14:textId="77777777" w:rsidR="00D90216" w:rsidRPr="00D948C1" w:rsidRDefault="00D90216" w:rsidP="00233BF0">
      <w:pPr>
        <w:ind w:left="706"/>
        <w:rPr>
          <w:szCs w:val="24"/>
        </w:rPr>
      </w:pPr>
      <w:r w:rsidRPr="00D948C1">
        <w:rPr>
          <w:b/>
          <w:szCs w:val="24"/>
        </w:rPr>
        <w:t>Employers’ contributions</w:t>
      </w:r>
      <w:r w:rsidRPr="00D948C1">
        <w:rPr>
          <w:szCs w:val="24"/>
        </w:rPr>
        <w:t xml:space="preserve"> – the payments made into the pension scheme by the Authority during the year in respect of current employees. </w:t>
      </w:r>
    </w:p>
    <w:p w14:paraId="551ED355" w14:textId="77777777" w:rsidR="00D90216" w:rsidRPr="00D948C1" w:rsidRDefault="00D90216" w:rsidP="00233BF0">
      <w:pPr>
        <w:ind w:left="706"/>
        <w:rPr>
          <w:b/>
          <w:szCs w:val="24"/>
        </w:rPr>
      </w:pPr>
    </w:p>
    <w:p w14:paraId="1A9E3DCC" w14:textId="74837A7D" w:rsidR="00D90216" w:rsidRPr="00680902" w:rsidRDefault="00D90216" w:rsidP="000E23AE">
      <w:pPr>
        <w:spacing w:line="259" w:lineRule="auto"/>
        <w:ind w:left="706"/>
        <w:rPr>
          <w:b/>
          <w:bCs/>
          <w:highlight w:val="red"/>
        </w:rPr>
      </w:pPr>
      <w:r w:rsidRPr="000E23AE">
        <w:rPr>
          <w:b/>
          <w:bCs/>
        </w:rPr>
        <w:t xml:space="preserve">Retirement benefits payable to pensioners – </w:t>
      </w:r>
      <w:r w:rsidRPr="000E23AE">
        <w:t xml:space="preserve">the net payments made in respect of the Firefighter pension scheme. Note, the fund also received a top up grant of </w:t>
      </w:r>
      <w:r w:rsidR="0004720E" w:rsidRPr="000E23AE">
        <w:t>£</w:t>
      </w:r>
      <w:r w:rsidR="261F2EC8" w:rsidRPr="000E23AE">
        <w:t>18.594</w:t>
      </w:r>
      <w:r w:rsidR="006605BB" w:rsidRPr="000E23AE">
        <w:t xml:space="preserve">m </w:t>
      </w:r>
      <w:r w:rsidRPr="000E23AE">
        <w:t>(</w:t>
      </w:r>
      <w:r w:rsidR="00535F5B" w:rsidRPr="000E23AE">
        <w:t>20</w:t>
      </w:r>
      <w:r w:rsidR="006B2155" w:rsidRPr="000E23AE">
        <w:t>2</w:t>
      </w:r>
      <w:r w:rsidR="2A5DB6DE" w:rsidRPr="000E23AE">
        <w:t>3</w:t>
      </w:r>
      <w:r w:rsidR="006B2155" w:rsidRPr="000E23AE">
        <w:t>/2</w:t>
      </w:r>
      <w:r w:rsidR="1336E6CA" w:rsidRPr="000E23AE">
        <w:t>4</w:t>
      </w:r>
      <w:r w:rsidRPr="000E23AE">
        <w:t>: £</w:t>
      </w:r>
      <w:r w:rsidR="51328C97" w:rsidRPr="000E23AE">
        <w:t>19.508m</w:t>
      </w:r>
      <w:r w:rsidRPr="000E23AE">
        <w:t xml:space="preserve">) in addition to these, which can be seen in the Firefighters Pension Fund Account on </w:t>
      </w:r>
      <w:r w:rsidR="003D483B" w:rsidRPr="009C60FB">
        <w:t xml:space="preserve">page </w:t>
      </w:r>
      <w:r w:rsidR="00A87895">
        <w:t>83</w:t>
      </w:r>
      <w:r w:rsidRPr="009C60FB">
        <w:t>.</w:t>
      </w:r>
    </w:p>
    <w:p w14:paraId="43B56D63" w14:textId="77777777" w:rsidR="00D90216" w:rsidRPr="00D948C1" w:rsidRDefault="00D90216" w:rsidP="00233BF0">
      <w:pPr>
        <w:ind w:left="706"/>
        <w:rPr>
          <w:szCs w:val="24"/>
        </w:rPr>
      </w:pPr>
    </w:p>
    <w:p w14:paraId="2232443C" w14:textId="5C4D1405" w:rsidR="00D90216" w:rsidRPr="00D948C1" w:rsidRDefault="00D90216" w:rsidP="00233BF0">
      <w:pPr>
        <w:ind w:left="709"/>
        <w:rPr>
          <w:szCs w:val="24"/>
        </w:rPr>
      </w:pPr>
      <w:r w:rsidRPr="00D948C1">
        <w:rPr>
          <w:szCs w:val="24"/>
        </w:rPr>
        <w:t xml:space="preserve">A full set of audited accounts for the Lancashire County Pension Fund, together with information relating to membership, actuarial and investment </w:t>
      </w:r>
      <w:r w:rsidR="00804E6C" w:rsidRPr="00D948C1">
        <w:rPr>
          <w:szCs w:val="24"/>
        </w:rPr>
        <w:t>policy,</w:t>
      </w:r>
      <w:r w:rsidRPr="00D948C1">
        <w:rPr>
          <w:szCs w:val="24"/>
        </w:rPr>
        <w:t xml:space="preserve"> and investment performance, are published in the ‘Lancashire County Pension Fund Annual Report’, available from the administering authority, Lancashire County Council, on request.</w:t>
      </w:r>
    </w:p>
    <w:p w14:paraId="7D708065" w14:textId="77777777" w:rsidR="00D90216" w:rsidRPr="00D948C1" w:rsidRDefault="00D90216" w:rsidP="00233BF0">
      <w:pPr>
        <w:rPr>
          <w:szCs w:val="24"/>
        </w:rPr>
      </w:pPr>
    </w:p>
    <w:p w14:paraId="5FFA9149" w14:textId="77777777" w:rsidR="00D90216" w:rsidRPr="00D948C1" w:rsidRDefault="00D90216" w:rsidP="00233BF0">
      <w:pPr>
        <w:ind w:left="709"/>
        <w:rPr>
          <w:b/>
          <w:szCs w:val="24"/>
        </w:rPr>
      </w:pPr>
      <w:r w:rsidRPr="00D948C1">
        <w:rPr>
          <w:b/>
          <w:szCs w:val="24"/>
        </w:rPr>
        <w:t>Assets and Liabilities in Relation to Post-employment Benefits</w:t>
      </w:r>
    </w:p>
    <w:p w14:paraId="2AA47B42" w14:textId="77777777" w:rsidR="00D90216" w:rsidRPr="00D948C1" w:rsidRDefault="00D90216" w:rsidP="00233BF0">
      <w:pPr>
        <w:ind w:left="709"/>
        <w:rPr>
          <w:szCs w:val="24"/>
        </w:rPr>
      </w:pPr>
    </w:p>
    <w:p w14:paraId="03194F5F" w14:textId="77777777" w:rsidR="00D90216" w:rsidRPr="00D948C1" w:rsidRDefault="00D90216" w:rsidP="00233BF0">
      <w:pPr>
        <w:ind w:left="709"/>
        <w:rPr>
          <w:szCs w:val="24"/>
        </w:rPr>
      </w:pPr>
      <w:r w:rsidRPr="00D948C1">
        <w:rPr>
          <w:szCs w:val="24"/>
        </w:rPr>
        <w:t>Reconciliation of present value of the scheme liabilities (defined benefit obligation):</w:t>
      </w:r>
    </w:p>
    <w:p w14:paraId="7D06B26B" w14:textId="77777777" w:rsidR="00D90216" w:rsidRPr="00D948C1" w:rsidRDefault="00D90216" w:rsidP="00D90216">
      <w:pPr>
        <w:ind w:left="709"/>
        <w:jc w:val="both"/>
        <w:rPr>
          <w:sz w:val="22"/>
        </w:rPr>
      </w:pPr>
    </w:p>
    <w:tbl>
      <w:tblPr>
        <w:tblW w:w="93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1412"/>
        <w:gridCol w:w="1272"/>
        <w:gridCol w:w="1447"/>
        <w:gridCol w:w="1305"/>
      </w:tblGrid>
      <w:tr w:rsidR="00B805A9" w:rsidRPr="00D948C1" w14:paraId="7697DE95" w14:textId="77777777" w:rsidTr="00611673">
        <w:trPr>
          <w:trHeight w:hRule="exact" w:val="850"/>
          <w:tblHeader/>
        </w:trPr>
        <w:tc>
          <w:tcPr>
            <w:tcW w:w="3953" w:type="dxa"/>
            <w:shd w:val="clear" w:color="auto" w:fill="BD2716"/>
          </w:tcPr>
          <w:p w14:paraId="04F7BAF2" w14:textId="77777777" w:rsidR="00B805A9" w:rsidRPr="00D948C1" w:rsidRDefault="00B805A9" w:rsidP="00CD62E6">
            <w:pPr>
              <w:jc w:val="both"/>
              <w:rPr>
                <w:color w:val="FFFFFF" w:themeColor="background1"/>
                <w:szCs w:val="24"/>
              </w:rPr>
            </w:pPr>
          </w:p>
        </w:tc>
        <w:tc>
          <w:tcPr>
            <w:tcW w:w="2684" w:type="dxa"/>
            <w:gridSpan w:val="2"/>
            <w:shd w:val="clear" w:color="auto" w:fill="BD2716"/>
            <w:vAlign w:val="center"/>
          </w:tcPr>
          <w:p w14:paraId="2ECB9B13" w14:textId="77777777" w:rsidR="00B805A9" w:rsidRPr="00D948C1" w:rsidRDefault="00B805A9" w:rsidP="00611673">
            <w:pPr>
              <w:jc w:val="center"/>
              <w:rPr>
                <w:color w:val="FFFFFF" w:themeColor="background1"/>
                <w:szCs w:val="24"/>
              </w:rPr>
            </w:pPr>
            <w:r w:rsidRPr="00D948C1">
              <w:rPr>
                <w:color w:val="FFFFFF" w:themeColor="background1"/>
                <w:szCs w:val="24"/>
              </w:rPr>
              <w:t>Funded Liabilities: Local Government Pension Scheme</w:t>
            </w:r>
          </w:p>
        </w:tc>
        <w:tc>
          <w:tcPr>
            <w:tcW w:w="2752" w:type="dxa"/>
            <w:gridSpan w:val="2"/>
            <w:shd w:val="clear" w:color="auto" w:fill="BD2716"/>
            <w:vAlign w:val="center"/>
          </w:tcPr>
          <w:p w14:paraId="5408F47A" w14:textId="77777777" w:rsidR="00B805A9" w:rsidRPr="00D948C1" w:rsidRDefault="00B805A9" w:rsidP="00611673">
            <w:pPr>
              <w:jc w:val="center"/>
              <w:rPr>
                <w:color w:val="FFFFFF" w:themeColor="background1"/>
                <w:szCs w:val="24"/>
              </w:rPr>
            </w:pPr>
            <w:r w:rsidRPr="00D948C1">
              <w:rPr>
                <w:color w:val="FFFFFF" w:themeColor="background1"/>
                <w:szCs w:val="24"/>
              </w:rPr>
              <w:t>Unfunded Liabilities: Uniformed Firefighters’ Pension Scheme</w:t>
            </w:r>
          </w:p>
        </w:tc>
      </w:tr>
      <w:tr w:rsidR="008F3F7F" w:rsidRPr="00D948C1" w14:paraId="6D60649A" w14:textId="77777777" w:rsidTr="00611673">
        <w:trPr>
          <w:trHeight w:hRule="exact" w:val="850"/>
          <w:tblHeader/>
        </w:trPr>
        <w:tc>
          <w:tcPr>
            <w:tcW w:w="3953" w:type="dxa"/>
            <w:shd w:val="clear" w:color="auto" w:fill="BD2716"/>
          </w:tcPr>
          <w:p w14:paraId="3B42FA68" w14:textId="77777777" w:rsidR="008F3F7F" w:rsidRPr="00D948C1" w:rsidRDefault="008F3F7F" w:rsidP="008F3F7F">
            <w:pPr>
              <w:jc w:val="both"/>
              <w:rPr>
                <w:color w:val="FFFFFF" w:themeColor="background1"/>
                <w:szCs w:val="24"/>
              </w:rPr>
            </w:pPr>
          </w:p>
        </w:tc>
        <w:tc>
          <w:tcPr>
            <w:tcW w:w="1412" w:type="dxa"/>
            <w:shd w:val="clear" w:color="auto" w:fill="BD2716"/>
            <w:vAlign w:val="center"/>
          </w:tcPr>
          <w:p w14:paraId="3A9D5B8D" w14:textId="04182C94" w:rsidR="008F3F7F" w:rsidRPr="00D948C1" w:rsidRDefault="008F3F7F" w:rsidP="008F3F7F">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138D406D" w14:textId="3C2D704A" w:rsidR="008F3F7F" w:rsidRPr="00D948C1" w:rsidRDefault="008F3F7F" w:rsidP="008F3F7F">
            <w:pPr>
              <w:jc w:val="right"/>
              <w:rPr>
                <w:color w:val="FFFFFF" w:themeColor="background1"/>
                <w:szCs w:val="24"/>
              </w:rPr>
            </w:pPr>
            <w:r w:rsidRPr="00D948C1">
              <w:rPr>
                <w:color w:val="FFFFFF" w:themeColor="background1"/>
                <w:szCs w:val="24"/>
              </w:rPr>
              <w:t>£000</w:t>
            </w:r>
          </w:p>
        </w:tc>
        <w:tc>
          <w:tcPr>
            <w:tcW w:w="1272" w:type="dxa"/>
            <w:shd w:val="clear" w:color="auto" w:fill="BD2716"/>
            <w:vAlign w:val="center"/>
          </w:tcPr>
          <w:p w14:paraId="26EB456F" w14:textId="77777777" w:rsidR="006636C3" w:rsidRPr="00D948C1" w:rsidRDefault="006636C3" w:rsidP="006636C3">
            <w:pPr>
              <w:jc w:val="right"/>
              <w:rPr>
                <w:color w:val="FFFFFF" w:themeColor="background1"/>
                <w:szCs w:val="24"/>
              </w:rPr>
            </w:pPr>
            <w:r w:rsidRPr="00D948C1">
              <w:rPr>
                <w:color w:val="FFFFFF" w:themeColor="background1"/>
                <w:szCs w:val="24"/>
              </w:rPr>
              <w:t>31 March 2024</w:t>
            </w:r>
          </w:p>
          <w:p w14:paraId="2CED4481" w14:textId="2AD36946" w:rsidR="008F3F7F" w:rsidRPr="00D948C1" w:rsidRDefault="006636C3" w:rsidP="006636C3">
            <w:pPr>
              <w:jc w:val="right"/>
              <w:rPr>
                <w:color w:val="FFFFFF" w:themeColor="background1"/>
                <w:szCs w:val="24"/>
              </w:rPr>
            </w:pPr>
            <w:r w:rsidRPr="00D948C1">
              <w:rPr>
                <w:color w:val="FFFFFF" w:themeColor="background1"/>
                <w:szCs w:val="24"/>
              </w:rPr>
              <w:t>£000</w:t>
            </w:r>
          </w:p>
        </w:tc>
        <w:tc>
          <w:tcPr>
            <w:tcW w:w="1447" w:type="dxa"/>
            <w:shd w:val="clear" w:color="auto" w:fill="BD2716"/>
            <w:vAlign w:val="center"/>
          </w:tcPr>
          <w:p w14:paraId="45B0F004" w14:textId="05D279E4" w:rsidR="008F3F7F" w:rsidRPr="00D948C1" w:rsidRDefault="008F3F7F" w:rsidP="008F3F7F">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2569D777" w14:textId="2FF49D26" w:rsidR="008F3F7F" w:rsidRPr="00D948C1" w:rsidRDefault="008F3F7F" w:rsidP="008F3F7F">
            <w:pPr>
              <w:jc w:val="right"/>
              <w:rPr>
                <w:color w:val="FFFFFF" w:themeColor="background1"/>
                <w:szCs w:val="24"/>
              </w:rPr>
            </w:pPr>
            <w:r w:rsidRPr="00D948C1">
              <w:rPr>
                <w:color w:val="FFFFFF" w:themeColor="background1"/>
                <w:szCs w:val="24"/>
              </w:rPr>
              <w:t>£000</w:t>
            </w:r>
          </w:p>
        </w:tc>
        <w:tc>
          <w:tcPr>
            <w:tcW w:w="1305" w:type="dxa"/>
            <w:shd w:val="clear" w:color="auto" w:fill="BD2716"/>
            <w:vAlign w:val="center"/>
          </w:tcPr>
          <w:p w14:paraId="73BC4338" w14:textId="77777777" w:rsidR="006636C3" w:rsidRPr="00D948C1" w:rsidRDefault="006636C3" w:rsidP="006636C3">
            <w:pPr>
              <w:jc w:val="right"/>
              <w:rPr>
                <w:color w:val="FFFFFF" w:themeColor="background1"/>
                <w:szCs w:val="24"/>
              </w:rPr>
            </w:pPr>
            <w:r w:rsidRPr="00D948C1">
              <w:rPr>
                <w:color w:val="FFFFFF" w:themeColor="background1"/>
                <w:szCs w:val="24"/>
              </w:rPr>
              <w:t>31 March 2024</w:t>
            </w:r>
          </w:p>
          <w:p w14:paraId="687BB876" w14:textId="186BBC4C" w:rsidR="008F3F7F" w:rsidRPr="00D948C1" w:rsidRDefault="006636C3" w:rsidP="006636C3">
            <w:pPr>
              <w:jc w:val="right"/>
              <w:rPr>
                <w:color w:val="FFFFFF" w:themeColor="background1"/>
                <w:szCs w:val="24"/>
              </w:rPr>
            </w:pPr>
            <w:r w:rsidRPr="00D948C1">
              <w:rPr>
                <w:color w:val="FFFFFF" w:themeColor="background1"/>
                <w:szCs w:val="24"/>
              </w:rPr>
              <w:t>£000</w:t>
            </w:r>
          </w:p>
        </w:tc>
      </w:tr>
      <w:tr w:rsidR="006636C3" w:rsidRPr="00D948C1" w14:paraId="0D282737" w14:textId="77777777" w:rsidTr="00DD63D7">
        <w:trPr>
          <w:trHeight w:val="289"/>
        </w:trPr>
        <w:tc>
          <w:tcPr>
            <w:tcW w:w="3953" w:type="dxa"/>
          </w:tcPr>
          <w:p w14:paraId="61181DA7" w14:textId="5D8CE955" w:rsidR="006636C3" w:rsidRPr="00D948C1" w:rsidRDefault="006636C3" w:rsidP="006636C3">
            <w:pPr>
              <w:rPr>
                <w:szCs w:val="24"/>
              </w:rPr>
            </w:pPr>
            <w:r w:rsidRPr="00D948C1">
              <w:rPr>
                <w:b/>
                <w:bCs/>
                <w:szCs w:val="24"/>
              </w:rPr>
              <w:t xml:space="preserve">Opening balance </w:t>
            </w:r>
            <w:proofErr w:type="gramStart"/>
            <w:r w:rsidRPr="00D948C1">
              <w:rPr>
                <w:b/>
                <w:bCs/>
                <w:szCs w:val="24"/>
              </w:rPr>
              <w:t>at</w:t>
            </w:r>
            <w:proofErr w:type="gramEnd"/>
            <w:r w:rsidRPr="00D948C1">
              <w:rPr>
                <w:b/>
                <w:bCs/>
                <w:szCs w:val="24"/>
              </w:rPr>
              <w:t xml:space="preserve"> 1 April</w:t>
            </w:r>
          </w:p>
        </w:tc>
        <w:tc>
          <w:tcPr>
            <w:tcW w:w="1412" w:type="dxa"/>
            <w:vAlign w:val="center"/>
          </w:tcPr>
          <w:p w14:paraId="75368740" w14:textId="00921F50" w:rsidR="006636C3" w:rsidRPr="00680902" w:rsidRDefault="000C759D" w:rsidP="006636C3">
            <w:pPr>
              <w:tabs>
                <w:tab w:val="decimal" w:pos="888"/>
              </w:tabs>
              <w:jc w:val="right"/>
              <w:rPr>
                <w:b/>
                <w:bCs/>
                <w:szCs w:val="24"/>
              </w:rPr>
            </w:pPr>
            <w:r w:rsidRPr="00680902">
              <w:rPr>
                <w:b/>
                <w:bCs/>
                <w:szCs w:val="24"/>
              </w:rPr>
              <w:t>(60,315)</w:t>
            </w:r>
          </w:p>
        </w:tc>
        <w:tc>
          <w:tcPr>
            <w:tcW w:w="1272" w:type="dxa"/>
            <w:vAlign w:val="center"/>
          </w:tcPr>
          <w:p w14:paraId="47EF9E8E" w14:textId="2316105B" w:rsidR="006636C3" w:rsidRPr="00670646" w:rsidRDefault="006636C3" w:rsidP="006636C3">
            <w:pPr>
              <w:tabs>
                <w:tab w:val="decimal" w:pos="888"/>
              </w:tabs>
              <w:jc w:val="right"/>
              <w:rPr>
                <w:szCs w:val="24"/>
              </w:rPr>
            </w:pPr>
            <w:r w:rsidRPr="00670646">
              <w:rPr>
                <w:b/>
                <w:bCs/>
                <w:szCs w:val="24"/>
              </w:rPr>
              <w:t>(58,483)</w:t>
            </w:r>
          </w:p>
        </w:tc>
        <w:tc>
          <w:tcPr>
            <w:tcW w:w="1447" w:type="dxa"/>
            <w:vAlign w:val="center"/>
          </w:tcPr>
          <w:p w14:paraId="4EA2949D" w14:textId="6D50CF62" w:rsidR="006636C3" w:rsidRPr="00670646" w:rsidRDefault="00EF20A0" w:rsidP="006636C3">
            <w:pPr>
              <w:tabs>
                <w:tab w:val="decimal" w:pos="1026"/>
              </w:tabs>
              <w:jc w:val="right"/>
              <w:rPr>
                <w:b/>
                <w:bCs/>
                <w:szCs w:val="24"/>
              </w:rPr>
            </w:pPr>
            <w:r w:rsidRPr="00670646">
              <w:rPr>
                <w:b/>
                <w:bCs/>
                <w:szCs w:val="24"/>
              </w:rPr>
              <w:t>(651,826)</w:t>
            </w:r>
          </w:p>
        </w:tc>
        <w:tc>
          <w:tcPr>
            <w:tcW w:w="1305" w:type="dxa"/>
            <w:vAlign w:val="center"/>
          </w:tcPr>
          <w:p w14:paraId="4E2C1B82" w14:textId="162CC4F0" w:rsidR="006636C3" w:rsidRPr="00670646" w:rsidRDefault="006636C3" w:rsidP="006636C3">
            <w:pPr>
              <w:tabs>
                <w:tab w:val="decimal" w:pos="1026"/>
              </w:tabs>
              <w:jc w:val="right"/>
              <w:rPr>
                <w:szCs w:val="24"/>
              </w:rPr>
            </w:pPr>
            <w:r w:rsidRPr="00670646">
              <w:rPr>
                <w:b/>
                <w:bCs/>
                <w:szCs w:val="24"/>
              </w:rPr>
              <w:t>(651,536)</w:t>
            </w:r>
          </w:p>
        </w:tc>
      </w:tr>
      <w:tr w:rsidR="006636C3" w:rsidRPr="00D948C1" w14:paraId="50DF659C" w14:textId="77777777" w:rsidTr="00DD63D7">
        <w:trPr>
          <w:trHeight w:val="289"/>
        </w:trPr>
        <w:tc>
          <w:tcPr>
            <w:tcW w:w="3953" w:type="dxa"/>
          </w:tcPr>
          <w:p w14:paraId="0E4BBE62" w14:textId="358921E3" w:rsidR="006636C3" w:rsidRPr="00D948C1" w:rsidRDefault="006636C3" w:rsidP="006636C3">
            <w:pPr>
              <w:rPr>
                <w:b/>
                <w:bCs/>
                <w:szCs w:val="24"/>
              </w:rPr>
            </w:pPr>
            <w:r w:rsidRPr="00D948C1">
              <w:rPr>
                <w:szCs w:val="24"/>
              </w:rPr>
              <w:t>Current service cost</w:t>
            </w:r>
          </w:p>
        </w:tc>
        <w:tc>
          <w:tcPr>
            <w:tcW w:w="1412" w:type="dxa"/>
            <w:vAlign w:val="center"/>
          </w:tcPr>
          <w:p w14:paraId="0AD36CAD" w14:textId="6B2DC75D" w:rsidR="006636C3" w:rsidRPr="00680902" w:rsidRDefault="000C759D" w:rsidP="006636C3">
            <w:pPr>
              <w:tabs>
                <w:tab w:val="decimal" w:pos="888"/>
              </w:tabs>
              <w:jc w:val="right"/>
              <w:rPr>
                <w:szCs w:val="24"/>
              </w:rPr>
            </w:pPr>
            <w:r w:rsidRPr="00680902">
              <w:rPr>
                <w:szCs w:val="24"/>
              </w:rPr>
              <w:t>(1,439)</w:t>
            </w:r>
          </w:p>
        </w:tc>
        <w:tc>
          <w:tcPr>
            <w:tcW w:w="1272" w:type="dxa"/>
            <w:vAlign w:val="center"/>
          </w:tcPr>
          <w:p w14:paraId="6BFCEFBA" w14:textId="238A9C94" w:rsidR="006636C3" w:rsidRPr="00670646" w:rsidRDefault="006636C3" w:rsidP="006636C3">
            <w:pPr>
              <w:tabs>
                <w:tab w:val="decimal" w:pos="888"/>
              </w:tabs>
              <w:jc w:val="right"/>
              <w:rPr>
                <w:b/>
                <w:bCs/>
                <w:szCs w:val="24"/>
              </w:rPr>
            </w:pPr>
            <w:r w:rsidRPr="00670646">
              <w:rPr>
                <w:szCs w:val="24"/>
              </w:rPr>
              <w:t>(1,414)</w:t>
            </w:r>
          </w:p>
        </w:tc>
        <w:tc>
          <w:tcPr>
            <w:tcW w:w="1447" w:type="dxa"/>
            <w:vAlign w:val="center"/>
          </w:tcPr>
          <w:p w14:paraId="6185AC54" w14:textId="4D591AA9" w:rsidR="006636C3" w:rsidRPr="00670646" w:rsidRDefault="00EF20A0" w:rsidP="006636C3">
            <w:pPr>
              <w:tabs>
                <w:tab w:val="decimal" w:pos="1026"/>
              </w:tabs>
              <w:jc w:val="right"/>
              <w:rPr>
                <w:szCs w:val="24"/>
              </w:rPr>
            </w:pPr>
            <w:r w:rsidRPr="00670646">
              <w:rPr>
                <w:szCs w:val="24"/>
              </w:rPr>
              <w:t>(3,250)</w:t>
            </w:r>
          </w:p>
        </w:tc>
        <w:tc>
          <w:tcPr>
            <w:tcW w:w="1305" w:type="dxa"/>
            <w:vAlign w:val="center"/>
          </w:tcPr>
          <w:p w14:paraId="6030F2CC" w14:textId="6B2B606A" w:rsidR="006636C3" w:rsidRPr="00670646" w:rsidRDefault="006636C3" w:rsidP="006636C3">
            <w:pPr>
              <w:tabs>
                <w:tab w:val="decimal" w:pos="1026"/>
              </w:tabs>
              <w:jc w:val="right"/>
              <w:rPr>
                <w:b/>
                <w:bCs/>
                <w:szCs w:val="24"/>
              </w:rPr>
            </w:pPr>
            <w:r w:rsidRPr="00670646">
              <w:rPr>
                <w:szCs w:val="24"/>
              </w:rPr>
              <w:t>(3,490)</w:t>
            </w:r>
          </w:p>
        </w:tc>
      </w:tr>
      <w:tr w:rsidR="006636C3" w:rsidRPr="00D948C1" w14:paraId="4EA7BD55" w14:textId="77777777" w:rsidTr="00DD63D7">
        <w:tc>
          <w:tcPr>
            <w:tcW w:w="3953" w:type="dxa"/>
          </w:tcPr>
          <w:p w14:paraId="2549E1EC" w14:textId="3A4E4C4C" w:rsidR="006636C3" w:rsidRPr="00D948C1" w:rsidRDefault="006636C3" w:rsidP="006636C3">
            <w:pPr>
              <w:rPr>
                <w:szCs w:val="24"/>
              </w:rPr>
            </w:pPr>
            <w:r w:rsidRPr="00D948C1">
              <w:rPr>
                <w:szCs w:val="24"/>
              </w:rPr>
              <w:t>Interest on liabilities</w:t>
            </w:r>
          </w:p>
        </w:tc>
        <w:tc>
          <w:tcPr>
            <w:tcW w:w="1412" w:type="dxa"/>
            <w:vAlign w:val="center"/>
          </w:tcPr>
          <w:p w14:paraId="1E6CE2D1" w14:textId="3C3E81BE" w:rsidR="006636C3" w:rsidRPr="00670646" w:rsidRDefault="000C759D" w:rsidP="006636C3">
            <w:pPr>
              <w:tabs>
                <w:tab w:val="decimal" w:pos="888"/>
              </w:tabs>
              <w:jc w:val="right"/>
              <w:rPr>
                <w:szCs w:val="24"/>
              </w:rPr>
            </w:pPr>
            <w:r w:rsidRPr="00670646">
              <w:rPr>
                <w:szCs w:val="24"/>
              </w:rPr>
              <w:t>(2,912)</w:t>
            </w:r>
          </w:p>
        </w:tc>
        <w:tc>
          <w:tcPr>
            <w:tcW w:w="1272" w:type="dxa"/>
            <w:vAlign w:val="center"/>
          </w:tcPr>
          <w:p w14:paraId="52463BB9" w14:textId="4AB4554F" w:rsidR="006636C3" w:rsidRPr="00670646" w:rsidRDefault="006636C3" w:rsidP="006636C3">
            <w:pPr>
              <w:tabs>
                <w:tab w:val="decimal" w:pos="888"/>
              </w:tabs>
              <w:jc w:val="right"/>
              <w:rPr>
                <w:szCs w:val="24"/>
              </w:rPr>
            </w:pPr>
            <w:r w:rsidRPr="00670646">
              <w:rPr>
                <w:szCs w:val="24"/>
              </w:rPr>
              <w:t>(2,785)</w:t>
            </w:r>
          </w:p>
        </w:tc>
        <w:tc>
          <w:tcPr>
            <w:tcW w:w="1447" w:type="dxa"/>
            <w:vAlign w:val="center"/>
          </w:tcPr>
          <w:p w14:paraId="6B6E1334" w14:textId="11298DBD" w:rsidR="006636C3" w:rsidRPr="00670646" w:rsidRDefault="00EF20A0" w:rsidP="006636C3">
            <w:pPr>
              <w:tabs>
                <w:tab w:val="decimal" w:pos="1026"/>
              </w:tabs>
              <w:jc w:val="right"/>
              <w:rPr>
                <w:szCs w:val="24"/>
              </w:rPr>
            </w:pPr>
            <w:r w:rsidRPr="00670646">
              <w:rPr>
                <w:szCs w:val="24"/>
              </w:rPr>
              <w:t>(30,</w:t>
            </w:r>
            <w:r w:rsidR="00B24656">
              <w:rPr>
                <w:szCs w:val="24"/>
              </w:rPr>
              <w:t>3</w:t>
            </w:r>
            <w:r w:rsidRPr="00670646">
              <w:rPr>
                <w:szCs w:val="24"/>
              </w:rPr>
              <w:t>00)</w:t>
            </w:r>
          </w:p>
        </w:tc>
        <w:tc>
          <w:tcPr>
            <w:tcW w:w="1305" w:type="dxa"/>
            <w:vAlign w:val="center"/>
          </w:tcPr>
          <w:p w14:paraId="78E39A6A" w14:textId="04F621C6" w:rsidR="006636C3" w:rsidRPr="00670646" w:rsidRDefault="006636C3" w:rsidP="006636C3">
            <w:pPr>
              <w:tabs>
                <w:tab w:val="decimal" w:pos="1026"/>
              </w:tabs>
              <w:jc w:val="right"/>
              <w:rPr>
                <w:szCs w:val="24"/>
              </w:rPr>
            </w:pPr>
            <w:r w:rsidRPr="00670646">
              <w:rPr>
                <w:szCs w:val="24"/>
              </w:rPr>
              <w:t>(29,710)</w:t>
            </w:r>
          </w:p>
        </w:tc>
      </w:tr>
      <w:tr w:rsidR="006636C3" w:rsidRPr="00D948C1" w14:paraId="08B4C0BD" w14:textId="77777777" w:rsidTr="00DD63D7">
        <w:tc>
          <w:tcPr>
            <w:tcW w:w="3953" w:type="dxa"/>
          </w:tcPr>
          <w:p w14:paraId="14174437" w14:textId="48CE0A87" w:rsidR="006636C3" w:rsidRPr="00D948C1" w:rsidRDefault="006636C3" w:rsidP="006636C3">
            <w:pPr>
              <w:rPr>
                <w:szCs w:val="24"/>
              </w:rPr>
            </w:pPr>
            <w:r w:rsidRPr="00D948C1">
              <w:rPr>
                <w:szCs w:val="24"/>
              </w:rPr>
              <w:t xml:space="preserve">Contributions by scheme participants </w:t>
            </w:r>
          </w:p>
        </w:tc>
        <w:tc>
          <w:tcPr>
            <w:tcW w:w="1412" w:type="dxa"/>
            <w:vAlign w:val="center"/>
          </w:tcPr>
          <w:p w14:paraId="5BA0BFC1" w14:textId="7A19CB1B" w:rsidR="006636C3" w:rsidRPr="00670646" w:rsidRDefault="00F24B89" w:rsidP="006636C3">
            <w:pPr>
              <w:tabs>
                <w:tab w:val="decimal" w:pos="888"/>
              </w:tabs>
              <w:jc w:val="right"/>
              <w:rPr>
                <w:szCs w:val="24"/>
              </w:rPr>
            </w:pPr>
            <w:r w:rsidRPr="00670646">
              <w:rPr>
                <w:szCs w:val="24"/>
              </w:rPr>
              <w:t>(588)</w:t>
            </w:r>
          </w:p>
        </w:tc>
        <w:tc>
          <w:tcPr>
            <w:tcW w:w="1272" w:type="dxa"/>
            <w:vAlign w:val="center"/>
          </w:tcPr>
          <w:p w14:paraId="40E93DC8" w14:textId="521E31FA" w:rsidR="006636C3" w:rsidRPr="00670646" w:rsidRDefault="006636C3" w:rsidP="006636C3">
            <w:pPr>
              <w:tabs>
                <w:tab w:val="decimal" w:pos="888"/>
              </w:tabs>
              <w:jc w:val="right"/>
              <w:rPr>
                <w:szCs w:val="24"/>
              </w:rPr>
            </w:pPr>
            <w:r w:rsidRPr="00670646">
              <w:rPr>
                <w:szCs w:val="24"/>
              </w:rPr>
              <w:t>(549)</w:t>
            </w:r>
          </w:p>
        </w:tc>
        <w:tc>
          <w:tcPr>
            <w:tcW w:w="1447" w:type="dxa"/>
            <w:vAlign w:val="center"/>
          </w:tcPr>
          <w:p w14:paraId="4EF4065C" w14:textId="2834968B" w:rsidR="006636C3" w:rsidRPr="00670646" w:rsidRDefault="00EF20A0" w:rsidP="006636C3">
            <w:pPr>
              <w:tabs>
                <w:tab w:val="decimal" w:pos="1026"/>
              </w:tabs>
              <w:jc w:val="right"/>
              <w:rPr>
                <w:szCs w:val="24"/>
              </w:rPr>
            </w:pPr>
            <w:r w:rsidRPr="00670646">
              <w:rPr>
                <w:szCs w:val="24"/>
              </w:rPr>
              <w:t>(3,970)</w:t>
            </w:r>
          </w:p>
        </w:tc>
        <w:tc>
          <w:tcPr>
            <w:tcW w:w="1305" w:type="dxa"/>
            <w:vAlign w:val="center"/>
          </w:tcPr>
          <w:p w14:paraId="02A4D60F" w14:textId="7D51DDCC" w:rsidR="006636C3" w:rsidRPr="00670646" w:rsidRDefault="006636C3" w:rsidP="006636C3">
            <w:pPr>
              <w:tabs>
                <w:tab w:val="decimal" w:pos="1026"/>
              </w:tabs>
              <w:jc w:val="right"/>
              <w:rPr>
                <w:szCs w:val="24"/>
              </w:rPr>
            </w:pPr>
            <w:r w:rsidRPr="00670646">
              <w:rPr>
                <w:szCs w:val="24"/>
              </w:rPr>
              <w:t>(3,830)</w:t>
            </w:r>
          </w:p>
        </w:tc>
      </w:tr>
    </w:tbl>
    <w:p w14:paraId="0FCA580A" w14:textId="77777777" w:rsidR="001E71F1" w:rsidRPr="00D948C1" w:rsidRDefault="001E71F1"/>
    <w:tbl>
      <w:tblPr>
        <w:tblW w:w="93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1412"/>
        <w:gridCol w:w="1272"/>
        <w:gridCol w:w="1447"/>
        <w:gridCol w:w="1305"/>
      </w:tblGrid>
      <w:tr w:rsidR="00DD63D7" w:rsidRPr="00D948C1" w14:paraId="0EBB49D4" w14:textId="77777777" w:rsidTr="00611673">
        <w:tc>
          <w:tcPr>
            <w:tcW w:w="3953" w:type="dxa"/>
            <w:shd w:val="clear" w:color="auto" w:fill="BD2716"/>
          </w:tcPr>
          <w:p w14:paraId="4345BA4C" w14:textId="77777777" w:rsidR="00DD63D7" w:rsidRPr="00D948C1" w:rsidRDefault="00DD63D7" w:rsidP="00DD63D7">
            <w:pPr>
              <w:rPr>
                <w:color w:val="FFFFFF" w:themeColor="background1"/>
                <w:szCs w:val="24"/>
              </w:rPr>
            </w:pPr>
          </w:p>
        </w:tc>
        <w:tc>
          <w:tcPr>
            <w:tcW w:w="2684" w:type="dxa"/>
            <w:gridSpan w:val="2"/>
            <w:shd w:val="clear" w:color="auto" w:fill="BD2716"/>
            <w:vAlign w:val="center"/>
          </w:tcPr>
          <w:p w14:paraId="1D9845A0" w14:textId="4C99871F" w:rsidR="00DD63D7" w:rsidRPr="00D948C1" w:rsidRDefault="00DD63D7" w:rsidP="00611673">
            <w:pPr>
              <w:tabs>
                <w:tab w:val="decimal" w:pos="888"/>
              </w:tabs>
              <w:jc w:val="center"/>
              <w:rPr>
                <w:color w:val="FFFFFF" w:themeColor="background1"/>
                <w:szCs w:val="24"/>
              </w:rPr>
            </w:pPr>
            <w:r w:rsidRPr="00D948C1">
              <w:rPr>
                <w:color w:val="FFFFFF" w:themeColor="background1"/>
                <w:szCs w:val="24"/>
              </w:rPr>
              <w:t>Funded Liabilities: Local Government Pension Scheme</w:t>
            </w:r>
          </w:p>
        </w:tc>
        <w:tc>
          <w:tcPr>
            <w:tcW w:w="2752" w:type="dxa"/>
            <w:gridSpan w:val="2"/>
            <w:shd w:val="clear" w:color="auto" w:fill="BD2716"/>
            <w:vAlign w:val="center"/>
          </w:tcPr>
          <w:p w14:paraId="0D4798BD" w14:textId="38E1A0E1" w:rsidR="00DD63D7" w:rsidRPr="00D948C1" w:rsidRDefault="00DD63D7" w:rsidP="00611673">
            <w:pPr>
              <w:tabs>
                <w:tab w:val="decimal" w:pos="1026"/>
              </w:tabs>
              <w:jc w:val="center"/>
              <w:rPr>
                <w:color w:val="FFFFFF" w:themeColor="background1"/>
                <w:szCs w:val="24"/>
              </w:rPr>
            </w:pPr>
            <w:r w:rsidRPr="00D948C1">
              <w:rPr>
                <w:color w:val="FFFFFF" w:themeColor="background1"/>
                <w:szCs w:val="24"/>
              </w:rPr>
              <w:t>Unfunded Liabilities: Uniformed Firefighters’ Pension Scheme</w:t>
            </w:r>
          </w:p>
        </w:tc>
      </w:tr>
      <w:tr w:rsidR="00FF43EE" w:rsidRPr="00D948C1" w14:paraId="772DC3F9" w14:textId="77777777" w:rsidTr="00611673">
        <w:tc>
          <w:tcPr>
            <w:tcW w:w="3953" w:type="dxa"/>
            <w:shd w:val="clear" w:color="auto" w:fill="BD2716"/>
          </w:tcPr>
          <w:p w14:paraId="7A2F5D5C" w14:textId="77777777" w:rsidR="00FF43EE" w:rsidRPr="00D948C1" w:rsidRDefault="00FF43EE" w:rsidP="00FF43EE">
            <w:pPr>
              <w:rPr>
                <w:color w:val="FFFFFF" w:themeColor="background1"/>
                <w:szCs w:val="24"/>
              </w:rPr>
            </w:pPr>
          </w:p>
        </w:tc>
        <w:tc>
          <w:tcPr>
            <w:tcW w:w="1412" w:type="dxa"/>
            <w:shd w:val="clear" w:color="auto" w:fill="BD2716"/>
            <w:vAlign w:val="center"/>
          </w:tcPr>
          <w:p w14:paraId="5223DCCC" w14:textId="27A6F93A"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061D9660" w14:textId="44DA6AD5" w:rsidR="00FF43EE" w:rsidRPr="00D948C1" w:rsidRDefault="00FF43EE" w:rsidP="00FF43EE">
            <w:pPr>
              <w:jc w:val="right"/>
              <w:rPr>
                <w:color w:val="FFFFFF" w:themeColor="background1"/>
                <w:szCs w:val="24"/>
              </w:rPr>
            </w:pPr>
            <w:r w:rsidRPr="00D948C1">
              <w:rPr>
                <w:color w:val="FFFFFF" w:themeColor="background1"/>
                <w:szCs w:val="24"/>
              </w:rPr>
              <w:t>£000</w:t>
            </w:r>
          </w:p>
        </w:tc>
        <w:tc>
          <w:tcPr>
            <w:tcW w:w="1272" w:type="dxa"/>
            <w:shd w:val="clear" w:color="auto" w:fill="BD2716"/>
            <w:vAlign w:val="center"/>
          </w:tcPr>
          <w:p w14:paraId="02CF3E1E" w14:textId="531A0311"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4</w:t>
            </w:r>
          </w:p>
          <w:p w14:paraId="381E8F68" w14:textId="638EBE71" w:rsidR="00FF43EE" w:rsidRPr="00D948C1" w:rsidRDefault="00FF43EE" w:rsidP="00FF43EE">
            <w:pPr>
              <w:jc w:val="right"/>
              <w:rPr>
                <w:color w:val="FFFFFF" w:themeColor="background1"/>
                <w:szCs w:val="24"/>
              </w:rPr>
            </w:pPr>
            <w:r w:rsidRPr="00D948C1">
              <w:rPr>
                <w:color w:val="FFFFFF" w:themeColor="background1"/>
                <w:szCs w:val="24"/>
              </w:rPr>
              <w:t>£000</w:t>
            </w:r>
          </w:p>
        </w:tc>
        <w:tc>
          <w:tcPr>
            <w:tcW w:w="1447" w:type="dxa"/>
            <w:shd w:val="clear" w:color="auto" w:fill="BD2716"/>
            <w:vAlign w:val="center"/>
          </w:tcPr>
          <w:p w14:paraId="32E9C866" w14:textId="6A052D45"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07705AE8" w14:textId="4DB9AE45" w:rsidR="00FF43EE" w:rsidRPr="00D948C1" w:rsidRDefault="00FF43EE" w:rsidP="00FF43EE">
            <w:pPr>
              <w:jc w:val="right"/>
              <w:rPr>
                <w:color w:val="FFFFFF" w:themeColor="background1"/>
                <w:szCs w:val="24"/>
              </w:rPr>
            </w:pPr>
            <w:r w:rsidRPr="00D948C1">
              <w:rPr>
                <w:color w:val="FFFFFF" w:themeColor="background1"/>
                <w:szCs w:val="24"/>
              </w:rPr>
              <w:t>£000</w:t>
            </w:r>
          </w:p>
        </w:tc>
        <w:tc>
          <w:tcPr>
            <w:tcW w:w="1305" w:type="dxa"/>
            <w:shd w:val="clear" w:color="auto" w:fill="BD2716"/>
            <w:vAlign w:val="center"/>
          </w:tcPr>
          <w:p w14:paraId="5448E971" w14:textId="08B7676E"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4</w:t>
            </w:r>
          </w:p>
          <w:p w14:paraId="7C5C2CC0" w14:textId="0C306C9F" w:rsidR="00FF43EE" w:rsidRPr="00D948C1" w:rsidRDefault="00FF43EE" w:rsidP="00FF43EE">
            <w:pPr>
              <w:jc w:val="right"/>
              <w:rPr>
                <w:color w:val="FFFFFF" w:themeColor="background1"/>
                <w:szCs w:val="24"/>
              </w:rPr>
            </w:pPr>
            <w:r w:rsidRPr="00D948C1">
              <w:rPr>
                <w:color w:val="FFFFFF" w:themeColor="background1"/>
                <w:szCs w:val="24"/>
              </w:rPr>
              <w:t>£000</w:t>
            </w:r>
          </w:p>
        </w:tc>
      </w:tr>
      <w:tr w:rsidR="00DD63D7" w:rsidRPr="00D948C1" w14:paraId="0E58499D" w14:textId="77777777" w:rsidTr="00982FEC">
        <w:tc>
          <w:tcPr>
            <w:tcW w:w="9389" w:type="dxa"/>
            <w:gridSpan w:val="5"/>
            <w:shd w:val="clear" w:color="auto" w:fill="D9D9D9" w:themeFill="background1" w:themeFillShade="D9"/>
          </w:tcPr>
          <w:p w14:paraId="757115A5" w14:textId="5E0168E5" w:rsidR="00DD63D7" w:rsidRPr="00D948C1" w:rsidRDefault="00DD63D7" w:rsidP="00DD63D7">
            <w:pPr>
              <w:tabs>
                <w:tab w:val="decimal" w:pos="1026"/>
              </w:tabs>
              <w:rPr>
                <w:b/>
                <w:bCs/>
                <w:szCs w:val="24"/>
              </w:rPr>
            </w:pPr>
            <w:r w:rsidRPr="00D948C1">
              <w:rPr>
                <w:b/>
                <w:bCs/>
                <w:szCs w:val="24"/>
              </w:rPr>
              <w:t>Remeasurements (liabilities):</w:t>
            </w:r>
          </w:p>
        </w:tc>
      </w:tr>
      <w:tr w:rsidR="006636C3" w:rsidRPr="00D948C1" w14:paraId="20412B26" w14:textId="77777777" w:rsidTr="00DD63D7">
        <w:tc>
          <w:tcPr>
            <w:tcW w:w="3953" w:type="dxa"/>
          </w:tcPr>
          <w:p w14:paraId="700DB496" w14:textId="27DD0BE2" w:rsidR="006636C3" w:rsidRPr="00D948C1" w:rsidRDefault="006636C3" w:rsidP="006636C3">
            <w:pPr>
              <w:rPr>
                <w:szCs w:val="24"/>
              </w:rPr>
            </w:pPr>
            <w:r w:rsidRPr="00D948C1">
              <w:rPr>
                <w:szCs w:val="24"/>
              </w:rPr>
              <w:t>Experience (gain)/loss</w:t>
            </w:r>
          </w:p>
        </w:tc>
        <w:tc>
          <w:tcPr>
            <w:tcW w:w="1412" w:type="dxa"/>
            <w:vAlign w:val="center"/>
          </w:tcPr>
          <w:p w14:paraId="58D5C06C" w14:textId="1FD6F71B" w:rsidR="006636C3" w:rsidRPr="00670646" w:rsidRDefault="00F24B89" w:rsidP="006636C3">
            <w:pPr>
              <w:tabs>
                <w:tab w:val="decimal" w:pos="888"/>
              </w:tabs>
              <w:jc w:val="right"/>
              <w:rPr>
                <w:szCs w:val="24"/>
              </w:rPr>
            </w:pPr>
            <w:r w:rsidRPr="00670646">
              <w:rPr>
                <w:szCs w:val="24"/>
              </w:rPr>
              <w:t>92</w:t>
            </w:r>
          </w:p>
        </w:tc>
        <w:tc>
          <w:tcPr>
            <w:tcW w:w="1272" w:type="dxa"/>
            <w:vAlign w:val="center"/>
          </w:tcPr>
          <w:p w14:paraId="1B43D8A9" w14:textId="72D84D31" w:rsidR="006636C3" w:rsidRPr="00670646" w:rsidRDefault="006636C3" w:rsidP="006636C3">
            <w:pPr>
              <w:tabs>
                <w:tab w:val="decimal" w:pos="888"/>
              </w:tabs>
              <w:jc w:val="right"/>
              <w:rPr>
                <w:szCs w:val="24"/>
              </w:rPr>
            </w:pPr>
            <w:r w:rsidRPr="00670646">
              <w:rPr>
                <w:szCs w:val="24"/>
              </w:rPr>
              <w:t>(536)</w:t>
            </w:r>
          </w:p>
        </w:tc>
        <w:tc>
          <w:tcPr>
            <w:tcW w:w="1447" w:type="dxa"/>
            <w:vAlign w:val="center"/>
          </w:tcPr>
          <w:p w14:paraId="14DB94AD" w14:textId="3720728A" w:rsidR="006636C3" w:rsidRPr="00670646" w:rsidRDefault="00EF20A0" w:rsidP="006636C3">
            <w:pPr>
              <w:tabs>
                <w:tab w:val="decimal" w:pos="1026"/>
              </w:tabs>
              <w:jc w:val="right"/>
              <w:rPr>
                <w:szCs w:val="24"/>
              </w:rPr>
            </w:pPr>
            <w:r w:rsidRPr="00670646">
              <w:rPr>
                <w:szCs w:val="24"/>
              </w:rPr>
              <w:t>1,030</w:t>
            </w:r>
          </w:p>
        </w:tc>
        <w:tc>
          <w:tcPr>
            <w:tcW w:w="1305" w:type="dxa"/>
            <w:vAlign w:val="center"/>
          </w:tcPr>
          <w:p w14:paraId="46E37D0D" w14:textId="23DBF4F6" w:rsidR="006636C3" w:rsidRPr="00670646" w:rsidRDefault="006636C3" w:rsidP="006636C3">
            <w:pPr>
              <w:tabs>
                <w:tab w:val="decimal" w:pos="1026"/>
              </w:tabs>
              <w:jc w:val="right"/>
              <w:rPr>
                <w:szCs w:val="24"/>
              </w:rPr>
            </w:pPr>
            <w:r w:rsidRPr="00670646">
              <w:rPr>
                <w:szCs w:val="24"/>
              </w:rPr>
              <w:t>(8,420)</w:t>
            </w:r>
          </w:p>
        </w:tc>
      </w:tr>
      <w:tr w:rsidR="006636C3" w:rsidRPr="00D948C1" w14:paraId="13DA8E3F" w14:textId="77777777" w:rsidTr="00DD63D7">
        <w:tc>
          <w:tcPr>
            <w:tcW w:w="3953" w:type="dxa"/>
          </w:tcPr>
          <w:p w14:paraId="7F2118F5" w14:textId="46A9F520" w:rsidR="006636C3" w:rsidRPr="00D948C1" w:rsidRDefault="006636C3" w:rsidP="006636C3">
            <w:pPr>
              <w:rPr>
                <w:szCs w:val="24"/>
              </w:rPr>
            </w:pPr>
            <w:r w:rsidRPr="00D948C1">
              <w:rPr>
                <w:szCs w:val="24"/>
              </w:rPr>
              <w:t>Gain/(Loss) on financial assumptions</w:t>
            </w:r>
          </w:p>
        </w:tc>
        <w:tc>
          <w:tcPr>
            <w:tcW w:w="1412" w:type="dxa"/>
            <w:vAlign w:val="center"/>
          </w:tcPr>
          <w:p w14:paraId="33C76C23" w14:textId="4A54DB2F" w:rsidR="006636C3" w:rsidRPr="00670646" w:rsidRDefault="00F24B89" w:rsidP="006636C3">
            <w:pPr>
              <w:tabs>
                <w:tab w:val="decimal" w:pos="888"/>
              </w:tabs>
              <w:jc w:val="right"/>
              <w:rPr>
                <w:szCs w:val="24"/>
              </w:rPr>
            </w:pPr>
            <w:r w:rsidRPr="00670646">
              <w:rPr>
                <w:szCs w:val="24"/>
              </w:rPr>
              <w:t>9,186</w:t>
            </w:r>
          </w:p>
        </w:tc>
        <w:tc>
          <w:tcPr>
            <w:tcW w:w="1272" w:type="dxa"/>
            <w:vAlign w:val="center"/>
          </w:tcPr>
          <w:p w14:paraId="048C3B62" w14:textId="43DE3FC0" w:rsidR="006636C3" w:rsidRPr="00670646" w:rsidRDefault="006636C3" w:rsidP="006636C3">
            <w:pPr>
              <w:tabs>
                <w:tab w:val="decimal" w:pos="888"/>
              </w:tabs>
              <w:jc w:val="right"/>
              <w:rPr>
                <w:szCs w:val="24"/>
              </w:rPr>
            </w:pPr>
            <w:r w:rsidRPr="00670646">
              <w:rPr>
                <w:szCs w:val="24"/>
              </w:rPr>
              <w:t>1,186</w:t>
            </w:r>
          </w:p>
        </w:tc>
        <w:tc>
          <w:tcPr>
            <w:tcW w:w="1447" w:type="dxa"/>
            <w:vAlign w:val="center"/>
          </w:tcPr>
          <w:p w14:paraId="12CEC8B7" w14:textId="1A72395E" w:rsidR="006636C3" w:rsidRPr="00670646" w:rsidRDefault="00EF20A0" w:rsidP="006636C3">
            <w:pPr>
              <w:tabs>
                <w:tab w:val="decimal" w:pos="1026"/>
              </w:tabs>
              <w:jc w:val="right"/>
              <w:rPr>
                <w:szCs w:val="24"/>
              </w:rPr>
            </w:pPr>
            <w:r w:rsidRPr="00670646">
              <w:rPr>
                <w:szCs w:val="24"/>
              </w:rPr>
              <w:t>63,630</w:t>
            </w:r>
          </w:p>
        </w:tc>
        <w:tc>
          <w:tcPr>
            <w:tcW w:w="1305" w:type="dxa"/>
            <w:vAlign w:val="center"/>
          </w:tcPr>
          <w:p w14:paraId="21F6CB1B" w14:textId="6E9E9FF0" w:rsidR="006636C3" w:rsidRPr="00670646" w:rsidRDefault="006636C3" w:rsidP="006636C3">
            <w:pPr>
              <w:tabs>
                <w:tab w:val="decimal" w:pos="1026"/>
              </w:tabs>
              <w:jc w:val="right"/>
              <w:rPr>
                <w:szCs w:val="24"/>
              </w:rPr>
            </w:pPr>
            <w:r w:rsidRPr="00670646">
              <w:rPr>
                <w:szCs w:val="24"/>
              </w:rPr>
              <w:t>12,540</w:t>
            </w:r>
          </w:p>
        </w:tc>
      </w:tr>
      <w:tr w:rsidR="006636C3" w:rsidRPr="00D948C1" w14:paraId="48ADFB46" w14:textId="77777777" w:rsidTr="00DD63D7">
        <w:tc>
          <w:tcPr>
            <w:tcW w:w="3953" w:type="dxa"/>
          </w:tcPr>
          <w:p w14:paraId="428FCCA5" w14:textId="5CF9F746" w:rsidR="006636C3" w:rsidRPr="00D948C1" w:rsidRDefault="006636C3" w:rsidP="006636C3">
            <w:pPr>
              <w:rPr>
                <w:szCs w:val="24"/>
              </w:rPr>
            </w:pPr>
            <w:r w:rsidRPr="00D948C1">
              <w:rPr>
                <w:szCs w:val="24"/>
              </w:rPr>
              <w:t>Gain/(Loss) on demographic assumptions</w:t>
            </w:r>
          </w:p>
        </w:tc>
        <w:tc>
          <w:tcPr>
            <w:tcW w:w="1412" w:type="dxa"/>
            <w:vAlign w:val="center"/>
          </w:tcPr>
          <w:p w14:paraId="21AAB3E7" w14:textId="43AA2537" w:rsidR="006636C3" w:rsidRPr="00670646" w:rsidRDefault="00F24B89" w:rsidP="006636C3">
            <w:pPr>
              <w:tabs>
                <w:tab w:val="decimal" w:pos="888"/>
              </w:tabs>
              <w:jc w:val="right"/>
              <w:rPr>
                <w:szCs w:val="24"/>
              </w:rPr>
            </w:pPr>
            <w:r w:rsidRPr="00670646">
              <w:rPr>
                <w:szCs w:val="24"/>
              </w:rPr>
              <w:t>173</w:t>
            </w:r>
          </w:p>
        </w:tc>
        <w:tc>
          <w:tcPr>
            <w:tcW w:w="1272" w:type="dxa"/>
            <w:vAlign w:val="center"/>
          </w:tcPr>
          <w:p w14:paraId="07F7F8E5" w14:textId="0799589D" w:rsidR="006636C3" w:rsidRPr="00670646" w:rsidRDefault="006636C3" w:rsidP="006636C3">
            <w:pPr>
              <w:tabs>
                <w:tab w:val="decimal" w:pos="888"/>
              </w:tabs>
              <w:jc w:val="right"/>
              <w:rPr>
                <w:szCs w:val="24"/>
              </w:rPr>
            </w:pPr>
            <w:r w:rsidRPr="00670646">
              <w:rPr>
                <w:szCs w:val="24"/>
              </w:rPr>
              <w:t>750</w:t>
            </w:r>
          </w:p>
        </w:tc>
        <w:tc>
          <w:tcPr>
            <w:tcW w:w="1447" w:type="dxa"/>
            <w:vAlign w:val="center"/>
          </w:tcPr>
          <w:p w14:paraId="4F1425A8" w14:textId="7C07FB21" w:rsidR="006636C3" w:rsidRPr="00670646" w:rsidRDefault="00EF20A0" w:rsidP="006636C3">
            <w:pPr>
              <w:tabs>
                <w:tab w:val="decimal" w:pos="1026"/>
              </w:tabs>
              <w:jc w:val="right"/>
              <w:rPr>
                <w:szCs w:val="24"/>
              </w:rPr>
            </w:pPr>
            <w:r w:rsidRPr="00670646">
              <w:rPr>
                <w:szCs w:val="24"/>
              </w:rPr>
              <w:t>1,440</w:t>
            </w:r>
          </w:p>
        </w:tc>
        <w:tc>
          <w:tcPr>
            <w:tcW w:w="1305" w:type="dxa"/>
            <w:vAlign w:val="center"/>
          </w:tcPr>
          <w:p w14:paraId="315FF104" w14:textId="55D9B2F5" w:rsidR="006636C3" w:rsidRPr="00670646" w:rsidRDefault="006636C3" w:rsidP="006636C3">
            <w:pPr>
              <w:tabs>
                <w:tab w:val="decimal" w:pos="1026"/>
              </w:tabs>
              <w:jc w:val="right"/>
              <w:rPr>
                <w:szCs w:val="24"/>
              </w:rPr>
            </w:pPr>
            <w:r w:rsidRPr="00670646">
              <w:rPr>
                <w:szCs w:val="24"/>
              </w:rPr>
              <w:t>-</w:t>
            </w:r>
          </w:p>
        </w:tc>
      </w:tr>
      <w:tr w:rsidR="006636C3" w:rsidRPr="00D948C1" w14:paraId="30C18108" w14:textId="77777777" w:rsidTr="00DD63D7">
        <w:tc>
          <w:tcPr>
            <w:tcW w:w="3953" w:type="dxa"/>
          </w:tcPr>
          <w:p w14:paraId="558D7795" w14:textId="27A6E9ED" w:rsidR="006636C3" w:rsidRPr="00D948C1" w:rsidRDefault="006636C3" w:rsidP="006636C3">
            <w:pPr>
              <w:rPr>
                <w:szCs w:val="24"/>
              </w:rPr>
            </w:pPr>
            <w:r w:rsidRPr="00D948C1">
              <w:rPr>
                <w:szCs w:val="24"/>
              </w:rPr>
              <w:t>Benefits/transfers paid</w:t>
            </w:r>
          </w:p>
        </w:tc>
        <w:tc>
          <w:tcPr>
            <w:tcW w:w="1412" w:type="dxa"/>
            <w:vAlign w:val="center"/>
          </w:tcPr>
          <w:p w14:paraId="2F317016" w14:textId="2BDAA90C" w:rsidR="006636C3" w:rsidRPr="00670646" w:rsidRDefault="005C3842" w:rsidP="006636C3">
            <w:pPr>
              <w:tabs>
                <w:tab w:val="decimal" w:pos="888"/>
              </w:tabs>
              <w:jc w:val="right"/>
              <w:rPr>
                <w:szCs w:val="24"/>
              </w:rPr>
            </w:pPr>
            <w:r w:rsidRPr="00670646">
              <w:rPr>
                <w:szCs w:val="24"/>
              </w:rPr>
              <w:t>2,386</w:t>
            </w:r>
          </w:p>
        </w:tc>
        <w:tc>
          <w:tcPr>
            <w:tcW w:w="1272" w:type="dxa"/>
            <w:vAlign w:val="center"/>
          </w:tcPr>
          <w:p w14:paraId="73485B34" w14:textId="2FD2FFC7" w:rsidR="006636C3" w:rsidRPr="00670646" w:rsidRDefault="006636C3" w:rsidP="006636C3">
            <w:pPr>
              <w:tabs>
                <w:tab w:val="decimal" w:pos="888"/>
              </w:tabs>
              <w:jc w:val="right"/>
              <w:rPr>
                <w:szCs w:val="24"/>
              </w:rPr>
            </w:pPr>
            <w:r w:rsidRPr="00670646">
              <w:rPr>
                <w:szCs w:val="24"/>
              </w:rPr>
              <w:t>1,516</w:t>
            </w:r>
          </w:p>
        </w:tc>
        <w:tc>
          <w:tcPr>
            <w:tcW w:w="1447" w:type="dxa"/>
            <w:vAlign w:val="center"/>
          </w:tcPr>
          <w:p w14:paraId="39DFCBB5" w14:textId="3DDFC944" w:rsidR="006636C3" w:rsidRPr="00670646" w:rsidRDefault="00EF20A0" w:rsidP="006636C3">
            <w:pPr>
              <w:tabs>
                <w:tab w:val="decimal" w:pos="1026"/>
              </w:tabs>
              <w:jc w:val="right"/>
              <w:rPr>
                <w:szCs w:val="24"/>
              </w:rPr>
            </w:pPr>
            <w:r w:rsidRPr="00670646">
              <w:rPr>
                <w:szCs w:val="24"/>
              </w:rPr>
              <w:t>34,900</w:t>
            </w:r>
          </w:p>
        </w:tc>
        <w:tc>
          <w:tcPr>
            <w:tcW w:w="1305" w:type="dxa"/>
            <w:vAlign w:val="center"/>
          </w:tcPr>
          <w:p w14:paraId="05B5F696" w14:textId="450DABD7" w:rsidR="006636C3" w:rsidRPr="00670646" w:rsidRDefault="006636C3" w:rsidP="006636C3">
            <w:pPr>
              <w:tabs>
                <w:tab w:val="decimal" w:pos="1026"/>
              </w:tabs>
              <w:jc w:val="right"/>
              <w:rPr>
                <w:szCs w:val="24"/>
              </w:rPr>
            </w:pPr>
            <w:r w:rsidRPr="00670646">
              <w:rPr>
                <w:szCs w:val="24"/>
              </w:rPr>
              <w:t>32,620</w:t>
            </w:r>
          </w:p>
        </w:tc>
      </w:tr>
      <w:tr w:rsidR="006636C3" w:rsidRPr="00D948C1" w14:paraId="56759CEA" w14:textId="77777777" w:rsidTr="00DD63D7">
        <w:tc>
          <w:tcPr>
            <w:tcW w:w="3953" w:type="dxa"/>
          </w:tcPr>
          <w:p w14:paraId="0A7FCDA7" w14:textId="7E040BF5" w:rsidR="006636C3" w:rsidRPr="00D948C1" w:rsidRDefault="006636C3" w:rsidP="006636C3">
            <w:pPr>
              <w:rPr>
                <w:szCs w:val="24"/>
              </w:rPr>
            </w:pPr>
            <w:r w:rsidRPr="00D948C1">
              <w:rPr>
                <w:szCs w:val="24"/>
              </w:rPr>
              <w:t>Past service cost</w:t>
            </w:r>
          </w:p>
        </w:tc>
        <w:tc>
          <w:tcPr>
            <w:tcW w:w="1412" w:type="dxa"/>
            <w:vAlign w:val="center"/>
          </w:tcPr>
          <w:p w14:paraId="6401268E" w14:textId="7D118B53" w:rsidR="006636C3" w:rsidRPr="00670646" w:rsidRDefault="005C3842" w:rsidP="006636C3">
            <w:pPr>
              <w:tabs>
                <w:tab w:val="decimal" w:pos="888"/>
              </w:tabs>
              <w:jc w:val="right"/>
              <w:rPr>
                <w:szCs w:val="24"/>
              </w:rPr>
            </w:pPr>
            <w:r w:rsidRPr="00670646">
              <w:rPr>
                <w:szCs w:val="24"/>
              </w:rPr>
              <w:t>-</w:t>
            </w:r>
          </w:p>
        </w:tc>
        <w:tc>
          <w:tcPr>
            <w:tcW w:w="1272" w:type="dxa"/>
            <w:vAlign w:val="center"/>
          </w:tcPr>
          <w:p w14:paraId="1B30F9D8" w14:textId="6021FE63" w:rsidR="006636C3" w:rsidRPr="00670646" w:rsidRDefault="006636C3" w:rsidP="006636C3">
            <w:pPr>
              <w:tabs>
                <w:tab w:val="decimal" w:pos="888"/>
              </w:tabs>
              <w:jc w:val="right"/>
              <w:rPr>
                <w:szCs w:val="24"/>
              </w:rPr>
            </w:pPr>
            <w:r w:rsidRPr="00670646">
              <w:rPr>
                <w:szCs w:val="24"/>
              </w:rPr>
              <w:t>-</w:t>
            </w:r>
          </w:p>
        </w:tc>
        <w:tc>
          <w:tcPr>
            <w:tcW w:w="1447" w:type="dxa"/>
            <w:vAlign w:val="center"/>
          </w:tcPr>
          <w:p w14:paraId="40ED884B" w14:textId="4D391A55" w:rsidR="006636C3" w:rsidRPr="00670646" w:rsidRDefault="00EF20A0" w:rsidP="006636C3">
            <w:pPr>
              <w:tabs>
                <w:tab w:val="decimal" w:pos="1026"/>
              </w:tabs>
              <w:jc w:val="right"/>
              <w:rPr>
                <w:szCs w:val="24"/>
              </w:rPr>
            </w:pPr>
            <w:r w:rsidRPr="00670646">
              <w:rPr>
                <w:szCs w:val="24"/>
              </w:rPr>
              <w:t>-</w:t>
            </w:r>
          </w:p>
        </w:tc>
        <w:tc>
          <w:tcPr>
            <w:tcW w:w="1305" w:type="dxa"/>
            <w:vAlign w:val="center"/>
          </w:tcPr>
          <w:p w14:paraId="73928141" w14:textId="0F52A29D" w:rsidR="006636C3" w:rsidRPr="00670646" w:rsidRDefault="006636C3" w:rsidP="006636C3">
            <w:pPr>
              <w:tabs>
                <w:tab w:val="decimal" w:pos="1026"/>
              </w:tabs>
              <w:jc w:val="right"/>
              <w:rPr>
                <w:szCs w:val="24"/>
              </w:rPr>
            </w:pPr>
            <w:r w:rsidRPr="00670646">
              <w:rPr>
                <w:szCs w:val="24"/>
              </w:rPr>
              <w:t>-</w:t>
            </w:r>
          </w:p>
        </w:tc>
      </w:tr>
      <w:tr w:rsidR="006636C3" w:rsidRPr="00D948C1" w14:paraId="6AF1DE4A" w14:textId="77777777" w:rsidTr="00DD63D7">
        <w:tc>
          <w:tcPr>
            <w:tcW w:w="3953" w:type="dxa"/>
          </w:tcPr>
          <w:p w14:paraId="7911920C" w14:textId="61DAFBAE" w:rsidR="006636C3" w:rsidRPr="00D948C1" w:rsidRDefault="006636C3" w:rsidP="006636C3">
            <w:pPr>
              <w:rPr>
                <w:szCs w:val="24"/>
              </w:rPr>
            </w:pPr>
            <w:r w:rsidRPr="00D948C1">
              <w:rPr>
                <w:b/>
                <w:bCs/>
                <w:szCs w:val="24"/>
              </w:rPr>
              <w:t xml:space="preserve">Closing balance </w:t>
            </w:r>
            <w:proofErr w:type="gramStart"/>
            <w:r w:rsidRPr="00D948C1">
              <w:rPr>
                <w:b/>
                <w:bCs/>
                <w:szCs w:val="24"/>
              </w:rPr>
              <w:t>at</w:t>
            </w:r>
            <w:proofErr w:type="gramEnd"/>
            <w:r w:rsidRPr="00D948C1">
              <w:rPr>
                <w:b/>
                <w:bCs/>
                <w:szCs w:val="24"/>
              </w:rPr>
              <w:t xml:space="preserve"> 31 March</w:t>
            </w:r>
          </w:p>
        </w:tc>
        <w:tc>
          <w:tcPr>
            <w:tcW w:w="1412" w:type="dxa"/>
            <w:vAlign w:val="center"/>
          </w:tcPr>
          <w:p w14:paraId="321CDCC8" w14:textId="64154E49" w:rsidR="006636C3" w:rsidRPr="00680902" w:rsidRDefault="005C3842" w:rsidP="006636C3">
            <w:pPr>
              <w:tabs>
                <w:tab w:val="decimal" w:pos="888"/>
              </w:tabs>
              <w:jc w:val="right"/>
              <w:rPr>
                <w:b/>
                <w:bCs/>
                <w:szCs w:val="24"/>
              </w:rPr>
            </w:pPr>
            <w:r w:rsidRPr="00680902">
              <w:rPr>
                <w:b/>
                <w:bCs/>
                <w:szCs w:val="24"/>
              </w:rPr>
              <w:t>(53,417)</w:t>
            </w:r>
          </w:p>
        </w:tc>
        <w:tc>
          <w:tcPr>
            <w:tcW w:w="1272" w:type="dxa"/>
            <w:vAlign w:val="center"/>
          </w:tcPr>
          <w:p w14:paraId="184EB967" w14:textId="297582F4" w:rsidR="006636C3" w:rsidRPr="00670646" w:rsidRDefault="006636C3" w:rsidP="006636C3">
            <w:pPr>
              <w:tabs>
                <w:tab w:val="decimal" w:pos="888"/>
              </w:tabs>
              <w:jc w:val="right"/>
              <w:rPr>
                <w:szCs w:val="24"/>
              </w:rPr>
            </w:pPr>
            <w:r w:rsidRPr="00670646">
              <w:rPr>
                <w:b/>
                <w:bCs/>
                <w:szCs w:val="24"/>
              </w:rPr>
              <w:t>(60,315)</w:t>
            </w:r>
          </w:p>
        </w:tc>
        <w:tc>
          <w:tcPr>
            <w:tcW w:w="1447" w:type="dxa"/>
            <w:vAlign w:val="center"/>
          </w:tcPr>
          <w:p w14:paraId="1F2B689B" w14:textId="41307121" w:rsidR="006636C3" w:rsidRPr="00670646" w:rsidRDefault="00EF20A0" w:rsidP="006636C3">
            <w:pPr>
              <w:tabs>
                <w:tab w:val="decimal" w:pos="1026"/>
              </w:tabs>
              <w:jc w:val="right"/>
              <w:rPr>
                <w:b/>
                <w:bCs/>
                <w:szCs w:val="24"/>
              </w:rPr>
            </w:pPr>
            <w:r w:rsidRPr="00670646">
              <w:rPr>
                <w:b/>
                <w:bCs/>
                <w:szCs w:val="24"/>
              </w:rPr>
              <w:t>(588,346)</w:t>
            </w:r>
          </w:p>
        </w:tc>
        <w:tc>
          <w:tcPr>
            <w:tcW w:w="1305" w:type="dxa"/>
            <w:vAlign w:val="center"/>
          </w:tcPr>
          <w:p w14:paraId="5F58C106" w14:textId="425A74FE" w:rsidR="006636C3" w:rsidRPr="00670646" w:rsidRDefault="006636C3" w:rsidP="006636C3">
            <w:pPr>
              <w:tabs>
                <w:tab w:val="decimal" w:pos="1026"/>
              </w:tabs>
              <w:jc w:val="right"/>
              <w:rPr>
                <w:szCs w:val="24"/>
              </w:rPr>
            </w:pPr>
            <w:r w:rsidRPr="00670646">
              <w:rPr>
                <w:b/>
                <w:bCs/>
                <w:szCs w:val="24"/>
              </w:rPr>
              <w:t>(651,826)</w:t>
            </w:r>
          </w:p>
        </w:tc>
      </w:tr>
    </w:tbl>
    <w:p w14:paraId="2D32B6C1" w14:textId="60A03F1D" w:rsidR="000C442C" w:rsidRPr="00D948C1" w:rsidRDefault="000C442C">
      <w:pPr>
        <w:rPr>
          <w:szCs w:val="24"/>
        </w:rPr>
      </w:pPr>
    </w:p>
    <w:p w14:paraId="35B5488F" w14:textId="1E61E8F5" w:rsidR="00D90216" w:rsidRPr="00D948C1" w:rsidRDefault="00D90216" w:rsidP="000C442C">
      <w:pPr>
        <w:ind w:left="709"/>
        <w:rPr>
          <w:szCs w:val="24"/>
        </w:rPr>
      </w:pPr>
      <w:r w:rsidRPr="00D948C1">
        <w:rPr>
          <w:szCs w:val="24"/>
        </w:rPr>
        <w:t>Reconciliation of the fair value of the scheme assets:</w:t>
      </w:r>
    </w:p>
    <w:p w14:paraId="06AD6826" w14:textId="77777777" w:rsidR="00D90216" w:rsidRPr="00D948C1" w:rsidRDefault="00D90216" w:rsidP="00D90216">
      <w:pPr>
        <w:ind w:left="709"/>
        <w:jc w:val="both"/>
        <w:rPr>
          <w:sz w:val="22"/>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5"/>
        <w:gridCol w:w="1418"/>
        <w:gridCol w:w="1276"/>
        <w:gridCol w:w="1417"/>
      </w:tblGrid>
      <w:tr w:rsidR="00B145DB" w:rsidRPr="00D948C1" w14:paraId="061108FA" w14:textId="77777777" w:rsidTr="00611673">
        <w:trPr>
          <w:cantSplit/>
          <w:trHeight w:val="850"/>
        </w:trPr>
        <w:tc>
          <w:tcPr>
            <w:tcW w:w="4111" w:type="dxa"/>
            <w:shd w:val="clear" w:color="auto" w:fill="BD2716"/>
          </w:tcPr>
          <w:p w14:paraId="4581373F" w14:textId="77777777" w:rsidR="00B145DB" w:rsidRPr="00D948C1" w:rsidRDefault="00B145DB" w:rsidP="00CD62E6">
            <w:pPr>
              <w:jc w:val="both"/>
              <w:rPr>
                <w:color w:val="FFFFFF" w:themeColor="background1"/>
                <w:szCs w:val="24"/>
              </w:rPr>
            </w:pPr>
          </w:p>
        </w:tc>
        <w:tc>
          <w:tcPr>
            <w:tcW w:w="2693" w:type="dxa"/>
            <w:gridSpan w:val="2"/>
            <w:shd w:val="clear" w:color="auto" w:fill="BD2716"/>
            <w:vAlign w:val="center"/>
          </w:tcPr>
          <w:p w14:paraId="093143A2" w14:textId="77777777" w:rsidR="00B145DB" w:rsidRPr="00D948C1" w:rsidRDefault="00B145DB" w:rsidP="00611673">
            <w:pPr>
              <w:jc w:val="center"/>
              <w:rPr>
                <w:color w:val="FFFFFF" w:themeColor="background1"/>
                <w:szCs w:val="24"/>
              </w:rPr>
            </w:pPr>
            <w:r w:rsidRPr="00D948C1">
              <w:rPr>
                <w:color w:val="FFFFFF" w:themeColor="background1"/>
                <w:szCs w:val="24"/>
              </w:rPr>
              <w:t>Funded Liabilities: Local Government Pension Scheme</w:t>
            </w:r>
          </w:p>
        </w:tc>
        <w:tc>
          <w:tcPr>
            <w:tcW w:w="2693" w:type="dxa"/>
            <w:gridSpan w:val="2"/>
            <w:shd w:val="clear" w:color="auto" w:fill="BD2716"/>
            <w:vAlign w:val="center"/>
          </w:tcPr>
          <w:p w14:paraId="41FC45DD" w14:textId="77777777" w:rsidR="00B145DB" w:rsidRPr="00D948C1" w:rsidRDefault="00B145DB" w:rsidP="00611673">
            <w:pPr>
              <w:jc w:val="center"/>
              <w:rPr>
                <w:color w:val="FFFFFF" w:themeColor="background1"/>
                <w:szCs w:val="24"/>
              </w:rPr>
            </w:pPr>
            <w:r w:rsidRPr="00D948C1">
              <w:rPr>
                <w:color w:val="FFFFFF" w:themeColor="background1"/>
                <w:szCs w:val="24"/>
              </w:rPr>
              <w:t>Unfunded Liabilities: Uniformed Firefighters’ Pension Scheme</w:t>
            </w:r>
          </w:p>
        </w:tc>
      </w:tr>
      <w:tr w:rsidR="00FF43EE" w:rsidRPr="00D948C1" w14:paraId="625D6C0F" w14:textId="77777777" w:rsidTr="00F8358A">
        <w:trPr>
          <w:trHeight w:val="850"/>
        </w:trPr>
        <w:tc>
          <w:tcPr>
            <w:tcW w:w="4111" w:type="dxa"/>
            <w:shd w:val="clear" w:color="auto" w:fill="BD2716"/>
          </w:tcPr>
          <w:p w14:paraId="5692228E" w14:textId="77777777" w:rsidR="00FF43EE" w:rsidRPr="00D948C1" w:rsidRDefault="00FF43EE" w:rsidP="00FF43EE">
            <w:pPr>
              <w:jc w:val="both"/>
              <w:rPr>
                <w:color w:val="FFFFFF" w:themeColor="background1"/>
                <w:szCs w:val="24"/>
              </w:rPr>
            </w:pPr>
          </w:p>
        </w:tc>
        <w:tc>
          <w:tcPr>
            <w:tcW w:w="1275" w:type="dxa"/>
            <w:shd w:val="clear" w:color="auto" w:fill="BD2716"/>
            <w:vAlign w:val="center"/>
          </w:tcPr>
          <w:p w14:paraId="2254E559" w14:textId="7537DFC2"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3F448338" w14:textId="2DEF5E66" w:rsidR="00FF43EE" w:rsidRPr="00D948C1" w:rsidRDefault="00FF43EE" w:rsidP="00FF43EE">
            <w:pPr>
              <w:jc w:val="right"/>
              <w:rPr>
                <w:color w:val="FFFFFF" w:themeColor="background1"/>
                <w:szCs w:val="24"/>
              </w:rPr>
            </w:pPr>
            <w:r w:rsidRPr="00D948C1">
              <w:rPr>
                <w:color w:val="FFFFFF" w:themeColor="background1"/>
                <w:szCs w:val="24"/>
              </w:rPr>
              <w:t>£000</w:t>
            </w:r>
          </w:p>
        </w:tc>
        <w:tc>
          <w:tcPr>
            <w:tcW w:w="1418" w:type="dxa"/>
            <w:shd w:val="clear" w:color="auto" w:fill="BD2716"/>
            <w:vAlign w:val="center"/>
          </w:tcPr>
          <w:p w14:paraId="0D2C0678" w14:textId="62C1B8C4"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4</w:t>
            </w:r>
          </w:p>
          <w:p w14:paraId="426AC8D2" w14:textId="6D00E9F4" w:rsidR="00FF43EE" w:rsidRPr="00D948C1" w:rsidRDefault="00FF43EE" w:rsidP="00FF43EE">
            <w:pPr>
              <w:jc w:val="right"/>
              <w:rPr>
                <w:color w:val="FFFFFF" w:themeColor="background1"/>
                <w:szCs w:val="24"/>
              </w:rPr>
            </w:pPr>
            <w:r w:rsidRPr="00D948C1">
              <w:rPr>
                <w:color w:val="FFFFFF" w:themeColor="background1"/>
                <w:szCs w:val="24"/>
              </w:rPr>
              <w:t>£000</w:t>
            </w:r>
          </w:p>
        </w:tc>
        <w:tc>
          <w:tcPr>
            <w:tcW w:w="1276" w:type="dxa"/>
            <w:shd w:val="clear" w:color="auto" w:fill="BD2716"/>
            <w:vAlign w:val="center"/>
          </w:tcPr>
          <w:p w14:paraId="70758F59" w14:textId="1608D672"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5</w:t>
            </w:r>
          </w:p>
          <w:p w14:paraId="15A6F316" w14:textId="69093F91" w:rsidR="00FF43EE" w:rsidRPr="00D948C1" w:rsidRDefault="00FF43EE" w:rsidP="00FF43EE">
            <w:pPr>
              <w:jc w:val="right"/>
              <w:rPr>
                <w:color w:val="FFFFFF" w:themeColor="background1"/>
                <w:szCs w:val="24"/>
              </w:rPr>
            </w:pPr>
            <w:r w:rsidRPr="00D948C1">
              <w:rPr>
                <w:color w:val="FFFFFF" w:themeColor="background1"/>
                <w:szCs w:val="24"/>
              </w:rPr>
              <w:t>£000</w:t>
            </w:r>
          </w:p>
        </w:tc>
        <w:tc>
          <w:tcPr>
            <w:tcW w:w="1417" w:type="dxa"/>
            <w:shd w:val="clear" w:color="auto" w:fill="BD2716"/>
            <w:vAlign w:val="center"/>
          </w:tcPr>
          <w:p w14:paraId="69112AB9" w14:textId="5E9B9F1E" w:rsidR="00FF43EE" w:rsidRPr="00D948C1" w:rsidRDefault="00FF43EE" w:rsidP="00FF43EE">
            <w:pPr>
              <w:jc w:val="right"/>
              <w:rPr>
                <w:color w:val="FFFFFF" w:themeColor="background1"/>
                <w:szCs w:val="24"/>
              </w:rPr>
            </w:pPr>
            <w:r w:rsidRPr="00D948C1">
              <w:rPr>
                <w:color w:val="FFFFFF" w:themeColor="background1"/>
                <w:szCs w:val="24"/>
              </w:rPr>
              <w:t>31 March 202</w:t>
            </w:r>
            <w:r w:rsidR="006636C3">
              <w:rPr>
                <w:color w:val="FFFFFF" w:themeColor="background1"/>
                <w:szCs w:val="24"/>
              </w:rPr>
              <w:t>4</w:t>
            </w:r>
          </w:p>
          <w:p w14:paraId="40C861D1" w14:textId="52A0DC17" w:rsidR="00FF43EE" w:rsidRPr="00D948C1" w:rsidRDefault="00FF43EE" w:rsidP="00FF43EE">
            <w:pPr>
              <w:jc w:val="right"/>
              <w:rPr>
                <w:color w:val="FFFFFF" w:themeColor="background1"/>
                <w:szCs w:val="24"/>
              </w:rPr>
            </w:pPr>
            <w:r w:rsidRPr="00D948C1">
              <w:rPr>
                <w:color w:val="FFFFFF" w:themeColor="background1"/>
                <w:szCs w:val="24"/>
              </w:rPr>
              <w:t>£000</w:t>
            </w:r>
          </w:p>
        </w:tc>
      </w:tr>
      <w:tr w:rsidR="006636C3" w:rsidRPr="00D948C1" w14:paraId="34D21FCD" w14:textId="77777777" w:rsidTr="00DD63D7">
        <w:trPr>
          <w:trHeight w:val="289"/>
        </w:trPr>
        <w:tc>
          <w:tcPr>
            <w:tcW w:w="4111" w:type="dxa"/>
          </w:tcPr>
          <w:p w14:paraId="78FD5494" w14:textId="77777777" w:rsidR="006636C3" w:rsidRPr="00D948C1" w:rsidRDefault="006636C3" w:rsidP="006636C3">
            <w:pPr>
              <w:jc w:val="both"/>
              <w:rPr>
                <w:b/>
                <w:bCs/>
                <w:szCs w:val="24"/>
              </w:rPr>
            </w:pPr>
            <w:r w:rsidRPr="00D948C1">
              <w:rPr>
                <w:b/>
                <w:bCs/>
                <w:szCs w:val="24"/>
              </w:rPr>
              <w:t xml:space="preserve">Opening balance </w:t>
            </w:r>
            <w:proofErr w:type="gramStart"/>
            <w:r w:rsidRPr="00D948C1">
              <w:rPr>
                <w:b/>
                <w:bCs/>
                <w:szCs w:val="24"/>
              </w:rPr>
              <w:t>at</w:t>
            </w:r>
            <w:proofErr w:type="gramEnd"/>
            <w:r w:rsidRPr="00D948C1">
              <w:rPr>
                <w:b/>
                <w:bCs/>
                <w:szCs w:val="24"/>
              </w:rPr>
              <w:t xml:space="preserve"> 1 April</w:t>
            </w:r>
          </w:p>
        </w:tc>
        <w:tc>
          <w:tcPr>
            <w:tcW w:w="1275" w:type="dxa"/>
            <w:vAlign w:val="center"/>
          </w:tcPr>
          <w:p w14:paraId="29A2AC93" w14:textId="35A56A55" w:rsidR="006636C3" w:rsidRPr="00670646" w:rsidRDefault="00520455" w:rsidP="006636C3">
            <w:pPr>
              <w:tabs>
                <w:tab w:val="decimal" w:pos="888"/>
              </w:tabs>
              <w:jc w:val="right"/>
              <w:rPr>
                <w:b/>
                <w:bCs/>
                <w:szCs w:val="24"/>
              </w:rPr>
            </w:pPr>
            <w:r w:rsidRPr="00670646">
              <w:rPr>
                <w:b/>
                <w:bCs/>
                <w:szCs w:val="24"/>
              </w:rPr>
              <w:t>84,113</w:t>
            </w:r>
          </w:p>
        </w:tc>
        <w:tc>
          <w:tcPr>
            <w:tcW w:w="1418" w:type="dxa"/>
            <w:vAlign w:val="center"/>
          </w:tcPr>
          <w:p w14:paraId="60C35226" w14:textId="76389A89" w:rsidR="006636C3" w:rsidRPr="00670646" w:rsidRDefault="006636C3" w:rsidP="006636C3">
            <w:pPr>
              <w:tabs>
                <w:tab w:val="decimal" w:pos="888"/>
              </w:tabs>
              <w:jc w:val="right"/>
              <w:rPr>
                <w:b/>
                <w:bCs/>
                <w:szCs w:val="24"/>
              </w:rPr>
            </w:pPr>
            <w:r w:rsidRPr="00670646">
              <w:rPr>
                <w:b/>
                <w:bCs/>
                <w:szCs w:val="24"/>
              </w:rPr>
              <w:t>78,360</w:t>
            </w:r>
          </w:p>
        </w:tc>
        <w:tc>
          <w:tcPr>
            <w:tcW w:w="1276" w:type="dxa"/>
            <w:vAlign w:val="center"/>
          </w:tcPr>
          <w:p w14:paraId="40337856" w14:textId="5A5B09ED" w:rsidR="006636C3" w:rsidRPr="00670646" w:rsidRDefault="0038434E" w:rsidP="006636C3">
            <w:pPr>
              <w:tabs>
                <w:tab w:val="decimal" w:pos="888"/>
              </w:tabs>
              <w:jc w:val="right"/>
              <w:rPr>
                <w:b/>
                <w:bCs/>
                <w:szCs w:val="24"/>
              </w:rPr>
            </w:pPr>
            <w:r w:rsidRPr="00670646">
              <w:rPr>
                <w:b/>
                <w:bCs/>
                <w:szCs w:val="24"/>
              </w:rPr>
              <w:t>-</w:t>
            </w:r>
          </w:p>
        </w:tc>
        <w:tc>
          <w:tcPr>
            <w:tcW w:w="1417" w:type="dxa"/>
            <w:vAlign w:val="center"/>
          </w:tcPr>
          <w:p w14:paraId="119C50BD" w14:textId="543F9369" w:rsidR="006636C3" w:rsidRPr="00670646" w:rsidRDefault="006636C3" w:rsidP="006636C3">
            <w:pPr>
              <w:tabs>
                <w:tab w:val="decimal" w:pos="888"/>
              </w:tabs>
              <w:jc w:val="right"/>
              <w:rPr>
                <w:b/>
                <w:bCs/>
                <w:szCs w:val="24"/>
              </w:rPr>
            </w:pPr>
            <w:r w:rsidRPr="00670646">
              <w:rPr>
                <w:b/>
                <w:bCs/>
                <w:szCs w:val="24"/>
              </w:rPr>
              <w:t>-</w:t>
            </w:r>
          </w:p>
        </w:tc>
      </w:tr>
      <w:tr w:rsidR="006636C3" w:rsidRPr="00D948C1" w14:paraId="769015FE" w14:textId="77777777" w:rsidTr="00DD63D7">
        <w:tc>
          <w:tcPr>
            <w:tcW w:w="4111" w:type="dxa"/>
          </w:tcPr>
          <w:p w14:paraId="7C1ADDB3" w14:textId="77777777" w:rsidR="006636C3" w:rsidRPr="00D948C1" w:rsidRDefault="006636C3" w:rsidP="006636C3">
            <w:pPr>
              <w:jc w:val="both"/>
              <w:rPr>
                <w:szCs w:val="24"/>
              </w:rPr>
            </w:pPr>
            <w:r w:rsidRPr="00D948C1">
              <w:rPr>
                <w:szCs w:val="24"/>
              </w:rPr>
              <w:t>Interest on scheme assets</w:t>
            </w:r>
          </w:p>
        </w:tc>
        <w:tc>
          <w:tcPr>
            <w:tcW w:w="1275" w:type="dxa"/>
            <w:vAlign w:val="center"/>
          </w:tcPr>
          <w:p w14:paraId="2DB82140" w14:textId="121B5D56" w:rsidR="006636C3" w:rsidRPr="00670646" w:rsidRDefault="00520455" w:rsidP="006636C3">
            <w:pPr>
              <w:tabs>
                <w:tab w:val="decimal" w:pos="888"/>
              </w:tabs>
              <w:jc w:val="right"/>
              <w:rPr>
                <w:szCs w:val="24"/>
              </w:rPr>
            </w:pPr>
            <w:r w:rsidRPr="00670646">
              <w:rPr>
                <w:szCs w:val="24"/>
              </w:rPr>
              <w:t>4,086</w:t>
            </w:r>
          </w:p>
        </w:tc>
        <w:tc>
          <w:tcPr>
            <w:tcW w:w="1418" w:type="dxa"/>
            <w:vAlign w:val="center"/>
          </w:tcPr>
          <w:p w14:paraId="0BE06C98" w14:textId="7087AE7B" w:rsidR="006636C3" w:rsidRPr="00670646" w:rsidRDefault="006636C3" w:rsidP="006636C3">
            <w:pPr>
              <w:tabs>
                <w:tab w:val="decimal" w:pos="888"/>
              </w:tabs>
              <w:jc w:val="right"/>
              <w:rPr>
                <w:szCs w:val="24"/>
              </w:rPr>
            </w:pPr>
            <w:r w:rsidRPr="00670646">
              <w:rPr>
                <w:szCs w:val="24"/>
              </w:rPr>
              <w:t>3,745</w:t>
            </w:r>
          </w:p>
        </w:tc>
        <w:tc>
          <w:tcPr>
            <w:tcW w:w="1276" w:type="dxa"/>
            <w:vAlign w:val="center"/>
          </w:tcPr>
          <w:p w14:paraId="3BB2BC9D" w14:textId="6AABC2BF" w:rsidR="006636C3" w:rsidRPr="00670646" w:rsidRDefault="0038434E" w:rsidP="006636C3">
            <w:pPr>
              <w:tabs>
                <w:tab w:val="decimal" w:pos="888"/>
              </w:tabs>
              <w:jc w:val="right"/>
              <w:rPr>
                <w:szCs w:val="24"/>
              </w:rPr>
            </w:pPr>
            <w:r w:rsidRPr="00670646">
              <w:rPr>
                <w:szCs w:val="24"/>
              </w:rPr>
              <w:t>-</w:t>
            </w:r>
          </w:p>
        </w:tc>
        <w:tc>
          <w:tcPr>
            <w:tcW w:w="1417" w:type="dxa"/>
            <w:vAlign w:val="center"/>
          </w:tcPr>
          <w:p w14:paraId="52FAB21E" w14:textId="73C570FE" w:rsidR="006636C3" w:rsidRPr="00670646" w:rsidRDefault="006636C3" w:rsidP="006636C3">
            <w:pPr>
              <w:tabs>
                <w:tab w:val="decimal" w:pos="888"/>
              </w:tabs>
              <w:jc w:val="right"/>
              <w:rPr>
                <w:szCs w:val="24"/>
              </w:rPr>
            </w:pPr>
            <w:r w:rsidRPr="00670646">
              <w:rPr>
                <w:szCs w:val="24"/>
              </w:rPr>
              <w:t>-</w:t>
            </w:r>
          </w:p>
        </w:tc>
      </w:tr>
      <w:tr w:rsidR="006636C3" w:rsidRPr="00D948C1" w14:paraId="60C39BC4" w14:textId="77777777" w:rsidTr="00DD63D7">
        <w:tc>
          <w:tcPr>
            <w:tcW w:w="4111" w:type="dxa"/>
          </w:tcPr>
          <w:p w14:paraId="10A89D19" w14:textId="77777777" w:rsidR="006636C3" w:rsidRPr="00D948C1" w:rsidRDefault="006636C3" w:rsidP="006636C3">
            <w:pPr>
              <w:jc w:val="both"/>
              <w:rPr>
                <w:szCs w:val="24"/>
              </w:rPr>
            </w:pPr>
            <w:r w:rsidRPr="00D948C1">
              <w:rPr>
                <w:szCs w:val="24"/>
              </w:rPr>
              <w:t>Remeasurements (assets)</w:t>
            </w:r>
          </w:p>
        </w:tc>
        <w:tc>
          <w:tcPr>
            <w:tcW w:w="1275" w:type="dxa"/>
            <w:vAlign w:val="center"/>
          </w:tcPr>
          <w:p w14:paraId="2F9F8A3F" w14:textId="0BDB2082" w:rsidR="006636C3" w:rsidRPr="00670646" w:rsidRDefault="00520455" w:rsidP="006636C3">
            <w:pPr>
              <w:tabs>
                <w:tab w:val="decimal" w:pos="888"/>
              </w:tabs>
              <w:jc w:val="right"/>
              <w:rPr>
                <w:szCs w:val="24"/>
              </w:rPr>
            </w:pPr>
            <w:r w:rsidRPr="00670646">
              <w:rPr>
                <w:szCs w:val="24"/>
              </w:rPr>
              <w:t>(1,353)</w:t>
            </w:r>
          </w:p>
        </w:tc>
        <w:tc>
          <w:tcPr>
            <w:tcW w:w="1418" w:type="dxa"/>
            <w:vAlign w:val="center"/>
          </w:tcPr>
          <w:p w14:paraId="16875547" w14:textId="75170ACC" w:rsidR="006636C3" w:rsidRPr="00670646" w:rsidRDefault="006636C3" w:rsidP="006636C3">
            <w:pPr>
              <w:tabs>
                <w:tab w:val="decimal" w:pos="888"/>
              </w:tabs>
              <w:jc w:val="right"/>
              <w:rPr>
                <w:szCs w:val="24"/>
              </w:rPr>
            </w:pPr>
            <w:r w:rsidRPr="00670646">
              <w:rPr>
                <w:szCs w:val="24"/>
              </w:rPr>
              <w:t>2,665</w:t>
            </w:r>
          </w:p>
        </w:tc>
        <w:tc>
          <w:tcPr>
            <w:tcW w:w="1276" w:type="dxa"/>
            <w:vAlign w:val="center"/>
          </w:tcPr>
          <w:p w14:paraId="60DF35B8" w14:textId="658CEEA3" w:rsidR="006636C3" w:rsidRPr="00670646" w:rsidRDefault="0038434E" w:rsidP="006636C3">
            <w:pPr>
              <w:tabs>
                <w:tab w:val="decimal" w:pos="888"/>
              </w:tabs>
              <w:jc w:val="right"/>
              <w:rPr>
                <w:szCs w:val="24"/>
              </w:rPr>
            </w:pPr>
            <w:r w:rsidRPr="00670646">
              <w:rPr>
                <w:szCs w:val="24"/>
              </w:rPr>
              <w:t>-</w:t>
            </w:r>
          </w:p>
        </w:tc>
        <w:tc>
          <w:tcPr>
            <w:tcW w:w="1417" w:type="dxa"/>
            <w:vAlign w:val="center"/>
          </w:tcPr>
          <w:p w14:paraId="6E1CC522" w14:textId="4B4AD3DC" w:rsidR="006636C3" w:rsidRPr="00670646" w:rsidRDefault="006636C3" w:rsidP="006636C3">
            <w:pPr>
              <w:tabs>
                <w:tab w:val="decimal" w:pos="888"/>
              </w:tabs>
              <w:jc w:val="right"/>
              <w:rPr>
                <w:szCs w:val="24"/>
              </w:rPr>
            </w:pPr>
            <w:r w:rsidRPr="00670646">
              <w:rPr>
                <w:szCs w:val="24"/>
              </w:rPr>
              <w:t>-</w:t>
            </w:r>
          </w:p>
        </w:tc>
      </w:tr>
      <w:tr w:rsidR="006636C3" w:rsidRPr="00D948C1" w14:paraId="28F41D9A" w14:textId="77777777" w:rsidTr="00DD63D7">
        <w:tc>
          <w:tcPr>
            <w:tcW w:w="4111" w:type="dxa"/>
          </w:tcPr>
          <w:p w14:paraId="4B3B9621" w14:textId="77777777" w:rsidR="006636C3" w:rsidRPr="00D948C1" w:rsidRDefault="006636C3" w:rsidP="006636C3">
            <w:pPr>
              <w:jc w:val="both"/>
              <w:rPr>
                <w:szCs w:val="24"/>
              </w:rPr>
            </w:pPr>
            <w:r w:rsidRPr="00D948C1">
              <w:rPr>
                <w:szCs w:val="24"/>
              </w:rPr>
              <w:t>Administrative expenses</w:t>
            </w:r>
          </w:p>
        </w:tc>
        <w:tc>
          <w:tcPr>
            <w:tcW w:w="1275" w:type="dxa"/>
            <w:vAlign w:val="center"/>
          </w:tcPr>
          <w:p w14:paraId="47FB475B" w14:textId="01840480" w:rsidR="006636C3" w:rsidRPr="00670646" w:rsidRDefault="00C613FF" w:rsidP="006636C3">
            <w:pPr>
              <w:tabs>
                <w:tab w:val="decimal" w:pos="888"/>
              </w:tabs>
              <w:jc w:val="right"/>
              <w:rPr>
                <w:szCs w:val="24"/>
              </w:rPr>
            </w:pPr>
            <w:r w:rsidRPr="00670646">
              <w:rPr>
                <w:szCs w:val="24"/>
              </w:rPr>
              <w:t>(49)</w:t>
            </w:r>
          </w:p>
        </w:tc>
        <w:tc>
          <w:tcPr>
            <w:tcW w:w="1418" w:type="dxa"/>
            <w:vAlign w:val="center"/>
          </w:tcPr>
          <w:p w14:paraId="0DED3FF5" w14:textId="5A7342FA" w:rsidR="006636C3" w:rsidRPr="00670646" w:rsidRDefault="006636C3" w:rsidP="006636C3">
            <w:pPr>
              <w:tabs>
                <w:tab w:val="decimal" w:pos="888"/>
              </w:tabs>
              <w:jc w:val="right"/>
              <w:rPr>
                <w:szCs w:val="24"/>
              </w:rPr>
            </w:pPr>
            <w:r w:rsidRPr="00670646">
              <w:rPr>
                <w:szCs w:val="24"/>
              </w:rPr>
              <w:t>(46)</w:t>
            </w:r>
          </w:p>
        </w:tc>
        <w:tc>
          <w:tcPr>
            <w:tcW w:w="1276" w:type="dxa"/>
            <w:vAlign w:val="center"/>
          </w:tcPr>
          <w:p w14:paraId="61BB61EF" w14:textId="6CCF3E10" w:rsidR="006636C3" w:rsidRPr="00670646" w:rsidRDefault="0038434E" w:rsidP="006636C3">
            <w:pPr>
              <w:tabs>
                <w:tab w:val="decimal" w:pos="888"/>
              </w:tabs>
              <w:jc w:val="right"/>
              <w:rPr>
                <w:szCs w:val="24"/>
              </w:rPr>
            </w:pPr>
            <w:r w:rsidRPr="00670646">
              <w:rPr>
                <w:szCs w:val="24"/>
              </w:rPr>
              <w:t>-</w:t>
            </w:r>
          </w:p>
        </w:tc>
        <w:tc>
          <w:tcPr>
            <w:tcW w:w="1417" w:type="dxa"/>
            <w:vAlign w:val="center"/>
          </w:tcPr>
          <w:p w14:paraId="6CA8F60C" w14:textId="1072A17B" w:rsidR="006636C3" w:rsidRPr="00670646" w:rsidRDefault="006636C3" w:rsidP="006636C3">
            <w:pPr>
              <w:tabs>
                <w:tab w:val="decimal" w:pos="888"/>
              </w:tabs>
              <w:jc w:val="right"/>
              <w:rPr>
                <w:szCs w:val="24"/>
              </w:rPr>
            </w:pPr>
            <w:r w:rsidRPr="00670646">
              <w:rPr>
                <w:szCs w:val="24"/>
              </w:rPr>
              <w:t>-</w:t>
            </w:r>
          </w:p>
        </w:tc>
      </w:tr>
      <w:tr w:rsidR="006636C3" w:rsidRPr="00D948C1" w14:paraId="4ED6DB79" w14:textId="77777777" w:rsidTr="00DD63D7">
        <w:tc>
          <w:tcPr>
            <w:tcW w:w="4111" w:type="dxa"/>
          </w:tcPr>
          <w:p w14:paraId="38205E82" w14:textId="77777777" w:rsidR="006636C3" w:rsidRPr="00D948C1" w:rsidRDefault="006636C3" w:rsidP="006636C3">
            <w:pPr>
              <w:jc w:val="both"/>
              <w:rPr>
                <w:szCs w:val="24"/>
              </w:rPr>
            </w:pPr>
            <w:r w:rsidRPr="00D948C1">
              <w:rPr>
                <w:szCs w:val="24"/>
              </w:rPr>
              <w:t>Employer contributions</w:t>
            </w:r>
          </w:p>
        </w:tc>
        <w:tc>
          <w:tcPr>
            <w:tcW w:w="1275" w:type="dxa"/>
            <w:vAlign w:val="center"/>
          </w:tcPr>
          <w:p w14:paraId="4CD67898" w14:textId="1782D8B6" w:rsidR="006636C3" w:rsidRPr="00670646" w:rsidRDefault="00C613FF" w:rsidP="006636C3">
            <w:pPr>
              <w:tabs>
                <w:tab w:val="decimal" w:pos="888"/>
              </w:tabs>
              <w:jc w:val="right"/>
              <w:rPr>
                <w:szCs w:val="24"/>
              </w:rPr>
            </w:pPr>
            <w:r w:rsidRPr="00670646">
              <w:rPr>
                <w:szCs w:val="24"/>
              </w:rPr>
              <w:t>396</w:t>
            </w:r>
          </w:p>
        </w:tc>
        <w:tc>
          <w:tcPr>
            <w:tcW w:w="1418" w:type="dxa"/>
            <w:vAlign w:val="center"/>
          </w:tcPr>
          <w:p w14:paraId="5ADD311D" w14:textId="4F521DE2" w:rsidR="006636C3" w:rsidRPr="00670646" w:rsidRDefault="006636C3" w:rsidP="006636C3">
            <w:pPr>
              <w:tabs>
                <w:tab w:val="decimal" w:pos="888"/>
              </w:tabs>
              <w:jc w:val="right"/>
              <w:rPr>
                <w:szCs w:val="24"/>
              </w:rPr>
            </w:pPr>
            <w:r w:rsidRPr="00670646">
              <w:rPr>
                <w:szCs w:val="24"/>
              </w:rPr>
              <w:t>356</w:t>
            </w:r>
          </w:p>
        </w:tc>
        <w:tc>
          <w:tcPr>
            <w:tcW w:w="1276" w:type="dxa"/>
            <w:vAlign w:val="center"/>
          </w:tcPr>
          <w:p w14:paraId="72B213D4" w14:textId="683E2C73" w:rsidR="006636C3" w:rsidRPr="00670646" w:rsidRDefault="00EF20A0" w:rsidP="006636C3">
            <w:pPr>
              <w:tabs>
                <w:tab w:val="decimal" w:pos="888"/>
              </w:tabs>
              <w:jc w:val="right"/>
              <w:rPr>
                <w:szCs w:val="24"/>
              </w:rPr>
            </w:pPr>
            <w:r w:rsidRPr="00670646">
              <w:rPr>
                <w:szCs w:val="24"/>
              </w:rPr>
              <w:t>30,930</w:t>
            </w:r>
          </w:p>
        </w:tc>
        <w:tc>
          <w:tcPr>
            <w:tcW w:w="1417" w:type="dxa"/>
            <w:vAlign w:val="center"/>
          </w:tcPr>
          <w:p w14:paraId="34AF943E" w14:textId="684215D9" w:rsidR="006636C3" w:rsidRPr="00670646" w:rsidRDefault="006636C3" w:rsidP="006636C3">
            <w:pPr>
              <w:tabs>
                <w:tab w:val="decimal" w:pos="888"/>
              </w:tabs>
              <w:jc w:val="right"/>
              <w:rPr>
                <w:szCs w:val="24"/>
              </w:rPr>
            </w:pPr>
            <w:r w:rsidRPr="00670646">
              <w:rPr>
                <w:szCs w:val="24"/>
              </w:rPr>
              <w:t>28,790</w:t>
            </w:r>
          </w:p>
        </w:tc>
      </w:tr>
      <w:tr w:rsidR="006636C3" w:rsidRPr="00D948C1" w14:paraId="1DFE0EB5" w14:textId="77777777" w:rsidTr="00DD63D7">
        <w:tc>
          <w:tcPr>
            <w:tcW w:w="4111" w:type="dxa"/>
          </w:tcPr>
          <w:p w14:paraId="23AE9FB4" w14:textId="77777777" w:rsidR="006636C3" w:rsidRPr="00D948C1" w:rsidRDefault="006636C3" w:rsidP="006636C3">
            <w:pPr>
              <w:jc w:val="both"/>
              <w:rPr>
                <w:szCs w:val="24"/>
              </w:rPr>
            </w:pPr>
            <w:r w:rsidRPr="00D948C1">
              <w:rPr>
                <w:szCs w:val="24"/>
              </w:rPr>
              <w:t>Contributions by scheme participants</w:t>
            </w:r>
          </w:p>
        </w:tc>
        <w:tc>
          <w:tcPr>
            <w:tcW w:w="1275" w:type="dxa"/>
            <w:vAlign w:val="center"/>
          </w:tcPr>
          <w:p w14:paraId="7D3181B2" w14:textId="7D86D477" w:rsidR="006636C3" w:rsidRPr="00670646" w:rsidRDefault="00C613FF" w:rsidP="006636C3">
            <w:pPr>
              <w:tabs>
                <w:tab w:val="decimal" w:pos="888"/>
              </w:tabs>
              <w:jc w:val="right"/>
              <w:rPr>
                <w:szCs w:val="24"/>
              </w:rPr>
            </w:pPr>
            <w:r w:rsidRPr="00670646">
              <w:rPr>
                <w:szCs w:val="24"/>
              </w:rPr>
              <w:t>588</w:t>
            </w:r>
          </w:p>
        </w:tc>
        <w:tc>
          <w:tcPr>
            <w:tcW w:w="1418" w:type="dxa"/>
            <w:vAlign w:val="center"/>
          </w:tcPr>
          <w:p w14:paraId="6F498A8A" w14:textId="7648F74B" w:rsidR="006636C3" w:rsidRPr="00670646" w:rsidRDefault="006636C3" w:rsidP="006636C3">
            <w:pPr>
              <w:tabs>
                <w:tab w:val="decimal" w:pos="888"/>
              </w:tabs>
              <w:jc w:val="right"/>
              <w:rPr>
                <w:szCs w:val="24"/>
              </w:rPr>
            </w:pPr>
            <w:r w:rsidRPr="00670646">
              <w:rPr>
                <w:szCs w:val="24"/>
              </w:rPr>
              <w:t>549</w:t>
            </w:r>
          </w:p>
        </w:tc>
        <w:tc>
          <w:tcPr>
            <w:tcW w:w="1276" w:type="dxa"/>
            <w:vAlign w:val="center"/>
          </w:tcPr>
          <w:p w14:paraId="7354BA27" w14:textId="49895AC1" w:rsidR="006636C3" w:rsidRPr="00670646" w:rsidRDefault="00EF20A0" w:rsidP="006636C3">
            <w:pPr>
              <w:tabs>
                <w:tab w:val="decimal" w:pos="888"/>
              </w:tabs>
              <w:jc w:val="right"/>
              <w:rPr>
                <w:szCs w:val="24"/>
              </w:rPr>
            </w:pPr>
            <w:r w:rsidRPr="00670646">
              <w:rPr>
                <w:szCs w:val="24"/>
              </w:rPr>
              <w:t>3,970</w:t>
            </w:r>
          </w:p>
        </w:tc>
        <w:tc>
          <w:tcPr>
            <w:tcW w:w="1417" w:type="dxa"/>
            <w:vAlign w:val="center"/>
          </w:tcPr>
          <w:p w14:paraId="14766B46" w14:textId="0481A9CA" w:rsidR="006636C3" w:rsidRPr="00670646" w:rsidRDefault="006636C3" w:rsidP="006636C3">
            <w:pPr>
              <w:tabs>
                <w:tab w:val="decimal" w:pos="888"/>
              </w:tabs>
              <w:jc w:val="right"/>
              <w:rPr>
                <w:szCs w:val="24"/>
              </w:rPr>
            </w:pPr>
            <w:r w:rsidRPr="00670646">
              <w:rPr>
                <w:szCs w:val="24"/>
              </w:rPr>
              <w:t>3,830</w:t>
            </w:r>
          </w:p>
        </w:tc>
      </w:tr>
      <w:tr w:rsidR="006636C3" w:rsidRPr="00D948C1" w14:paraId="78CB136D" w14:textId="77777777" w:rsidTr="00DD63D7">
        <w:tc>
          <w:tcPr>
            <w:tcW w:w="4111" w:type="dxa"/>
          </w:tcPr>
          <w:p w14:paraId="36870B06" w14:textId="77777777" w:rsidR="006636C3" w:rsidRPr="00D948C1" w:rsidRDefault="006636C3" w:rsidP="006636C3">
            <w:pPr>
              <w:jc w:val="both"/>
              <w:rPr>
                <w:szCs w:val="24"/>
              </w:rPr>
            </w:pPr>
            <w:r w:rsidRPr="00D948C1">
              <w:rPr>
                <w:szCs w:val="24"/>
              </w:rPr>
              <w:t>Benefits paid</w:t>
            </w:r>
          </w:p>
        </w:tc>
        <w:tc>
          <w:tcPr>
            <w:tcW w:w="1275" w:type="dxa"/>
            <w:vAlign w:val="center"/>
          </w:tcPr>
          <w:p w14:paraId="75BEB3C7" w14:textId="65B7931F" w:rsidR="006636C3" w:rsidRPr="00670646" w:rsidRDefault="00C613FF" w:rsidP="006636C3">
            <w:pPr>
              <w:tabs>
                <w:tab w:val="decimal" w:pos="888"/>
              </w:tabs>
              <w:jc w:val="right"/>
              <w:rPr>
                <w:szCs w:val="24"/>
              </w:rPr>
            </w:pPr>
            <w:r w:rsidRPr="00670646">
              <w:rPr>
                <w:szCs w:val="24"/>
              </w:rPr>
              <w:t>(2,386)</w:t>
            </w:r>
          </w:p>
        </w:tc>
        <w:tc>
          <w:tcPr>
            <w:tcW w:w="1418" w:type="dxa"/>
            <w:vAlign w:val="center"/>
          </w:tcPr>
          <w:p w14:paraId="3003C7E3" w14:textId="1348BDF9" w:rsidR="006636C3" w:rsidRPr="00670646" w:rsidRDefault="006636C3" w:rsidP="006636C3">
            <w:pPr>
              <w:tabs>
                <w:tab w:val="decimal" w:pos="888"/>
              </w:tabs>
              <w:jc w:val="right"/>
              <w:rPr>
                <w:szCs w:val="24"/>
              </w:rPr>
            </w:pPr>
            <w:r w:rsidRPr="00670646">
              <w:rPr>
                <w:szCs w:val="24"/>
              </w:rPr>
              <w:t>(1,516)</w:t>
            </w:r>
          </w:p>
        </w:tc>
        <w:tc>
          <w:tcPr>
            <w:tcW w:w="1276" w:type="dxa"/>
            <w:vAlign w:val="center"/>
          </w:tcPr>
          <w:p w14:paraId="1C182D34" w14:textId="29C2166F" w:rsidR="006636C3" w:rsidRPr="00670646" w:rsidRDefault="00EF20A0" w:rsidP="006636C3">
            <w:pPr>
              <w:tabs>
                <w:tab w:val="decimal" w:pos="888"/>
              </w:tabs>
              <w:jc w:val="right"/>
              <w:rPr>
                <w:szCs w:val="24"/>
              </w:rPr>
            </w:pPr>
            <w:r w:rsidRPr="00670646">
              <w:rPr>
                <w:szCs w:val="24"/>
              </w:rPr>
              <w:t>(34,900)</w:t>
            </w:r>
          </w:p>
        </w:tc>
        <w:tc>
          <w:tcPr>
            <w:tcW w:w="1417" w:type="dxa"/>
            <w:vAlign w:val="center"/>
          </w:tcPr>
          <w:p w14:paraId="668AE048" w14:textId="2336B405" w:rsidR="006636C3" w:rsidRPr="00670646" w:rsidRDefault="006636C3" w:rsidP="006636C3">
            <w:pPr>
              <w:tabs>
                <w:tab w:val="decimal" w:pos="888"/>
              </w:tabs>
              <w:jc w:val="right"/>
              <w:rPr>
                <w:szCs w:val="24"/>
              </w:rPr>
            </w:pPr>
            <w:r w:rsidRPr="00670646">
              <w:rPr>
                <w:szCs w:val="24"/>
              </w:rPr>
              <w:t>(32,620)</w:t>
            </w:r>
          </w:p>
        </w:tc>
      </w:tr>
      <w:tr w:rsidR="006636C3" w:rsidRPr="00D948C1" w14:paraId="3D133BF7" w14:textId="77777777" w:rsidTr="00DD63D7">
        <w:tc>
          <w:tcPr>
            <w:tcW w:w="4111" w:type="dxa"/>
          </w:tcPr>
          <w:p w14:paraId="21B544AB" w14:textId="77777777" w:rsidR="006636C3" w:rsidRPr="00D948C1" w:rsidRDefault="006636C3" w:rsidP="006636C3">
            <w:pPr>
              <w:jc w:val="both"/>
              <w:rPr>
                <w:b/>
                <w:bCs/>
                <w:szCs w:val="24"/>
              </w:rPr>
            </w:pPr>
            <w:r w:rsidRPr="00D948C1">
              <w:rPr>
                <w:b/>
                <w:bCs/>
                <w:szCs w:val="24"/>
              </w:rPr>
              <w:t xml:space="preserve">Closing balance </w:t>
            </w:r>
            <w:proofErr w:type="gramStart"/>
            <w:r w:rsidRPr="00D948C1">
              <w:rPr>
                <w:b/>
                <w:bCs/>
                <w:szCs w:val="24"/>
              </w:rPr>
              <w:t>at</w:t>
            </w:r>
            <w:proofErr w:type="gramEnd"/>
            <w:r w:rsidRPr="00D948C1">
              <w:rPr>
                <w:b/>
                <w:bCs/>
                <w:szCs w:val="24"/>
              </w:rPr>
              <w:t xml:space="preserve"> 31 March</w:t>
            </w:r>
          </w:p>
        </w:tc>
        <w:tc>
          <w:tcPr>
            <w:tcW w:w="1275" w:type="dxa"/>
            <w:vAlign w:val="center"/>
          </w:tcPr>
          <w:p w14:paraId="42182891" w14:textId="0DDBE241" w:rsidR="006636C3" w:rsidRPr="00670646" w:rsidRDefault="00456352" w:rsidP="006636C3">
            <w:pPr>
              <w:tabs>
                <w:tab w:val="decimal" w:pos="888"/>
              </w:tabs>
              <w:jc w:val="right"/>
              <w:rPr>
                <w:b/>
                <w:bCs/>
                <w:szCs w:val="24"/>
              </w:rPr>
            </w:pPr>
            <w:r w:rsidRPr="00670646">
              <w:rPr>
                <w:b/>
                <w:bCs/>
                <w:szCs w:val="24"/>
              </w:rPr>
              <w:t>85,394</w:t>
            </w:r>
          </w:p>
        </w:tc>
        <w:tc>
          <w:tcPr>
            <w:tcW w:w="1418" w:type="dxa"/>
            <w:vAlign w:val="center"/>
          </w:tcPr>
          <w:p w14:paraId="33D9115A" w14:textId="43873D97" w:rsidR="006636C3" w:rsidRPr="00670646" w:rsidRDefault="006636C3" w:rsidP="006636C3">
            <w:pPr>
              <w:tabs>
                <w:tab w:val="decimal" w:pos="888"/>
              </w:tabs>
              <w:jc w:val="right"/>
              <w:rPr>
                <w:b/>
                <w:bCs/>
                <w:szCs w:val="24"/>
              </w:rPr>
            </w:pPr>
            <w:r w:rsidRPr="00670646">
              <w:rPr>
                <w:b/>
                <w:bCs/>
                <w:szCs w:val="24"/>
              </w:rPr>
              <w:t>84,113</w:t>
            </w:r>
          </w:p>
        </w:tc>
        <w:tc>
          <w:tcPr>
            <w:tcW w:w="1276" w:type="dxa"/>
            <w:vAlign w:val="center"/>
          </w:tcPr>
          <w:p w14:paraId="297B78E5" w14:textId="3C2183EF" w:rsidR="006636C3" w:rsidRPr="00670646" w:rsidRDefault="0038434E" w:rsidP="006636C3">
            <w:pPr>
              <w:tabs>
                <w:tab w:val="decimal" w:pos="888"/>
              </w:tabs>
              <w:jc w:val="right"/>
              <w:rPr>
                <w:b/>
                <w:bCs/>
                <w:szCs w:val="24"/>
              </w:rPr>
            </w:pPr>
            <w:r w:rsidRPr="00670646">
              <w:rPr>
                <w:b/>
                <w:bCs/>
                <w:szCs w:val="24"/>
              </w:rPr>
              <w:t>-</w:t>
            </w:r>
          </w:p>
        </w:tc>
        <w:tc>
          <w:tcPr>
            <w:tcW w:w="1417" w:type="dxa"/>
            <w:vAlign w:val="center"/>
          </w:tcPr>
          <w:p w14:paraId="00D9C2CF" w14:textId="436B43D7" w:rsidR="006636C3" w:rsidRPr="00670646" w:rsidRDefault="006636C3" w:rsidP="006636C3">
            <w:pPr>
              <w:tabs>
                <w:tab w:val="decimal" w:pos="888"/>
              </w:tabs>
              <w:jc w:val="right"/>
              <w:rPr>
                <w:b/>
                <w:bCs/>
                <w:szCs w:val="24"/>
              </w:rPr>
            </w:pPr>
            <w:r w:rsidRPr="00670646">
              <w:rPr>
                <w:b/>
                <w:bCs/>
                <w:szCs w:val="24"/>
              </w:rPr>
              <w:t>-</w:t>
            </w:r>
          </w:p>
        </w:tc>
      </w:tr>
    </w:tbl>
    <w:p w14:paraId="25F0587C" w14:textId="77777777" w:rsidR="0084441F" w:rsidRPr="00D948C1" w:rsidRDefault="0084441F" w:rsidP="00AC5949">
      <w:pPr>
        <w:ind w:left="709"/>
        <w:rPr>
          <w:szCs w:val="24"/>
        </w:rPr>
      </w:pPr>
    </w:p>
    <w:p w14:paraId="3881E3F7" w14:textId="5D6DBC89" w:rsidR="00D90216" w:rsidRPr="00670646" w:rsidRDefault="00D90216" w:rsidP="00AC5949">
      <w:pPr>
        <w:ind w:left="709"/>
      </w:pPr>
      <w:r>
        <w:t xml:space="preserve">The expected return on scheme assets is determined by considering the expected returns available on the assets underlying the current investment policy. Expected yields on fixed interest investments are based on gross redemption yields at the Balance Sheet date. </w:t>
      </w:r>
      <w:r w:rsidR="00607136" w:rsidRPr="00670646">
        <w:t>E</w:t>
      </w:r>
      <w:r w:rsidRPr="00670646">
        <w:t>xpected returns on equity investments reflect long</w:t>
      </w:r>
      <w:r w:rsidR="00A16368" w:rsidRPr="00670646">
        <w:t>-</w:t>
      </w:r>
      <w:r w:rsidRPr="00670646">
        <w:t>term rates of return experienced in the respective markets.</w:t>
      </w:r>
      <w:r w:rsidR="00C72A7E" w:rsidRPr="00670646">
        <w:t xml:space="preserve"> </w:t>
      </w:r>
      <w:r w:rsidRPr="00680902">
        <w:t xml:space="preserve">The actual return on scheme assets in the year was </w:t>
      </w:r>
      <w:r w:rsidR="00C91669" w:rsidRPr="00680902">
        <w:t>a gain</w:t>
      </w:r>
      <w:r w:rsidR="006D7616" w:rsidRPr="00680902">
        <w:t xml:space="preserve"> of </w:t>
      </w:r>
      <w:r w:rsidR="00961EB1" w:rsidRPr="00680902">
        <w:t>£</w:t>
      </w:r>
      <w:r w:rsidR="00BC09FE" w:rsidRPr="00680902">
        <w:t>2.677</w:t>
      </w:r>
      <w:r w:rsidR="00961EB1" w:rsidRPr="00680902">
        <w:t xml:space="preserve">m </w:t>
      </w:r>
      <w:r w:rsidR="002A3016" w:rsidRPr="00680902">
        <w:t>(20</w:t>
      </w:r>
      <w:r w:rsidR="006B2155" w:rsidRPr="00680902">
        <w:t>2</w:t>
      </w:r>
      <w:r w:rsidR="00E7435D" w:rsidRPr="00680902">
        <w:t>3</w:t>
      </w:r>
      <w:r w:rsidR="006B2155" w:rsidRPr="00680902">
        <w:t>/2</w:t>
      </w:r>
      <w:r w:rsidR="00E7435D" w:rsidRPr="00680902">
        <w:t>4</w:t>
      </w:r>
      <w:r w:rsidR="00FF0080" w:rsidRPr="00680902">
        <w:t>:</w:t>
      </w:r>
      <w:r w:rsidRPr="00680902">
        <w:t xml:space="preserve"> gain of </w:t>
      </w:r>
      <w:r w:rsidR="00AA6508" w:rsidRPr="00680902">
        <w:t>£</w:t>
      </w:r>
      <w:r w:rsidR="00E7435D" w:rsidRPr="00680902">
        <w:t>6.203</w:t>
      </w:r>
      <w:r w:rsidR="00E66DE8" w:rsidRPr="00680902">
        <w:t>m</w:t>
      </w:r>
      <w:r w:rsidRPr="00680902">
        <w:t>).</w:t>
      </w:r>
    </w:p>
    <w:p w14:paraId="6A134296" w14:textId="6AB0968E" w:rsidR="00FF0080" w:rsidRPr="00D948C1" w:rsidRDefault="00FF0080" w:rsidP="00AC5949">
      <w:pPr>
        <w:ind w:left="709"/>
        <w:rPr>
          <w:highlight w:val="red"/>
        </w:rPr>
      </w:pPr>
    </w:p>
    <w:p w14:paraId="46EB27C2" w14:textId="77777777" w:rsidR="00EB4B3B" w:rsidRPr="00D948C1" w:rsidRDefault="00EB4B3B" w:rsidP="00EB4B3B">
      <w:pPr>
        <w:ind w:left="709"/>
        <w:rPr>
          <w:b/>
          <w:bCs/>
          <w:szCs w:val="24"/>
        </w:rPr>
      </w:pPr>
      <w:r w:rsidRPr="00D948C1">
        <w:rPr>
          <w:b/>
          <w:bCs/>
          <w:szCs w:val="24"/>
        </w:rPr>
        <w:t>Pension Asset Ceiling</w:t>
      </w:r>
    </w:p>
    <w:p w14:paraId="466119CA" w14:textId="77777777" w:rsidR="00EB4B3B" w:rsidRPr="00D948C1" w:rsidRDefault="00EB4B3B" w:rsidP="00EB4B3B">
      <w:pPr>
        <w:ind w:left="709"/>
        <w:rPr>
          <w:szCs w:val="24"/>
        </w:rPr>
      </w:pPr>
    </w:p>
    <w:p w14:paraId="16272BD5" w14:textId="77777777" w:rsidR="00EB4B3B" w:rsidRPr="00D948C1" w:rsidRDefault="00EB4B3B" w:rsidP="00EB4B3B">
      <w:pPr>
        <w:ind w:left="709"/>
        <w:rPr>
          <w:szCs w:val="24"/>
        </w:rPr>
      </w:pPr>
      <w:r w:rsidRPr="00D948C1">
        <w:rPr>
          <w:szCs w:val="24"/>
        </w:rPr>
        <w:t>An asset ceiling test limits the amount of the net pension asset that can be recognised to the lower of the amount of the net pension asset or the present value of any economic benefits available in the form of refunds or reductions in future contributions to the plan.</w:t>
      </w:r>
    </w:p>
    <w:p w14:paraId="77C94EDC" w14:textId="77777777" w:rsidR="00EB4B3B" w:rsidRPr="00D948C1" w:rsidRDefault="00EB4B3B" w:rsidP="00EB4B3B">
      <w:pPr>
        <w:ind w:left="709"/>
        <w:rPr>
          <w:szCs w:val="24"/>
        </w:rPr>
      </w:pPr>
    </w:p>
    <w:p w14:paraId="00E34EE1" w14:textId="77777777" w:rsidR="00EB4B3B" w:rsidRPr="00D948C1" w:rsidRDefault="00EB4B3B" w:rsidP="00EB4B3B">
      <w:pPr>
        <w:ind w:left="709"/>
        <w:rPr>
          <w:szCs w:val="24"/>
        </w:rPr>
      </w:pPr>
      <w:r w:rsidRPr="00D948C1">
        <w:rPr>
          <w:szCs w:val="24"/>
        </w:rPr>
        <w:t xml:space="preserve">The Authority’s LGPS asset ceiling has been calculated using the present value of accounting service cost in perpetuity less the total of present value of primary contributions in perpetuity and present value of secondary contributions over the recovery period. </w:t>
      </w:r>
    </w:p>
    <w:p w14:paraId="2B55B215" w14:textId="77777777" w:rsidR="00EB4B3B" w:rsidRPr="00D948C1" w:rsidRDefault="00EB4B3B" w:rsidP="00EB4B3B">
      <w:pPr>
        <w:ind w:left="709"/>
        <w:rPr>
          <w:szCs w:val="24"/>
        </w:rPr>
      </w:pPr>
    </w:p>
    <w:tbl>
      <w:tblPr>
        <w:tblStyle w:val="TableGrid"/>
        <w:tblW w:w="0" w:type="auto"/>
        <w:tblInd w:w="709" w:type="dxa"/>
        <w:tblLook w:val="04A0" w:firstRow="1" w:lastRow="0" w:firstColumn="1" w:lastColumn="0" w:noHBand="0" w:noVBand="1"/>
      </w:tblPr>
      <w:tblGrid>
        <w:gridCol w:w="5382"/>
        <w:gridCol w:w="1701"/>
        <w:gridCol w:w="1701"/>
      </w:tblGrid>
      <w:tr w:rsidR="00EB4B3B" w:rsidRPr="00D948C1" w14:paraId="50C2BB3E" w14:textId="77777777" w:rsidTr="00611673">
        <w:trPr>
          <w:tblHeader/>
        </w:trPr>
        <w:tc>
          <w:tcPr>
            <w:tcW w:w="5382" w:type="dxa"/>
            <w:shd w:val="clear" w:color="auto" w:fill="BD2716"/>
          </w:tcPr>
          <w:p w14:paraId="119D86C8" w14:textId="07EC79FE" w:rsidR="00EB4B3B" w:rsidRPr="00D948C1" w:rsidRDefault="00EB4B3B" w:rsidP="00F7299E">
            <w:pPr>
              <w:rPr>
                <w:color w:val="FFFFFF" w:themeColor="background1"/>
                <w:szCs w:val="24"/>
              </w:rPr>
            </w:pPr>
          </w:p>
        </w:tc>
        <w:tc>
          <w:tcPr>
            <w:tcW w:w="1701" w:type="dxa"/>
            <w:shd w:val="clear" w:color="auto" w:fill="BD2716"/>
            <w:vAlign w:val="center"/>
          </w:tcPr>
          <w:p w14:paraId="1AE58B6A" w14:textId="62D2A20A" w:rsidR="00EB4B3B" w:rsidRPr="00D948C1" w:rsidRDefault="00EB4B3B" w:rsidP="00611673">
            <w:pPr>
              <w:jc w:val="right"/>
              <w:rPr>
                <w:color w:val="FFFFFF" w:themeColor="background1"/>
                <w:szCs w:val="24"/>
              </w:rPr>
            </w:pPr>
            <w:r w:rsidRPr="00D948C1">
              <w:rPr>
                <w:color w:val="FFFFFF" w:themeColor="background1"/>
                <w:szCs w:val="24"/>
              </w:rPr>
              <w:t>202</w:t>
            </w:r>
            <w:r w:rsidR="006636C3">
              <w:rPr>
                <w:color w:val="FFFFFF" w:themeColor="background1"/>
                <w:szCs w:val="24"/>
              </w:rPr>
              <w:t>4</w:t>
            </w:r>
            <w:r w:rsidRPr="00D948C1">
              <w:rPr>
                <w:color w:val="FFFFFF" w:themeColor="background1"/>
                <w:szCs w:val="24"/>
              </w:rPr>
              <w:t>/2</w:t>
            </w:r>
            <w:r w:rsidR="006636C3">
              <w:rPr>
                <w:color w:val="FFFFFF" w:themeColor="background1"/>
                <w:szCs w:val="24"/>
              </w:rPr>
              <w:t>5</w:t>
            </w:r>
          </w:p>
          <w:p w14:paraId="634859A5" w14:textId="2968F8BA" w:rsidR="00053629" w:rsidRPr="00D948C1" w:rsidRDefault="00053629" w:rsidP="00611673">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21C961C5" w14:textId="534386A4" w:rsidR="00FF43EE" w:rsidRPr="00D948C1" w:rsidRDefault="00FF43EE" w:rsidP="00FF43EE">
            <w:pPr>
              <w:jc w:val="right"/>
              <w:rPr>
                <w:color w:val="FFFFFF" w:themeColor="background1"/>
                <w:szCs w:val="24"/>
              </w:rPr>
            </w:pPr>
            <w:r w:rsidRPr="00D948C1">
              <w:rPr>
                <w:color w:val="FFFFFF" w:themeColor="background1"/>
                <w:szCs w:val="24"/>
              </w:rPr>
              <w:t>202</w:t>
            </w:r>
            <w:r w:rsidR="006636C3">
              <w:rPr>
                <w:color w:val="FFFFFF" w:themeColor="background1"/>
                <w:szCs w:val="24"/>
              </w:rPr>
              <w:t>3</w:t>
            </w:r>
            <w:r w:rsidRPr="00D948C1">
              <w:rPr>
                <w:color w:val="FFFFFF" w:themeColor="background1"/>
                <w:szCs w:val="24"/>
              </w:rPr>
              <w:t>/2</w:t>
            </w:r>
            <w:r w:rsidR="006636C3">
              <w:rPr>
                <w:color w:val="FFFFFF" w:themeColor="background1"/>
                <w:szCs w:val="24"/>
              </w:rPr>
              <w:t>4</w:t>
            </w:r>
          </w:p>
          <w:p w14:paraId="69A3ECDD" w14:textId="45B87D16" w:rsidR="00053629" w:rsidRPr="00D948C1" w:rsidRDefault="00FF43EE" w:rsidP="00FF43EE">
            <w:pPr>
              <w:jc w:val="right"/>
              <w:rPr>
                <w:color w:val="FFFFFF" w:themeColor="background1"/>
                <w:szCs w:val="24"/>
              </w:rPr>
            </w:pPr>
            <w:r w:rsidRPr="00D948C1">
              <w:rPr>
                <w:color w:val="FFFFFF" w:themeColor="background1"/>
                <w:szCs w:val="24"/>
              </w:rPr>
              <w:t>£000</w:t>
            </w:r>
          </w:p>
        </w:tc>
      </w:tr>
      <w:tr w:rsidR="006636C3" w:rsidRPr="00D948C1" w14:paraId="6D3FFEA4" w14:textId="77777777" w:rsidTr="00DD63D7">
        <w:tc>
          <w:tcPr>
            <w:tcW w:w="5382" w:type="dxa"/>
          </w:tcPr>
          <w:p w14:paraId="0999EA9E" w14:textId="77777777" w:rsidR="006636C3" w:rsidRPr="00D948C1" w:rsidRDefault="006636C3" w:rsidP="006636C3">
            <w:pPr>
              <w:rPr>
                <w:szCs w:val="24"/>
              </w:rPr>
            </w:pPr>
            <w:r w:rsidRPr="00D948C1">
              <w:rPr>
                <w:szCs w:val="24"/>
              </w:rPr>
              <w:t>Gross defined benefit asset/(liability)</w:t>
            </w:r>
          </w:p>
        </w:tc>
        <w:tc>
          <w:tcPr>
            <w:tcW w:w="1701" w:type="dxa"/>
            <w:vAlign w:val="center"/>
          </w:tcPr>
          <w:p w14:paraId="70CA5815" w14:textId="7EC622EC" w:rsidR="006636C3" w:rsidRPr="00294859" w:rsidRDefault="00CF2EE4" w:rsidP="006636C3">
            <w:pPr>
              <w:jc w:val="right"/>
              <w:rPr>
                <w:szCs w:val="24"/>
              </w:rPr>
            </w:pPr>
            <w:r w:rsidRPr="00294859">
              <w:rPr>
                <w:szCs w:val="24"/>
              </w:rPr>
              <w:t>31,977</w:t>
            </w:r>
          </w:p>
        </w:tc>
        <w:tc>
          <w:tcPr>
            <w:tcW w:w="1701" w:type="dxa"/>
            <w:vAlign w:val="center"/>
          </w:tcPr>
          <w:p w14:paraId="1DA20FAC" w14:textId="7CD8F925" w:rsidR="006636C3" w:rsidRPr="00670646" w:rsidRDefault="006636C3" w:rsidP="006636C3">
            <w:pPr>
              <w:jc w:val="right"/>
              <w:rPr>
                <w:szCs w:val="24"/>
              </w:rPr>
            </w:pPr>
            <w:r w:rsidRPr="00670646">
              <w:rPr>
                <w:szCs w:val="24"/>
              </w:rPr>
              <w:t>23,798</w:t>
            </w:r>
          </w:p>
        </w:tc>
      </w:tr>
      <w:tr w:rsidR="006636C3" w:rsidRPr="00D948C1" w14:paraId="2C6F1C66" w14:textId="77777777" w:rsidTr="00DD63D7">
        <w:tc>
          <w:tcPr>
            <w:tcW w:w="5382" w:type="dxa"/>
          </w:tcPr>
          <w:p w14:paraId="4B18CC85" w14:textId="77777777" w:rsidR="006636C3" w:rsidRPr="00D948C1" w:rsidRDefault="006636C3" w:rsidP="006636C3">
            <w:pPr>
              <w:rPr>
                <w:szCs w:val="24"/>
              </w:rPr>
            </w:pPr>
            <w:r w:rsidRPr="00D948C1">
              <w:rPr>
                <w:szCs w:val="24"/>
              </w:rPr>
              <w:t>Authority’s asset ceiling</w:t>
            </w:r>
          </w:p>
        </w:tc>
        <w:tc>
          <w:tcPr>
            <w:tcW w:w="1701" w:type="dxa"/>
            <w:vAlign w:val="center"/>
          </w:tcPr>
          <w:p w14:paraId="116AD65F" w14:textId="6AA93D81" w:rsidR="006636C3" w:rsidRPr="00294859" w:rsidRDefault="00517C8C" w:rsidP="006636C3">
            <w:pPr>
              <w:jc w:val="right"/>
              <w:rPr>
                <w:szCs w:val="24"/>
              </w:rPr>
            </w:pPr>
            <w:r w:rsidRPr="00294859">
              <w:rPr>
                <w:szCs w:val="24"/>
              </w:rPr>
              <w:t>-</w:t>
            </w:r>
          </w:p>
        </w:tc>
        <w:tc>
          <w:tcPr>
            <w:tcW w:w="1701" w:type="dxa"/>
            <w:vAlign w:val="center"/>
          </w:tcPr>
          <w:p w14:paraId="4AAEBC00" w14:textId="2C249A79" w:rsidR="006636C3" w:rsidRPr="00670646" w:rsidRDefault="005B6F6B" w:rsidP="006636C3">
            <w:pPr>
              <w:jc w:val="right"/>
              <w:rPr>
                <w:szCs w:val="24"/>
              </w:rPr>
            </w:pPr>
            <w:r w:rsidRPr="00670646">
              <w:rPr>
                <w:szCs w:val="24"/>
              </w:rPr>
              <w:t>-</w:t>
            </w:r>
          </w:p>
        </w:tc>
      </w:tr>
      <w:tr w:rsidR="006636C3" w:rsidRPr="00D948C1" w14:paraId="2A81B3E2" w14:textId="77777777" w:rsidTr="00DD63D7">
        <w:tc>
          <w:tcPr>
            <w:tcW w:w="5382" w:type="dxa"/>
          </w:tcPr>
          <w:p w14:paraId="3DA14B13" w14:textId="77777777" w:rsidR="006636C3" w:rsidRPr="00D948C1" w:rsidRDefault="006636C3" w:rsidP="006636C3">
            <w:pPr>
              <w:rPr>
                <w:szCs w:val="24"/>
              </w:rPr>
            </w:pPr>
            <w:r w:rsidRPr="00D948C1">
              <w:rPr>
                <w:szCs w:val="24"/>
              </w:rPr>
              <w:t>Adjustment for asset ceiling</w:t>
            </w:r>
          </w:p>
        </w:tc>
        <w:tc>
          <w:tcPr>
            <w:tcW w:w="1701" w:type="dxa"/>
            <w:vAlign w:val="center"/>
          </w:tcPr>
          <w:p w14:paraId="6FC9DF75" w14:textId="6DA0F4AA" w:rsidR="006636C3" w:rsidRPr="00294859" w:rsidRDefault="00517C8C" w:rsidP="006636C3">
            <w:pPr>
              <w:jc w:val="right"/>
              <w:rPr>
                <w:szCs w:val="24"/>
              </w:rPr>
            </w:pPr>
            <w:r w:rsidRPr="00294859">
              <w:rPr>
                <w:szCs w:val="24"/>
              </w:rPr>
              <w:t>(</w:t>
            </w:r>
            <w:r w:rsidRPr="00DE3FCE">
              <w:rPr>
                <w:szCs w:val="24"/>
              </w:rPr>
              <w:t>32,061)</w:t>
            </w:r>
          </w:p>
        </w:tc>
        <w:tc>
          <w:tcPr>
            <w:tcW w:w="1701" w:type="dxa"/>
            <w:vAlign w:val="center"/>
          </w:tcPr>
          <w:p w14:paraId="2E8E7741" w14:textId="7D7E7683" w:rsidR="006636C3" w:rsidRPr="00670646" w:rsidRDefault="006636C3" w:rsidP="006636C3">
            <w:pPr>
              <w:jc w:val="right"/>
              <w:rPr>
                <w:szCs w:val="24"/>
              </w:rPr>
            </w:pPr>
            <w:r w:rsidRPr="00670646">
              <w:rPr>
                <w:szCs w:val="24"/>
              </w:rPr>
              <w:t>(23,892)</w:t>
            </w:r>
          </w:p>
        </w:tc>
      </w:tr>
      <w:tr w:rsidR="006636C3" w:rsidRPr="00D948C1" w14:paraId="68268CD9" w14:textId="77777777" w:rsidTr="00DD63D7">
        <w:tc>
          <w:tcPr>
            <w:tcW w:w="5382" w:type="dxa"/>
          </w:tcPr>
          <w:p w14:paraId="4CDEB294" w14:textId="77777777" w:rsidR="006636C3" w:rsidRPr="00D948C1" w:rsidRDefault="006636C3" w:rsidP="006636C3">
            <w:pPr>
              <w:rPr>
                <w:szCs w:val="24"/>
              </w:rPr>
            </w:pPr>
            <w:r w:rsidRPr="00D948C1">
              <w:rPr>
                <w:szCs w:val="24"/>
              </w:rPr>
              <w:t>Net defined benefit asset/(liability)</w:t>
            </w:r>
          </w:p>
        </w:tc>
        <w:tc>
          <w:tcPr>
            <w:tcW w:w="1701" w:type="dxa"/>
            <w:vAlign w:val="center"/>
          </w:tcPr>
          <w:p w14:paraId="1675AA90" w14:textId="567E4A4F" w:rsidR="006636C3" w:rsidRPr="00294859" w:rsidRDefault="00BD1188" w:rsidP="006636C3">
            <w:pPr>
              <w:jc w:val="right"/>
              <w:rPr>
                <w:szCs w:val="24"/>
              </w:rPr>
            </w:pPr>
            <w:r w:rsidRPr="00294859">
              <w:rPr>
                <w:szCs w:val="24"/>
              </w:rPr>
              <w:t>(</w:t>
            </w:r>
            <w:r w:rsidRPr="00DE3FCE">
              <w:rPr>
                <w:szCs w:val="24"/>
              </w:rPr>
              <w:t>84)</w:t>
            </w:r>
          </w:p>
        </w:tc>
        <w:tc>
          <w:tcPr>
            <w:tcW w:w="1701" w:type="dxa"/>
            <w:vAlign w:val="center"/>
          </w:tcPr>
          <w:p w14:paraId="3B1D2523" w14:textId="3A7A4158" w:rsidR="006636C3" w:rsidRPr="00670646" w:rsidRDefault="006636C3" w:rsidP="006636C3">
            <w:pPr>
              <w:jc w:val="right"/>
              <w:rPr>
                <w:szCs w:val="24"/>
              </w:rPr>
            </w:pPr>
            <w:r w:rsidRPr="00670646">
              <w:rPr>
                <w:szCs w:val="24"/>
              </w:rPr>
              <w:t>(94)</w:t>
            </w:r>
          </w:p>
        </w:tc>
      </w:tr>
    </w:tbl>
    <w:p w14:paraId="6DE8132A" w14:textId="7CDF4FB2" w:rsidR="007F5EEE" w:rsidRPr="00D948C1" w:rsidRDefault="007F5EEE">
      <w:pPr>
        <w:rPr>
          <w:b/>
          <w:szCs w:val="24"/>
        </w:rPr>
      </w:pPr>
    </w:p>
    <w:p w14:paraId="7FEE6CC0" w14:textId="72B6E7D0" w:rsidR="00D90216" w:rsidRPr="00D948C1" w:rsidRDefault="00D90216" w:rsidP="00AC5949">
      <w:pPr>
        <w:ind w:left="709"/>
        <w:rPr>
          <w:b/>
          <w:szCs w:val="24"/>
        </w:rPr>
      </w:pPr>
      <w:r w:rsidRPr="00D948C1">
        <w:rPr>
          <w:b/>
          <w:szCs w:val="24"/>
        </w:rPr>
        <w:t>Scheme history</w:t>
      </w:r>
    </w:p>
    <w:p w14:paraId="78CEF00B" w14:textId="77777777" w:rsidR="00D90216" w:rsidRPr="00D948C1" w:rsidRDefault="00D90216" w:rsidP="00D90216">
      <w:pPr>
        <w:ind w:left="709"/>
        <w:jc w:val="both"/>
        <w:rPr>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78"/>
        <w:gridCol w:w="1470"/>
        <w:gridCol w:w="1296"/>
        <w:gridCol w:w="1276"/>
        <w:gridCol w:w="1276"/>
      </w:tblGrid>
      <w:tr w:rsidR="005666C0" w:rsidRPr="00D948C1" w14:paraId="33F95A02" w14:textId="77777777" w:rsidTr="00611673">
        <w:trPr>
          <w:trHeight w:val="80"/>
          <w:tblHeader/>
        </w:trPr>
        <w:tc>
          <w:tcPr>
            <w:tcW w:w="3119" w:type="dxa"/>
            <w:shd w:val="clear" w:color="auto" w:fill="BD2716"/>
          </w:tcPr>
          <w:p w14:paraId="35DBBE39" w14:textId="77777777" w:rsidR="005666C0" w:rsidRPr="00D948C1" w:rsidRDefault="005666C0" w:rsidP="005666C0">
            <w:pPr>
              <w:jc w:val="both"/>
              <w:rPr>
                <w:color w:val="FFFFFF" w:themeColor="background1"/>
                <w:szCs w:val="24"/>
              </w:rPr>
            </w:pPr>
          </w:p>
        </w:tc>
        <w:tc>
          <w:tcPr>
            <w:tcW w:w="1378" w:type="dxa"/>
            <w:shd w:val="clear" w:color="auto" w:fill="BD2716"/>
            <w:vAlign w:val="center"/>
          </w:tcPr>
          <w:p w14:paraId="7BACB080" w14:textId="4B622636"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4A1D5DA8" w14:textId="72B40108" w:rsidR="005666C0" w:rsidRPr="00D948C1" w:rsidRDefault="005666C0" w:rsidP="005666C0">
            <w:pPr>
              <w:jc w:val="right"/>
              <w:rPr>
                <w:color w:val="FFFFFF" w:themeColor="background1"/>
                <w:szCs w:val="24"/>
              </w:rPr>
            </w:pPr>
            <w:r w:rsidRPr="00D948C1">
              <w:rPr>
                <w:color w:val="FFFFFF" w:themeColor="background1"/>
                <w:szCs w:val="24"/>
              </w:rPr>
              <w:t>£000</w:t>
            </w:r>
          </w:p>
        </w:tc>
        <w:tc>
          <w:tcPr>
            <w:tcW w:w="1470" w:type="dxa"/>
            <w:shd w:val="clear" w:color="auto" w:fill="BD2716"/>
            <w:vAlign w:val="center"/>
          </w:tcPr>
          <w:p w14:paraId="438F8007"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639EE4C6" w14:textId="732F6435" w:rsidR="005666C0" w:rsidRPr="00D948C1" w:rsidRDefault="005666C0" w:rsidP="005666C0">
            <w:pPr>
              <w:jc w:val="right"/>
              <w:rPr>
                <w:color w:val="FFFFFF" w:themeColor="background1"/>
                <w:szCs w:val="24"/>
              </w:rPr>
            </w:pPr>
            <w:r w:rsidRPr="00D948C1">
              <w:rPr>
                <w:color w:val="FFFFFF" w:themeColor="background1"/>
                <w:szCs w:val="24"/>
              </w:rPr>
              <w:t>£000</w:t>
            </w:r>
          </w:p>
        </w:tc>
        <w:tc>
          <w:tcPr>
            <w:tcW w:w="1296" w:type="dxa"/>
            <w:shd w:val="clear" w:color="auto" w:fill="BD2716"/>
            <w:vAlign w:val="center"/>
          </w:tcPr>
          <w:p w14:paraId="13C64B11" w14:textId="77777777" w:rsidR="005666C0" w:rsidRPr="00D948C1" w:rsidRDefault="005666C0" w:rsidP="005666C0">
            <w:pPr>
              <w:jc w:val="right"/>
              <w:rPr>
                <w:color w:val="FFFFFF" w:themeColor="background1"/>
                <w:szCs w:val="24"/>
              </w:rPr>
            </w:pPr>
            <w:r w:rsidRPr="00D948C1">
              <w:rPr>
                <w:color w:val="FFFFFF" w:themeColor="background1"/>
                <w:szCs w:val="24"/>
              </w:rPr>
              <w:t>2022/23</w:t>
            </w:r>
          </w:p>
          <w:p w14:paraId="61BB6B9A" w14:textId="393A9595" w:rsidR="005666C0" w:rsidRPr="00D948C1" w:rsidRDefault="005666C0" w:rsidP="005666C0">
            <w:pPr>
              <w:jc w:val="right"/>
              <w:rPr>
                <w:color w:val="FFFFFF" w:themeColor="background1"/>
                <w:szCs w:val="24"/>
              </w:rPr>
            </w:pPr>
            <w:r w:rsidRPr="00D948C1">
              <w:rPr>
                <w:color w:val="FFFFFF" w:themeColor="background1"/>
                <w:szCs w:val="24"/>
              </w:rPr>
              <w:t>£000</w:t>
            </w:r>
          </w:p>
        </w:tc>
        <w:tc>
          <w:tcPr>
            <w:tcW w:w="1276" w:type="dxa"/>
            <w:shd w:val="clear" w:color="auto" w:fill="BD2716"/>
            <w:vAlign w:val="center"/>
          </w:tcPr>
          <w:p w14:paraId="0606DB8B" w14:textId="77777777" w:rsidR="005666C0" w:rsidRPr="00D948C1" w:rsidRDefault="005666C0" w:rsidP="005666C0">
            <w:pPr>
              <w:jc w:val="right"/>
              <w:rPr>
                <w:color w:val="FFFFFF" w:themeColor="background1"/>
                <w:szCs w:val="24"/>
              </w:rPr>
            </w:pPr>
            <w:r w:rsidRPr="00D948C1">
              <w:rPr>
                <w:color w:val="FFFFFF" w:themeColor="background1"/>
                <w:szCs w:val="24"/>
              </w:rPr>
              <w:t>2021/22</w:t>
            </w:r>
          </w:p>
          <w:p w14:paraId="3BA5EB87" w14:textId="50210AE8" w:rsidR="005666C0" w:rsidRPr="00D948C1" w:rsidRDefault="005666C0" w:rsidP="005666C0">
            <w:pPr>
              <w:jc w:val="right"/>
              <w:rPr>
                <w:color w:val="FFFFFF" w:themeColor="background1"/>
                <w:szCs w:val="24"/>
              </w:rPr>
            </w:pPr>
            <w:r w:rsidRPr="00D948C1">
              <w:rPr>
                <w:color w:val="FFFFFF" w:themeColor="background1"/>
                <w:szCs w:val="24"/>
              </w:rPr>
              <w:t>£000</w:t>
            </w:r>
          </w:p>
        </w:tc>
        <w:tc>
          <w:tcPr>
            <w:tcW w:w="1276" w:type="dxa"/>
            <w:shd w:val="clear" w:color="auto" w:fill="BD2716"/>
            <w:vAlign w:val="center"/>
          </w:tcPr>
          <w:p w14:paraId="5443D2FB" w14:textId="77777777" w:rsidR="005666C0" w:rsidRPr="00D948C1" w:rsidRDefault="005666C0" w:rsidP="005666C0">
            <w:pPr>
              <w:jc w:val="right"/>
              <w:rPr>
                <w:color w:val="FFFFFF" w:themeColor="background1"/>
                <w:szCs w:val="24"/>
              </w:rPr>
            </w:pPr>
            <w:r w:rsidRPr="00D948C1">
              <w:rPr>
                <w:color w:val="FFFFFF" w:themeColor="background1"/>
                <w:szCs w:val="24"/>
              </w:rPr>
              <w:t>2020/21</w:t>
            </w:r>
          </w:p>
          <w:p w14:paraId="0811F53A" w14:textId="4901C5D1" w:rsidR="005666C0" w:rsidRPr="00D948C1" w:rsidRDefault="005666C0" w:rsidP="005666C0">
            <w:pPr>
              <w:jc w:val="right"/>
              <w:rPr>
                <w:color w:val="FFFFFF" w:themeColor="background1"/>
                <w:szCs w:val="24"/>
              </w:rPr>
            </w:pPr>
            <w:r w:rsidRPr="00D948C1">
              <w:rPr>
                <w:color w:val="FFFFFF" w:themeColor="background1"/>
                <w:szCs w:val="24"/>
              </w:rPr>
              <w:t>£000</w:t>
            </w:r>
          </w:p>
        </w:tc>
      </w:tr>
      <w:tr w:rsidR="00AC5949" w:rsidRPr="00D948C1" w14:paraId="457BBFD2" w14:textId="77777777" w:rsidTr="00982FEC">
        <w:tc>
          <w:tcPr>
            <w:tcW w:w="9815" w:type="dxa"/>
            <w:gridSpan w:val="6"/>
            <w:shd w:val="clear" w:color="auto" w:fill="D9D9D9" w:themeFill="background1" w:themeFillShade="D9"/>
          </w:tcPr>
          <w:p w14:paraId="284A4D14" w14:textId="7078F7F0" w:rsidR="00AC5949" w:rsidRPr="00D948C1" w:rsidRDefault="00AC5949" w:rsidP="000C442C">
            <w:pPr>
              <w:rPr>
                <w:b/>
                <w:bCs/>
                <w:szCs w:val="24"/>
              </w:rPr>
            </w:pPr>
            <w:r w:rsidRPr="00D948C1">
              <w:rPr>
                <w:b/>
                <w:bCs/>
                <w:szCs w:val="24"/>
              </w:rPr>
              <w:t>Present value of liabilities:</w:t>
            </w:r>
          </w:p>
        </w:tc>
      </w:tr>
      <w:tr w:rsidR="005666C0" w:rsidRPr="00670646" w14:paraId="187DED63" w14:textId="77777777" w:rsidTr="00DD63D7">
        <w:tc>
          <w:tcPr>
            <w:tcW w:w="3119" w:type="dxa"/>
          </w:tcPr>
          <w:p w14:paraId="377AC709" w14:textId="77777777" w:rsidR="005666C0" w:rsidRPr="00670646" w:rsidRDefault="005666C0" w:rsidP="005666C0">
            <w:pPr>
              <w:rPr>
                <w:szCs w:val="24"/>
              </w:rPr>
            </w:pPr>
            <w:r w:rsidRPr="00670646">
              <w:rPr>
                <w:szCs w:val="24"/>
              </w:rPr>
              <w:t>Local Government Pension Scheme (LGPS)</w:t>
            </w:r>
          </w:p>
        </w:tc>
        <w:tc>
          <w:tcPr>
            <w:tcW w:w="1378" w:type="dxa"/>
            <w:vAlign w:val="center"/>
          </w:tcPr>
          <w:p w14:paraId="7C3285BF" w14:textId="0351E53C" w:rsidR="005666C0" w:rsidRPr="00670646" w:rsidRDefault="00BC09FE" w:rsidP="005666C0">
            <w:pPr>
              <w:jc w:val="right"/>
              <w:rPr>
                <w:szCs w:val="24"/>
              </w:rPr>
            </w:pPr>
            <w:r w:rsidRPr="00670646">
              <w:rPr>
                <w:szCs w:val="24"/>
              </w:rPr>
              <w:t>(53,417)</w:t>
            </w:r>
          </w:p>
        </w:tc>
        <w:tc>
          <w:tcPr>
            <w:tcW w:w="1470" w:type="dxa"/>
            <w:vAlign w:val="center"/>
          </w:tcPr>
          <w:p w14:paraId="3941FCA7" w14:textId="5CE88B38" w:rsidR="005666C0" w:rsidRPr="00670646" w:rsidRDefault="005666C0" w:rsidP="005666C0">
            <w:pPr>
              <w:jc w:val="right"/>
              <w:rPr>
                <w:szCs w:val="24"/>
              </w:rPr>
            </w:pPr>
            <w:r w:rsidRPr="00670646">
              <w:rPr>
                <w:szCs w:val="24"/>
              </w:rPr>
              <w:t>(60,315)</w:t>
            </w:r>
          </w:p>
        </w:tc>
        <w:tc>
          <w:tcPr>
            <w:tcW w:w="1296" w:type="dxa"/>
            <w:vAlign w:val="center"/>
          </w:tcPr>
          <w:p w14:paraId="33866DB5" w14:textId="6031BE01" w:rsidR="005666C0" w:rsidRPr="00670646" w:rsidRDefault="005666C0" w:rsidP="005666C0">
            <w:pPr>
              <w:jc w:val="right"/>
              <w:rPr>
                <w:szCs w:val="24"/>
              </w:rPr>
            </w:pPr>
            <w:r w:rsidRPr="00670646">
              <w:rPr>
                <w:szCs w:val="24"/>
              </w:rPr>
              <w:t>(58,483)</w:t>
            </w:r>
          </w:p>
        </w:tc>
        <w:tc>
          <w:tcPr>
            <w:tcW w:w="1276" w:type="dxa"/>
            <w:vAlign w:val="center"/>
          </w:tcPr>
          <w:p w14:paraId="472B86D4" w14:textId="6F532452" w:rsidR="005666C0" w:rsidRPr="00670646" w:rsidRDefault="005666C0" w:rsidP="005666C0">
            <w:pPr>
              <w:jc w:val="right"/>
              <w:rPr>
                <w:szCs w:val="24"/>
              </w:rPr>
            </w:pPr>
            <w:r w:rsidRPr="00670646">
              <w:rPr>
                <w:szCs w:val="24"/>
              </w:rPr>
              <w:t>(84,201)</w:t>
            </w:r>
          </w:p>
        </w:tc>
        <w:tc>
          <w:tcPr>
            <w:tcW w:w="1276" w:type="dxa"/>
            <w:vAlign w:val="center"/>
          </w:tcPr>
          <w:p w14:paraId="6BE05731" w14:textId="58F717BF" w:rsidR="005666C0" w:rsidRPr="00670646" w:rsidRDefault="005666C0" w:rsidP="005666C0">
            <w:pPr>
              <w:jc w:val="right"/>
              <w:rPr>
                <w:szCs w:val="24"/>
              </w:rPr>
            </w:pPr>
            <w:r w:rsidRPr="00670646">
              <w:rPr>
                <w:szCs w:val="24"/>
              </w:rPr>
              <w:t>(83,631)</w:t>
            </w:r>
          </w:p>
        </w:tc>
      </w:tr>
      <w:tr w:rsidR="005666C0" w:rsidRPr="00670646" w14:paraId="662AC241" w14:textId="77777777" w:rsidTr="00DD63D7">
        <w:tc>
          <w:tcPr>
            <w:tcW w:w="3119" w:type="dxa"/>
          </w:tcPr>
          <w:p w14:paraId="3208A8BC" w14:textId="77777777" w:rsidR="005666C0" w:rsidRPr="00670646" w:rsidRDefault="005666C0" w:rsidP="005666C0">
            <w:pPr>
              <w:rPr>
                <w:szCs w:val="24"/>
              </w:rPr>
            </w:pPr>
            <w:r w:rsidRPr="00670646">
              <w:rPr>
                <w:szCs w:val="24"/>
              </w:rPr>
              <w:t>Firefighters Pension Scheme</w:t>
            </w:r>
          </w:p>
        </w:tc>
        <w:tc>
          <w:tcPr>
            <w:tcW w:w="1378" w:type="dxa"/>
            <w:vAlign w:val="center"/>
          </w:tcPr>
          <w:p w14:paraId="113E0FDD" w14:textId="440CA7DE" w:rsidR="005666C0" w:rsidRPr="00670646" w:rsidRDefault="0038434E" w:rsidP="005666C0">
            <w:pPr>
              <w:jc w:val="right"/>
              <w:rPr>
                <w:szCs w:val="24"/>
              </w:rPr>
            </w:pPr>
            <w:r w:rsidRPr="00670646">
              <w:rPr>
                <w:szCs w:val="24"/>
              </w:rPr>
              <w:t>(588,346)</w:t>
            </w:r>
          </w:p>
        </w:tc>
        <w:tc>
          <w:tcPr>
            <w:tcW w:w="1470" w:type="dxa"/>
            <w:vAlign w:val="center"/>
          </w:tcPr>
          <w:p w14:paraId="14F3436A" w14:textId="1A56EC21" w:rsidR="005666C0" w:rsidRPr="00670646" w:rsidRDefault="005666C0" w:rsidP="005666C0">
            <w:pPr>
              <w:jc w:val="right"/>
              <w:rPr>
                <w:szCs w:val="24"/>
              </w:rPr>
            </w:pPr>
            <w:r w:rsidRPr="00670646">
              <w:rPr>
                <w:szCs w:val="24"/>
              </w:rPr>
              <w:t>(651,826)</w:t>
            </w:r>
          </w:p>
        </w:tc>
        <w:tc>
          <w:tcPr>
            <w:tcW w:w="1296" w:type="dxa"/>
            <w:vAlign w:val="center"/>
          </w:tcPr>
          <w:p w14:paraId="536E00D7" w14:textId="13AD7D7D" w:rsidR="005666C0" w:rsidRPr="00670646" w:rsidRDefault="005666C0" w:rsidP="005666C0">
            <w:pPr>
              <w:jc w:val="right"/>
              <w:rPr>
                <w:szCs w:val="24"/>
              </w:rPr>
            </w:pPr>
            <w:r w:rsidRPr="00670646">
              <w:rPr>
                <w:szCs w:val="24"/>
              </w:rPr>
              <w:t>(651,536)</w:t>
            </w:r>
          </w:p>
        </w:tc>
        <w:tc>
          <w:tcPr>
            <w:tcW w:w="1276" w:type="dxa"/>
            <w:vAlign w:val="center"/>
          </w:tcPr>
          <w:p w14:paraId="3E230EF3" w14:textId="01B3F38A" w:rsidR="005666C0" w:rsidRPr="00670646" w:rsidRDefault="005666C0" w:rsidP="005666C0">
            <w:pPr>
              <w:jc w:val="right"/>
              <w:rPr>
                <w:szCs w:val="24"/>
              </w:rPr>
            </w:pPr>
            <w:r w:rsidRPr="00670646">
              <w:rPr>
                <w:szCs w:val="24"/>
              </w:rPr>
              <w:t>(875,936)</w:t>
            </w:r>
          </w:p>
        </w:tc>
        <w:tc>
          <w:tcPr>
            <w:tcW w:w="1276" w:type="dxa"/>
            <w:vAlign w:val="center"/>
          </w:tcPr>
          <w:p w14:paraId="620147C2" w14:textId="674746C2" w:rsidR="005666C0" w:rsidRPr="00670646" w:rsidRDefault="005666C0" w:rsidP="005666C0">
            <w:pPr>
              <w:jc w:val="right"/>
              <w:rPr>
                <w:szCs w:val="24"/>
              </w:rPr>
            </w:pPr>
            <w:r w:rsidRPr="00670646">
              <w:rPr>
                <w:szCs w:val="24"/>
              </w:rPr>
              <w:t>(872,386)</w:t>
            </w:r>
          </w:p>
        </w:tc>
      </w:tr>
      <w:tr w:rsidR="005666C0" w:rsidRPr="00670646" w14:paraId="48BA3EB7" w14:textId="77777777" w:rsidTr="00DD63D7">
        <w:tc>
          <w:tcPr>
            <w:tcW w:w="3119" w:type="dxa"/>
          </w:tcPr>
          <w:p w14:paraId="116B1D38" w14:textId="77777777" w:rsidR="005666C0" w:rsidRPr="00670646" w:rsidRDefault="005666C0" w:rsidP="005666C0">
            <w:pPr>
              <w:rPr>
                <w:szCs w:val="24"/>
              </w:rPr>
            </w:pPr>
            <w:r w:rsidRPr="00670646">
              <w:rPr>
                <w:szCs w:val="24"/>
              </w:rPr>
              <w:t>Fair value of assets in LGPS</w:t>
            </w:r>
          </w:p>
        </w:tc>
        <w:tc>
          <w:tcPr>
            <w:tcW w:w="1378" w:type="dxa"/>
            <w:vAlign w:val="center"/>
          </w:tcPr>
          <w:p w14:paraId="554CAC82" w14:textId="7CDCB357" w:rsidR="005666C0" w:rsidRPr="00670646" w:rsidRDefault="00BC09FE" w:rsidP="005666C0">
            <w:pPr>
              <w:jc w:val="right"/>
              <w:rPr>
                <w:szCs w:val="24"/>
              </w:rPr>
            </w:pPr>
            <w:r w:rsidRPr="00670646">
              <w:rPr>
                <w:szCs w:val="24"/>
              </w:rPr>
              <w:t>85,394</w:t>
            </w:r>
          </w:p>
        </w:tc>
        <w:tc>
          <w:tcPr>
            <w:tcW w:w="1470" w:type="dxa"/>
            <w:vAlign w:val="center"/>
          </w:tcPr>
          <w:p w14:paraId="7982D5C8" w14:textId="34727CEF" w:rsidR="005666C0" w:rsidRPr="00670646" w:rsidRDefault="005666C0" w:rsidP="005666C0">
            <w:pPr>
              <w:jc w:val="right"/>
              <w:rPr>
                <w:szCs w:val="24"/>
              </w:rPr>
            </w:pPr>
            <w:r w:rsidRPr="00670646">
              <w:rPr>
                <w:szCs w:val="24"/>
              </w:rPr>
              <w:t>84,113</w:t>
            </w:r>
          </w:p>
        </w:tc>
        <w:tc>
          <w:tcPr>
            <w:tcW w:w="1296" w:type="dxa"/>
            <w:vAlign w:val="center"/>
          </w:tcPr>
          <w:p w14:paraId="2B5062B4" w14:textId="272FAB5A" w:rsidR="005666C0" w:rsidRPr="00670646" w:rsidRDefault="005666C0" w:rsidP="005666C0">
            <w:pPr>
              <w:jc w:val="right"/>
              <w:rPr>
                <w:szCs w:val="24"/>
              </w:rPr>
            </w:pPr>
            <w:r w:rsidRPr="00670646">
              <w:rPr>
                <w:szCs w:val="24"/>
              </w:rPr>
              <w:t>78,360</w:t>
            </w:r>
          </w:p>
        </w:tc>
        <w:tc>
          <w:tcPr>
            <w:tcW w:w="1276" w:type="dxa"/>
            <w:vAlign w:val="center"/>
          </w:tcPr>
          <w:p w14:paraId="45E74F68" w14:textId="6ACD5CF5" w:rsidR="005666C0" w:rsidRPr="00670646" w:rsidRDefault="005666C0" w:rsidP="005666C0">
            <w:pPr>
              <w:jc w:val="right"/>
              <w:rPr>
                <w:szCs w:val="24"/>
              </w:rPr>
            </w:pPr>
            <w:r w:rsidRPr="00670646">
              <w:rPr>
                <w:szCs w:val="24"/>
              </w:rPr>
              <w:t>76,703</w:t>
            </w:r>
          </w:p>
        </w:tc>
        <w:tc>
          <w:tcPr>
            <w:tcW w:w="1276" w:type="dxa"/>
            <w:vAlign w:val="center"/>
          </w:tcPr>
          <w:p w14:paraId="55DE3593" w14:textId="74EB4E73" w:rsidR="005666C0" w:rsidRPr="00670646" w:rsidRDefault="005666C0" w:rsidP="005666C0">
            <w:pPr>
              <w:jc w:val="right"/>
              <w:rPr>
                <w:szCs w:val="24"/>
              </w:rPr>
            </w:pPr>
            <w:r w:rsidRPr="00670646">
              <w:rPr>
                <w:szCs w:val="24"/>
              </w:rPr>
              <w:t>68,314</w:t>
            </w:r>
          </w:p>
        </w:tc>
      </w:tr>
    </w:tbl>
    <w:p w14:paraId="64F3650A" w14:textId="77777777" w:rsidR="001E71F1" w:rsidRPr="00670646" w:rsidRDefault="001E71F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78"/>
        <w:gridCol w:w="1470"/>
        <w:gridCol w:w="1296"/>
        <w:gridCol w:w="1276"/>
        <w:gridCol w:w="1276"/>
      </w:tblGrid>
      <w:tr w:rsidR="00AC5949" w:rsidRPr="00670646" w14:paraId="796A5A0C" w14:textId="77777777" w:rsidTr="00982FEC">
        <w:tc>
          <w:tcPr>
            <w:tcW w:w="9815" w:type="dxa"/>
            <w:gridSpan w:val="6"/>
            <w:shd w:val="clear" w:color="auto" w:fill="D9D9D9" w:themeFill="background1" w:themeFillShade="D9"/>
          </w:tcPr>
          <w:p w14:paraId="04BD9E30" w14:textId="0B79DB10" w:rsidR="00AC5949" w:rsidRPr="00670646" w:rsidRDefault="00AC5949" w:rsidP="000C442C">
            <w:pPr>
              <w:rPr>
                <w:b/>
                <w:bCs/>
                <w:szCs w:val="24"/>
              </w:rPr>
            </w:pPr>
            <w:r w:rsidRPr="00670646">
              <w:rPr>
                <w:b/>
                <w:bCs/>
                <w:szCs w:val="24"/>
              </w:rPr>
              <w:t>Surplus/(Deficit) in the scheme:</w:t>
            </w:r>
          </w:p>
        </w:tc>
      </w:tr>
      <w:tr w:rsidR="005666C0" w:rsidRPr="00670646" w14:paraId="1E660B70" w14:textId="77777777" w:rsidTr="00DD63D7">
        <w:tc>
          <w:tcPr>
            <w:tcW w:w="3119" w:type="dxa"/>
          </w:tcPr>
          <w:p w14:paraId="000D6A8F" w14:textId="77777777" w:rsidR="005666C0" w:rsidRPr="00670646" w:rsidRDefault="005666C0" w:rsidP="005666C0">
            <w:pPr>
              <w:rPr>
                <w:szCs w:val="24"/>
              </w:rPr>
            </w:pPr>
            <w:r w:rsidRPr="00670646">
              <w:rPr>
                <w:szCs w:val="24"/>
              </w:rPr>
              <w:t>Local Government Pension Scheme (LGPS)</w:t>
            </w:r>
          </w:p>
        </w:tc>
        <w:tc>
          <w:tcPr>
            <w:tcW w:w="1378" w:type="dxa"/>
            <w:vAlign w:val="center"/>
          </w:tcPr>
          <w:p w14:paraId="1DBDAE84" w14:textId="750F54CA" w:rsidR="005666C0" w:rsidRPr="00670646" w:rsidRDefault="00EF55F8" w:rsidP="005666C0">
            <w:pPr>
              <w:jc w:val="right"/>
              <w:rPr>
                <w:szCs w:val="24"/>
              </w:rPr>
            </w:pPr>
            <w:r w:rsidRPr="00670646">
              <w:rPr>
                <w:szCs w:val="24"/>
              </w:rPr>
              <w:t>31,977</w:t>
            </w:r>
          </w:p>
        </w:tc>
        <w:tc>
          <w:tcPr>
            <w:tcW w:w="1470" w:type="dxa"/>
            <w:vAlign w:val="center"/>
          </w:tcPr>
          <w:p w14:paraId="10DCCB22" w14:textId="58DD6DDE" w:rsidR="005666C0" w:rsidRPr="00670646" w:rsidRDefault="005666C0" w:rsidP="005666C0">
            <w:pPr>
              <w:jc w:val="right"/>
              <w:rPr>
                <w:szCs w:val="24"/>
              </w:rPr>
            </w:pPr>
            <w:r w:rsidRPr="00670646">
              <w:rPr>
                <w:szCs w:val="24"/>
              </w:rPr>
              <w:t>23,798</w:t>
            </w:r>
          </w:p>
        </w:tc>
        <w:tc>
          <w:tcPr>
            <w:tcW w:w="1296" w:type="dxa"/>
            <w:vAlign w:val="center"/>
          </w:tcPr>
          <w:p w14:paraId="01699BEA" w14:textId="41CCBBFC" w:rsidR="005666C0" w:rsidRPr="00670646" w:rsidRDefault="005666C0" w:rsidP="005666C0">
            <w:pPr>
              <w:jc w:val="right"/>
              <w:rPr>
                <w:szCs w:val="24"/>
              </w:rPr>
            </w:pPr>
            <w:r w:rsidRPr="00670646">
              <w:rPr>
                <w:szCs w:val="24"/>
              </w:rPr>
              <w:t>19,877</w:t>
            </w:r>
          </w:p>
        </w:tc>
        <w:tc>
          <w:tcPr>
            <w:tcW w:w="1276" w:type="dxa"/>
            <w:vAlign w:val="center"/>
          </w:tcPr>
          <w:p w14:paraId="4B8F1B33" w14:textId="66548052" w:rsidR="005666C0" w:rsidRPr="00670646" w:rsidRDefault="005666C0" w:rsidP="005666C0">
            <w:pPr>
              <w:jc w:val="right"/>
              <w:rPr>
                <w:szCs w:val="24"/>
              </w:rPr>
            </w:pPr>
            <w:r w:rsidRPr="00670646">
              <w:rPr>
                <w:szCs w:val="24"/>
              </w:rPr>
              <w:t>(7,498)</w:t>
            </w:r>
          </w:p>
        </w:tc>
        <w:tc>
          <w:tcPr>
            <w:tcW w:w="1276" w:type="dxa"/>
            <w:vAlign w:val="center"/>
          </w:tcPr>
          <w:p w14:paraId="4C136066" w14:textId="6C704535" w:rsidR="005666C0" w:rsidRPr="00670646" w:rsidRDefault="005666C0" w:rsidP="005666C0">
            <w:pPr>
              <w:jc w:val="right"/>
              <w:rPr>
                <w:szCs w:val="24"/>
              </w:rPr>
            </w:pPr>
            <w:r w:rsidRPr="00670646">
              <w:rPr>
                <w:szCs w:val="24"/>
              </w:rPr>
              <w:t>(15,318)</w:t>
            </w:r>
          </w:p>
        </w:tc>
      </w:tr>
      <w:tr w:rsidR="005666C0" w:rsidRPr="00670646" w14:paraId="5FAE166C" w14:textId="77777777" w:rsidTr="00DD63D7">
        <w:tc>
          <w:tcPr>
            <w:tcW w:w="3119" w:type="dxa"/>
          </w:tcPr>
          <w:p w14:paraId="4BD18E1F" w14:textId="77777777" w:rsidR="005666C0" w:rsidRPr="00670646" w:rsidRDefault="005666C0" w:rsidP="005666C0">
            <w:pPr>
              <w:rPr>
                <w:szCs w:val="24"/>
              </w:rPr>
            </w:pPr>
            <w:r w:rsidRPr="00670646">
              <w:rPr>
                <w:szCs w:val="24"/>
              </w:rPr>
              <w:t>Firefighters Pension Scheme</w:t>
            </w:r>
          </w:p>
        </w:tc>
        <w:tc>
          <w:tcPr>
            <w:tcW w:w="1378" w:type="dxa"/>
            <w:vAlign w:val="center"/>
          </w:tcPr>
          <w:p w14:paraId="41460B36" w14:textId="1CE17AA2" w:rsidR="005666C0" w:rsidRPr="00670646" w:rsidRDefault="0038434E" w:rsidP="005666C0">
            <w:pPr>
              <w:jc w:val="right"/>
              <w:rPr>
                <w:szCs w:val="24"/>
              </w:rPr>
            </w:pPr>
            <w:r w:rsidRPr="00670646">
              <w:rPr>
                <w:szCs w:val="24"/>
              </w:rPr>
              <w:t>(588,346)</w:t>
            </w:r>
          </w:p>
        </w:tc>
        <w:tc>
          <w:tcPr>
            <w:tcW w:w="1470" w:type="dxa"/>
            <w:vAlign w:val="center"/>
          </w:tcPr>
          <w:p w14:paraId="3728E930" w14:textId="2A1BE0E4" w:rsidR="005666C0" w:rsidRPr="00670646" w:rsidRDefault="005666C0" w:rsidP="005666C0">
            <w:pPr>
              <w:jc w:val="right"/>
              <w:rPr>
                <w:szCs w:val="24"/>
              </w:rPr>
            </w:pPr>
            <w:r w:rsidRPr="00670646">
              <w:rPr>
                <w:szCs w:val="24"/>
              </w:rPr>
              <w:t>(651,826)</w:t>
            </w:r>
          </w:p>
        </w:tc>
        <w:tc>
          <w:tcPr>
            <w:tcW w:w="1296" w:type="dxa"/>
            <w:vAlign w:val="center"/>
          </w:tcPr>
          <w:p w14:paraId="3786B6B9" w14:textId="0A8F4E31" w:rsidR="005666C0" w:rsidRPr="00670646" w:rsidRDefault="005666C0" w:rsidP="005666C0">
            <w:pPr>
              <w:jc w:val="right"/>
              <w:rPr>
                <w:szCs w:val="24"/>
              </w:rPr>
            </w:pPr>
            <w:r w:rsidRPr="00670646">
              <w:rPr>
                <w:szCs w:val="24"/>
              </w:rPr>
              <w:t>(651,536)</w:t>
            </w:r>
          </w:p>
        </w:tc>
        <w:tc>
          <w:tcPr>
            <w:tcW w:w="1276" w:type="dxa"/>
            <w:vAlign w:val="center"/>
          </w:tcPr>
          <w:p w14:paraId="461C9A58" w14:textId="36B76C97" w:rsidR="005666C0" w:rsidRPr="00670646" w:rsidRDefault="005666C0" w:rsidP="005666C0">
            <w:pPr>
              <w:jc w:val="right"/>
              <w:rPr>
                <w:szCs w:val="24"/>
              </w:rPr>
            </w:pPr>
            <w:r w:rsidRPr="00670646">
              <w:rPr>
                <w:szCs w:val="24"/>
              </w:rPr>
              <w:t>(875,936)</w:t>
            </w:r>
          </w:p>
        </w:tc>
        <w:tc>
          <w:tcPr>
            <w:tcW w:w="1276" w:type="dxa"/>
            <w:vAlign w:val="center"/>
          </w:tcPr>
          <w:p w14:paraId="5259F237" w14:textId="3122CE1C" w:rsidR="005666C0" w:rsidRPr="00670646" w:rsidRDefault="005666C0" w:rsidP="005666C0">
            <w:pPr>
              <w:jc w:val="right"/>
              <w:rPr>
                <w:szCs w:val="24"/>
              </w:rPr>
            </w:pPr>
            <w:r w:rsidRPr="00670646">
              <w:rPr>
                <w:szCs w:val="24"/>
              </w:rPr>
              <w:t>(872,386)</w:t>
            </w:r>
          </w:p>
        </w:tc>
      </w:tr>
    </w:tbl>
    <w:p w14:paraId="68782FB6" w14:textId="77777777" w:rsidR="001E71F1" w:rsidRPr="00670646" w:rsidRDefault="001E71F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78"/>
        <w:gridCol w:w="1470"/>
        <w:gridCol w:w="1296"/>
        <w:gridCol w:w="1276"/>
        <w:gridCol w:w="1276"/>
      </w:tblGrid>
      <w:tr w:rsidR="00EB4B3B" w:rsidRPr="00670646" w14:paraId="63CF7922" w14:textId="77777777" w:rsidTr="00982FEC">
        <w:tc>
          <w:tcPr>
            <w:tcW w:w="9815" w:type="dxa"/>
            <w:gridSpan w:val="6"/>
            <w:shd w:val="clear" w:color="auto" w:fill="D9D9D9" w:themeFill="background1" w:themeFillShade="D9"/>
          </w:tcPr>
          <w:p w14:paraId="0FA5B9A4" w14:textId="47CBCE61" w:rsidR="00EB4B3B" w:rsidRPr="00670646" w:rsidRDefault="00EB4B3B" w:rsidP="00EB4B3B">
            <w:pPr>
              <w:rPr>
                <w:b/>
                <w:bCs/>
                <w:szCs w:val="24"/>
              </w:rPr>
            </w:pPr>
            <w:r w:rsidRPr="00670646">
              <w:rPr>
                <w:b/>
                <w:bCs/>
                <w:szCs w:val="24"/>
              </w:rPr>
              <w:t>Pension Asset Ceiling</w:t>
            </w:r>
            <w:r w:rsidR="00475B2F" w:rsidRPr="00670646">
              <w:rPr>
                <w:b/>
                <w:bCs/>
                <w:szCs w:val="24"/>
              </w:rPr>
              <w:t xml:space="preserve"> Adjustment</w:t>
            </w:r>
            <w:r w:rsidRPr="00670646">
              <w:rPr>
                <w:b/>
                <w:bCs/>
                <w:szCs w:val="24"/>
              </w:rPr>
              <w:t>:</w:t>
            </w:r>
          </w:p>
        </w:tc>
      </w:tr>
      <w:tr w:rsidR="005666C0" w:rsidRPr="00670646" w14:paraId="6794C4C1" w14:textId="77777777" w:rsidTr="00DD63D7">
        <w:tc>
          <w:tcPr>
            <w:tcW w:w="3119" w:type="dxa"/>
          </w:tcPr>
          <w:p w14:paraId="00BCC40D" w14:textId="0F68DDE2" w:rsidR="005666C0" w:rsidRPr="00670646" w:rsidRDefault="005666C0" w:rsidP="005666C0">
            <w:pPr>
              <w:rPr>
                <w:szCs w:val="24"/>
              </w:rPr>
            </w:pPr>
            <w:r w:rsidRPr="00670646">
              <w:rPr>
                <w:szCs w:val="24"/>
              </w:rPr>
              <w:t>Local Government Pension Scheme (LGPS)</w:t>
            </w:r>
          </w:p>
        </w:tc>
        <w:tc>
          <w:tcPr>
            <w:tcW w:w="1378" w:type="dxa"/>
            <w:vAlign w:val="center"/>
          </w:tcPr>
          <w:p w14:paraId="64B9D660" w14:textId="1CE6E7C9" w:rsidR="005666C0" w:rsidRPr="00670646" w:rsidRDefault="00EF55F8" w:rsidP="005666C0">
            <w:pPr>
              <w:jc w:val="right"/>
              <w:rPr>
                <w:szCs w:val="24"/>
              </w:rPr>
            </w:pPr>
            <w:r w:rsidRPr="00670646">
              <w:rPr>
                <w:szCs w:val="24"/>
              </w:rPr>
              <w:t>(32,061)</w:t>
            </w:r>
          </w:p>
        </w:tc>
        <w:tc>
          <w:tcPr>
            <w:tcW w:w="1470" w:type="dxa"/>
            <w:vAlign w:val="center"/>
          </w:tcPr>
          <w:p w14:paraId="48620ECC" w14:textId="5ACF3A28" w:rsidR="005666C0" w:rsidRPr="00670646" w:rsidRDefault="005666C0" w:rsidP="005666C0">
            <w:pPr>
              <w:jc w:val="right"/>
              <w:rPr>
                <w:szCs w:val="24"/>
              </w:rPr>
            </w:pPr>
            <w:r w:rsidRPr="00670646">
              <w:rPr>
                <w:szCs w:val="24"/>
              </w:rPr>
              <w:t>(23,892)</w:t>
            </w:r>
          </w:p>
        </w:tc>
        <w:tc>
          <w:tcPr>
            <w:tcW w:w="1296" w:type="dxa"/>
            <w:vAlign w:val="center"/>
          </w:tcPr>
          <w:p w14:paraId="74DE78F4" w14:textId="5AF6E580" w:rsidR="005666C0" w:rsidRPr="00670646" w:rsidRDefault="005666C0" w:rsidP="005666C0">
            <w:pPr>
              <w:jc w:val="right"/>
              <w:rPr>
                <w:szCs w:val="24"/>
              </w:rPr>
            </w:pPr>
            <w:r w:rsidRPr="00670646">
              <w:rPr>
                <w:szCs w:val="24"/>
              </w:rPr>
              <w:t>(19,877)</w:t>
            </w:r>
          </w:p>
        </w:tc>
        <w:tc>
          <w:tcPr>
            <w:tcW w:w="1276" w:type="dxa"/>
            <w:vAlign w:val="center"/>
          </w:tcPr>
          <w:p w14:paraId="15D32879" w14:textId="4CCF3897" w:rsidR="005666C0" w:rsidRPr="00670646" w:rsidRDefault="005666C0" w:rsidP="005666C0">
            <w:pPr>
              <w:jc w:val="right"/>
              <w:rPr>
                <w:szCs w:val="24"/>
              </w:rPr>
            </w:pPr>
            <w:r w:rsidRPr="00670646">
              <w:rPr>
                <w:szCs w:val="24"/>
              </w:rPr>
              <w:t>-</w:t>
            </w:r>
          </w:p>
        </w:tc>
        <w:tc>
          <w:tcPr>
            <w:tcW w:w="1276" w:type="dxa"/>
            <w:vAlign w:val="center"/>
          </w:tcPr>
          <w:p w14:paraId="60C458EF" w14:textId="4E06AA46" w:rsidR="005666C0" w:rsidRPr="00670646" w:rsidRDefault="005666C0" w:rsidP="005666C0">
            <w:pPr>
              <w:jc w:val="right"/>
              <w:rPr>
                <w:szCs w:val="24"/>
              </w:rPr>
            </w:pPr>
            <w:r w:rsidRPr="00670646">
              <w:rPr>
                <w:szCs w:val="24"/>
              </w:rPr>
              <w:t>-</w:t>
            </w:r>
          </w:p>
        </w:tc>
      </w:tr>
      <w:tr w:rsidR="005666C0" w:rsidRPr="00670646" w14:paraId="03D8BC30" w14:textId="77777777" w:rsidTr="00DD63D7">
        <w:tc>
          <w:tcPr>
            <w:tcW w:w="3119" w:type="dxa"/>
          </w:tcPr>
          <w:p w14:paraId="1F577960" w14:textId="4514E85D" w:rsidR="005666C0" w:rsidRPr="00670646" w:rsidRDefault="005666C0" w:rsidP="005666C0">
            <w:pPr>
              <w:rPr>
                <w:szCs w:val="24"/>
              </w:rPr>
            </w:pPr>
            <w:r w:rsidRPr="00670646">
              <w:rPr>
                <w:szCs w:val="24"/>
              </w:rPr>
              <w:t>Firefighters Pension Scheme</w:t>
            </w:r>
          </w:p>
        </w:tc>
        <w:tc>
          <w:tcPr>
            <w:tcW w:w="1378" w:type="dxa"/>
            <w:vAlign w:val="center"/>
          </w:tcPr>
          <w:p w14:paraId="79D8196F" w14:textId="112A5CAA" w:rsidR="005666C0" w:rsidRPr="00670646" w:rsidRDefault="0038434E" w:rsidP="005666C0">
            <w:pPr>
              <w:jc w:val="right"/>
              <w:rPr>
                <w:szCs w:val="24"/>
              </w:rPr>
            </w:pPr>
            <w:r w:rsidRPr="00670646">
              <w:rPr>
                <w:szCs w:val="24"/>
              </w:rPr>
              <w:t>-</w:t>
            </w:r>
          </w:p>
        </w:tc>
        <w:tc>
          <w:tcPr>
            <w:tcW w:w="1470" w:type="dxa"/>
            <w:vAlign w:val="center"/>
          </w:tcPr>
          <w:p w14:paraId="7254B50D" w14:textId="70BF3045" w:rsidR="005666C0" w:rsidRPr="00670646" w:rsidRDefault="005666C0" w:rsidP="005666C0">
            <w:pPr>
              <w:jc w:val="right"/>
              <w:rPr>
                <w:szCs w:val="24"/>
              </w:rPr>
            </w:pPr>
            <w:r w:rsidRPr="00670646">
              <w:rPr>
                <w:szCs w:val="24"/>
              </w:rPr>
              <w:t>-</w:t>
            </w:r>
          </w:p>
        </w:tc>
        <w:tc>
          <w:tcPr>
            <w:tcW w:w="1296" w:type="dxa"/>
            <w:vAlign w:val="center"/>
          </w:tcPr>
          <w:p w14:paraId="36B2AC22" w14:textId="71ABB608" w:rsidR="005666C0" w:rsidRPr="00670646" w:rsidRDefault="005666C0" w:rsidP="005666C0">
            <w:pPr>
              <w:jc w:val="right"/>
              <w:rPr>
                <w:szCs w:val="24"/>
              </w:rPr>
            </w:pPr>
            <w:r w:rsidRPr="00670646">
              <w:rPr>
                <w:szCs w:val="24"/>
              </w:rPr>
              <w:t>-</w:t>
            </w:r>
          </w:p>
        </w:tc>
        <w:tc>
          <w:tcPr>
            <w:tcW w:w="1276" w:type="dxa"/>
            <w:vAlign w:val="center"/>
          </w:tcPr>
          <w:p w14:paraId="7F826A4A" w14:textId="6373518E" w:rsidR="005666C0" w:rsidRPr="00670646" w:rsidRDefault="005666C0" w:rsidP="005666C0">
            <w:pPr>
              <w:jc w:val="right"/>
              <w:rPr>
                <w:szCs w:val="24"/>
              </w:rPr>
            </w:pPr>
            <w:r w:rsidRPr="00670646">
              <w:rPr>
                <w:szCs w:val="24"/>
              </w:rPr>
              <w:t>-</w:t>
            </w:r>
          </w:p>
        </w:tc>
        <w:tc>
          <w:tcPr>
            <w:tcW w:w="1276" w:type="dxa"/>
            <w:vAlign w:val="center"/>
          </w:tcPr>
          <w:p w14:paraId="4934A633" w14:textId="33CE4313" w:rsidR="005666C0" w:rsidRPr="00670646" w:rsidRDefault="005666C0" w:rsidP="005666C0">
            <w:pPr>
              <w:jc w:val="right"/>
              <w:rPr>
                <w:szCs w:val="24"/>
              </w:rPr>
            </w:pPr>
            <w:r w:rsidRPr="00670646">
              <w:rPr>
                <w:szCs w:val="24"/>
              </w:rPr>
              <w:t>-</w:t>
            </w:r>
          </w:p>
        </w:tc>
      </w:tr>
      <w:tr w:rsidR="005666C0" w:rsidRPr="00D948C1" w14:paraId="129CE37D" w14:textId="77777777" w:rsidTr="00DD63D7">
        <w:tc>
          <w:tcPr>
            <w:tcW w:w="3119" w:type="dxa"/>
          </w:tcPr>
          <w:p w14:paraId="349F2366" w14:textId="77777777" w:rsidR="005666C0" w:rsidRPr="00670646" w:rsidRDefault="005666C0" w:rsidP="005666C0">
            <w:pPr>
              <w:rPr>
                <w:szCs w:val="24"/>
              </w:rPr>
            </w:pPr>
            <w:r w:rsidRPr="00670646">
              <w:rPr>
                <w:szCs w:val="24"/>
              </w:rPr>
              <w:t>Total</w:t>
            </w:r>
          </w:p>
        </w:tc>
        <w:tc>
          <w:tcPr>
            <w:tcW w:w="1378" w:type="dxa"/>
            <w:vAlign w:val="center"/>
          </w:tcPr>
          <w:p w14:paraId="581DC4B0" w14:textId="290A9598" w:rsidR="005666C0" w:rsidRPr="00670646" w:rsidRDefault="00EF55F8" w:rsidP="005666C0">
            <w:pPr>
              <w:jc w:val="right"/>
              <w:rPr>
                <w:szCs w:val="24"/>
              </w:rPr>
            </w:pPr>
            <w:r w:rsidRPr="00670646">
              <w:rPr>
                <w:szCs w:val="24"/>
              </w:rPr>
              <w:t>(</w:t>
            </w:r>
            <w:r w:rsidR="00C0328F" w:rsidRPr="00670646">
              <w:rPr>
                <w:szCs w:val="24"/>
              </w:rPr>
              <w:t>588,430)</w:t>
            </w:r>
          </w:p>
        </w:tc>
        <w:tc>
          <w:tcPr>
            <w:tcW w:w="1470" w:type="dxa"/>
            <w:vAlign w:val="center"/>
          </w:tcPr>
          <w:p w14:paraId="090F7C77" w14:textId="0AEFFC42" w:rsidR="005666C0" w:rsidRPr="00670646" w:rsidRDefault="005666C0" w:rsidP="005666C0">
            <w:pPr>
              <w:jc w:val="right"/>
              <w:rPr>
                <w:szCs w:val="24"/>
              </w:rPr>
            </w:pPr>
            <w:r w:rsidRPr="00670646">
              <w:rPr>
                <w:szCs w:val="24"/>
              </w:rPr>
              <w:t>(651,920)</w:t>
            </w:r>
          </w:p>
        </w:tc>
        <w:tc>
          <w:tcPr>
            <w:tcW w:w="1296" w:type="dxa"/>
            <w:vAlign w:val="center"/>
          </w:tcPr>
          <w:p w14:paraId="3226A39E" w14:textId="33AD26FA" w:rsidR="005666C0" w:rsidRPr="00670646" w:rsidRDefault="005666C0" w:rsidP="005666C0">
            <w:pPr>
              <w:jc w:val="right"/>
              <w:rPr>
                <w:szCs w:val="24"/>
              </w:rPr>
            </w:pPr>
            <w:r w:rsidRPr="00670646">
              <w:rPr>
                <w:szCs w:val="24"/>
              </w:rPr>
              <w:t>(651,536)</w:t>
            </w:r>
          </w:p>
        </w:tc>
        <w:tc>
          <w:tcPr>
            <w:tcW w:w="1276" w:type="dxa"/>
            <w:vAlign w:val="center"/>
          </w:tcPr>
          <w:p w14:paraId="0F5FBBB1" w14:textId="14BD04BD" w:rsidR="005666C0" w:rsidRPr="00670646" w:rsidRDefault="005666C0" w:rsidP="005666C0">
            <w:pPr>
              <w:jc w:val="right"/>
              <w:rPr>
                <w:szCs w:val="24"/>
              </w:rPr>
            </w:pPr>
            <w:r w:rsidRPr="00670646">
              <w:rPr>
                <w:szCs w:val="24"/>
              </w:rPr>
              <w:t>(883,434)</w:t>
            </w:r>
          </w:p>
        </w:tc>
        <w:tc>
          <w:tcPr>
            <w:tcW w:w="1276" w:type="dxa"/>
            <w:vAlign w:val="center"/>
          </w:tcPr>
          <w:p w14:paraId="66B0403A" w14:textId="5FE04665" w:rsidR="005666C0" w:rsidRPr="00670646" w:rsidRDefault="005666C0" w:rsidP="005666C0">
            <w:pPr>
              <w:jc w:val="right"/>
              <w:rPr>
                <w:szCs w:val="24"/>
              </w:rPr>
            </w:pPr>
            <w:r w:rsidRPr="00670646">
              <w:rPr>
                <w:szCs w:val="24"/>
              </w:rPr>
              <w:t>(887,704)</w:t>
            </w:r>
          </w:p>
        </w:tc>
      </w:tr>
    </w:tbl>
    <w:p w14:paraId="27CFF3E6" w14:textId="77777777" w:rsidR="00D90216" w:rsidRPr="00D948C1" w:rsidRDefault="00D90216" w:rsidP="00D90216">
      <w:pPr>
        <w:jc w:val="both"/>
        <w:rPr>
          <w:sz w:val="22"/>
        </w:rPr>
      </w:pPr>
    </w:p>
    <w:p w14:paraId="6FCC8EF3" w14:textId="3D470145" w:rsidR="00D90216" w:rsidRPr="00D948C1" w:rsidRDefault="00D90216" w:rsidP="00AC5949">
      <w:pPr>
        <w:ind w:left="709"/>
        <w:rPr>
          <w:szCs w:val="24"/>
        </w:rPr>
      </w:pPr>
      <w:r w:rsidRPr="00D948C1">
        <w:rPr>
          <w:szCs w:val="24"/>
        </w:rPr>
        <w:t>The liabilities show the underlying commitments that the Authority has in the long</w:t>
      </w:r>
      <w:r w:rsidRPr="00D948C1">
        <w:rPr>
          <w:szCs w:val="24"/>
        </w:rPr>
        <w:noBreakHyphen/>
        <w:t xml:space="preserve">term to pay </w:t>
      </w:r>
      <w:r w:rsidR="000C78DA" w:rsidRPr="00D948C1">
        <w:rPr>
          <w:szCs w:val="24"/>
        </w:rPr>
        <w:t>post-employment</w:t>
      </w:r>
      <w:r w:rsidRPr="00D948C1">
        <w:rPr>
          <w:szCs w:val="24"/>
        </w:rPr>
        <w:t xml:space="preserve"> benefits. The total liability of both </w:t>
      </w:r>
      <w:r w:rsidRPr="00670646">
        <w:rPr>
          <w:szCs w:val="24"/>
        </w:rPr>
        <w:t>schemes</w:t>
      </w:r>
      <w:r w:rsidRPr="00680902">
        <w:rPr>
          <w:szCs w:val="24"/>
        </w:rPr>
        <w:t>, £</w:t>
      </w:r>
      <w:r w:rsidR="00C0328F" w:rsidRPr="00680902">
        <w:rPr>
          <w:szCs w:val="24"/>
        </w:rPr>
        <w:t>588.430</w:t>
      </w:r>
      <w:r w:rsidR="002624B8" w:rsidRPr="00680902">
        <w:rPr>
          <w:szCs w:val="24"/>
        </w:rPr>
        <w:t>m</w:t>
      </w:r>
      <w:r w:rsidRPr="00680902">
        <w:rPr>
          <w:szCs w:val="24"/>
        </w:rPr>
        <w:t>,</w:t>
      </w:r>
      <w:r w:rsidRPr="00670646">
        <w:rPr>
          <w:szCs w:val="24"/>
        </w:rPr>
        <w:t xml:space="preserve"> has</w:t>
      </w:r>
      <w:r w:rsidRPr="00D948C1">
        <w:rPr>
          <w:szCs w:val="24"/>
        </w:rPr>
        <w:t xml:space="preserve"> a substantial impact on the net worth of the Authority, as recorded in the Balance Sheet</w:t>
      </w:r>
      <w:r w:rsidR="00793B97" w:rsidRPr="00D948C1">
        <w:rPr>
          <w:szCs w:val="24"/>
        </w:rPr>
        <w:t>.</w:t>
      </w:r>
      <w:r w:rsidRPr="00D948C1">
        <w:rPr>
          <w:szCs w:val="24"/>
        </w:rPr>
        <w:t xml:space="preserve"> However, statutory arrangements for funding the liability mean that the financial position of the Authority remains healthy:</w:t>
      </w:r>
    </w:p>
    <w:p w14:paraId="1594FCA9" w14:textId="77777777" w:rsidR="00D90216" w:rsidRPr="00D948C1" w:rsidRDefault="00D90216" w:rsidP="00AC5949">
      <w:pPr>
        <w:ind w:left="709"/>
        <w:rPr>
          <w:szCs w:val="24"/>
        </w:rPr>
      </w:pPr>
    </w:p>
    <w:p w14:paraId="1EEB03DC" w14:textId="39044CCA" w:rsidR="00B2607E" w:rsidRPr="00D948C1" w:rsidRDefault="00B2607E" w:rsidP="006E3AF0">
      <w:pPr>
        <w:numPr>
          <w:ilvl w:val="0"/>
          <w:numId w:val="5"/>
        </w:numPr>
        <w:tabs>
          <w:tab w:val="clear" w:pos="360"/>
          <w:tab w:val="num" w:pos="1069"/>
        </w:tabs>
        <w:ind w:left="1069"/>
        <w:rPr>
          <w:szCs w:val="24"/>
        </w:rPr>
      </w:pPr>
      <w:r w:rsidRPr="00D948C1">
        <w:rPr>
          <w:szCs w:val="24"/>
        </w:rPr>
        <w:t>Whilst there is a surplus on the LGPS scheme a</w:t>
      </w:r>
      <w:r w:rsidR="002A33DC" w:rsidRPr="00D948C1">
        <w:rPr>
          <w:szCs w:val="24"/>
        </w:rPr>
        <w:t>ny</w:t>
      </w:r>
      <w:r w:rsidR="00D90216" w:rsidRPr="00D948C1">
        <w:rPr>
          <w:szCs w:val="24"/>
        </w:rPr>
        <w:t xml:space="preserve"> </w:t>
      </w:r>
      <w:r w:rsidRPr="00D948C1">
        <w:rPr>
          <w:szCs w:val="24"/>
        </w:rPr>
        <w:t xml:space="preserve">future </w:t>
      </w:r>
      <w:r w:rsidR="00B01A6F" w:rsidRPr="00D948C1">
        <w:rPr>
          <w:szCs w:val="24"/>
        </w:rPr>
        <w:t>deficit</w:t>
      </w:r>
      <w:r w:rsidRPr="00D948C1">
        <w:rPr>
          <w:szCs w:val="24"/>
        </w:rPr>
        <w:t>s</w:t>
      </w:r>
      <w:r w:rsidR="00D90216" w:rsidRPr="00D948C1">
        <w:rPr>
          <w:szCs w:val="24"/>
        </w:rPr>
        <w:t xml:space="preserve"> </w:t>
      </w:r>
      <w:r w:rsidRPr="00D948C1">
        <w:rPr>
          <w:szCs w:val="24"/>
        </w:rPr>
        <w:t xml:space="preserve">that may arise </w:t>
      </w:r>
      <w:r w:rsidR="00D90216" w:rsidRPr="00D948C1">
        <w:rPr>
          <w:szCs w:val="24"/>
        </w:rPr>
        <w:t xml:space="preserve">will </w:t>
      </w:r>
      <w:r w:rsidRPr="00D948C1">
        <w:rPr>
          <w:szCs w:val="24"/>
        </w:rPr>
        <w:t xml:space="preserve">sought to be </w:t>
      </w:r>
      <w:r w:rsidR="008853BC" w:rsidRPr="00D948C1">
        <w:rPr>
          <w:szCs w:val="24"/>
        </w:rPr>
        <w:t>recovered</w:t>
      </w:r>
      <w:r w:rsidR="00D90216" w:rsidRPr="00D948C1">
        <w:rPr>
          <w:szCs w:val="24"/>
        </w:rPr>
        <w:t xml:space="preserve"> by </w:t>
      </w:r>
      <w:r w:rsidR="008853BC" w:rsidRPr="00D948C1">
        <w:rPr>
          <w:szCs w:val="24"/>
        </w:rPr>
        <w:t>annual</w:t>
      </w:r>
      <w:r w:rsidR="00D82154" w:rsidRPr="00D948C1">
        <w:rPr>
          <w:szCs w:val="24"/>
        </w:rPr>
        <w:t xml:space="preserve"> </w:t>
      </w:r>
      <w:r w:rsidR="008853BC" w:rsidRPr="00D948C1">
        <w:rPr>
          <w:szCs w:val="24"/>
        </w:rPr>
        <w:t>repayments from</w:t>
      </w:r>
      <w:r w:rsidR="002A33DC" w:rsidRPr="00D948C1">
        <w:rPr>
          <w:szCs w:val="24"/>
        </w:rPr>
        <w:t>/to</w:t>
      </w:r>
      <w:r w:rsidR="008853BC" w:rsidRPr="00D948C1">
        <w:rPr>
          <w:szCs w:val="24"/>
        </w:rPr>
        <w:t xml:space="preserve"> the fund</w:t>
      </w:r>
      <w:r w:rsidR="00D82154" w:rsidRPr="00D948C1">
        <w:rPr>
          <w:szCs w:val="24"/>
        </w:rPr>
        <w:t>,</w:t>
      </w:r>
      <w:r w:rsidR="00D90216" w:rsidRPr="00D948C1">
        <w:rPr>
          <w:szCs w:val="24"/>
        </w:rPr>
        <w:t xml:space="preserve"> </w:t>
      </w:r>
      <w:r w:rsidR="00D82154" w:rsidRPr="00D948C1">
        <w:rPr>
          <w:szCs w:val="24"/>
        </w:rPr>
        <w:t xml:space="preserve">as assessed by the scheme actuary, throughout the agreed </w:t>
      </w:r>
      <w:r w:rsidR="008853BC" w:rsidRPr="00D948C1">
        <w:rPr>
          <w:szCs w:val="24"/>
        </w:rPr>
        <w:t>surplus</w:t>
      </w:r>
      <w:r w:rsidR="00D82154" w:rsidRPr="00D948C1">
        <w:rPr>
          <w:szCs w:val="24"/>
        </w:rPr>
        <w:t xml:space="preserve"> recovery period.</w:t>
      </w:r>
    </w:p>
    <w:p w14:paraId="13EAA407" w14:textId="77777777" w:rsidR="00D90216" w:rsidRPr="00D948C1" w:rsidRDefault="00D90216" w:rsidP="00AC5949">
      <w:pPr>
        <w:numPr>
          <w:ilvl w:val="0"/>
          <w:numId w:val="5"/>
        </w:numPr>
        <w:tabs>
          <w:tab w:val="clear" w:pos="360"/>
          <w:tab w:val="num" w:pos="1069"/>
        </w:tabs>
        <w:ind w:left="1069"/>
        <w:rPr>
          <w:szCs w:val="24"/>
        </w:rPr>
      </w:pPr>
      <w:r w:rsidRPr="00D948C1">
        <w:rPr>
          <w:szCs w:val="24"/>
        </w:rPr>
        <w:t>Finance is only required to be raised to cover fire fighter pensions when the pensions are actually paid.</w:t>
      </w:r>
    </w:p>
    <w:p w14:paraId="6F409618" w14:textId="77777777" w:rsidR="00F66F10" w:rsidRDefault="00F66F10">
      <w:pPr>
        <w:rPr>
          <w:szCs w:val="24"/>
        </w:rPr>
      </w:pPr>
      <w:r>
        <w:rPr>
          <w:szCs w:val="24"/>
        </w:rPr>
        <w:br w:type="page"/>
      </w:r>
    </w:p>
    <w:p w14:paraId="3500484C" w14:textId="1451CECE" w:rsidR="00D90216" w:rsidRPr="00D948C1" w:rsidRDefault="00D90216" w:rsidP="00720EAF">
      <w:pPr>
        <w:ind w:left="709"/>
        <w:rPr>
          <w:szCs w:val="24"/>
        </w:rPr>
      </w:pPr>
      <w:r w:rsidRPr="00D948C1">
        <w:rPr>
          <w:szCs w:val="24"/>
        </w:rPr>
        <w:lastRenderedPageBreak/>
        <w:t>Estimated contributions expected to be paid by the Authority into each scheme during the next financial year:</w:t>
      </w:r>
    </w:p>
    <w:p w14:paraId="7FDCEAD3" w14:textId="77777777" w:rsidR="00DD63D7" w:rsidRPr="00D948C1" w:rsidRDefault="00DD63D7" w:rsidP="00AC5949">
      <w:pPr>
        <w:ind w:left="709"/>
        <w:rPr>
          <w:szCs w:val="24"/>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410"/>
        <w:gridCol w:w="2126"/>
      </w:tblGrid>
      <w:tr w:rsidR="00D90216" w:rsidRPr="00D948C1" w14:paraId="4FE7DC7D" w14:textId="77777777" w:rsidTr="0919AEC3">
        <w:tc>
          <w:tcPr>
            <w:tcW w:w="2835" w:type="dxa"/>
            <w:shd w:val="clear" w:color="auto" w:fill="BD2716"/>
          </w:tcPr>
          <w:p w14:paraId="66E266A5" w14:textId="77777777" w:rsidR="00D90216" w:rsidRPr="00D948C1" w:rsidRDefault="00D90216" w:rsidP="00D72DD9">
            <w:pPr>
              <w:ind w:left="426" w:hanging="426"/>
              <w:rPr>
                <w:color w:val="FFFFFF" w:themeColor="background1"/>
                <w:szCs w:val="24"/>
              </w:rPr>
            </w:pPr>
          </w:p>
        </w:tc>
        <w:tc>
          <w:tcPr>
            <w:tcW w:w="2268" w:type="dxa"/>
            <w:shd w:val="clear" w:color="auto" w:fill="BD2716"/>
            <w:vAlign w:val="center"/>
          </w:tcPr>
          <w:p w14:paraId="3100097A" w14:textId="77777777" w:rsidR="00D90216" w:rsidRPr="00D948C1" w:rsidRDefault="00D90216" w:rsidP="00611673">
            <w:pPr>
              <w:jc w:val="right"/>
              <w:rPr>
                <w:color w:val="FFFFFF" w:themeColor="background1"/>
                <w:szCs w:val="24"/>
              </w:rPr>
            </w:pPr>
            <w:r w:rsidRPr="00D948C1">
              <w:rPr>
                <w:color w:val="FFFFFF" w:themeColor="background1"/>
                <w:szCs w:val="24"/>
              </w:rPr>
              <w:t>Local Government Pension Scheme</w:t>
            </w:r>
            <w:r w:rsidR="00210E84" w:rsidRPr="00D948C1">
              <w:rPr>
                <w:color w:val="FFFFFF" w:themeColor="background1"/>
                <w:szCs w:val="24"/>
              </w:rPr>
              <w:t>*</w:t>
            </w:r>
          </w:p>
          <w:p w14:paraId="1688BC62" w14:textId="7AA8483A" w:rsidR="00053629" w:rsidRPr="00D948C1" w:rsidRDefault="00053629" w:rsidP="00611673">
            <w:pPr>
              <w:jc w:val="right"/>
              <w:rPr>
                <w:color w:val="FFFFFF" w:themeColor="background1"/>
                <w:szCs w:val="24"/>
              </w:rPr>
            </w:pPr>
            <w:r w:rsidRPr="00D948C1">
              <w:rPr>
                <w:color w:val="FFFFFF" w:themeColor="background1"/>
                <w:szCs w:val="24"/>
              </w:rPr>
              <w:t>£000</w:t>
            </w:r>
          </w:p>
        </w:tc>
        <w:tc>
          <w:tcPr>
            <w:tcW w:w="2410" w:type="dxa"/>
            <w:shd w:val="clear" w:color="auto" w:fill="BD2716"/>
            <w:vAlign w:val="center"/>
          </w:tcPr>
          <w:p w14:paraId="6D9B4358" w14:textId="77777777" w:rsidR="00D90216" w:rsidRPr="00D948C1" w:rsidRDefault="00D90216" w:rsidP="00611673">
            <w:pPr>
              <w:jc w:val="right"/>
              <w:rPr>
                <w:color w:val="FFFFFF" w:themeColor="background1"/>
                <w:szCs w:val="24"/>
              </w:rPr>
            </w:pPr>
            <w:r w:rsidRPr="00D948C1">
              <w:rPr>
                <w:color w:val="FFFFFF" w:themeColor="background1"/>
                <w:szCs w:val="24"/>
              </w:rPr>
              <w:t>Firefighters’ Pension Scheme</w:t>
            </w:r>
            <w:r w:rsidR="00192E75" w:rsidRPr="00D948C1">
              <w:rPr>
                <w:color w:val="FFFFFF" w:themeColor="background1"/>
                <w:szCs w:val="24"/>
              </w:rPr>
              <w:t>**</w:t>
            </w:r>
          </w:p>
          <w:p w14:paraId="16AFB96C" w14:textId="23C0B98C" w:rsidR="00053629" w:rsidRPr="00D948C1" w:rsidRDefault="00053629" w:rsidP="00611673">
            <w:pPr>
              <w:jc w:val="right"/>
              <w:rPr>
                <w:color w:val="FFFFFF" w:themeColor="background1"/>
                <w:szCs w:val="24"/>
              </w:rPr>
            </w:pPr>
            <w:r w:rsidRPr="00D948C1">
              <w:rPr>
                <w:color w:val="FFFFFF" w:themeColor="background1"/>
                <w:szCs w:val="24"/>
              </w:rPr>
              <w:t>£000</w:t>
            </w:r>
          </w:p>
        </w:tc>
        <w:tc>
          <w:tcPr>
            <w:tcW w:w="2126" w:type="dxa"/>
            <w:shd w:val="clear" w:color="auto" w:fill="BD2716"/>
            <w:vAlign w:val="center"/>
          </w:tcPr>
          <w:p w14:paraId="5BE01002" w14:textId="77777777" w:rsidR="00D90216" w:rsidRPr="00D948C1" w:rsidRDefault="00D90216" w:rsidP="00611673">
            <w:pPr>
              <w:jc w:val="right"/>
              <w:rPr>
                <w:color w:val="FFFFFF" w:themeColor="background1"/>
                <w:szCs w:val="24"/>
              </w:rPr>
            </w:pPr>
            <w:r w:rsidRPr="00D948C1">
              <w:rPr>
                <w:color w:val="FFFFFF" w:themeColor="background1"/>
                <w:szCs w:val="24"/>
              </w:rPr>
              <w:t>Total</w:t>
            </w:r>
          </w:p>
          <w:p w14:paraId="6E691217" w14:textId="77E8834D" w:rsidR="00053629" w:rsidRPr="00D948C1" w:rsidRDefault="00053629" w:rsidP="00611673">
            <w:pPr>
              <w:jc w:val="right"/>
              <w:rPr>
                <w:color w:val="FFFFFF" w:themeColor="background1"/>
                <w:szCs w:val="24"/>
              </w:rPr>
            </w:pPr>
            <w:r w:rsidRPr="00D948C1">
              <w:rPr>
                <w:color w:val="FFFFFF" w:themeColor="background1"/>
                <w:szCs w:val="24"/>
              </w:rPr>
              <w:t>£000</w:t>
            </w:r>
          </w:p>
        </w:tc>
      </w:tr>
      <w:tr w:rsidR="00D90216" w:rsidRPr="00D948C1" w14:paraId="1F709C57" w14:textId="77777777" w:rsidTr="0919AEC3">
        <w:trPr>
          <w:trHeight w:val="115"/>
        </w:trPr>
        <w:tc>
          <w:tcPr>
            <w:tcW w:w="2835" w:type="dxa"/>
          </w:tcPr>
          <w:p w14:paraId="22AEE303" w14:textId="77777777" w:rsidR="00D90216" w:rsidRPr="00D948C1" w:rsidRDefault="00D90216" w:rsidP="00D72DD9">
            <w:pPr>
              <w:ind w:left="34"/>
              <w:rPr>
                <w:szCs w:val="24"/>
              </w:rPr>
            </w:pPr>
            <w:r w:rsidRPr="00D948C1">
              <w:rPr>
                <w:szCs w:val="24"/>
              </w:rPr>
              <w:t>Estimated contributions</w:t>
            </w:r>
          </w:p>
        </w:tc>
        <w:tc>
          <w:tcPr>
            <w:tcW w:w="2268" w:type="dxa"/>
            <w:vAlign w:val="center"/>
          </w:tcPr>
          <w:p w14:paraId="2A47AB34" w14:textId="448A9F75" w:rsidR="00D90216" w:rsidRPr="0038434E" w:rsidRDefault="3C0639B8" w:rsidP="00DD63D7">
            <w:pPr>
              <w:jc w:val="right"/>
            </w:pPr>
            <w:r>
              <w:t>957</w:t>
            </w:r>
          </w:p>
        </w:tc>
        <w:tc>
          <w:tcPr>
            <w:tcW w:w="2410" w:type="dxa"/>
            <w:vAlign w:val="center"/>
          </w:tcPr>
          <w:p w14:paraId="1A7FBDD0" w14:textId="18DD3467" w:rsidR="00D90216" w:rsidRPr="0038434E" w:rsidRDefault="471DAB92" w:rsidP="68F98C57">
            <w:pPr>
              <w:jc w:val="right"/>
            </w:pPr>
            <w:r>
              <w:t>11,122</w:t>
            </w:r>
          </w:p>
        </w:tc>
        <w:tc>
          <w:tcPr>
            <w:tcW w:w="2126" w:type="dxa"/>
            <w:vAlign w:val="center"/>
          </w:tcPr>
          <w:p w14:paraId="31A198D3" w14:textId="2B6233AB" w:rsidR="00D90216" w:rsidRPr="0038434E" w:rsidRDefault="00064784" w:rsidP="68F98C57">
            <w:pPr>
              <w:spacing w:line="259" w:lineRule="auto"/>
              <w:jc w:val="right"/>
            </w:pPr>
            <w:r w:rsidRPr="000261E2">
              <w:t>1</w:t>
            </w:r>
            <w:r w:rsidR="471DAB92">
              <w:t>2,079</w:t>
            </w:r>
          </w:p>
        </w:tc>
      </w:tr>
    </w:tbl>
    <w:p w14:paraId="7BA0E136" w14:textId="40E3F080" w:rsidR="00D90216" w:rsidRPr="00D948C1" w:rsidRDefault="00210E84" w:rsidP="7E876DA5">
      <w:pPr>
        <w:pStyle w:val="ListParagraph"/>
        <w:tabs>
          <w:tab w:val="num" w:pos="1069"/>
        </w:tabs>
        <w:ind w:left="709"/>
        <w:jc w:val="both"/>
        <w:rPr>
          <w:sz w:val="22"/>
          <w:szCs w:val="22"/>
        </w:rPr>
      </w:pPr>
      <w:r w:rsidRPr="00D948C1">
        <w:rPr>
          <w:szCs w:val="24"/>
        </w:rPr>
        <w:t>*LGPS contributions shown are gross of surplus recovery</w:t>
      </w:r>
      <w:r w:rsidR="00765DED" w:rsidRPr="00D948C1">
        <w:rPr>
          <w:szCs w:val="24"/>
        </w:rPr>
        <w:t xml:space="preserve"> </w:t>
      </w:r>
      <w:r w:rsidRPr="00D948C1">
        <w:rPr>
          <w:szCs w:val="24"/>
        </w:rPr>
        <w:t>referred above.</w:t>
      </w:r>
    </w:p>
    <w:p w14:paraId="65ECD784" w14:textId="7F246381" w:rsidR="00192E75" w:rsidRPr="00D948C1" w:rsidRDefault="00192E75" w:rsidP="000C442C">
      <w:pPr>
        <w:pStyle w:val="ListParagraph"/>
        <w:rPr>
          <w:szCs w:val="24"/>
        </w:rPr>
      </w:pPr>
      <w:r w:rsidRPr="00D948C1">
        <w:rPr>
          <w:szCs w:val="24"/>
        </w:rPr>
        <w:t xml:space="preserve">** </w:t>
      </w:r>
      <w:r w:rsidR="004E09C9" w:rsidRPr="00D948C1">
        <w:rPr>
          <w:szCs w:val="24"/>
        </w:rPr>
        <w:t>Firefigh</w:t>
      </w:r>
      <w:r w:rsidR="00CF38F0" w:rsidRPr="00D948C1">
        <w:rPr>
          <w:szCs w:val="24"/>
        </w:rPr>
        <w:t>t</w:t>
      </w:r>
      <w:r w:rsidR="004E09C9" w:rsidRPr="00D948C1">
        <w:rPr>
          <w:szCs w:val="24"/>
        </w:rPr>
        <w:t xml:space="preserve">er contributions are </w:t>
      </w:r>
      <w:r w:rsidR="00D47439" w:rsidRPr="00D948C1">
        <w:rPr>
          <w:szCs w:val="24"/>
        </w:rPr>
        <w:t>part funded from</w:t>
      </w:r>
      <w:r w:rsidR="004E09C9" w:rsidRPr="00D948C1">
        <w:rPr>
          <w:szCs w:val="24"/>
        </w:rPr>
        <w:t xml:space="preserve"> government top up grant.</w:t>
      </w:r>
    </w:p>
    <w:p w14:paraId="3FCAAE8A" w14:textId="59299D08" w:rsidR="001E71F1" w:rsidRPr="00D948C1" w:rsidRDefault="001E71F1">
      <w:pPr>
        <w:rPr>
          <w:b/>
          <w:szCs w:val="24"/>
        </w:rPr>
      </w:pPr>
    </w:p>
    <w:p w14:paraId="1A7E73B2" w14:textId="65CB355A" w:rsidR="00D90216" w:rsidRPr="00D948C1" w:rsidRDefault="00D90216" w:rsidP="000C442C">
      <w:pPr>
        <w:ind w:left="709"/>
        <w:rPr>
          <w:b/>
          <w:szCs w:val="24"/>
        </w:rPr>
      </w:pPr>
      <w:r w:rsidRPr="00D948C1">
        <w:rPr>
          <w:b/>
          <w:szCs w:val="24"/>
        </w:rPr>
        <w:t>Basis for Estimating Assets and Liabilities</w:t>
      </w:r>
    </w:p>
    <w:p w14:paraId="002924E5" w14:textId="77777777" w:rsidR="00D90216" w:rsidRPr="00D948C1" w:rsidRDefault="00D90216" w:rsidP="000C442C">
      <w:pPr>
        <w:ind w:left="709"/>
        <w:rPr>
          <w:szCs w:val="24"/>
        </w:rPr>
      </w:pPr>
    </w:p>
    <w:p w14:paraId="457925A1" w14:textId="289BCF56" w:rsidR="00B56986" w:rsidRPr="00D948C1" w:rsidRDefault="00D90216" w:rsidP="000C442C">
      <w:pPr>
        <w:ind w:left="709"/>
        <w:rPr>
          <w:szCs w:val="24"/>
        </w:rPr>
      </w:pPr>
      <w:r w:rsidRPr="00D948C1">
        <w:rPr>
          <w:szCs w:val="24"/>
        </w:rPr>
        <w:t>Liabilities have been assessed on an actuarial basis using the projected unit credit method, an estimate of the pensions that will be payable in future years dependent on assumptions about mortality rates, salary levels etc.</w:t>
      </w:r>
    </w:p>
    <w:p w14:paraId="53A5736C" w14:textId="77777777" w:rsidR="00B56986" w:rsidRPr="00D948C1" w:rsidRDefault="00B56986" w:rsidP="000C442C">
      <w:pPr>
        <w:ind w:left="709"/>
        <w:rPr>
          <w:szCs w:val="24"/>
        </w:rPr>
      </w:pPr>
    </w:p>
    <w:p w14:paraId="3226BD0F" w14:textId="20544C5B" w:rsidR="002E4CBA" w:rsidRPr="00A41B3D" w:rsidRDefault="00B56986" w:rsidP="00F12792">
      <w:pPr>
        <w:ind w:left="709"/>
      </w:pPr>
      <w:r w:rsidRPr="00A41B3D">
        <w:t xml:space="preserve">The Firefighters’ Scheme has been assessed by GAD (the Government Actuarial Department), an independent firm of actuaries. Estimates for the Firefighters pension scheme </w:t>
      </w:r>
      <w:proofErr w:type="gramStart"/>
      <w:r w:rsidRPr="00A41B3D">
        <w:t>are</w:t>
      </w:r>
      <w:proofErr w:type="gramEnd"/>
      <w:r w:rsidRPr="00A41B3D">
        <w:t xml:space="preserve"> based on a ‘roll forward approach’ which updates the last full valuation on 31 March </w:t>
      </w:r>
      <w:r w:rsidR="00C34B46" w:rsidRPr="00A41B3D">
        <w:t>202</w:t>
      </w:r>
      <w:r w:rsidR="00263179" w:rsidRPr="00A41B3D">
        <w:t>0</w:t>
      </w:r>
      <w:r w:rsidRPr="00A41B3D">
        <w:t>, taking account of any significant changes since this. T</w:t>
      </w:r>
      <w:r w:rsidR="00D90216" w:rsidRPr="00A41B3D">
        <w:t>he Local Government Fund liabilities have been assessed by Mercer Resource Consulting L</w:t>
      </w:r>
      <w:r w:rsidR="002B520D" w:rsidRPr="00A41B3D">
        <w:t>imi</w:t>
      </w:r>
      <w:r w:rsidR="00D90216" w:rsidRPr="00A41B3D">
        <w:t>t</w:t>
      </w:r>
      <w:r w:rsidR="002B520D" w:rsidRPr="00A41B3D">
        <w:t>e</w:t>
      </w:r>
      <w:r w:rsidR="00D90216" w:rsidRPr="00A41B3D">
        <w:t xml:space="preserve">d, an independent firm of actuaries. </w:t>
      </w:r>
      <w:r w:rsidR="00830971" w:rsidRPr="00A41B3D">
        <w:t>T</w:t>
      </w:r>
      <w:r w:rsidR="00630EE2" w:rsidRPr="00A41B3D">
        <w:t xml:space="preserve">he last </w:t>
      </w:r>
      <w:r w:rsidR="009B6E08" w:rsidRPr="00A41B3D">
        <w:t xml:space="preserve">full valuation </w:t>
      </w:r>
      <w:r w:rsidR="00830971" w:rsidRPr="00A41B3D">
        <w:t xml:space="preserve">was </w:t>
      </w:r>
      <w:r w:rsidR="009B6E08" w:rsidRPr="00A41B3D">
        <w:t xml:space="preserve">as </w:t>
      </w:r>
      <w:proofErr w:type="gramStart"/>
      <w:r w:rsidR="009B6E08" w:rsidRPr="00A41B3D">
        <w:t>at</w:t>
      </w:r>
      <w:proofErr w:type="gramEnd"/>
      <w:r w:rsidR="009B6E08" w:rsidRPr="00A41B3D">
        <w:t xml:space="preserve"> 31 March </w:t>
      </w:r>
      <w:r w:rsidR="00DD380F" w:rsidRPr="00A41B3D">
        <w:t>20</w:t>
      </w:r>
      <w:r w:rsidR="00830971" w:rsidRPr="00A41B3D">
        <w:t>22</w:t>
      </w:r>
      <w:r w:rsidR="00630EE2" w:rsidRPr="00A41B3D">
        <w:t>.</w:t>
      </w:r>
    </w:p>
    <w:p w14:paraId="17E94855" w14:textId="77777777" w:rsidR="007F5EEE" w:rsidRPr="00D948C1" w:rsidRDefault="007F5EEE" w:rsidP="007F5EEE">
      <w:pPr>
        <w:rPr>
          <w:szCs w:val="24"/>
        </w:rPr>
      </w:pPr>
    </w:p>
    <w:p w14:paraId="132FC284" w14:textId="7B200EEB" w:rsidR="00D90216" w:rsidRPr="00D948C1" w:rsidRDefault="00D90216" w:rsidP="007F5EEE">
      <w:pPr>
        <w:ind w:firstLine="709"/>
        <w:rPr>
          <w:szCs w:val="24"/>
        </w:rPr>
      </w:pPr>
      <w:r w:rsidRPr="00D948C1">
        <w:rPr>
          <w:szCs w:val="24"/>
        </w:rPr>
        <w:t>The principal assumptions used by the actuary have been:</w:t>
      </w:r>
    </w:p>
    <w:p w14:paraId="2A46022B" w14:textId="77777777" w:rsidR="00D90216" w:rsidRPr="00D948C1" w:rsidRDefault="00D90216" w:rsidP="00D90216">
      <w:pPr>
        <w:ind w:left="709"/>
        <w:jc w:val="both"/>
        <w:rPr>
          <w:sz w:val="16"/>
          <w:szCs w:val="16"/>
        </w:rPr>
      </w:pPr>
    </w:p>
    <w:tbl>
      <w:tblPr>
        <w:tblW w:w="96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134"/>
        <w:gridCol w:w="1026"/>
        <w:gridCol w:w="1134"/>
        <w:gridCol w:w="993"/>
        <w:gridCol w:w="992"/>
        <w:gridCol w:w="1134"/>
      </w:tblGrid>
      <w:tr w:rsidR="00831B30" w:rsidRPr="00D948C1" w14:paraId="33096203" w14:textId="77777777" w:rsidTr="0919AEC3">
        <w:trPr>
          <w:tblHeader/>
        </w:trPr>
        <w:tc>
          <w:tcPr>
            <w:tcW w:w="3260" w:type="dxa"/>
            <w:shd w:val="clear" w:color="auto" w:fill="BD2716"/>
          </w:tcPr>
          <w:p w14:paraId="5ACDF8A5" w14:textId="7B7511D4" w:rsidR="00831B30" w:rsidRPr="00D948C1" w:rsidRDefault="00831B30" w:rsidP="00CD62E6">
            <w:pPr>
              <w:jc w:val="both"/>
              <w:rPr>
                <w:color w:val="FFFFFF" w:themeColor="background1"/>
              </w:rPr>
            </w:pPr>
          </w:p>
        </w:tc>
        <w:tc>
          <w:tcPr>
            <w:tcW w:w="2160" w:type="dxa"/>
            <w:gridSpan w:val="2"/>
            <w:shd w:val="clear" w:color="auto" w:fill="BD2716"/>
            <w:vAlign w:val="center"/>
          </w:tcPr>
          <w:p w14:paraId="2AC8C7A8" w14:textId="77777777" w:rsidR="00831B30" w:rsidRPr="00D948C1" w:rsidRDefault="00831B30" w:rsidP="00611673">
            <w:pPr>
              <w:jc w:val="center"/>
              <w:rPr>
                <w:color w:val="FFFFFF" w:themeColor="background1"/>
                <w:szCs w:val="24"/>
              </w:rPr>
            </w:pPr>
            <w:r w:rsidRPr="00D948C1">
              <w:rPr>
                <w:color w:val="FFFFFF" w:themeColor="background1"/>
                <w:szCs w:val="24"/>
              </w:rPr>
              <w:t>NWFC Local Government Pension Scheme</w:t>
            </w:r>
          </w:p>
        </w:tc>
        <w:tc>
          <w:tcPr>
            <w:tcW w:w="2127" w:type="dxa"/>
            <w:gridSpan w:val="2"/>
            <w:shd w:val="clear" w:color="auto" w:fill="BD2716"/>
            <w:vAlign w:val="center"/>
          </w:tcPr>
          <w:p w14:paraId="73A03937" w14:textId="77777777" w:rsidR="00831B30" w:rsidRPr="00D948C1" w:rsidRDefault="00831B30" w:rsidP="00611673">
            <w:pPr>
              <w:jc w:val="center"/>
              <w:rPr>
                <w:color w:val="FFFFFF" w:themeColor="background1"/>
                <w:szCs w:val="24"/>
              </w:rPr>
            </w:pPr>
            <w:r w:rsidRPr="00D948C1">
              <w:rPr>
                <w:color w:val="FFFFFF" w:themeColor="background1"/>
                <w:szCs w:val="24"/>
              </w:rPr>
              <w:t>LCFA Local Government Pension Scheme</w:t>
            </w:r>
          </w:p>
        </w:tc>
        <w:tc>
          <w:tcPr>
            <w:tcW w:w="2126" w:type="dxa"/>
            <w:gridSpan w:val="2"/>
            <w:shd w:val="clear" w:color="auto" w:fill="BD2716"/>
            <w:vAlign w:val="center"/>
          </w:tcPr>
          <w:p w14:paraId="64BFF43B" w14:textId="77777777" w:rsidR="00831B30" w:rsidRPr="00D948C1" w:rsidRDefault="00831B30" w:rsidP="00611673">
            <w:pPr>
              <w:jc w:val="center"/>
              <w:rPr>
                <w:color w:val="FFFFFF" w:themeColor="background1"/>
                <w:szCs w:val="24"/>
              </w:rPr>
            </w:pPr>
            <w:r w:rsidRPr="00D948C1">
              <w:rPr>
                <w:color w:val="FFFFFF" w:themeColor="background1"/>
                <w:szCs w:val="24"/>
              </w:rPr>
              <w:t>Uniformed Firefighters’ Pension Scheme</w:t>
            </w:r>
          </w:p>
        </w:tc>
      </w:tr>
      <w:tr w:rsidR="00FF43EE" w:rsidRPr="00D948C1" w14:paraId="33E30F14" w14:textId="77777777" w:rsidTr="0919AEC3">
        <w:trPr>
          <w:tblHeader/>
        </w:trPr>
        <w:tc>
          <w:tcPr>
            <w:tcW w:w="3260" w:type="dxa"/>
            <w:shd w:val="clear" w:color="auto" w:fill="BD2716"/>
            <w:vAlign w:val="bottom"/>
          </w:tcPr>
          <w:p w14:paraId="0A01DA1F" w14:textId="6B548BA0" w:rsidR="00FF43EE" w:rsidRPr="00D948C1" w:rsidRDefault="00FF43EE" w:rsidP="00FF43EE">
            <w:pPr>
              <w:rPr>
                <w:color w:val="FFFFFF" w:themeColor="background1"/>
                <w:szCs w:val="24"/>
              </w:rPr>
            </w:pPr>
          </w:p>
        </w:tc>
        <w:tc>
          <w:tcPr>
            <w:tcW w:w="1134" w:type="dxa"/>
            <w:shd w:val="clear" w:color="auto" w:fill="BD2716"/>
            <w:vAlign w:val="center"/>
          </w:tcPr>
          <w:p w14:paraId="04198040" w14:textId="5A37D500" w:rsidR="00FF43EE" w:rsidRPr="00D948C1" w:rsidRDefault="00FF43EE" w:rsidP="00FF43EE">
            <w:pPr>
              <w:jc w:val="right"/>
              <w:rPr>
                <w:color w:val="FFFFFF" w:themeColor="background1"/>
                <w:szCs w:val="24"/>
              </w:rPr>
            </w:pPr>
            <w:r w:rsidRPr="00D948C1">
              <w:rPr>
                <w:color w:val="FFFFFF" w:themeColor="background1"/>
                <w:szCs w:val="24"/>
              </w:rPr>
              <w:t>31 March 202</w:t>
            </w:r>
            <w:r w:rsidR="005666C0">
              <w:rPr>
                <w:color w:val="FFFFFF" w:themeColor="background1"/>
                <w:szCs w:val="24"/>
              </w:rPr>
              <w:t>5</w:t>
            </w:r>
          </w:p>
        </w:tc>
        <w:tc>
          <w:tcPr>
            <w:tcW w:w="1026" w:type="dxa"/>
            <w:shd w:val="clear" w:color="auto" w:fill="BD2716"/>
            <w:vAlign w:val="center"/>
          </w:tcPr>
          <w:p w14:paraId="6159D870" w14:textId="7AB42461" w:rsidR="00FF43EE" w:rsidRPr="00D948C1" w:rsidRDefault="005666C0" w:rsidP="00FF43EE">
            <w:pPr>
              <w:jc w:val="right"/>
              <w:rPr>
                <w:color w:val="FFFFFF" w:themeColor="background1"/>
                <w:szCs w:val="24"/>
              </w:rPr>
            </w:pPr>
            <w:r w:rsidRPr="00D948C1">
              <w:rPr>
                <w:color w:val="FFFFFF" w:themeColor="background1"/>
                <w:szCs w:val="24"/>
              </w:rPr>
              <w:t>31 March 202</w:t>
            </w:r>
            <w:r>
              <w:rPr>
                <w:color w:val="FFFFFF" w:themeColor="background1"/>
                <w:szCs w:val="24"/>
              </w:rPr>
              <w:t>4</w:t>
            </w:r>
          </w:p>
        </w:tc>
        <w:tc>
          <w:tcPr>
            <w:tcW w:w="1134" w:type="dxa"/>
            <w:shd w:val="clear" w:color="auto" w:fill="BD2716"/>
            <w:vAlign w:val="center"/>
          </w:tcPr>
          <w:p w14:paraId="4ED11B93" w14:textId="38C4347A" w:rsidR="00FF43EE" w:rsidRPr="00D948C1" w:rsidRDefault="00FF43EE" w:rsidP="00FF43EE">
            <w:pPr>
              <w:jc w:val="right"/>
              <w:rPr>
                <w:color w:val="FFFFFF" w:themeColor="background1"/>
                <w:szCs w:val="24"/>
              </w:rPr>
            </w:pPr>
            <w:r w:rsidRPr="00D948C1">
              <w:rPr>
                <w:color w:val="FFFFFF" w:themeColor="background1"/>
                <w:szCs w:val="24"/>
              </w:rPr>
              <w:t>31 March 202</w:t>
            </w:r>
            <w:r w:rsidR="005666C0">
              <w:rPr>
                <w:color w:val="FFFFFF" w:themeColor="background1"/>
                <w:szCs w:val="24"/>
              </w:rPr>
              <w:t>5</w:t>
            </w:r>
          </w:p>
        </w:tc>
        <w:tc>
          <w:tcPr>
            <w:tcW w:w="993" w:type="dxa"/>
            <w:shd w:val="clear" w:color="auto" w:fill="BD2716"/>
            <w:vAlign w:val="center"/>
          </w:tcPr>
          <w:p w14:paraId="471BBCE7" w14:textId="5C3A20E0" w:rsidR="00FF43EE" w:rsidRPr="00D948C1" w:rsidRDefault="005666C0" w:rsidP="00FF43EE">
            <w:pPr>
              <w:jc w:val="right"/>
              <w:rPr>
                <w:color w:val="FFFFFF" w:themeColor="background1"/>
                <w:szCs w:val="24"/>
              </w:rPr>
            </w:pPr>
            <w:r w:rsidRPr="00D948C1">
              <w:rPr>
                <w:color w:val="FFFFFF" w:themeColor="background1"/>
                <w:szCs w:val="24"/>
              </w:rPr>
              <w:t>31 March 2024</w:t>
            </w:r>
          </w:p>
        </w:tc>
        <w:tc>
          <w:tcPr>
            <w:tcW w:w="992" w:type="dxa"/>
            <w:shd w:val="clear" w:color="auto" w:fill="BD2716"/>
            <w:vAlign w:val="center"/>
          </w:tcPr>
          <w:p w14:paraId="0E2AD658" w14:textId="4AB17DA8" w:rsidR="00FF43EE" w:rsidRPr="00D948C1" w:rsidRDefault="00FF43EE" w:rsidP="00FF43EE">
            <w:pPr>
              <w:jc w:val="right"/>
              <w:rPr>
                <w:color w:val="FFFFFF" w:themeColor="background1"/>
                <w:szCs w:val="24"/>
              </w:rPr>
            </w:pPr>
            <w:r w:rsidRPr="00D948C1">
              <w:rPr>
                <w:color w:val="FFFFFF" w:themeColor="background1"/>
                <w:szCs w:val="24"/>
              </w:rPr>
              <w:t>31 March 202</w:t>
            </w:r>
            <w:r w:rsidR="005666C0">
              <w:rPr>
                <w:color w:val="FFFFFF" w:themeColor="background1"/>
                <w:szCs w:val="24"/>
              </w:rPr>
              <w:t>5</w:t>
            </w:r>
          </w:p>
        </w:tc>
        <w:tc>
          <w:tcPr>
            <w:tcW w:w="1134" w:type="dxa"/>
            <w:shd w:val="clear" w:color="auto" w:fill="BD2716"/>
            <w:vAlign w:val="center"/>
          </w:tcPr>
          <w:p w14:paraId="1C6D9B14" w14:textId="129B48B5" w:rsidR="00FF43EE" w:rsidRPr="00D948C1" w:rsidRDefault="005666C0" w:rsidP="00FF43EE">
            <w:pPr>
              <w:jc w:val="right"/>
              <w:rPr>
                <w:color w:val="FFFFFF" w:themeColor="background1"/>
                <w:szCs w:val="24"/>
              </w:rPr>
            </w:pPr>
            <w:r w:rsidRPr="00D948C1">
              <w:rPr>
                <w:color w:val="FFFFFF" w:themeColor="background1"/>
                <w:szCs w:val="24"/>
              </w:rPr>
              <w:t>31 March 2024</w:t>
            </w:r>
          </w:p>
        </w:tc>
      </w:tr>
      <w:tr w:rsidR="001E71F1" w:rsidRPr="00D948C1" w14:paraId="64C0F372" w14:textId="77777777" w:rsidTr="0919AEC3">
        <w:tc>
          <w:tcPr>
            <w:tcW w:w="9673" w:type="dxa"/>
            <w:gridSpan w:val="7"/>
            <w:shd w:val="clear" w:color="auto" w:fill="D9D9D9" w:themeFill="background1" w:themeFillShade="D9"/>
            <w:vAlign w:val="bottom"/>
          </w:tcPr>
          <w:p w14:paraId="5D782219" w14:textId="7010FDEE" w:rsidR="001E71F1" w:rsidRPr="00D948C1" w:rsidRDefault="001E71F1" w:rsidP="001E71F1">
            <w:pPr>
              <w:rPr>
                <w:b/>
                <w:bCs/>
                <w:szCs w:val="24"/>
              </w:rPr>
            </w:pPr>
            <w:r w:rsidRPr="00D948C1">
              <w:rPr>
                <w:b/>
                <w:bCs/>
                <w:szCs w:val="24"/>
              </w:rPr>
              <w:t>Mortality assumptions:</w:t>
            </w:r>
          </w:p>
        </w:tc>
      </w:tr>
      <w:tr w:rsidR="00526A3B" w:rsidRPr="00D948C1" w14:paraId="26ECF4EF" w14:textId="77777777" w:rsidTr="0919AEC3">
        <w:tc>
          <w:tcPr>
            <w:tcW w:w="9673" w:type="dxa"/>
            <w:gridSpan w:val="7"/>
          </w:tcPr>
          <w:p w14:paraId="26FF304E" w14:textId="7280375D" w:rsidR="00526A3B" w:rsidRPr="00D948C1" w:rsidRDefault="00526A3B" w:rsidP="00EF0ED9">
            <w:pPr>
              <w:rPr>
                <w:snapToGrid w:val="0"/>
                <w:color w:val="000000"/>
                <w:szCs w:val="24"/>
              </w:rPr>
            </w:pPr>
            <w:r w:rsidRPr="00D948C1">
              <w:rPr>
                <w:szCs w:val="24"/>
              </w:rPr>
              <w:t>Longevity at 65 for current pensioners:</w:t>
            </w:r>
          </w:p>
        </w:tc>
      </w:tr>
      <w:tr w:rsidR="005666C0" w:rsidRPr="00D948C1" w14:paraId="67CE7FC8" w14:textId="77777777" w:rsidTr="0919AEC3">
        <w:tc>
          <w:tcPr>
            <w:tcW w:w="3260" w:type="dxa"/>
          </w:tcPr>
          <w:p w14:paraId="6B7D2B12" w14:textId="77777777" w:rsidR="005666C0" w:rsidRPr="00D948C1" w:rsidRDefault="005666C0" w:rsidP="005666C0">
            <w:pPr>
              <w:ind w:left="601"/>
              <w:rPr>
                <w:szCs w:val="24"/>
              </w:rPr>
            </w:pPr>
            <w:r w:rsidRPr="00D948C1">
              <w:rPr>
                <w:szCs w:val="24"/>
              </w:rPr>
              <w:t>Men</w:t>
            </w:r>
          </w:p>
        </w:tc>
        <w:tc>
          <w:tcPr>
            <w:tcW w:w="1134" w:type="dxa"/>
            <w:vAlign w:val="center"/>
          </w:tcPr>
          <w:p w14:paraId="3BEA3EDC" w14:textId="150E6CAF" w:rsidR="005666C0" w:rsidRPr="00294859" w:rsidRDefault="00117504" w:rsidP="0919AEC3">
            <w:pPr>
              <w:jc w:val="right"/>
              <w:rPr>
                <w:snapToGrid w:val="0"/>
                <w:color w:val="000000"/>
                <w:szCs w:val="24"/>
              </w:rPr>
            </w:pPr>
            <w:r w:rsidRPr="00294859">
              <w:rPr>
                <w:snapToGrid w:val="0"/>
                <w:color w:val="000000"/>
                <w:szCs w:val="24"/>
              </w:rPr>
              <w:t>19.7</w:t>
            </w:r>
          </w:p>
        </w:tc>
        <w:tc>
          <w:tcPr>
            <w:tcW w:w="1026" w:type="dxa"/>
            <w:vAlign w:val="center"/>
          </w:tcPr>
          <w:p w14:paraId="247A585D" w14:textId="710CF2A0" w:rsidR="005666C0" w:rsidRPr="00DF39E9" w:rsidRDefault="005666C0" w:rsidP="005666C0">
            <w:pPr>
              <w:jc w:val="right"/>
              <w:rPr>
                <w:snapToGrid w:val="0"/>
                <w:color w:val="000000"/>
                <w:szCs w:val="24"/>
              </w:rPr>
            </w:pPr>
            <w:r w:rsidRPr="00DF39E9">
              <w:rPr>
                <w:snapToGrid w:val="0"/>
                <w:color w:val="000000"/>
                <w:szCs w:val="24"/>
              </w:rPr>
              <w:t>19.8</w:t>
            </w:r>
          </w:p>
        </w:tc>
        <w:tc>
          <w:tcPr>
            <w:tcW w:w="1134" w:type="dxa"/>
            <w:vAlign w:val="center"/>
          </w:tcPr>
          <w:p w14:paraId="049CA47B" w14:textId="04C7DD99" w:rsidR="005666C0" w:rsidRPr="00DF39E9" w:rsidRDefault="00003E3A" w:rsidP="005666C0">
            <w:pPr>
              <w:jc w:val="right"/>
              <w:rPr>
                <w:snapToGrid w:val="0"/>
                <w:color w:val="000000"/>
                <w:szCs w:val="24"/>
              </w:rPr>
            </w:pPr>
            <w:r w:rsidRPr="00DF39E9">
              <w:rPr>
                <w:snapToGrid w:val="0"/>
                <w:color w:val="000000"/>
                <w:szCs w:val="24"/>
              </w:rPr>
              <w:t>21.1</w:t>
            </w:r>
          </w:p>
        </w:tc>
        <w:tc>
          <w:tcPr>
            <w:tcW w:w="993" w:type="dxa"/>
            <w:vAlign w:val="center"/>
          </w:tcPr>
          <w:p w14:paraId="085EBB1C" w14:textId="74D70F5B" w:rsidR="005666C0" w:rsidRPr="00DF39E9" w:rsidRDefault="005666C0" w:rsidP="005666C0">
            <w:pPr>
              <w:jc w:val="right"/>
              <w:rPr>
                <w:snapToGrid w:val="0"/>
                <w:color w:val="000000"/>
                <w:szCs w:val="24"/>
              </w:rPr>
            </w:pPr>
            <w:r w:rsidRPr="00DF39E9">
              <w:rPr>
                <w:snapToGrid w:val="0"/>
                <w:color w:val="000000"/>
                <w:szCs w:val="24"/>
              </w:rPr>
              <w:t>21.1</w:t>
            </w:r>
          </w:p>
        </w:tc>
        <w:tc>
          <w:tcPr>
            <w:tcW w:w="992" w:type="dxa"/>
            <w:vAlign w:val="center"/>
          </w:tcPr>
          <w:p w14:paraId="353CCC08" w14:textId="4F40F28B" w:rsidR="005666C0" w:rsidRPr="00DF39E9" w:rsidRDefault="00003E3A" w:rsidP="005666C0">
            <w:pPr>
              <w:jc w:val="right"/>
              <w:rPr>
                <w:snapToGrid w:val="0"/>
                <w:color w:val="000000"/>
                <w:szCs w:val="24"/>
              </w:rPr>
            </w:pPr>
            <w:r w:rsidRPr="00DF39E9">
              <w:rPr>
                <w:snapToGrid w:val="0"/>
                <w:color w:val="000000"/>
                <w:szCs w:val="24"/>
              </w:rPr>
              <w:t>21.3</w:t>
            </w:r>
          </w:p>
        </w:tc>
        <w:tc>
          <w:tcPr>
            <w:tcW w:w="1134" w:type="dxa"/>
            <w:vAlign w:val="center"/>
          </w:tcPr>
          <w:p w14:paraId="786C24D9" w14:textId="27FD8EEF" w:rsidR="005666C0" w:rsidRPr="00DF39E9" w:rsidRDefault="005666C0" w:rsidP="005666C0">
            <w:pPr>
              <w:jc w:val="right"/>
              <w:rPr>
                <w:snapToGrid w:val="0"/>
                <w:color w:val="000000"/>
                <w:szCs w:val="24"/>
              </w:rPr>
            </w:pPr>
            <w:r w:rsidRPr="00DF39E9">
              <w:rPr>
                <w:snapToGrid w:val="0"/>
                <w:color w:val="000000"/>
                <w:szCs w:val="24"/>
              </w:rPr>
              <w:t>21.3</w:t>
            </w:r>
          </w:p>
        </w:tc>
      </w:tr>
      <w:tr w:rsidR="005666C0" w:rsidRPr="00D948C1" w14:paraId="67DAF8E0" w14:textId="77777777" w:rsidTr="0919AEC3">
        <w:tc>
          <w:tcPr>
            <w:tcW w:w="3260" w:type="dxa"/>
          </w:tcPr>
          <w:p w14:paraId="78090BAC" w14:textId="77777777" w:rsidR="005666C0" w:rsidRPr="00D948C1" w:rsidRDefault="005666C0" w:rsidP="005666C0">
            <w:pPr>
              <w:ind w:left="601"/>
              <w:rPr>
                <w:szCs w:val="24"/>
              </w:rPr>
            </w:pPr>
            <w:r w:rsidRPr="00D948C1">
              <w:rPr>
                <w:szCs w:val="24"/>
              </w:rPr>
              <w:t>Women</w:t>
            </w:r>
          </w:p>
        </w:tc>
        <w:tc>
          <w:tcPr>
            <w:tcW w:w="1134" w:type="dxa"/>
            <w:vAlign w:val="center"/>
          </w:tcPr>
          <w:p w14:paraId="0E11B488" w14:textId="5C8094EF" w:rsidR="005666C0" w:rsidRPr="00294859" w:rsidRDefault="00117504" w:rsidP="0919AEC3">
            <w:pPr>
              <w:jc w:val="right"/>
              <w:rPr>
                <w:snapToGrid w:val="0"/>
                <w:color w:val="000000"/>
                <w:szCs w:val="24"/>
              </w:rPr>
            </w:pPr>
            <w:r w:rsidRPr="00294859">
              <w:rPr>
                <w:snapToGrid w:val="0"/>
                <w:color w:val="000000"/>
                <w:szCs w:val="24"/>
              </w:rPr>
              <w:t>23.6</w:t>
            </w:r>
          </w:p>
        </w:tc>
        <w:tc>
          <w:tcPr>
            <w:tcW w:w="1026" w:type="dxa"/>
            <w:vAlign w:val="center"/>
          </w:tcPr>
          <w:p w14:paraId="58478060" w14:textId="50A6E83C" w:rsidR="005666C0" w:rsidRPr="00DF39E9" w:rsidRDefault="005666C0" w:rsidP="005666C0">
            <w:pPr>
              <w:jc w:val="right"/>
              <w:rPr>
                <w:snapToGrid w:val="0"/>
                <w:color w:val="000000"/>
                <w:szCs w:val="24"/>
              </w:rPr>
            </w:pPr>
            <w:r w:rsidRPr="00DF39E9">
              <w:rPr>
                <w:snapToGrid w:val="0"/>
                <w:color w:val="000000"/>
                <w:szCs w:val="24"/>
              </w:rPr>
              <w:t>23.7</w:t>
            </w:r>
          </w:p>
        </w:tc>
        <w:tc>
          <w:tcPr>
            <w:tcW w:w="1134" w:type="dxa"/>
            <w:vAlign w:val="center"/>
          </w:tcPr>
          <w:p w14:paraId="4A14BAD7" w14:textId="70BE1320" w:rsidR="005666C0" w:rsidRPr="00DF39E9" w:rsidRDefault="00003E3A" w:rsidP="005666C0">
            <w:pPr>
              <w:jc w:val="right"/>
              <w:rPr>
                <w:snapToGrid w:val="0"/>
                <w:color w:val="000000"/>
                <w:szCs w:val="24"/>
              </w:rPr>
            </w:pPr>
            <w:r w:rsidRPr="00DF39E9">
              <w:rPr>
                <w:snapToGrid w:val="0"/>
                <w:color w:val="000000"/>
                <w:szCs w:val="24"/>
              </w:rPr>
              <w:t>23.6</w:t>
            </w:r>
          </w:p>
        </w:tc>
        <w:tc>
          <w:tcPr>
            <w:tcW w:w="993" w:type="dxa"/>
            <w:vAlign w:val="center"/>
          </w:tcPr>
          <w:p w14:paraId="1850AD63" w14:textId="19DB9192" w:rsidR="005666C0" w:rsidRPr="00DF39E9" w:rsidRDefault="005666C0" w:rsidP="005666C0">
            <w:pPr>
              <w:jc w:val="right"/>
              <w:rPr>
                <w:snapToGrid w:val="0"/>
                <w:color w:val="000000"/>
                <w:szCs w:val="24"/>
              </w:rPr>
            </w:pPr>
            <w:r w:rsidRPr="00DF39E9">
              <w:rPr>
                <w:snapToGrid w:val="0"/>
                <w:color w:val="000000"/>
                <w:szCs w:val="24"/>
              </w:rPr>
              <w:t>23.5</w:t>
            </w:r>
          </w:p>
        </w:tc>
        <w:tc>
          <w:tcPr>
            <w:tcW w:w="992" w:type="dxa"/>
            <w:vAlign w:val="center"/>
          </w:tcPr>
          <w:p w14:paraId="6A187C4A" w14:textId="44B21114" w:rsidR="005666C0" w:rsidRPr="00DF39E9" w:rsidRDefault="00003E3A" w:rsidP="005666C0">
            <w:pPr>
              <w:jc w:val="right"/>
              <w:rPr>
                <w:snapToGrid w:val="0"/>
                <w:color w:val="000000"/>
                <w:szCs w:val="24"/>
              </w:rPr>
            </w:pPr>
            <w:r w:rsidRPr="00DF39E9">
              <w:rPr>
                <w:snapToGrid w:val="0"/>
                <w:color w:val="000000"/>
                <w:szCs w:val="24"/>
              </w:rPr>
              <w:t>21.3</w:t>
            </w:r>
          </w:p>
        </w:tc>
        <w:tc>
          <w:tcPr>
            <w:tcW w:w="1134" w:type="dxa"/>
            <w:vAlign w:val="center"/>
          </w:tcPr>
          <w:p w14:paraId="48650E1B" w14:textId="39F2C55E" w:rsidR="005666C0" w:rsidRPr="00DF39E9" w:rsidRDefault="005666C0" w:rsidP="005666C0">
            <w:pPr>
              <w:jc w:val="right"/>
              <w:rPr>
                <w:snapToGrid w:val="0"/>
                <w:color w:val="000000"/>
                <w:szCs w:val="24"/>
              </w:rPr>
            </w:pPr>
            <w:r w:rsidRPr="00DF39E9">
              <w:rPr>
                <w:snapToGrid w:val="0"/>
                <w:color w:val="000000"/>
                <w:szCs w:val="24"/>
              </w:rPr>
              <w:t>21.3</w:t>
            </w:r>
          </w:p>
        </w:tc>
      </w:tr>
    </w:tbl>
    <w:p w14:paraId="24FCB1F6" w14:textId="77777777" w:rsidR="001E71F1" w:rsidRPr="00D948C1" w:rsidRDefault="001E71F1"/>
    <w:tbl>
      <w:tblPr>
        <w:tblW w:w="96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134"/>
        <w:gridCol w:w="1026"/>
        <w:gridCol w:w="1134"/>
        <w:gridCol w:w="993"/>
        <w:gridCol w:w="992"/>
        <w:gridCol w:w="1134"/>
      </w:tblGrid>
      <w:tr w:rsidR="00526A3B" w:rsidRPr="00D948C1" w14:paraId="145FE162" w14:textId="77777777" w:rsidTr="6498351E">
        <w:tc>
          <w:tcPr>
            <w:tcW w:w="9673" w:type="dxa"/>
            <w:gridSpan w:val="7"/>
            <w:shd w:val="clear" w:color="auto" w:fill="D9D9D9" w:themeFill="background1" w:themeFillShade="D9"/>
          </w:tcPr>
          <w:p w14:paraId="024B0DDF" w14:textId="05A4923D" w:rsidR="00526A3B" w:rsidRPr="00D948C1" w:rsidRDefault="00526A3B" w:rsidP="00EF0ED9">
            <w:pPr>
              <w:rPr>
                <w:b/>
                <w:bCs/>
                <w:snapToGrid w:val="0"/>
                <w:color w:val="000000"/>
                <w:szCs w:val="24"/>
              </w:rPr>
            </w:pPr>
            <w:r w:rsidRPr="00D948C1">
              <w:rPr>
                <w:b/>
                <w:bCs/>
                <w:szCs w:val="24"/>
              </w:rPr>
              <w:t>Longevity at 65 for future pensioners:</w:t>
            </w:r>
          </w:p>
        </w:tc>
      </w:tr>
      <w:tr w:rsidR="005666C0" w:rsidRPr="00D948C1" w14:paraId="5360AEC5" w14:textId="77777777" w:rsidTr="6498351E">
        <w:tc>
          <w:tcPr>
            <w:tcW w:w="3260" w:type="dxa"/>
          </w:tcPr>
          <w:p w14:paraId="3D561704" w14:textId="77777777" w:rsidR="005666C0" w:rsidRPr="00D948C1" w:rsidRDefault="005666C0" w:rsidP="005666C0">
            <w:pPr>
              <w:ind w:left="601"/>
              <w:rPr>
                <w:szCs w:val="24"/>
              </w:rPr>
            </w:pPr>
            <w:r w:rsidRPr="00D948C1">
              <w:rPr>
                <w:szCs w:val="24"/>
              </w:rPr>
              <w:t>Men</w:t>
            </w:r>
          </w:p>
        </w:tc>
        <w:tc>
          <w:tcPr>
            <w:tcW w:w="1134" w:type="dxa"/>
            <w:vAlign w:val="center"/>
          </w:tcPr>
          <w:p w14:paraId="2ABDB797" w14:textId="70B6A5A7" w:rsidR="005666C0" w:rsidRPr="00294859" w:rsidRDefault="00251157" w:rsidP="0919AEC3">
            <w:pPr>
              <w:jc w:val="right"/>
              <w:rPr>
                <w:snapToGrid w:val="0"/>
                <w:color w:val="000000"/>
                <w:szCs w:val="24"/>
              </w:rPr>
            </w:pPr>
            <w:r w:rsidRPr="00294859">
              <w:rPr>
                <w:snapToGrid w:val="0"/>
                <w:color w:val="000000"/>
                <w:szCs w:val="24"/>
              </w:rPr>
              <w:t>21.3</w:t>
            </w:r>
          </w:p>
        </w:tc>
        <w:tc>
          <w:tcPr>
            <w:tcW w:w="1026" w:type="dxa"/>
            <w:vAlign w:val="center"/>
          </w:tcPr>
          <w:p w14:paraId="4B38EC1A" w14:textId="7F0690EB" w:rsidR="005666C0" w:rsidRPr="00DF39E9" w:rsidRDefault="005666C0" w:rsidP="005666C0">
            <w:pPr>
              <w:jc w:val="right"/>
              <w:rPr>
                <w:snapToGrid w:val="0"/>
                <w:color w:val="000000"/>
                <w:szCs w:val="24"/>
              </w:rPr>
            </w:pPr>
            <w:r w:rsidRPr="00DF39E9">
              <w:rPr>
                <w:snapToGrid w:val="0"/>
                <w:color w:val="000000"/>
                <w:szCs w:val="24"/>
              </w:rPr>
              <w:t>21.4</w:t>
            </w:r>
          </w:p>
        </w:tc>
        <w:tc>
          <w:tcPr>
            <w:tcW w:w="1134" w:type="dxa"/>
            <w:vAlign w:val="center"/>
          </w:tcPr>
          <w:p w14:paraId="61C68FE3" w14:textId="0DB74113" w:rsidR="005666C0" w:rsidRPr="00DF39E9" w:rsidRDefault="00C23D28" w:rsidP="0919AEC3">
            <w:pPr>
              <w:jc w:val="right"/>
              <w:rPr>
                <w:snapToGrid w:val="0"/>
                <w:color w:val="000000"/>
                <w:szCs w:val="24"/>
              </w:rPr>
            </w:pPr>
            <w:r w:rsidRPr="00DF39E9">
              <w:rPr>
                <w:snapToGrid w:val="0"/>
                <w:color w:val="000000"/>
                <w:szCs w:val="24"/>
              </w:rPr>
              <w:t>22.</w:t>
            </w:r>
            <w:r>
              <w:rPr>
                <w:snapToGrid w:val="0"/>
                <w:color w:val="000000"/>
                <w:szCs w:val="24"/>
              </w:rPr>
              <w:t>3</w:t>
            </w:r>
          </w:p>
        </w:tc>
        <w:tc>
          <w:tcPr>
            <w:tcW w:w="993" w:type="dxa"/>
            <w:vAlign w:val="center"/>
          </w:tcPr>
          <w:p w14:paraId="198AEDA1" w14:textId="54DC7999" w:rsidR="005666C0" w:rsidRPr="00DF39E9" w:rsidRDefault="005666C0" w:rsidP="005666C0">
            <w:pPr>
              <w:jc w:val="right"/>
              <w:rPr>
                <w:snapToGrid w:val="0"/>
                <w:color w:val="000000"/>
                <w:szCs w:val="24"/>
              </w:rPr>
            </w:pPr>
            <w:r w:rsidRPr="00DF39E9">
              <w:rPr>
                <w:snapToGrid w:val="0"/>
                <w:color w:val="000000"/>
                <w:szCs w:val="24"/>
              </w:rPr>
              <w:t>22.4</w:t>
            </w:r>
          </w:p>
        </w:tc>
        <w:tc>
          <w:tcPr>
            <w:tcW w:w="992" w:type="dxa"/>
            <w:vAlign w:val="center"/>
          </w:tcPr>
          <w:p w14:paraId="01CAFE20" w14:textId="1A84A45D" w:rsidR="005666C0" w:rsidRPr="00DF39E9" w:rsidRDefault="00003E3A" w:rsidP="005666C0">
            <w:pPr>
              <w:jc w:val="right"/>
              <w:rPr>
                <w:snapToGrid w:val="0"/>
                <w:color w:val="000000"/>
                <w:szCs w:val="24"/>
              </w:rPr>
            </w:pPr>
            <w:r w:rsidRPr="00DF39E9">
              <w:rPr>
                <w:snapToGrid w:val="0"/>
                <w:color w:val="000000"/>
                <w:szCs w:val="24"/>
              </w:rPr>
              <w:t>22.7</w:t>
            </w:r>
          </w:p>
        </w:tc>
        <w:tc>
          <w:tcPr>
            <w:tcW w:w="1134" w:type="dxa"/>
            <w:vAlign w:val="center"/>
          </w:tcPr>
          <w:p w14:paraId="6383D3C9" w14:textId="7C322F3D" w:rsidR="005666C0" w:rsidRPr="00DF39E9" w:rsidRDefault="005666C0" w:rsidP="005666C0">
            <w:pPr>
              <w:jc w:val="right"/>
              <w:rPr>
                <w:snapToGrid w:val="0"/>
                <w:color w:val="000000"/>
                <w:szCs w:val="24"/>
              </w:rPr>
            </w:pPr>
            <w:r w:rsidRPr="00DF39E9">
              <w:rPr>
                <w:snapToGrid w:val="0"/>
                <w:color w:val="000000"/>
                <w:szCs w:val="24"/>
              </w:rPr>
              <w:t>22.9</w:t>
            </w:r>
          </w:p>
        </w:tc>
      </w:tr>
      <w:tr w:rsidR="005666C0" w:rsidRPr="00D948C1" w14:paraId="1D719DAF" w14:textId="77777777" w:rsidTr="6498351E">
        <w:tc>
          <w:tcPr>
            <w:tcW w:w="3260" w:type="dxa"/>
          </w:tcPr>
          <w:p w14:paraId="3F1DA9DC" w14:textId="77777777" w:rsidR="005666C0" w:rsidRPr="00D948C1" w:rsidRDefault="005666C0" w:rsidP="005666C0">
            <w:pPr>
              <w:ind w:left="601"/>
              <w:rPr>
                <w:szCs w:val="24"/>
              </w:rPr>
            </w:pPr>
            <w:r w:rsidRPr="00D948C1">
              <w:rPr>
                <w:szCs w:val="24"/>
              </w:rPr>
              <w:t>Women</w:t>
            </w:r>
          </w:p>
        </w:tc>
        <w:tc>
          <w:tcPr>
            <w:tcW w:w="1134" w:type="dxa"/>
            <w:vAlign w:val="center"/>
          </w:tcPr>
          <w:p w14:paraId="700A4525" w14:textId="178AA147" w:rsidR="005666C0" w:rsidRPr="00294859" w:rsidRDefault="00251157" w:rsidP="0919AEC3">
            <w:pPr>
              <w:jc w:val="right"/>
              <w:rPr>
                <w:snapToGrid w:val="0"/>
                <w:color w:val="000000"/>
                <w:szCs w:val="24"/>
              </w:rPr>
            </w:pPr>
            <w:r w:rsidRPr="00294859">
              <w:rPr>
                <w:snapToGrid w:val="0"/>
                <w:color w:val="000000"/>
                <w:szCs w:val="24"/>
              </w:rPr>
              <w:t>25.2</w:t>
            </w:r>
          </w:p>
        </w:tc>
        <w:tc>
          <w:tcPr>
            <w:tcW w:w="1026" w:type="dxa"/>
            <w:vAlign w:val="center"/>
          </w:tcPr>
          <w:p w14:paraId="550B8FAE" w14:textId="24D56BC7" w:rsidR="005666C0" w:rsidRPr="00DF39E9" w:rsidRDefault="005666C0" w:rsidP="005666C0">
            <w:pPr>
              <w:jc w:val="right"/>
              <w:rPr>
                <w:snapToGrid w:val="0"/>
                <w:color w:val="000000"/>
                <w:szCs w:val="24"/>
              </w:rPr>
            </w:pPr>
            <w:r w:rsidRPr="00DF39E9">
              <w:rPr>
                <w:snapToGrid w:val="0"/>
                <w:color w:val="000000"/>
                <w:szCs w:val="24"/>
              </w:rPr>
              <w:t>25.3</w:t>
            </w:r>
          </w:p>
        </w:tc>
        <w:tc>
          <w:tcPr>
            <w:tcW w:w="1134" w:type="dxa"/>
            <w:vAlign w:val="center"/>
          </w:tcPr>
          <w:p w14:paraId="3793EE23" w14:textId="0912C0AD" w:rsidR="005666C0" w:rsidRPr="00DF39E9" w:rsidRDefault="00003E3A" w:rsidP="0919AEC3">
            <w:pPr>
              <w:jc w:val="right"/>
              <w:rPr>
                <w:snapToGrid w:val="0"/>
                <w:color w:val="000000"/>
                <w:szCs w:val="24"/>
              </w:rPr>
            </w:pPr>
            <w:r w:rsidRPr="00DF39E9">
              <w:rPr>
                <w:snapToGrid w:val="0"/>
                <w:color w:val="000000"/>
                <w:szCs w:val="24"/>
              </w:rPr>
              <w:t>25.</w:t>
            </w:r>
            <w:r w:rsidR="00C23D28" w:rsidRPr="0919AEC3">
              <w:rPr>
                <w:snapToGrid w:val="0"/>
                <w:color w:val="000000"/>
              </w:rPr>
              <w:t>4</w:t>
            </w:r>
          </w:p>
        </w:tc>
        <w:tc>
          <w:tcPr>
            <w:tcW w:w="993" w:type="dxa"/>
            <w:vAlign w:val="center"/>
          </w:tcPr>
          <w:p w14:paraId="41238C15" w14:textId="74F682D1" w:rsidR="005666C0" w:rsidRPr="00DF39E9" w:rsidRDefault="005666C0" w:rsidP="005666C0">
            <w:pPr>
              <w:jc w:val="right"/>
              <w:rPr>
                <w:snapToGrid w:val="0"/>
                <w:color w:val="000000"/>
                <w:szCs w:val="24"/>
              </w:rPr>
            </w:pPr>
            <w:r w:rsidRPr="00DF39E9">
              <w:rPr>
                <w:snapToGrid w:val="0"/>
                <w:color w:val="000000"/>
                <w:szCs w:val="24"/>
              </w:rPr>
              <w:t>25.3</w:t>
            </w:r>
          </w:p>
        </w:tc>
        <w:tc>
          <w:tcPr>
            <w:tcW w:w="992" w:type="dxa"/>
            <w:vAlign w:val="center"/>
          </w:tcPr>
          <w:p w14:paraId="0BC1D387" w14:textId="317083C8" w:rsidR="005666C0" w:rsidRPr="00DF39E9" w:rsidRDefault="00003E3A" w:rsidP="005666C0">
            <w:pPr>
              <w:jc w:val="right"/>
              <w:rPr>
                <w:snapToGrid w:val="0"/>
                <w:color w:val="000000"/>
                <w:szCs w:val="24"/>
              </w:rPr>
            </w:pPr>
            <w:r w:rsidRPr="00DF39E9">
              <w:rPr>
                <w:snapToGrid w:val="0"/>
                <w:color w:val="000000"/>
                <w:szCs w:val="24"/>
              </w:rPr>
              <w:t>22.7</w:t>
            </w:r>
          </w:p>
        </w:tc>
        <w:tc>
          <w:tcPr>
            <w:tcW w:w="1134" w:type="dxa"/>
            <w:vAlign w:val="center"/>
          </w:tcPr>
          <w:p w14:paraId="25DCA9FA" w14:textId="5E976583" w:rsidR="005666C0" w:rsidRPr="00DF39E9" w:rsidRDefault="005666C0" w:rsidP="005666C0">
            <w:pPr>
              <w:jc w:val="right"/>
              <w:rPr>
                <w:snapToGrid w:val="0"/>
                <w:color w:val="000000"/>
                <w:szCs w:val="24"/>
              </w:rPr>
            </w:pPr>
            <w:r w:rsidRPr="00DF39E9">
              <w:rPr>
                <w:snapToGrid w:val="0"/>
                <w:color w:val="000000"/>
                <w:szCs w:val="24"/>
              </w:rPr>
              <w:t>22.9</w:t>
            </w:r>
          </w:p>
        </w:tc>
      </w:tr>
      <w:tr w:rsidR="005666C0" w:rsidRPr="00D948C1" w14:paraId="11E8A6B3" w14:textId="77777777" w:rsidTr="6498351E">
        <w:tc>
          <w:tcPr>
            <w:tcW w:w="3260" w:type="dxa"/>
          </w:tcPr>
          <w:p w14:paraId="2ABB0F74" w14:textId="77777777" w:rsidR="005666C0" w:rsidRPr="00D948C1" w:rsidRDefault="005666C0" w:rsidP="005666C0">
            <w:pPr>
              <w:rPr>
                <w:szCs w:val="24"/>
              </w:rPr>
            </w:pPr>
            <w:r w:rsidRPr="00D948C1">
              <w:rPr>
                <w:szCs w:val="24"/>
              </w:rPr>
              <w:t>Rate of CPI inflation</w:t>
            </w:r>
          </w:p>
        </w:tc>
        <w:tc>
          <w:tcPr>
            <w:tcW w:w="1134" w:type="dxa"/>
            <w:vAlign w:val="center"/>
          </w:tcPr>
          <w:p w14:paraId="654C968D" w14:textId="69596A3B" w:rsidR="005666C0" w:rsidRPr="00294859" w:rsidRDefault="00251157" w:rsidP="6498351E">
            <w:pPr>
              <w:jc w:val="right"/>
              <w:rPr>
                <w:snapToGrid w:val="0"/>
                <w:color w:val="000000"/>
              </w:rPr>
            </w:pPr>
            <w:r w:rsidRPr="6498351E">
              <w:rPr>
                <w:snapToGrid w:val="0"/>
                <w:color w:val="000000"/>
              </w:rPr>
              <w:t>2.70%</w:t>
            </w:r>
          </w:p>
        </w:tc>
        <w:tc>
          <w:tcPr>
            <w:tcW w:w="1026" w:type="dxa"/>
            <w:vAlign w:val="center"/>
          </w:tcPr>
          <w:p w14:paraId="46388F04" w14:textId="1F798B39" w:rsidR="005666C0" w:rsidRPr="00DF39E9" w:rsidRDefault="005666C0" w:rsidP="005666C0">
            <w:pPr>
              <w:jc w:val="right"/>
              <w:rPr>
                <w:snapToGrid w:val="0"/>
                <w:color w:val="000000"/>
                <w:szCs w:val="24"/>
              </w:rPr>
            </w:pPr>
            <w:r w:rsidRPr="00DF39E9">
              <w:rPr>
                <w:snapToGrid w:val="0"/>
                <w:color w:val="000000"/>
                <w:szCs w:val="24"/>
              </w:rPr>
              <w:t>2.75%</w:t>
            </w:r>
          </w:p>
        </w:tc>
        <w:tc>
          <w:tcPr>
            <w:tcW w:w="1134" w:type="dxa"/>
            <w:vAlign w:val="center"/>
          </w:tcPr>
          <w:p w14:paraId="02D36699" w14:textId="3F654B6B" w:rsidR="005666C0" w:rsidRPr="00DF39E9" w:rsidRDefault="007B34D1" w:rsidP="005666C0">
            <w:pPr>
              <w:jc w:val="right"/>
              <w:rPr>
                <w:snapToGrid w:val="0"/>
                <w:color w:val="000000"/>
                <w:szCs w:val="24"/>
              </w:rPr>
            </w:pPr>
            <w:r w:rsidRPr="00DF39E9">
              <w:rPr>
                <w:snapToGrid w:val="0"/>
                <w:color w:val="000000"/>
                <w:szCs w:val="24"/>
              </w:rPr>
              <w:t>2.60%</w:t>
            </w:r>
          </w:p>
        </w:tc>
        <w:tc>
          <w:tcPr>
            <w:tcW w:w="993" w:type="dxa"/>
            <w:vAlign w:val="center"/>
          </w:tcPr>
          <w:p w14:paraId="03139C68" w14:textId="5D9EB999" w:rsidR="005666C0" w:rsidRPr="00DF39E9" w:rsidRDefault="005666C0" w:rsidP="005666C0">
            <w:pPr>
              <w:jc w:val="right"/>
              <w:rPr>
                <w:snapToGrid w:val="0"/>
                <w:color w:val="000000"/>
                <w:szCs w:val="24"/>
              </w:rPr>
            </w:pPr>
            <w:r w:rsidRPr="00DF39E9">
              <w:rPr>
                <w:snapToGrid w:val="0"/>
                <w:color w:val="000000"/>
                <w:szCs w:val="24"/>
              </w:rPr>
              <w:t>2.70%</w:t>
            </w:r>
          </w:p>
        </w:tc>
        <w:tc>
          <w:tcPr>
            <w:tcW w:w="992" w:type="dxa"/>
            <w:vAlign w:val="center"/>
          </w:tcPr>
          <w:p w14:paraId="2263E454" w14:textId="1BDBA7D0" w:rsidR="005666C0" w:rsidRPr="00DF39E9" w:rsidRDefault="007B34D1" w:rsidP="005666C0">
            <w:pPr>
              <w:jc w:val="right"/>
              <w:rPr>
                <w:snapToGrid w:val="0"/>
                <w:color w:val="000000"/>
                <w:szCs w:val="24"/>
              </w:rPr>
            </w:pPr>
            <w:r w:rsidRPr="00DF39E9">
              <w:rPr>
                <w:snapToGrid w:val="0"/>
                <w:color w:val="000000"/>
                <w:szCs w:val="24"/>
              </w:rPr>
              <w:t>2.70%</w:t>
            </w:r>
          </w:p>
        </w:tc>
        <w:tc>
          <w:tcPr>
            <w:tcW w:w="1134" w:type="dxa"/>
            <w:vAlign w:val="center"/>
          </w:tcPr>
          <w:p w14:paraId="6D3B2ADF" w14:textId="2DE32667" w:rsidR="005666C0" w:rsidRPr="00DF39E9" w:rsidRDefault="005666C0" w:rsidP="005666C0">
            <w:pPr>
              <w:jc w:val="right"/>
              <w:rPr>
                <w:snapToGrid w:val="0"/>
                <w:color w:val="000000"/>
                <w:szCs w:val="24"/>
              </w:rPr>
            </w:pPr>
            <w:r w:rsidRPr="00DF39E9">
              <w:rPr>
                <w:snapToGrid w:val="0"/>
                <w:color w:val="000000"/>
                <w:szCs w:val="24"/>
              </w:rPr>
              <w:t>2.60%</w:t>
            </w:r>
          </w:p>
        </w:tc>
      </w:tr>
      <w:tr w:rsidR="005666C0" w:rsidRPr="00D948C1" w14:paraId="119731DB" w14:textId="77777777" w:rsidTr="6498351E">
        <w:tc>
          <w:tcPr>
            <w:tcW w:w="3260" w:type="dxa"/>
          </w:tcPr>
          <w:p w14:paraId="254FD3E8" w14:textId="77777777" w:rsidR="005666C0" w:rsidRPr="00D948C1" w:rsidRDefault="005666C0" w:rsidP="005666C0">
            <w:pPr>
              <w:rPr>
                <w:szCs w:val="24"/>
              </w:rPr>
            </w:pPr>
            <w:r w:rsidRPr="00D948C1">
              <w:rPr>
                <w:szCs w:val="24"/>
              </w:rPr>
              <w:t>Rate of increase in salaries</w:t>
            </w:r>
          </w:p>
        </w:tc>
        <w:tc>
          <w:tcPr>
            <w:tcW w:w="1134" w:type="dxa"/>
            <w:vAlign w:val="center"/>
          </w:tcPr>
          <w:p w14:paraId="02812B93" w14:textId="6F512EE9" w:rsidR="005666C0" w:rsidRPr="00294859" w:rsidRDefault="00251157" w:rsidP="6498351E">
            <w:pPr>
              <w:jc w:val="right"/>
              <w:rPr>
                <w:snapToGrid w:val="0"/>
                <w:color w:val="000000"/>
              </w:rPr>
            </w:pPr>
            <w:r w:rsidRPr="6498351E">
              <w:rPr>
                <w:snapToGrid w:val="0"/>
                <w:color w:val="000000"/>
              </w:rPr>
              <w:t>3.40%</w:t>
            </w:r>
          </w:p>
        </w:tc>
        <w:tc>
          <w:tcPr>
            <w:tcW w:w="1026" w:type="dxa"/>
            <w:vAlign w:val="center"/>
          </w:tcPr>
          <w:p w14:paraId="30715409" w14:textId="44BB2FD1" w:rsidR="005666C0" w:rsidRPr="00DF39E9" w:rsidRDefault="005666C0" w:rsidP="005666C0">
            <w:pPr>
              <w:jc w:val="right"/>
              <w:rPr>
                <w:snapToGrid w:val="0"/>
                <w:color w:val="000000"/>
                <w:szCs w:val="24"/>
              </w:rPr>
            </w:pPr>
            <w:r w:rsidRPr="00DF39E9">
              <w:rPr>
                <w:snapToGrid w:val="0"/>
                <w:color w:val="000000"/>
                <w:szCs w:val="24"/>
              </w:rPr>
              <w:t>3.45%</w:t>
            </w:r>
          </w:p>
        </w:tc>
        <w:tc>
          <w:tcPr>
            <w:tcW w:w="1134" w:type="dxa"/>
            <w:vAlign w:val="center"/>
          </w:tcPr>
          <w:p w14:paraId="06B1A881" w14:textId="3B49C475" w:rsidR="005666C0" w:rsidRPr="00DF39E9" w:rsidRDefault="007B34D1" w:rsidP="005666C0">
            <w:pPr>
              <w:jc w:val="right"/>
              <w:rPr>
                <w:snapToGrid w:val="0"/>
                <w:color w:val="000000"/>
                <w:szCs w:val="24"/>
              </w:rPr>
            </w:pPr>
            <w:r w:rsidRPr="00DF39E9">
              <w:rPr>
                <w:snapToGrid w:val="0"/>
                <w:color w:val="000000"/>
                <w:szCs w:val="24"/>
              </w:rPr>
              <w:t>4.10%</w:t>
            </w:r>
          </w:p>
        </w:tc>
        <w:tc>
          <w:tcPr>
            <w:tcW w:w="993" w:type="dxa"/>
            <w:vAlign w:val="center"/>
          </w:tcPr>
          <w:p w14:paraId="689A0F10" w14:textId="019D8196" w:rsidR="005666C0" w:rsidRPr="00DF39E9" w:rsidRDefault="005666C0" w:rsidP="005666C0">
            <w:pPr>
              <w:jc w:val="right"/>
              <w:rPr>
                <w:snapToGrid w:val="0"/>
                <w:color w:val="000000"/>
                <w:szCs w:val="24"/>
              </w:rPr>
            </w:pPr>
            <w:r w:rsidRPr="00DF39E9">
              <w:rPr>
                <w:snapToGrid w:val="0"/>
                <w:color w:val="000000"/>
                <w:szCs w:val="24"/>
              </w:rPr>
              <w:t>4.20%</w:t>
            </w:r>
          </w:p>
        </w:tc>
        <w:tc>
          <w:tcPr>
            <w:tcW w:w="992" w:type="dxa"/>
            <w:vAlign w:val="center"/>
          </w:tcPr>
          <w:p w14:paraId="7940CD79" w14:textId="7B73585E" w:rsidR="005666C0" w:rsidRPr="00DF39E9" w:rsidRDefault="007B34D1" w:rsidP="005666C0">
            <w:pPr>
              <w:jc w:val="right"/>
              <w:rPr>
                <w:snapToGrid w:val="0"/>
                <w:color w:val="000000"/>
                <w:szCs w:val="24"/>
              </w:rPr>
            </w:pPr>
            <w:r w:rsidRPr="00DF39E9">
              <w:rPr>
                <w:snapToGrid w:val="0"/>
                <w:color w:val="000000"/>
                <w:szCs w:val="24"/>
              </w:rPr>
              <w:t>3.45%</w:t>
            </w:r>
          </w:p>
        </w:tc>
        <w:tc>
          <w:tcPr>
            <w:tcW w:w="1134" w:type="dxa"/>
            <w:vAlign w:val="center"/>
          </w:tcPr>
          <w:p w14:paraId="4617940B" w14:textId="379ABEB0" w:rsidR="005666C0" w:rsidRPr="00DF39E9" w:rsidRDefault="005666C0" w:rsidP="005666C0">
            <w:pPr>
              <w:jc w:val="right"/>
              <w:rPr>
                <w:snapToGrid w:val="0"/>
                <w:color w:val="000000"/>
                <w:szCs w:val="24"/>
              </w:rPr>
            </w:pPr>
            <w:r w:rsidRPr="00DF39E9">
              <w:rPr>
                <w:snapToGrid w:val="0"/>
                <w:color w:val="000000"/>
                <w:szCs w:val="24"/>
              </w:rPr>
              <w:t>3.85%</w:t>
            </w:r>
          </w:p>
        </w:tc>
      </w:tr>
      <w:tr w:rsidR="005666C0" w:rsidRPr="00D948C1" w14:paraId="101DD171" w14:textId="77777777" w:rsidTr="6498351E">
        <w:tc>
          <w:tcPr>
            <w:tcW w:w="3260" w:type="dxa"/>
          </w:tcPr>
          <w:p w14:paraId="70605973" w14:textId="77777777" w:rsidR="005666C0" w:rsidRPr="00D948C1" w:rsidRDefault="005666C0" w:rsidP="005666C0">
            <w:pPr>
              <w:rPr>
                <w:szCs w:val="24"/>
              </w:rPr>
            </w:pPr>
            <w:r w:rsidRPr="00D948C1">
              <w:rPr>
                <w:szCs w:val="24"/>
              </w:rPr>
              <w:t>Rate of increase in pensions</w:t>
            </w:r>
          </w:p>
        </w:tc>
        <w:tc>
          <w:tcPr>
            <w:tcW w:w="1134" w:type="dxa"/>
            <w:vAlign w:val="center"/>
          </w:tcPr>
          <w:p w14:paraId="3B548824" w14:textId="708F89D7" w:rsidR="005666C0" w:rsidRPr="00294859" w:rsidRDefault="00251157" w:rsidP="6498351E">
            <w:pPr>
              <w:jc w:val="right"/>
              <w:rPr>
                <w:snapToGrid w:val="0"/>
                <w:color w:val="000000"/>
              </w:rPr>
            </w:pPr>
            <w:r w:rsidRPr="6498351E">
              <w:rPr>
                <w:snapToGrid w:val="0"/>
                <w:color w:val="000000"/>
              </w:rPr>
              <w:t>2.70%</w:t>
            </w:r>
          </w:p>
        </w:tc>
        <w:tc>
          <w:tcPr>
            <w:tcW w:w="1026" w:type="dxa"/>
            <w:vAlign w:val="center"/>
          </w:tcPr>
          <w:p w14:paraId="34F78E31" w14:textId="435F4A12" w:rsidR="005666C0" w:rsidRPr="00DF39E9" w:rsidRDefault="005666C0" w:rsidP="005666C0">
            <w:pPr>
              <w:jc w:val="right"/>
              <w:rPr>
                <w:snapToGrid w:val="0"/>
                <w:color w:val="000000"/>
                <w:szCs w:val="24"/>
              </w:rPr>
            </w:pPr>
            <w:r w:rsidRPr="00DF39E9">
              <w:rPr>
                <w:snapToGrid w:val="0"/>
                <w:color w:val="000000"/>
                <w:szCs w:val="24"/>
              </w:rPr>
              <w:t>2.75%</w:t>
            </w:r>
          </w:p>
        </w:tc>
        <w:tc>
          <w:tcPr>
            <w:tcW w:w="1134" w:type="dxa"/>
            <w:vAlign w:val="center"/>
          </w:tcPr>
          <w:p w14:paraId="1816C1B9" w14:textId="3E1B2638" w:rsidR="005666C0" w:rsidRPr="00DF39E9" w:rsidRDefault="007B34D1" w:rsidP="005666C0">
            <w:pPr>
              <w:jc w:val="right"/>
              <w:rPr>
                <w:snapToGrid w:val="0"/>
                <w:color w:val="000000"/>
                <w:szCs w:val="24"/>
              </w:rPr>
            </w:pPr>
            <w:r w:rsidRPr="00DF39E9">
              <w:rPr>
                <w:snapToGrid w:val="0"/>
                <w:color w:val="000000"/>
                <w:szCs w:val="24"/>
              </w:rPr>
              <w:t>2.70%</w:t>
            </w:r>
          </w:p>
        </w:tc>
        <w:tc>
          <w:tcPr>
            <w:tcW w:w="993" w:type="dxa"/>
            <w:vAlign w:val="center"/>
          </w:tcPr>
          <w:p w14:paraId="3C129A78" w14:textId="7B917DA2" w:rsidR="005666C0" w:rsidRPr="00DF39E9" w:rsidRDefault="005666C0" w:rsidP="005666C0">
            <w:pPr>
              <w:jc w:val="right"/>
              <w:rPr>
                <w:snapToGrid w:val="0"/>
                <w:color w:val="000000"/>
                <w:szCs w:val="24"/>
              </w:rPr>
            </w:pPr>
            <w:r w:rsidRPr="00DF39E9">
              <w:rPr>
                <w:snapToGrid w:val="0"/>
                <w:color w:val="000000"/>
                <w:szCs w:val="24"/>
              </w:rPr>
              <w:t>2.80%</w:t>
            </w:r>
          </w:p>
        </w:tc>
        <w:tc>
          <w:tcPr>
            <w:tcW w:w="992" w:type="dxa"/>
            <w:vAlign w:val="center"/>
          </w:tcPr>
          <w:p w14:paraId="30BCB347" w14:textId="433C8DFE" w:rsidR="005666C0" w:rsidRPr="00DF39E9" w:rsidRDefault="007B34D1" w:rsidP="005666C0">
            <w:pPr>
              <w:jc w:val="right"/>
              <w:rPr>
                <w:snapToGrid w:val="0"/>
                <w:color w:val="000000"/>
                <w:szCs w:val="24"/>
              </w:rPr>
            </w:pPr>
            <w:r w:rsidRPr="00DF39E9">
              <w:rPr>
                <w:snapToGrid w:val="0"/>
                <w:color w:val="000000"/>
                <w:szCs w:val="24"/>
              </w:rPr>
              <w:t>2.70%</w:t>
            </w:r>
          </w:p>
        </w:tc>
        <w:tc>
          <w:tcPr>
            <w:tcW w:w="1134" w:type="dxa"/>
            <w:vAlign w:val="center"/>
          </w:tcPr>
          <w:p w14:paraId="523681C9" w14:textId="74FE7771" w:rsidR="005666C0" w:rsidRPr="00DF39E9" w:rsidRDefault="005666C0" w:rsidP="005666C0">
            <w:pPr>
              <w:jc w:val="right"/>
              <w:rPr>
                <w:snapToGrid w:val="0"/>
                <w:color w:val="000000"/>
                <w:szCs w:val="24"/>
              </w:rPr>
            </w:pPr>
            <w:r w:rsidRPr="00DF39E9">
              <w:rPr>
                <w:snapToGrid w:val="0"/>
                <w:color w:val="000000"/>
                <w:szCs w:val="24"/>
              </w:rPr>
              <w:t>2.60%</w:t>
            </w:r>
          </w:p>
        </w:tc>
      </w:tr>
      <w:tr w:rsidR="005666C0" w:rsidRPr="00D948C1" w14:paraId="23F3C53C" w14:textId="77777777" w:rsidTr="6498351E">
        <w:tc>
          <w:tcPr>
            <w:tcW w:w="3260" w:type="dxa"/>
          </w:tcPr>
          <w:p w14:paraId="62F89239" w14:textId="77777777" w:rsidR="005666C0" w:rsidRPr="00D948C1" w:rsidRDefault="005666C0" w:rsidP="005666C0">
            <w:pPr>
              <w:rPr>
                <w:szCs w:val="24"/>
              </w:rPr>
            </w:pPr>
            <w:r w:rsidRPr="00D948C1">
              <w:rPr>
                <w:szCs w:val="24"/>
              </w:rPr>
              <w:t>Rate for discounting scheme liabilities</w:t>
            </w:r>
          </w:p>
        </w:tc>
        <w:tc>
          <w:tcPr>
            <w:tcW w:w="1134" w:type="dxa"/>
            <w:vAlign w:val="center"/>
          </w:tcPr>
          <w:p w14:paraId="750E7B0E" w14:textId="43E31AAA" w:rsidR="005666C0" w:rsidRPr="00294859" w:rsidRDefault="00251157" w:rsidP="6498351E">
            <w:pPr>
              <w:jc w:val="right"/>
              <w:rPr>
                <w:snapToGrid w:val="0"/>
                <w:color w:val="000000"/>
              </w:rPr>
            </w:pPr>
            <w:r w:rsidRPr="6498351E">
              <w:rPr>
                <w:snapToGrid w:val="0"/>
                <w:color w:val="000000"/>
              </w:rPr>
              <w:t>5.85%</w:t>
            </w:r>
          </w:p>
        </w:tc>
        <w:tc>
          <w:tcPr>
            <w:tcW w:w="1026" w:type="dxa"/>
            <w:vAlign w:val="center"/>
          </w:tcPr>
          <w:p w14:paraId="4793CCEF" w14:textId="36049981" w:rsidR="005666C0" w:rsidRPr="00DF39E9" w:rsidRDefault="005666C0" w:rsidP="005666C0">
            <w:pPr>
              <w:jc w:val="right"/>
              <w:rPr>
                <w:snapToGrid w:val="0"/>
                <w:color w:val="000000"/>
                <w:szCs w:val="24"/>
              </w:rPr>
            </w:pPr>
            <w:r w:rsidRPr="00DF39E9">
              <w:rPr>
                <w:snapToGrid w:val="0"/>
                <w:color w:val="000000"/>
                <w:szCs w:val="24"/>
              </w:rPr>
              <w:t>4.85%</w:t>
            </w:r>
          </w:p>
        </w:tc>
        <w:tc>
          <w:tcPr>
            <w:tcW w:w="1134" w:type="dxa"/>
            <w:vAlign w:val="center"/>
          </w:tcPr>
          <w:p w14:paraId="0C29C89D" w14:textId="1502CC6D" w:rsidR="005666C0" w:rsidRPr="00DF39E9" w:rsidRDefault="007B34D1" w:rsidP="005666C0">
            <w:pPr>
              <w:jc w:val="right"/>
              <w:rPr>
                <w:snapToGrid w:val="0"/>
                <w:color w:val="000000"/>
                <w:szCs w:val="24"/>
              </w:rPr>
            </w:pPr>
            <w:r w:rsidRPr="00DF39E9">
              <w:rPr>
                <w:snapToGrid w:val="0"/>
                <w:color w:val="000000"/>
                <w:szCs w:val="24"/>
              </w:rPr>
              <w:t>5.80%</w:t>
            </w:r>
          </w:p>
        </w:tc>
        <w:tc>
          <w:tcPr>
            <w:tcW w:w="993" w:type="dxa"/>
            <w:vAlign w:val="center"/>
          </w:tcPr>
          <w:p w14:paraId="3A01F611" w14:textId="32B1BED5" w:rsidR="005666C0" w:rsidRPr="00DF39E9" w:rsidRDefault="005666C0" w:rsidP="005666C0">
            <w:pPr>
              <w:jc w:val="right"/>
              <w:rPr>
                <w:snapToGrid w:val="0"/>
                <w:color w:val="000000"/>
                <w:szCs w:val="24"/>
              </w:rPr>
            </w:pPr>
            <w:r w:rsidRPr="00DF39E9">
              <w:rPr>
                <w:snapToGrid w:val="0"/>
                <w:color w:val="000000"/>
                <w:szCs w:val="24"/>
              </w:rPr>
              <w:t>4.80%</w:t>
            </w:r>
          </w:p>
        </w:tc>
        <w:tc>
          <w:tcPr>
            <w:tcW w:w="992" w:type="dxa"/>
            <w:vAlign w:val="center"/>
          </w:tcPr>
          <w:p w14:paraId="7849CB81" w14:textId="27EB4FF1" w:rsidR="005666C0" w:rsidRPr="00DF39E9" w:rsidRDefault="007B34D1" w:rsidP="005666C0">
            <w:pPr>
              <w:jc w:val="right"/>
              <w:rPr>
                <w:snapToGrid w:val="0"/>
                <w:color w:val="000000"/>
                <w:szCs w:val="24"/>
              </w:rPr>
            </w:pPr>
            <w:r w:rsidRPr="00DF39E9">
              <w:rPr>
                <w:snapToGrid w:val="0"/>
                <w:color w:val="000000"/>
                <w:szCs w:val="24"/>
              </w:rPr>
              <w:t>5.65%</w:t>
            </w:r>
          </w:p>
        </w:tc>
        <w:tc>
          <w:tcPr>
            <w:tcW w:w="1134" w:type="dxa"/>
            <w:vAlign w:val="center"/>
          </w:tcPr>
          <w:p w14:paraId="42111231" w14:textId="69A68AE4" w:rsidR="005666C0" w:rsidRPr="00DF39E9" w:rsidRDefault="005666C0" w:rsidP="005666C0">
            <w:pPr>
              <w:jc w:val="right"/>
              <w:rPr>
                <w:snapToGrid w:val="0"/>
                <w:color w:val="000000"/>
                <w:szCs w:val="24"/>
              </w:rPr>
            </w:pPr>
            <w:r w:rsidRPr="00DF39E9">
              <w:rPr>
                <w:snapToGrid w:val="0"/>
                <w:color w:val="000000"/>
                <w:szCs w:val="24"/>
              </w:rPr>
              <w:t>4.75%</w:t>
            </w:r>
          </w:p>
        </w:tc>
      </w:tr>
    </w:tbl>
    <w:p w14:paraId="691E27A4" w14:textId="77777777" w:rsidR="00EC3487" w:rsidRPr="00D948C1" w:rsidRDefault="00EC3487">
      <w:pPr>
        <w:rPr>
          <w:szCs w:val="24"/>
        </w:rPr>
      </w:pPr>
      <w:r w:rsidRPr="00D948C1">
        <w:rPr>
          <w:szCs w:val="24"/>
        </w:rPr>
        <w:br w:type="page"/>
      </w:r>
    </w:p>
    <w:p w14:paraId="5577C117" w14:textId="66947A21" w:rsidR="00D90216" w:rsidRPr="00D948C1" w:rsidRDefault="00D90216" w:rsidP="007F5EEE">
      <w:pPr>
        <w:ind w:left="720"/>
        <w:rPr>
          <w:szCs w:val="24"/>
        </w:rPr>
      </w:pPr>
      <w:r w:rsidRPr="00D948C1">
        <w:rPr>
          <w:szCs w:val="24"/>
        </w:rPr>
        <w:lastRenderedPageBreak/>
        <w:t>The Firefighters’ Pension Scheme has no assets to cover its liabilities. The Local Government Pension Fund’s assets consist of the following categories, by proportion of the total assets held by the Fund:</w:t>
      </w:r>
    </w:p>
    <w:p w14:paraId="6E377482" w14:textId="77777777" w:rsidR="0050693C" w:rsidRPr="00D948C1" w:rsidRDefault="0050693C" w:rsidP="00D90216">
      <w:pPr>
        <w:ind w:left="709"/>
        <w:jc w:val="both"/>
        <w:rPr>
          <w:sz w:val="22"/>
        </w:rPr>
      </w:pP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247"/>
        <w:gridCol w:w="1276"/>
        <w:gridCol w:w="1134"/>
        <w:gridCol w:w="1275"/>
        <w:gridCol w:w="1135"/>
      </w:tblGrid>
      <w:tr w:rsidR="00AD0137" w:rsidRPr="00D948C1" w14:paraId="0182D760" w14:textId="77777777" w:rsidTr="6498351E">
        <w:trPr>
          <w:tblHeader/>
        </w:trPr>
        <w:tc>
          <w:tcPr>
            <w:tcW w:w="1872" w:type="dxa"/>
            <w:shd w:val="clear" w:color="auto" w:fill="BD2716"/>
          </w:tcPr>
          <w:p w14:paraId="607D814E" w14:textId="77777777" w:rsidR="00AD0137" w:rsidRPr="00D948C1" w:rsidRDefault="00AD0137" w:rsidP="0035593C">
            <w:pPr>
              <w:pStyle w:val="00-Normal-BB"/>
              <w:rPr>
                <w:rFonts w:eastAsia="Times New Roman"/>
                <w:color w:val="FFFFFF" w:themeColor="background1"/>
                <w:sz w:val="24"/>
                <w:szCs w:val="24"/>
              </w:rPr>
            </w:pPr>
          </w:p>
        </w:tc>
        <w:tc>
          <w:tcPr>
            <w:tcW w:w="1247" w:type="dxa"/>
            <w:shd w:val="clear" w:color="auto" w:fill="BD2716"/>
          </w:tcPr>
          <w:p w14:paraId="49D684B2" w14:textId="23477CC1" w:rsidR="00AD0137" w:rsidRPr="00D948C1" w:rsidRDefault="00AD0137" w:rsidP="00CD62E6">
            <w:pPr>
              <w:jc w:val="center"/>
              <w:rPr>
                <w:color w:val="FFFFFF" w:themeColor="background1"/>
                <w:szCs w:val="24"/>
              </w:rPr>
            </w:pPr>
          </w:p>
        </w:tc>
        <w:tc>
          <w:tcPr>
            <w:tcW w:w="2410" w:type="dxa"/>
            <w:gridSpan w:val="2"/>
            <w:shd w:val="clear" w:color="auto" w:fill="BD2716"/>
            <w:vAlign w:val="center"/>
          </w:tcPr>
          <w:p w14:paraId="45AD8811" w14:textId="3E17B7DF" w:rsidR="00AD0137" w:rsidRPr="00D948C1" w:rsidRDefault="00AD0137" w:rsidP="00611673">
            <w:pPr>
              <w:jc w:val="center"/>
              <w:rPr>
                <w:color w:val="FFFFFF" w:themeColor="background1"/>
                <w:szCs w:val="24"/>
              </w:rPr>
            </w:pPr>
            <w:r w:rsidRPr="00D948C1">
              <w:rPr>
                <w:color w:val="FFFFFF" w:themeColor="background1"/>
                <w:szCs w:val="24"/>
              </w:rPr>
              <w:t xml:space="preserve">Assets </w:t>
            </w:r>
            <w:proofErr w:type="gramStart"/>
            <w:r w:rsidRPr="00D948C1">
              <w:rPr>
                <w:color w:val="FFFFFF" w:themeColor="background1"/>
                <w:szCs w:val="24"/>
              </w:rPr>
              <w:t>at</w:t>
            </w:r>
            <w:proofErr w:type="gramEnd"/>
            <w:r w:rsidRPr="00D948C1">
              <w:rPr>
                <w:color w:val="FFFFFF" w:themeColor="background1"/>
                <w:szCs w:val="24"/>
              </w:rPr>
              <w:t xml:space="preserve"> 31 March 20</w:t>
            </w:r>
            <w:r w:rsidR="00061A8D" w:rsidRPr="00D948C1">
              <w:rPr>
                <w:color w:val="FFFFFF" w:themeColor="background1"/>
                <w:szCs w:val="24"/>
              </w:rPr>
              <w:t>2</w:t>
            </w:r>
            <w:r w:rsidR="005666C0">
              <w:rPr>
                <w:color w:val="FFFFFF" w:themeColor="background1"/>
                <w:szCs w:val="24"/>
              </w:rPr>
              <w:t>5</w:t>
            </w:r>
          </w:p>
        </w:tc>
        <w:tc>
          <w:tcPr>
            <w:tcW w:w="2410" w:type="dxa"/>
            <w:gridSpan w:val="2"/>
            <w:shd w:val="clear" w:color="auto" w:fill="BD2716"/>
            <w:vAlign w:val="center"/>
          </w:tcPr>
          <w:p w14:paraId="2D49C121" w14:textId="254F3A0D" w:rsidR="00AD0137" w:rsidRPr="00D948C1" w:rsidRDefault="00AD0137" w:rsidP="00611673">
            <w:pPr>
              <w:jc w:val="center"/>
              <w:rPr>
                <w:color w:val="FFFFFF" w:themeColor="background1"/>
                <w:szCs w:val="24"/>
              </w:rPr>
            </w:pPr>
            <w:r w:rsidRPr="00D948C1">
              <w:rPr>
                <w:color w:val="FFFFFF" w:themeColor="background1"/>
                <w:szCs w:val="24"/>
              </w:rPr>
              <w:t xml:space="preserve">Assets </w:t>
            </w:r>
            <w:proofErr w:type="gramStart"/>
            <w:r w:rsidRPr="00D948C1">
              <w:rPr>
                <w:color w:val="FFFFFF" w:themeColor="background1"/>
                <w:szCs w:val="24"/>
              </w:rPr>
              <w:t>at</w:t>
            </w:r>
            <w:proofErr w:type="gramEnd"/>
            <w:r w:rsidRPr="00D948C1">
              <w:rPr>
                <w:color w:val="FFFFFF" w:themeColor="background1"/>
                <w:szCs w:val="24"/>
              </w:rPr>
              <w:t xml:space="preserve"> 31 March 20</w:t>
            </w:r>
            <w:r w:rsidR="00BC6AC5" w:rsidRPr="00D948C1">
              <w:rPr>
                <w:color w:val="FFFFFF" w:themeColor="background1"/>
                <w:szCs w:val="24"/>
              </w:rPr>
              <w:t>2</w:t>
            </w:r>
            <w:r w:rsidR="005666C0">
              <w:rPr>
                <w:color w:val="FFFFFF" w:themeColor="background1"/>
                <w:szCs w:val="24"/>
              </w:rPr>
              <w:t>4</w:t>
            </w:r>
          </w:p>
        </w:tc>
      </w:tr>
      <w:tr w:rsidR="00721F24" w:rsidRPr="00D948C1" w14:paraId="1CD6A7CD" w14:textId="77777777" w:rsidTr="6498351E">
        <w:trPr>
          <w:tblHeader/>
        </w:trPr>
        <w:tc>
          <w:tcPr>
            <w:tcW w:w="1872" w:type="dxa"/>
            <w:shd w:val="clear" w:color="auto" w:fill="BD2716"/>
          </w:tcPr>
          <w:p w14:paraId="138D1CD3" w14:textId="77777777" w:rsidR="00721F24" w:rsidRPr="00D948C1" w:rsidRDefault="00721F24" w:rsidP="00721F24">
            <w:pPr>
              <w:jc w:val="both"/>
              <w:rPr>
                <w:color w:val="FFFFFF" w:themeColor="background1"/>
                <w:szCs w:val="24"/>
              </w:rPr>
            </w:pPr>
          </w:p>
        </w:tc>
        <w:tc>
          <w:tcPr>
            <w:tcW w:w="1247" w:type="dxa"/>
            <w:shd w:val="clear" w:color="auto" w:fill="BD2716"/>
          </w:tcPr>
          <w:p w14:paraId="27977ECE" w14:textId="1C0FC00D" w:rsidR="00721F24" w:rsidRPr="00D948C1" w:rsidRDefault="00611673" w:rsidP="00721F24">
            <w:pPr>
              <w:tabs>
                <w:tab w:val="decimal" w:pos="681"/>
              </w:tabs>
              <w:rPr>
                <w:color w:val="FFFFFF" w:themeColor="background1"/>
                <w:szCs w:val="24"/>
              </w:rPr>
            </w:pPr>
            <w:r w:rsidRPr="00D948C1">
              <w:rPr>
                <w:color w:val="FFFFFF" w:themeColor="background1"/>
                <w:szCs w:val="24"/>
              </w:rPr>
              <w:t>Quoted in active market</w:t>
            </w:r>
          </w:p>
        </w:tc>
        <w:tc>
          <w:tcPr>
            <w:tcW w:w="1276" w:type="dxa"/>
            <w:shd w:val="clear" w:color="auto" w:fill="BD2716"/>
            <w:vAlign w:val="center"/>
          </w:tcPr>
          <w:p w14:paraId="5995FDFC" w14:textId="77777777" w:rsidR="00721F24" w:rsidRPr="00D948C1" w:rsidRDefault="00721F24" w:rsidP="00611673">
            <w:pPr>
              <w:tabs>
                <w:tab w:val="decimal" w:pos="681"/>
              </w:tabs>
              <w:jc w:val="right"/>
              <w:rPr>
                <w:color w:val="FFFFFF" w:themeColor="background1"/>
                <w:szCs w:val="24"/>
              </w:rPr>
            </w:pPr>
            <w:r w:rsidRPr="00D948C1">
              <w:rPr>
                <w:color w:val="FFFFFF" w:themeColor="background1"/>
                <w:szCs w:val="24"/>
              </w:rPr>
              <w:t>Fair Value</w:t>
            </w:r>
          </w:p>
          <w:p w14:paraId="79E873FF" w14:textId="25F957FA" w:rsidR="007A439F" w:rsidRPr="00D948C1" w:rsidRDefault="007A439F" w:rsidP="00611673">
            <w:pPr>
              <w:tabs>
                <w:tab w:val="decimal" w:pos="681"/>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5B6E6F2" w14:textId="77777777" w:rsidR="00721F24" w:rsidRPr="00D948C1" w:rsidRDefault="00721F24" w:rsidP="00611673">
            <w:pPr>
              <w:jc w:val="right"/>
              <w:rPr>
                <w:color w:val="FFFFFF" w:themeColor="background1"/>
                <w:szCs w:val="24"/>
              </w:rPr>
            </w:pPr>
            <w:r w:rsidRPr="00D948C1">
              <w:rPr>
                <w:color w:val="FFFFFF" w:themeColor="background1"/>
                <w:szCs w:val="24"/>
              </w:rPr>
              <w:t>%</w:t>
            </w:r>
          </w:p>
        </w:tc>
        <w:tc>
          <w:tcPr>
            <w:tcW w:w="1275" w:type="dxa"/>
            <w:shd w:val="clear" w:color="auto" w:fill="BD2716"/>
            <w:vAlign w:val="center"/>
          </w:tcPr>
          <w:p w14:paraId="42872CFD" w14:textId="77777777" w:rsidR="00721F24" w:rsidRPr="00D948C1" w:rsidRDefault="00721F24" w:rsidP="00611673">
            <w:pPr>
              <w:tabs>
                <w:tab w:val="decimal" w:pos="681"/>
              </w:tabs>
              <w:jc w:val="right"/>
              <w:rPr>
                <w:color w:val="FFFFFF" w:themeColor="background1"/>
                <w:szCs w:val="24"/>
              </w:rPr>
            </w:pPr>
            <w:r w:rsidRPr="00D948C1">
              <w:rPr>
                <w:color w:val="FFFFFF" w:themeColor="background1"/>
                <w:szCs w:val="24"/>
              </w:rPr>
              <w:t>Fair Value</w:t>
            </w:r>
          </w:p>
          <w:p w14:paraId="34C6CA53" w14:textId="358433EB" w:rsidR="007A439F" w:rsidRPr="00D948C1" w:rsidRDefault="007A439F" w:rsidP="00611673">
            <w:pPr>
              <w:tabs>
                <w:tab w:val="decimal" w:pos="681"/>
              </w:tabs>
              <w:jc w:val="right"/>
              <w:rPr>
                <w:color w:val="FFFFFF" w:themeColor="background1"/>
                <w:szCs w:val="24"/>
              </w:rPr>
            </w:pPr>
            <w:r w:rsidRPr="00D948C1">
              <w:rPr>
                <w:color w:val="FFFFFF" w:themeColor="background1"/>
                <w:szCs w:val="24"/>
              </w:rPr>
              <w:t>£000</w:t>
            </w:r>
          </w:p>
        </w:tc>
        <w:tc>
          <w:tcPr>
            <w:tcW w:w="1135" w:type="dxa"/>
            <w:shd w:val="clear" w:color="auto" w:fill="BD2716"/>
            <w:vAlign w:val="center"/>
          </w:tcPr>
          <w:p w14:paraId="494CA805" w14:textId="3DF223B1" w:rsidR="00721F24" w:rsidRPr="00D948C1" w:rsidRDefault="00721F24" w:rsidP="00611673">
            <w:pPr>
              <w:ind w:right="99"/>
              <w:jc w:val="right"/>
              <w:rPr>
                <w:color w:val="FFFFFF" w:themeColor="background1"/>
                <w:szCs w:val="24"/>
              </w:rPr>
            </w:pPr>
            <w:r w:rsidRPr="00D948C1">
              <w:rPr>
                <w:color w:val="FFFFFF" w:themeColor="background1"/>
                <w:szCs w:val="24"/>
              </w:rPr>
              <w:t>%</w:t>
            </w:r>
          </w:p>
        </w:tc>
      </w:tr>
      <w:tr w:rsidR="005666C0" w:rsidRPr="00D948C1" w14:paraId="0813B342" w14:textId="77777777" w:rsidTr="6498351E">
        <w:trPr>
          <w:trHeight w:hRule="exact" w:val="300"/>
        </w:trPr>
        <w:tc>
          <w:tcPr>
            <w:tcW w:w="1872" w:type="dxa"/>
          </w:tcPr>
          <w:p w14:paraId="3942774D" w14:textId="77777777" w:rsidR="005666C0" w:rsidRPr="00D948C1" w:rsidRDefault="005666C0" w:rsidP="005666C0">
            <w:pPr>
              <w:rPr>
                <w:szCs w:val="24"/>
              </w:rPr>
            </w:pPr>
            <w:r w:rsidRPr="00D948C1">
              <w:rPr>
                <w:szCs w:val="24"/>
              </w:rPr>
              <w:t>Equities</w:t>
            </w:r>
          </w:p>
        </w:tc>
        <w:tc>
          <w:tcPr>
            <w:tcW w:w="1247" w:type="dxa"/>
          </w:tcPr>
          <w:p w14:paraId="45E7930C" w14:textId="77777777" w:rsidR="005666C0" w:rsidRPr="00D948C1" w:rsidRDefault="005666C0" w:rsidP="005666C0">
            <w:pPr>
              <w:jc w:val="center"/>
              <w:rPr>
                <w:snapToGrid w:val="0"/>
                <w:color w:val="000000"/>
                <w:szCs w:val="24"/>
              </w:rPr>
            </w:pPr>
            <w:r w:rsidRPr="00D948C1">
              <w:rPr>
                <w:snapToGrid w:val="0"/>
                <w:color w:val="000000"/>
                <w:szCs w:val="24"/>
              </w:rPr>
              <w:t>Y</w:t>
            </w:r>
          </w:p>
        </w:tc>
        <w:tc>
          <w:tcPr>
            <w:tcW w:w="1276" w:type="dxa"/>
            <w:vAlign w:val="center"/>
          </w:tcPr>
          <w:p w14:paraId="60011789" w14:textId="1C5B44E0" w:rsidR="005666C0" w:rsidRPr="00294859" w:rsidRDefault="00AA06E5" w:rsidP="005666C0">
            <w:pPr>
              <w:jc w:val="right"/>
            </w:pPr>
            <w:r>
              <w:t>1,929</w:t>
            </w:r>
          </w:p>
        </w:tc>
        <w:tc>
          <w:tcPr>
            <w:tcW w:w="1134" w:type="dxa"/>
            <w:vAlign w:val="center"/>
          </w:tcPr>
          <w:p w14:paraId="24F0DD5B" w14:textId="1D2B5C9B" w:rsidR="005666C0" w:rsidRPr="00294859" w:rsidRDefault="00AA06E5" w:rsidP="6498351E">
            <w:pPr>
              <w:tabs>
                <w:tab w:val="decimal" w:pos="600"/>
              </w:tabs>
              <w:ind w:right="34"/>
              <w:jc w:val="right"/>
              <w:rPr>
                <w:snapToGrid w:val="0"/>
                <w:color w:val="000000"/>
              </w:rPr>
            </w:pPr>
            <w:r w:rsidRPr="6498351E">
              <w:rPr>
                <w:color w:val="000000" w:themeColor="text1"/>
              </w:rPr>
              <w:t>2.3</w:t>
            </w:r>
          </w:p>
        </w:tc>
        <w:tc>
          <w:tcPr>
            <w:tcW w:w="1275" w:type="dxa"/>
            <w:vAlign w:val="center"/>
          </w:tcPr>
          <w:p w14:paraId="4768A5D4" w14:textId="3D3DE6AF" w:rsidR="005666C0" w:rsidRPr="00DF39E9" w:rsidRDefault="005666C0" w:rsidP="005666C0">
            <w:pPr>
              <w:jc w:val="right"/>
              <w:rPr>
                <w:szCs w:val="24"/>
              </w:rPr>
            </w:pPr>
            <w:r w:rsidRPr="00DF39E9">
              <w:rPr>
                <w:szCs w:val="24"/>
              </w:rPr>
              <w:t>1,873</w:t>
            </w:r>
          </w:p>
        </w:tc>
        <w:tc>
          <w:tcPr>
            <w:tcW w:w="1135" w:type="dxa"/>
            <w:vAlign w:val="center"/>
          </w:tcPr>
          <w:p w14:paraId="14AE9195" w14:textId="2876C673" w:rsidR="005666C0" w:rsidRPr="00DF39E9" w:rsidRDefault="005666C0" w:rsidP="005666C0">
            <w:pPr>
              <w:tabs>
                <w:tab w:val="decimal" w:pos="600"/>
              </w:tabs>
              <w:ind w:right="34"/>
              <w:jc w:val="right"/>
              <w:rPr>
                <w:snapToGrid w:val="0"/>
                <w:color w:val="000000"/>
                <w:szCs w:val="24"/>
              </w:rPr>
            </w:pPr>
            <w:r w:rsidRPr="00DF39E9">
              <w:rPr>
                <w:snapToGrid w:val="0"/>
                <w:color w:val="000000"/>
                <w:szCs w:val="24"/>
              </w:rPr>
              <w:t>2.2</w:t>
            </w:r>
          </w:p>
        </w:tc>
      </w:tr>
      <w:tr w:rsidR="005666C0" w:rsidRPr="00D948C1" w14:paraId="785081DF" w14:textId="77777777" w:rsidTr="6498351E">
        <w:trPr>
          <w:trHeight w:hRule="exact" w:val="300"/>
        </w:trPr>
        <w:tc>
          <w:tcPr>
            <w:tcW w:w="1872" w:type="dxa"/>
          </w:tcPr>
          <w:p w14:paraId="76D0B24E" w14:textId="77777777" w:rsidR="005666C0" w:rsidRPr="00D948C1" w:rsidRDefault="005666C0" w:rsidP="005666C0">
            <w:pPr>
              <w:rPr>
                <w:szCs w:val="24"/>
              </w:rPr>
            </w:pPr>
            <w:r w:rsidRPr="00D948C1">
              <w:rPr>
                <w:szCs w:val="24"/>
              </w:rPr>
              <w:t>Bonds</w:t>
            </w:r>
          </w:p>
        </w:tc>
        <w:tc>
          <w:tcPr>
            <w:tcW w:w="1247" w:type="dxa"/>
          </w:tcPr>
          <w:p w14:paraId="3F55578B" w14:textId="77777777" w:rsidR="005666C0" w:rsidRPr="00D948C1" w:rsidRDefault="005666C0" w:rsidP="005666C0">
            <w:pPr>
              <w:jc w:val="center"/>
              <w:rPr>
                <w:snapToGrid w:val="0"/>
                <w:color w:val="000000"/>
                <w:szCs w:val="24"/>
              </w:rPr>
            </w:pPr>
            <w:r w:rsidRPr="00D948C1">
              <w:rPr>
                <w:snapToGrid w:val="0"/>
                <w:color w:val="000000"/>
                <w:szCs w:val="24"/>
              </w:rPr>
              <w:t>Y</w:t>
            </w:r>
          </w:p>
        </w:tc>
        <w:tc>
          <w:tcPr>
            <w:tcW w:w="1276" w:type="dxa"/>
            <w:vAlign w:val="center"/>
          </w:tcPr>
          <w:p w14:paraId="480C370D" w14:textId="006BE64C" w:rsidR="005666C0" w:rsidRPr="00294859" w:rsidRDefault="00AA06E5" w:rsidP="005666C0">
            <w:pPr>
              <w:jc w:val="right"/>
            </w:pPr>
            <w:r>
              <w:t>1,514</w:t>
            </w:r>
          </w:p>
        </w:tc>
        <w:tc>
          <w:tcPr>
            <w:tcW w:w="1134" w:type="dxa"/>
            <w:vAlign w:val="center"/>
          </w:tcPr>
          <w:p w14:paraId="17A8D979" w14:textId="771F746E" w:rsidR="005666C0" w:rsidRPr="00294859" w:rsidRDefault="00AA06E5" w:rsidP="6498351E">
            <w:pPr>
              <w:tabs>
                <w:tab w:val="decimal" w:pos="600"/>
              </w:tabs>
              <w:ind w:right="34"/>
              <w:jc w:val="right"/>
              <w:rPr>
                <w:snapToGrid w:val="0"/>
                <w:color w:val="000000"/>
              </w:rPr>
            </w:pPr>
            <w:r w:rsidRPr="6498351E">
              <w:rPr>
                <w:color w:val="000000" w:themeColor="text1"/>
              </w:rPr>
              <w:t>1.8</w:t>
            </w:r>
          </w:p>
        </w:tc>
        <w:tc>
          <w:tcPr>
            <w:tcW w:w="1275" w:type="dxa"/>
            <w:vAlign w:val="center"/>
          </w:tcPr>
          <w:p w14:paraId="43ABB213" w14:textId="164A3381" w:rsidR="005666C0" w:rsidRPr="00DF39E9" w:rsidRDefault="005666C0" w:rsidP="005666C0">
            <w:pPr>
              <w:jc w:val="right"/>
              <w:rPr>
                <w:szCs w:val="24"/>
              </w:rPr>
            </w:pPr>
            <w:r w:rsidRPr="00DF39E9">
              <w:rPr>
                <w:szCs w:val="24"/>
              </w:rPr>
              <w:t>1,349</w:t>
            </w:r>
          </w:p>
        </w:tc>
        <w:tc>
          <w:tcPr>
            <w:tcW w:w="1135" w:type="dxa"/>
            <w:vAlign w:val="center"/>
          </w:tcPr>
          <w:p w14:paraId="2CDB68CE" w14:textId="0BECCD3F" w:rsidR="005666C0" w:rsidRPr="00DF39E9" w:rsidRDefault="005666C0" w:rsidP="005666C0">
            <w:pPr>
              <w:tabs>
                <w:tab w:val="decimal" w:pos="600"/>
              </w:tabs>
              <w:ind w:right="34"/>
              <w:jc w:val="right"/>
              <w:rPr>
                <w:snapToGrid w:val="0"/>
                <w:color w:val="000000"/>
                <w:szCs w:val="24"/>
              </w:rPr>
            </w:pPr>
            <w:r w:rsidRPr="00DF39E9">
              <w:rPr>
                <w:snapToGrid w:val="0"/>
                <w:color w:val="000000"/>
                <w:szCs w:val="24"/>
              </w:rPr>
              <w:t>1.6</w:t>
            </w:r>
          </w:p>
        </w:tc>
      </w:tr>
      <w:tr w:rsidR="005666C0" w:rsidRPr="00D948C1" w14:paraId="1BF86F9E" w14:textId="77777777" w:rsidTr="6498351E">
        <w:trPr>
          <w:trHeight w:hRule="exact" w:val="300"/>
        </w:trPr>
        <w:tc>
          <w:tcPr>
            <w:tcW w:w="1872" w:type="dxa"/>
          </w:tcPr>
          <w:p w14:paraId="43933C73" w14:textId="77777777" w:rsidR="005666C0" w:rsidRPr="00D948C1" w:rsidRDefault="005666C0" w:rsidP="005666C0">
            <w:pPr>
              <w:rPr>
                <w:szCs w:val="24"/>
              </w:rPr>
            </w:pPr>
            <w:r w:rsidRPr="00D948C1">
              <w:rPr>
                <w:szCs w:val="24"/>
              </w:rPr>
              <w:t>Property</w:t>
            </w:r>
          </w:p>
        </w:tc>
        <w:tc>
          <w:tcPr>
            <w:tcW w:w="1247" w:type="dxa"/>
          </w:tcPr>
          <w:p w14:paraId="0282EC1C" w14:textId="77777777" w:rsidR="005666C0" w:rsidRPr="00D948C1" w:rsidRDefault="005666C0" w:rsidP="005666C0">
            <w:pPr>
              <w:jc w:val="center"/>
              <w:rPr>
                <w:snapToGrid w:val="0"/>
                <w:color w:val="000000"/>
                <w:szCs w:val="24"/>
              </w:rPr>
            </w:pPr>
            <w:r w:rsidRPr="00D948C1">
              <w:rPr>
                <w:snapToGrid w:val="0"/>
                <w:color w:val="000000"/>
                <w:szCs w:val="24"/>
              </w:rPr>
              <w:t>N</w:t>
            </w:r>
          </w:p>
        </w:tc>
        <w:tc>
          <w:tcPr>
            <w:tcW w:w="1276" w:type="dxa"/>
            <w:vAlign w:val="center"/>
          </w:tcPr>
          <w:p w14:paraId="73A8A9F6" w14:textId="67A89CAC" w:rsidR="005666C0" w:rsidRPr="00294859" w:rsidRDefault="00AA06E5" w:rsidP="005666C0">
            <w:pPr>
              <w:jc w:val="right"/>
            </w:pPr>
            <w:r>
              <w:t>1,431</w:t>
            </w:r>
          </w:p>
        </w:tc>
        <w:tc>
          <w:tcPr>
            <w:tcW w:w="1134" w:type="dxa"/>
            <w:vAlign w:val="center"/>
          </w:tcPr>
          <w:p w14:paraId="288D40A0" w14:textId="1C86BCCA" w:rsidR="005666C0" w:rsidRPr="00294859" w:rsidRDefault="00AA06E5" w:rsidP="6498351E">
            <w:pPr>
              <w:tabs>
                <w:tab w:val="decimal" w:pos="600"/>
              </w:tabs>
              <w:ind w:right="34"/>
              <w:jc w:val="right"/>
              <w:rPr>
                <w:snapToGrid w:val="0"/>
                <w:color w:val="000000"/>
              </w:rPr>
            </w:pPr>
            <w:r w:rsidRPr="6498351E">
              <w:rPr>
                <w:color w:val="000000" w:themeColor="text1"/>
              </w:rPr>
              <w:t>1.7</w:t>
            </w:r>
          </w:p>
        </w:tc>
        <w:tc>
          <w:tcPr>
            <w:tcW w:w="1275" w:type="dxa"/>
            <w:vAlign w:val="center"/>
          </w:tcPr>
          <w:p w14:paraId="4DF50713" w14:textId="5F8181EB" w:rsidR="005666C0" w:rsidRPr="00DF39E9" w:rsidRDefault="005666C0" w:rsidP="005666C0">
            <w:pPr>
              <w:jc w:val="right"/>
              <w:rPr>
                <w:szCs w:val="24"/>
              </w:rPr>
            </w:pPr>
            <w:r w:rsidRPr="00DF39E9">
              <w:rPr>
                <w:szCs w:val="24"/>
              </w:rPr>
              <w:t>1,463</w:t>
            </w:r>
          </w:p>
        </w:tc>
        <w:tc>
          <w:tcPr>
            <w:tcW w:w="1135" w:type="dxa"/>
            <w:vAlign w:val="center"/>
          </w:tcPr>
          <w:p w14:paraId="4C1D52A5" w14:textId="7B26A3CC" w:rsidR="005666C0" w:rsidRPr="00DF39E9" w:rsidRDefault="005666C0" w:rsidP="005666C0">
            <w:pPr>
              <w:tabs>
                <w:tab w:val="decimal" w:pos="600"/>
              </w:tabs>
              <w:ind w:right="34"/>
              <w:jc w:val="right"/>
              <w:rPr>
                <w:snapToGrid w:val="0"/>
                <w:color w:val="000000"/>
                <w:szCs w:val="24"/>
              </w:rPr>
            </w:pPr>
            <w:r w:rsidRPr="00DF39E9">
              <w:rPr>
                <w:snapToGrid w:val="0"/>
                <w:color w:val="000000"/>
                <w:szCs w:val="24"/>
              </w:rPr>
              <w:t>1.7</w:t>
            </w:r>
          </w:p>
        </w:tc>
      </w:tr>
      <w:tr w:rsidR="005666C0" w:rsidRPr="00D948C1" w14:paraId="7ED35A95" w14:textId="77777777" w:rsidTr="6498351E">
        <w:trPr>
          <w:trHeight w:hRule="exact" w:val="300"/>
        </w:trPr>
        <w:tc>
          <w:tcPr>
            <w:tcW w:w="1872" w:type="dxa"/>
          </w:tcPr>
          <w:p w14:paraId="24DEB48D" w14:textId="08B18A9E" w:rsidR="005666C0" w:rsidRPr="00D948C1" w:rsidRDefault="005666C0" w:rsidP="005666C0">
            <w:pPr>
              <w:rPr>
                <w:szCs w:val="24"/>
              </w:rPr>
            </w:pPr>
            <w:r w:rsidRPr="00D948C1">
              <w:rPr>
                <w:snapToGrid w:val="0"/>
                <w:color w:val="000000"/>
                <w:szCs w:val="24"/>
              </w:rPr>
              <w:t>Cash/Liquidity</w:t>
            </w:r>
          </w:p>
        </w:tc>
        <w:tc>
          <w:tcPr>
            <w:tcW w:w="1247" w:type="dxa"/>
          </w:tcPr>
          <w:p w14:paraId="0EC148E3" w14:textId="77777777" w:rsidR="005666C0" w:rsidRPr="00D948C1" w:rsidRDefault="005666C0" w:rsidP="005666C0">
            <w:pPr>
              <w:jc w:val="center"/>
              <w:rPr>
                <w:snapToGrid w:val="0"/>
                <w:color w:val="000000"/>
                <w:szCs w:val="24"/>
              </w:rPr>
            </w:pPr>
            <w:r w:rsidRPr="00D948C1">
              <w:rPr>
                <w:snapToGrid w:val="0"/>
                <w:color w:val="000000"/>
                <w:szCs w:val="24"/>
              </w:rPr>
              <w:t xml:space="preserve">N </w:t>
            </w:r>
          </w:p>
        </w:tc>
        <w:tc>
          <w:tcPr>
            <w:tcW w:w="1276" w:type="dxa"/>
            <w:vAlign w:val="center"/>
          </w:tcPr>
          <w:p w14:paraId="2815E0C4" w14:textId="4B121C91" w:rsidR="005666C0" w:rsidRPr="00294859" w:rsidRDefault="00AA06E5" w:rsidP="005666C0">
            <w:pPr>
              <w:jc w:val="right"/>
            </w:pPr>
            <w:r>
              <w:t>1,249</w:t>
            </w:r>
          </w:p>
        </w:tc>
        <w:tc>
          <w:tcPr>
            <w:tcW w:w="1134" w:type="dxa"/>
            <w:vAlign w:val="center"/>
          </w:tcPr>
          <w:p w14:paraId="6A5C90CC" w14:textId="31D76A82" w:rsidR="005666C0" w:rsidRPr="00294859" w:rsidRDefault="00AA06E5" w:rsidP="6498351E">
            <w:pPr>
              <w:tabs>
                <w:tab w:val="decimal" w:pos="600"/>
              </w:tabs>
              <w:ind w:right="34"/>
              <w:jc w:val="right"/>
              <w:rPr>
                <w:snapToGrid w:val="0"/>
                <w:color w:val="000000"/>
              </w:rPr>
            </w:pPr>
            <w:r w:rsidRPr="6498351E">
              <w:rPr>
                <w:color w:val="000000" w:themeColor="text1"/>
              </w:rPr>
              <w:t>1.5</w:t>
            </w:r>
          </w:p>
        </w:tc>
        <w:tc>
          <w:tcPr>
            <w:tcW w:w="1275" w:type="dxa"/>
            <w:vAlign w:val="center"/>
          </w:tcPr>
          <w:p w14:paraId="7C2BDAE4" w14:textId="43D33001" w:rsidR="005666C0" w:rsidRPr="00DF39E9" w:rsidRDefault="005666C0" w:rsidP="005666C0">
            <w:pPr>
              <w:jc w:val="right"/>
              <w:rPr>
                <w:szCs w:val="24"/>
              </w:rPr>
            </w:pPr>
            <w:r w:rsidRPr="00DF39E9">
              <w:rPr>
                <w:szCs w:val="24"/>
              </w:rPr>
              <w:t>1,560</w:t>
            </w:r>
          </w:p>
        </w:tc>
        <w:tc>
          <w:tcPr>
            <w:tcW w:w="1135" w:type="dxa"/>
            <w:vAlign w:val="center"/>
          </w:tcPr>
          <w:p w14:paraId="3979558A" w14:textId="55AFC7D9" w:rsidR="005666C0" w:rsidRPr="00DF39E9" w:rsidRDefault="005666C0" w:rsidP="005666C0">
            <w:pPr>
              <w:tabs>
                <w:tab w:val="decimal" w:pos="600"/>
              </w:tabs>
              <w:ind w:right="34"/>
              <w:jc w:val="right"/>
              <w:rPr>
                <w:snapToGrid w:val="0"/>
                <w:color w:val="000000"/>
                <w:szCs w:val="24"/>
              </w:rPr>
            </w:pPr>
            <w:r w:rsidRPr="00DF39E9">
              <w:rPr>
                <w:snapToGrid w:val="0"/>
                <w:color w:val="000000"/>
                <w:szCs w:val="24"/>
              </w:rPr>
              <w:t>1.9</w:t>
            </w:r>
          </w:p>
        </w:tc>
      </w:tr>
      <w:tr w:rsidR="005666C0" w:rsidRPr="00D948C1" w14:paraId="27D015D1" w14:textId="77777777" w:rsidTr="6498351E">
        <w:trPr>
          <w:trHeight w:hRule="exact" w:val="300"/>
        </w:trPr>
        <w:tc>
          <w:tcPr>
            <w:tcW w:w="1872" w:type="dxa"/>
          </w:tcPr>
          <w:p w14:paraId="0D4702F6" w14:textId="77777777" w:rsidR="005666C0" w:rsidRPr="00D948C1" w:rsidRDefault="005666C0" w:rsidP="005666C0">
            <w:pPr>
              <w:rPr>
                <w:szCs w:val="24"/>
              </w:rPr>
            </w:pPr>
            <w:r w:rsidRPr="00D948C1">
              <w:rPr>
                <w:szCs w:val="24"/>
              </w:rPr>
              <w:t>Other</w:t>
            </w:r>
          </w:p>
        </w:tc>
        <w:tc>
          <w:tcPr>
            <w:tcW w:w="1247" w:type="dxa"/>
          </w:tcPr>
          <w:p w14:paraId="78496284" w14:textId="77777777" w:rsidR="005666C0" w:rsidRPr="00D948C1" w:rsidRDefault="005666C0" w:rsidP="005666C0">
            <w:pPr>
              <w:jc w:val="center"/>
              <w:rPr>
                <w:snapToGrid w:val="0"/>
                <w:color w:val="000000"/>
                <w:szCs w:val="24"/>
              </w:rPr>
            </w:pPr>
            <w:r w:rsidRPr="00D948C1">
              <w:rPr>
                <w:snapToGrid w:val="0"/>
                <w:color w:val="000000"/>
                <w:szCs w:val="24"/>
              </w:rPr>
              <w:t>N</w:t>
            </w:r>
          </w:p>
        </w:tc>
        <w:tc>
          <w:tcPr>
            <w:tcW w:w="1276" w:type="dxa"/>
            <w:vAlign w:val="center"/>
          </w:tcPr>
          <w:p w14:paraId="32556946" w14:textId="38B8655D" w:rsidR="005666C0" w:rsidRPr="00294859" w:rsidRDefault="00AA06E5" w:rsidP="005666C0">
            <w:pPr>
              <w:jc w:val="right"/>
            </w:pPr>
            <w:r>
              <w:t>79,270</w:t>
            </w:r>
          </w:p>
        </w:tc>
        <w:tc>
          <w:tcPr>
            <w:tcW w:w="1134" w:type="dxa"/>
            <w:vAlign w:val="center"/>
          </w:tcPr>
          <w:p w14:paraId="11B47E12" w14:textId="4EF4C44D" w:rsidR="005666C0" w:rsidRPr="00294859" w:rsidRDefault="00AA06E5" w:rsidP="6498351E">
            <w:pPr>
              <w:tabs>
                <w:tab w:val="decimal" w:pos="600"/>
              </w:tabs>
              <w:ind w:right="34"/>
              <w:jc w:val="right"/>
              <w:rPr>
                <w:snapToGrid w:val="0"/>
                <w:color w:val="000000"/>
              </w:rPr>
            </w:pPr>
            <w:r w:rsidRPr="6498351E">
              <w:rPr>
                <w:color w:val="000000" w:themeColor="text1"/>
              </w:rPr>
              <w:t>92.8</w:t>
            </w:r>
          </w:p>
        </w:tc>
        <w:tc>
          <w:tcPr>
            <w:tcW w:w="1275" w:type="dxa"/>
            <w:vAlign w:val="center"/>
          </w:tcPr>
          <w:p w14:paraId="545531A2" w14:textId="4046F1D5" w:rsidR="005666C0" w:rsidRPr="00DF39E9" w:rsidRDefault="005666C0" w:rsidP="005666C0">
            <w:pPr>
              <w:jc w:val="right"/>
              <w:rPr>
                <w:szCs w:val="24"/>
              </w:rPr>
            </w:pPr>
            <w:r w:rsidRPr="00DF39E9">
              <w:rPr>
                <w:szCs w:val="24"/>
              </w:rPr>
              <w:t>77,867</w:t>
            </w:r>
          </w:p>
        </w:tc>
        <w:tc>
          <w:tcPr>
            <w:tcW w:w="1135" w:type="dxa"/>
            <w:vAlign w:val="center"/>
          </w:tcPr>
          <w:p w14:paraId="635DFD6C" w14:textId="4639DFE3" w:rsidR="005666C0" w:rsidRPr="00DF39E9" w:rsidRDefault="005666C0" w:rsidP="005666C0">
            <w:pPr>
              <w:tabs>
                <w:tab w:val="decimal" w:pos="600"/>
              </w:tabs>
              <w:ind w:right="34"/>
              <w:jc w:val="right"/>
              <w:rPr>
                <w:snapToGrid w:val="0"/>
                <w:color w:val="000000"/>
                <w:szCs w:val="24"/>
              </w:rPr>
            </w:pPr>
            <w:r w:rsidRPr="00DF39E9">
              <w:rPr>
                <w:snapToGrid w:val="0"/>
                <w:color w:val="000000"/>
                <w:szCs w:val="24"/>
              </w:rPr>
              <w:t>92.6</w:t>
            </w:r>
          </w:p>
        </w:tc>
      </w:tr>
      <w:tr w:rsidR="005666C0" w:rsidRPr="00D948C1" w14:paraId="47A9C906" w14:textId="77777777" w:rsidTr="6498351E">
        <w:trPr>
          <w:trHeight w:hRule="exact" w:val="300"/>
        </w:trPr>
        <w:tc>
          <w:tcPr>
            <w:tcW w:w="1872" w:type="dxa"/>
          </w:tcPr>
          <w:p w14:paraId="74E1B6E2" w14:textId="7623FAE9" w:rsidR="005666C0" w:rsidRPr="00D948C1" w:rsidRDefault="005666C0" w:rsidP="005666C0">
            <w:pPr>
              <w:rPr>
                <w:szCs w:val="24"/>
              </w:rPr>
            </w:pPr>
            <w:r w:rsidRPr="00D948C1">
              <w:rPr>
                <w:szCs w:val="24"/>
              </w:rPr>
              <w:t>Total</w:t>
            </w:r>
          </w:p>
        </w:tc>
        <w:tc>
          <w:tcPr>
            <w:tcW w:w="1247" w:type="dxa"/>
          </w:tcPr>
          <w:p w14:paraId="1231F2A4" w14:textId="77777777" w:rsidR="005666C0" w:rsidRPr="00D948C1" w:rsidRDefault="005666C0" w:rsidP="005666C0">
            <w:pPr>
              <w:jc w:val="center"/>
              <w:rPr>
                <w:snapToGrid w:val="0"/>
                <w:color w:val="000000"/>
                <w:szCs w:val="24"/>
              </w:rPr>
            </w:pPr>
          </w:p>
        </w:tc>
        <w:tc>
          <w:tcPr>
            <w:tcW w:w="1276" w:type="dxa"/>
            <w:vAlign w:val="center"/>
          </w:tcPr>
          <w:p w14:paraId="21363ED8" w14:textId="274B9EC5" w:rsidR="005666C0" w:rsidRPr="00294859" w:rsidRDefault="002C075C" w:rsidP="005666C0">
            <w:pPr>
              <w:jc w:val="right"/>
            </w:pPr>
            <w:r>
              <w:t>85,394</w:t>
            </w:r>
          </w:p>
        </w:tc>
        <w:tc>
          <w:tcPr>
            <w:tcW w:w="1134" w:type="dxa"/>
            <w:vAlign w:val="center"/>
          </w:tcPr>
          <w:p w14:paraId="39159FF6" w14:textId="1FF3B966" w:rsidR="005666C0" w:rsidRPr="00294859" w:rsidRDefault="002C075C" w:rsidP="6498351E">
            <w:pPr>
              <w:tabs>
                <w:tab w:val="decimal" w:pos="600"/>
              </w:tabs>
              <w:ind w:right="34"/>
              <w:jc w:val="right"/>
              <w:rPr>
                <w:snapToGrid w:val="0"/>
                <w:color w:val="000000"/>
              </w:rPr>
            </w:pPr>
            <w:r w:rsidRPr="6498351E">
              <w:rPr>
                <w:color w:val="000000" w:themeColor="text1"/>
              </w:rPr>
              <w:t>100.0</w:t>
            </w:r>
          </w:p>
        </w:tc>
        <w:tc>
          <w:tcPr>
            <w:tcW w:w="1275" w:type="dxa"/>
            <w:vAlign w:val="center"/>
          </w:tcPr>
          <w:p w14:paraId="0DA682C0" w14:textId="2D79C6C5" w:rsidR="005666C0" w:rsidRPr="00DF39E9" w:rsidRDefault="005666C0" w:rsidP="005666C0">
            <w:pPr>
              <w:jc w:val="right"/>
              <w:rPr>
                <w:szCs w:val="24"/>
              </w:rPr>
            </w:pPr>
            <w:r w:rsidRPr="00DF39E9">
              <w:rPr>
                <w:szCs w:val="24"/>
              </w:rPr>
              <w:t>84,113</w:t>
            </w:r>
          </w:p>
        </w:tc>
        <w:tc>
          <w:tcPr>
            <w:tcW w:w="1135" w:type="dxa"/>
            <w:vAlign w:val="center"/>
          </w:tcPr>
          <w:p w14:paraId="47F2C62F" w14:textId="1623C5F6" w:rsidR="005666C0" w:rsidRPr="00DF39E9" w:rsidRDefault="005666C0" w:rsidP="005666C0">
            <w:pPr>
              <w:tabs>
                <w:tab w:val="decimal" w:pos="600"/>
              </w:tabs>
              <w:ind w:right="34"/>
              <w:jc w:val="right"/>
              <w:rPr>
                <w:snapToGrid w:val="0"/>
                <w:color w:val="000000"/>
                <w:szCs w:val="24"/>
              </w:rPr>
            </w:pPr>
            <w:r w:rsidRPr="00DF39E9">
              <w:rPr>
                <w:snapToGrid w:val="0"/>
                <w:color w:val="000000"/>
                <w:szCs w:val="24"/>
              </w:rPr>
              <w:t>100.0</w:t>
            </w:r>
          </w:p>
        </w:tc>
      </w:tr>
    </w:tbl>
    <w:p w14:paraId="5A3FE3F8" w14:textId="6D170DB0" w:rsidR="00F12792" w:rsidRPr="00D948C1" w:rsidRDefault="00F12792">
      <w:pPr>
        <w:rPr>
          <w:b/>
          <w:szCs w:val="24"/>
        </w:rPr>
      </w:pPr>
    </w:p>
    <w:p w14:paraId="6BE1E772" w14:textId="7B668ADB" w:rsidR="00D90216" w:rsidRPr="00D948C1" w:rsidRDefault="001C592E" w:rsidP="006563F1">
      <w:pPr>
        <w:pStyle w:val="Heading2"/>
        <w:jc w:val="left"/>
        <w:rPr>
          <w:sz w:val="24"/>
          <w:szCs w:val="24"/>
        </w:rPr>
      </w:pPr>
      <w:bookmarkStart w:id="63" w:name="_17_Usable_Reserves"/>
      <w:bookmarkStart w:id="64" w:name="_Toc215593408"/>
      <w:bookmarkEnd w:id="63"/>
      <w:r w:rsidRPr="00D948C1">
        <w:rPr>
          <w:sz w:val="24"/>
          <w:szCs w:val="24"/>
        </w:rPr>
        <w:t>1</w:t>
      </w:r>
      <w:r w:rsidR="00B62A26">
        <w:rPr>
          <w:sz w:val="24"/>
          <w:szCs w:val="24"/>
        </w:rPr>
        <w:t>7</w:t>
      </w:r>
      <w:r w:rsidR="00D96A83" w:rsidRPr="00D948C1">
        <w:rPr>
          <w:sz w:val="24"/>
          <w:szCs w:val="24"/>
        </w:rPr>
        <w:tab/>
      </w:r>
      <w:r w:rsidR="00D90216" w:rsidRPr="00D948C1">
        <w:rPr>
          <w:sz w:val="24"/>
          <w:szCs w:val="24"/>
        </w:rPr>
        <w:t>Usable Reserves</w:t>
      </w:r>
      <w:bookmarkEnd w:id="64"/>
    </w:p>
    <w:p w14:paraId="5478EB09" w14:textId="77777777" w:rsidR="00D90216" w:rsidRPr="00D948C1" w:rsidRDefault="00D90216" w:rsidP="00D90216">
      <w:pPr>
        <w:ind w:left="360"/>
        <w:rPr>
          <w:szCs w:val="24"/>
        </w:rPr>
      </w:pPr>
    </w:p>
    <w:p w14:paraId="3DDDA464" w14:textId="3414A40D" w:rsidR="00A45B68" w:rsidRPr="00D948C1" w:rsidRDefault="00D90216" w:rsidP="000C442C">
      <w:pPr>
        <w:ind w:left="709"/>
        <w:rPr>
          <w:szCs w:val="24"/>
        </w:rPr>
      </w:pPr>
      <w:r w:rsidRPr="00D948C1">
        <w:rPr>
          <w:szCs w:val="24"/>
        </w:rPr>
        <w:t>Movements in the Authority’s usable reserves are detailed in the Movement in Reserves Statement</w:t>
      </w:r>
      <w:r w:rsidR="00E2639F" w:rsidRPr="00D948C1">
        <w:rPr>
          <w:szCs w:val="24"/>
        </w:rPr>
        <w:t>s</w:t>
      </w:r>
      <w:r w:rsidRPr="00D948C1">
        <w:rPr>
          <w:szCs w:val="24"/>
        </w:rPr>
        <w:t xml:space="preserve">, </w:t>
      </w:r>
      <w:r w:rsidR="004545C4" w:rsidRPr="00D948C1">
        <w:rPr>
          <w:szCs w:val="24"/>
        </w:rPr>
        <w:t>on page</w:t>
      </w:r>
      <w:r w:rsidR="00D96A83" w:rsidRPr="00D948C1">
        <w:rPr>
          <w:szCs w:val="24"/>
        </w:rPr>
        <w:t>s</w:t>
      </w:r>
      <w:r w:rsidR="008B3EDE" w:rsidRPr="00D948C1">
        <w:rPr>
          <w:szCs w:val="24"/>
        </w:rPr>
        <w:t xml:space="preserve"> </w:t>
      </w:r>
      <w:r w:rsidR="005138FC" w:rsidRPr="00D948C1">
        <w:rPr>
          <w:szCs w:val="24"/>
        </w:rPr>
        <w:t>2</w:t>
      </w:r>
      <w:r w:rsidR="002E6867">
        <w:rPr>
          <w:szCs w:val="24"/>
        </w:rPr>
        <w:t>6</w:t>
      </w:r>
      <w:r w:rsidR="00DF4E87" w:rsidRPr="00D948C1">
        <w:rPr>
          <w:szCs w:val="24"/>
        </w:rPr>
        <w:t xml:space="preserve"> </w:t>
      </w:r>
      <w:r w:rsidR="00D96A83" w:rsidRPr="00D948C1">
        <w:rPr>
          <w:szCs w:val="24"/>
        </w:rPr>
        <w:t xml:space="preserve">and </w:t>
      </w:r>
      <w:r w:rsidR="00853343" w:rsidRPr="00D948C1">
        <w:rPr>
          <w:szCs w:val="24"/>
        </w:rPr>
        <w:t>2</w:t>
      </w:r>
      <w:r w:rsidR="002E6867">
        <w:rPr>
          <w:szCs w:val="24"/>
        </w:rPr>
        <w:t>7</w:t>
      </w:r>
      <w:r w:rsidRPr="00D948C1">
        <w:rPr>
          <w:szCs w:val="24"/>
        </w:rPr>
        <w:t>.</w:t>
      </w:r>
    </w:p>
    <w:p w14:paraId="0E0F420B" w14:textId="77777777" w:rsidR="007A439F" w:rsidRPr="00D948C1" w:rsidRDefault="007A439F" w:rsidP="000C442C">
      <w:pPr>
        <w:ind w:left="709"/>
        <w:rPr>
          <w:szCs w:val="24"/>
        </w:rPr>
      </w:pPr>
    </w:p>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26"/>
        <w:gridCol w:w="1406"/>
        <w:gridCol w:w="1406"/>
        <w:gridCol w:w="1406"/>
        <w:gridCol w:w="1406"/>
      </w:tblGrid>
      <w:tr w:rsidR="005666C0" w:rsidRPr="00D948C1" w14:paraId="0F9D63D1" w14:textId="77777777" w:rsidTr="6498351E">
        <w:trPr>
          <w:trHeight w:val="143"/>
          <w:tblHeader/>
        </w:trPr>
        <w:tc>
          <w:tcPr>
            <w:tcW w:w="3198" w:type="dxa"/>
            <w:gridSpan w:val="2"/>
            <w:shd w:val="clear" w:color="auto" w:fill="BD2716"/>
            <w:vAlign w:val="bottom"/>
          </w:tcPr>
          <w:p w14:paraId="2692079A" w14:textId="77777777" w:rsidR="005666C0" w:rsidRPr="00D948C1" w:rsidRDefault="005666C0" w:rsidP="005666C0">
            <w:pPr>
              <w:tabs>
                <w:tab w:val="decimal" w:pos="1220"/>
              </w:tabs>
              <w:rPr>
                <w:color w:val="FFFFFF" w:themeColor="background1"/>
                <w:szCs w:val="24"/>
              </w:rPr>
            </w:pPr>
          </w:p>
        </w:tc>
        <w:tc>
          <w:tcPr>
            <w:tcW w:w="1406" w:type="dxa"/>
            <w:shd w:val="clear" w:color="auto" w:fill="BD2716"/>
            <w:vAlign w:val="center"/>
          </w:tcPr>
          <w:p w14:paraId="55DDF51B" w14:textId="2ECF2DB7"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4B3A5F4F" w14:textId="11C88D35" w:rsidR="005666C0" w:rsidRPr="00D948C1" w:rsidRDefault="005666C0" w:rsidP="005666C0">
            <w:pPr>
              <w:jc w:val="right"/>
              <w:rPr>
                <w:color w:val="FFFFFF" w:themeColor="background1"/>
                <w:szCs w:val="24"/>
              </w:rPr>
            </w:pPr>
            <w:r w:rsidRPr="00D948C1">
              <w:rPr>
                <w:color w:val="FFFFFF" w:themeColor="background1"/>
                <w:szCs w:val="24"/>
              </w:rPr>
              <w:t>£000</w:t>
            </w:r>
          </w:p>
        </w:tc>
        <w:tc>
          <w:tcPr>
            <w:tcW w:w="1406" w:type="dxa"/>
            <w:shd w:val="clear" w:color="auto" w:fill="BD2716"/>
            <w:vAlign w:val="center"/>
          </w:tcPr>
          <w:p w14:paraId="1DF36A7D" w14:textId="2AD1FECD"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196734AA" w14:textId="1E48F622" w:rsidR="005666C0" w:rsidRPr="00D948C1" w:rsidRDefault="005666C0" w:rsidP="005666C0">
            <w:pPr>
              <w:jc w:val="right"/>
              <w:rPr>
                <w:color w:val="FFFFFF" w:themeColor="background1"/>
                <w:szCs w:val="24"/>
              </w:rPr>
            </w:pPr>
            <w:r w:rsidRPr="00D948C1">
              <w:rPr>
                <w:color w:val="FFFFFF" w:themeColor="background1"/>
                <w:szCs w:val="24"/>
              </w:rPr>
              <w:t>£000</w:t>
            </w:r>
          </w:p>
        </w:tc>
        <w:tc>
          <w:tcPr>
            <w:tcW w:w="1406" w:type="dxa"/>
            <w:shd w:val="clear" w:color="auto" w:fill="BD2716"/>
            <w:vAlign w:val="center"/>
          </w:tcPr>
          <w:p w14:paraId="577CDB08" w14:textId="4270BD8D" w:rsidR="005666C0" w:rsidRPr="00D948C1" w:rsidRDefault="003C00E1" w:rsidP="005666C0">
            <w:pPr>
              <w:jc w:val="right"/>
              <w:rPr>
                <w:color w:val="FFFFFF" w:themeColor="background1"/>
                <w:szCs w:val="24"/>
              </w:rPr>
            </w:pPr>
            <w:r>
              <w:rPr>
                <w:color w:val="FFFFFF" w:themeColor="background1"/>
                <w:szCs w:val="24"/>
              </w:rPr>
              <w:t xml:space="preserve">Restated* </w:t>
            </w:r>
            <w:r w:rsidR="005666C0" w:rsidRPr="00D948C1">
              <w:rPr>
                <w:color w:val="FFFFFF" w:themeColor="background1"/>
                <w:szCs w:val="24"/>
              </w:rPr>
              <w:t>2023/24</w:t>
            </w:r>
          </w:p>
          <w:p w14:paraId="275C24DE" w14:textId="6BEBB106" w:rsidR="005666C0" w:rsidRPr="00D948C1" w:rsidRDefault="005666C0" w:rsidP="005666C0">
            <w:pPr>
              <w:jc w:val="right"/>
              <w:rPr>
                <w:color w:val="FFFFFF" w:themeColor="background1"/>
                <w:szCs w:val="24"/>
              </w:rPr>
            </w:pPr>
            <w:r w:rsidRPr="00D948C1">
              <w:rPr>
                <w:color w:val="FFFFFF" w:themeColor="background1"/>
                <w:szCs w:val="24"/>
              </w:rPr>
              <w:t>£000</w:t>
            </w:r>
          </w:p>
        </w:tc>
        <w:tc>
          <w:tcPr>
            <w:tcW w:w="1406" w:type="dxa"/>
            <w:shd w:val="clear" w:color="auto" w:fill="BD2716"/>
            <w:vAlign w:val="center"/>
          </w:tcPr>
          <w:p w14:paraId="486C51F0" w14:textId="7A249DD7" w:rsidR="005666C0" w:rsidRPr="00D948C1" w:rsidRDefault="003C00E1" w:rsidP="005666C0">
            <w:pPr>
              <w:jc w:val="right"/>
              <w:rPr>
                <w:color w:val="FFFFFF" w:themeColor="background1"/>
                <w:szCs w:val="24"/>
              </w:rPr>
            </w:pPr>
            <w:r>
              <w:rPr>
                <w:color w:val="FFFFFF" w:themeColor="background1"/>
                <w:szCs w:val="24"/>
              </w:rPr>
              <w:t xml:space="preserve">Restated* </w:t>
            </w:r>
            <w:r w:rsidR="005666C0" w:rsidRPr="00D948C1">
              <w:rPr>
                <w:color w:val="FFFFFF" w:themeColor="background1"/>
                <w:szCs w:val="24"/>
              </w:rPr>
              <w:t>2023/24</w:t>
            </w:r>
          </w:p>
          <w:p w14:paraId="1C0F3CD4" w14:textId="7E9037A7" w:rsidR="005666C0" w:rsidRPr="00D948C1" w:rsidRDefault="005666C0" w:rsidP="005666C0">
            <w:pPr>
              <w:jc w:val="right"/>
              <w:rPr>
                <w:color w:val="FFFFFF" w:themeColor="background1"/>
                <w:szCs w:val="24"/>
              </w:rPr>
            </w:pPr>
            <w:r w:rsidRPr="00D948C1">
              <w:rPr>
                <w:color w:val="FFFFFF" w:themeColor="background1"/>
                <w:szCs w:val="24"/>
              </w:rPr>
              <w:t>£000</w:t>
            </w:r>
          </w:p>
        </w:tc>
      </w:tr>
      <w:tr w:rsidR="00FF43EE" w:rsidRPr="00D948C1" w14:paraId="4B3215D1" w14:textId="77777777" w:rsidTr="6498351E">
        <w:trPr>
          <w:trHeight w:val="143"/>
        </w:trPr>
        <w:tc>
          <w:tcPr>
            <w:tcW w:w="8822" w:type="dxa"/>
            <w:gridSpan w:val="6"/>
            <w:shd w:val="clear" w:color="auto" w:fill="D9D9D9" w:themeFill="background1" w:themeFillShade="D9"/>
          </w:tcPr>
          <w:p w14:paraId="6AB209E2" w14:textId="26961627" w:rsidR="00FF43EE" w:rsidRPr="00D948C1" w:rsidRDefault="00FF43EE" w:rsidP="00FF43EE">
            <w:pPr>
              <w:tabs>
                <w:tab w:val="decimal" w:pos="1220"/>
              </w:tabs>
              <w:rPr>
                <w:b/>
                <w:bCs/>
                <w:szCs w:val="24"/>
              </w:rPr>
            </w:pPr>
            <w:r w:rsidRPr="00D948C1">
              <w:rPr>
                <w:b/>
                <w:bCs/>
                <w:szCs w:val="24"/>
              </w:rPr>
              <w:t>Revenue Reserves:</w:t>
            </w:r>
          </w:p>
        </w:tc>
      </w:tr>
      <w:tr w:rsidR="005666C0" w:rsidRPr="00D948C1" w14:paraId="3556BF10" w14:textId="77777777" w:rsidTr="6498351E">
        <w:tc>
          <w:tcPr>
            <w:tcW w:w="3172" w:type="dxa"/>
          </w:tcPr>
          <w:p w14:paraId="5B7BD049" w14:textId="77777777" w:rsidR="005666C0" w:rsidRPr="00D948C1" w:rsidRDefault="005666C0" w:rsidP="005666C0">
            <w:pPr>
              <w:rPr>
                <w:szCs w:val="24"/>
              </w:rPr>
            </w:pPr>
            <w:r w:rsidRPr="00D948C1">
              <w:rPr>
                <w:szCs w:val="24"/>
              </w:rPr>
              <w:t>General Fund</w:t>
            </w:r>
          </w:p>
        </w:tc>
        <w:tc>
          <w:tcPr>
            <w:tcW w:w="1432" w:type="dxa"/>
            <w:gridSpan w:val="2"/>
            <w:vAlign w:val="center"/>
          </w:tcPr>
          <w:p w14:paraId="37F266CC" w14:textId="77777777" w:rsidR="005666C0" w:rsidRPr="00294859" w:rsidRDefault="005666C0" w:rsidP="005666C0">
            <w:pPr>
              <w:jc w:val="right"/>
              <w:rPr>
                <w:szCs w:val="24"/>
              </w:rPr>
            </w:pPr>
          </w:p>
        </w:tc>
        <w:tc>
          <w:tcPr>
            <w:tcW w:w="1406" w:type="dxa"/>
            <w:vAlign w:val="center"/>
          </w:tcPr>
          <w:p w14:paraId="695E77A0" w14:textId="6BCD51B3" w:rsidR="005666C0" w:rsidRPr="00294859" w:rsidRDefault="009E79CD" w:rsidP="005666C0">
            <w:pPr>
              <w:jc w:val="right"/>
            </w:pPr>
            <w:r>
              <w:t>(</w:t>
            </w:r>
            <w:r w:rsidR="00D36788">
              <w:t>6,564</w:t>
            </w:r>
            <w:r>
              <w:t>)</w:t>
            </w:r>
          </w:p>
        </w:tc>
        <w:tc>
          <w:tcPr>
            <w:tcW w:w="1406" w:type="dxa"/>
            <w:vAlign w:val="center"/>
          </w:tcPr>
          <w:p w14:paraId="682014F5" w14:textId="77777777" w:rsidR="005666C0" w:rsidRPr="00DF39E9" w:rsidRDefault="005666C0" w:rsidP="005666C0">
            <w:pPr>
              <w:jc w:val="right"/>
              <w:rPr>
                <w:szCs w:val="24"/>
              </w:rPr>
            </w:pPr>
          </w:p>
        </w:tc>
        <w:tc>
          <w:tcPr>
            <w:tcW w:w="1406" w:type="dxa"/>
            <w:vAlign w:val="center"/>
          </w:tcPr>
          <w:p w14:paraId="31D0E10F" w14:textId="0B81DF05" w:rsidR="005666C0" w:rsidRPr="00DF39E9" w:rsidRDefault="005666C0" w:rsidP="005666C0">
            <w:pPr>
              <w:jc w:val="right"/>
              <w:rPr>
                <w:szCs w:val="24"/>
              </w:rPr>
            </w:pPr>
            <w:r w:rsidRPr="00DF39E9">
              <w:rPr>
                <w:szCs w:val="24"/>
              </w:rPr>
              <w:t>(5,662)</w:t>
            </w:r>
          </w:p>
        </w:tc>
      </w:tr>
      <w:tr w:rsidR="005666C0" w:rsidRPr="00D948C1" w14:paraId="559DBAC7" w14:textId="77777777" w:rsidTr="6498351E">
        <w:tc>
          <w:tcPr>
            <w:tcW w:w="3172" w:type="dxa"/>
          </w:tcPr>
          <w:p w14:paraId="20353151" w14:textId="77777777" w:rsidR="005666C0" w:rsidRPr="00D948C1" w:rsidRDefault="005666C0" w:rsidP="005666C0">
            <w:pPr>
              <w:rPr>
                <w:szCs w:val="24"/>
              </w:rPr>
            </w:pPr>
            <w:r w:rsidRPr="00D948C1">
              <w:rPr>
                <w:szCs w:val="24"/>
              </w:rPr>
              <w:t>Earmarked Reserves</w:t>
            </w:r>
          </w:p>
        </w:tc>
        <w:tc>
          <w:tcPr>
            <w:tcW w:w="1432" w:type="dxa"/>
            <w:gridSpan w:val="2"/>
            <w:vAlign w:val="center"/>
          </w:tcPr>
          <w:p w14:paraId="33B1B3A3" w14:textId="4E51048E" w:rsidR="005666C0" w:rsidRPr="00294859" w:rsidRDefault="009E79CD" w:rsidP="005666C0">
            <w:pPr>
              <w:jc w:val="right"/>
            </w:pPr>
            <w:r>
              <w:t>(</w:t>
            </w:r>
            <w:r w:rsidR="001B54A0">
              <w:t>23</w:t>
            </w:r>
            <w:r w:rsidR="005A2A15">
              <w:t>,</w:t>
            </w:r>
            <w:r w:rsidR="00B824E2">
              <w:t>721</w:t>
            </w:r>
            <w:r>
              <w:t>)</w:t>
            </w:r>
          </w:p>
        </w:tc>
        <w:tc>
          <w:tcPr>
            <w:tcW w:w="1406" w:type="dxa"/>
            <w:vAlign w:val="center"/>
          </w:tcPr>
          <w:p w14:paraId="43454B6E" w14:textId="77777777" w:rsidR="005666C0" w:rsidRPr="00294859" w:rsidRDefault="005666C0" w:rsidP="005666C0">
            <w:pPr>
              <w:jc w:val="right"/>
              <w:rPr>
                <w:szCs w:val="24"/>
              </w:rPr>
            </w:pPr>
          </w:p>
        </w:tc>
        <w:tc>
          <w:tcPr>
            <w:tcW w:w="1406" w:type="dxa"/>
            <w:vAlign w:val="center"/>
          </w:tcPr>
          <w:p w14:paraId="546BA549" w14:textId="05C51443" w:rsidR="005666C0" w:rsidRPr="00DF39E9" w:rsidRDefault="005666C0" w:rsidP="005666C0">
            <w:pPr>
              <w:jc w:val="right"/>
              <w:rPr>
                <w:szCs w:val="24"/>
              </w:rPr>
            </w:pPr>
            <w:r w:rsidRPr="00DF39E9">
              <w:rPr>
                <w:szCs w:val="24"/>
              </w:rPr>
              <w:t>(</w:t>
            </w:r>
            <w:r w:rsidR="008B4489">
              <w:rPr>
                <w:szCs w:val="24"/>
              </w:rPr>
              <w:t>22</w:t>
            </w:r>
            <w:r w:rsidRPr="00DF39E9">
              <w:rPr>
                <w:szCs w:val="24"/>
              </w:rPr>
              <w:t>,</w:t>
            </w:r>
            <w:r w:rsidR="008B4489">
              <w:rPr>
                <w:szCs w:val="24"/>
              </w:rPr>
              <w:t>877</w:t>
            </w:r>
            <w:r w:rsidRPr="00DF39E9">
              <w:rPr>
                <w:szCs w:val="24"/>
              </w:rPr>
              <w:t>)</w:t>
            </w:r>
          </w:p>
        </w:tc>
        <w:tc>
          <w:tcPr>
            <w:tcW w:w="1406" w:type="dxa"/>
            <w:vAlign w:val="center"/>
          </w:tcPr>
          <w:p w14:paraId="40B0B1B1" w14:textId="77777777" w:rsidR="005666C0" w:rsidRPr="00DF39E9" w:rsidRDefault="005666C0" w:rsidP="005666C0">
            <w:pPr>
              <w:jc w:val="right"/>
              <w:rPr>
                <w:szCs w:val="24"/>
              </w:rPr>
            </w:pPr>
          </w:p>
        </w:tc>
      </w:tr>
      <w:tr w:rsidR="005666C0" w:rsidRPr="00D948C1" w14:paraId="495DACBE" w14:textId="77777777" w:rsidTr="6498351E">
        <w:tc>
          <w:tcPr>
            <w:tcW w:w="3172" w:type="dxa"/>
          </w:tcPr>
          <w:p w14:paraId="1F133837" w14:textId="77777777" w:rsidR="005666C0" w:rsidRPr="00D948C1" w:rsidRDefault="005666C0" w:rsidP="005666C0">
            <w:pPr>
              <w:rPr>
                <w:szCs w:val="24"/>
              </w:rPr>
            </w:pPr>
            <w:r w:rsidRPr="00D948C1">
              <w:rPr>
                <w:szCs w:val="24"/>
              </w:rPr>
              <w:t>PFI Equalisation Reserve</w:t>
            </w:r>
          </w:p>
        </w:tc>
        <w:tc>
          <w:tcPr>
            <w:tcW w:w="1432" w:type="dxa"/>
            <w:gridSpan w:val="2"/>
            <w:vAlign w:val="center"/>
          </w:tcPr>
          <w:p w14:paraId="3F605A3E" w14:textId="7D674308" w:rsidR="005666C0" w:rsidRPr="00294859" w:rsidRDefault="009E79CD" w:rsidP="005666C0">
            <w:pPr>
              <w:jc w:val="right"/>
            </w:pPr>
            <w:r>
              <w:t>(</w:t>
            </w:r>
            <w:r w:rsidR="0033095C">
              <w:t>5,291</w:t>
            </w:r>
            <w:r>
              <w:t>)</w:t>
            </w:r>
          </w:p>
        </w:tc>
        <w:tc>
          <w:tcPr>
            <w:tcW w:w="1406" w:type="dxa"/>
            <w:vAlign w:val="center"/>
          </w:tcPr>
          <w:p w14:paraId="6E72C234" w14:textId="77777777" w:rsidR="005666C0" w:rsidRPr="00294859" w:rsidRDefault="005666C0" w:rsidP="005666C0">
            <w:pPr>
              <w:jc w:val="right"/>
              <w:rPr>
                <w:szCs w:val="24"/>
              </w:rPr>
            </w:pPr>
          </w:p>
        </w:tc>
        <w:tc>
          <w:tcPr>
            <w:tcW w:w="1406" w:type="dxa"/>
            <w:vAlign w:val="center"/>
          </w:tcPr>
          <w:p w14:paraId="4391423F" w14:textId="523A1893" w:rsidR="005666C0" w:rsidRPr="00DF39E9" w:rsidRDefault="005666C0" w:rsidP="005666C0">
            <w:pPr>
              <w:jc w:val="right"/>
              <w:rPr>
                <w:szCs w:val="24"/>
              </w:rPr>
            </w:pPr>
            <w:r w:rsidRPr="00DF39E9">
              <w:rPr>
                <w:szCs w:val="24"/>
              </w:rPr>
              <w:t>(5,157)</w:t>
            </w:r>
          </w:p>
        </w:tc>
        <w:tc>
          <w:tcPr>
            <w:tcW w:w="1406" w:type="dxa"/>
            <w:vAlign w:val="center"/>
          </w:tcPr>
          <w:p w14:paraId="36A74061" w14:textId="77777777" w:rsidR="005666C0" w:rsidRPr="00DF39E9" w:rsidRDefault="005666C0" w:rsidP="005666C0">
            <w:pPr>
              <w:jc w:val="right"/>
              <w:rPr>
                <w:szCs w:val="24"/>
              </w:rPr>
            </w:pPr>
          </w:p>
        </w:tc>
      </w:tr>
      <w:tr w:rsidR="005666C0" w:rsidRPr="00D948C1" w14:paraId="19510920" w14:textId="77777777" w:rsidTr="6498351E">
        <w:tc>
          <w:tcPr>
            <w:tcW w:w="3172" w:type="dxa"/>
          </w:tcPr>
          <w:p w14:paraId="29B8D742" w14:textId="77777777" w:rsidR="005666C0" w:rsidRPr="00D948C1" w:rsidRDefault="005666C0" w:rsidP="005666C0">
            <w:pPr>
              <w:rPr>
                <w:szCs w:val="24"/>
              </w:rPr>
            </w:pPr>
            <w:r w:rsidRPr="00D948C1">
              <w:rPr>
                <w:szCs w:val="24"/>
              </w:rPr>
              <w:t>Total Earmarked Reserves</w:t>
            </w:r>
          </w:p>
        </w:tc>
        <w:tc>
          <w:tcPr>
            <w:tcW w:w="1432" w:type="dxa"/>
            <w:gridSpan w:val="2"/>
            <w:vAlign w:val="center"/>
          </w:tcPr>
          <w:p w14:paraId="3326B779" w14:textId="77777777" w:rsidR="005666C0" w:rsidRPr="00294859" w:rsidRDefault="005666C0" w:rsidP="005666C0">
            <w:pPr>
              <w:jc w:val="right"/>
              <w:rPr>
                <w:szCs w:val="24"/>
              </w:rPr>
            </w:pPr>
          </w:p>
        </w:tc>
        <w:tc>
          <w:tcPr>
            <w:tcW w:w="1406" w:type="dxa"/>
            <w:vAlign w:val="center"/>
          </w:tcPr>
          <w:p w14:paraId="6F597525" w14:textId="535037FD" w:rsidR="005666C0" w:rsidRPr="00294859" w:rsidRDefault="009E79CD" w:rsidP="005666C0">
            <w:pPr>
              <w:jc w:val="right"/>
            </w:pPr>
            <w:r>
              <w:t>(</w:t>
            </w:r>
            <w:r w:rsidR="00F1383B">
              <w:t>29</w:t>
            </w:r>
            <w:r w:rsidR="0033095C">
              <w:t>,</w:t>
            </w:r>
            <w:r w:rsidR="00F1383B">
              <w:t>012</w:t>
            </w:r>
            <w:r w:rsidR="00840FCE">
              <w:t>)</w:t>
            </w:r>
          </w:p>
        </w:tc>
        <w:tc>
          <w:tcPr>
            <w:tcW w:w="1406" w:type="dxa"/>
            <w:vAlign w:val="center"/>
          </w:tcPr>
          <w:p w14:paraId="55F004A0" w14:textId="5D3D365F" w:rsidR="005666C0" w:rsidRPr="00DF39E9" w:rsidRDefault="005666C0" w:rsidP="005666C0">
            <w:pPr>
              <w:jc w:val="right"/>
              <w:rPr>
                <w:szCs w:val="24"/>
              </w:rPr>
            </w:pPr>
          </w:p>
        </w:tc>
        <w:tc>
          <w:tcPr>
            <w:tcW w:w="1406" w:type="dxa"/>
            <w:vAlign w:val="center"/>
          </w:tcPr>
          <w:p w14:paraId="73EE5573" w14:textId="743F0F00" w:rsidR="005666C0" w:rsidRPr="00DF39E9" w:rsidRDefault="005666C0" w:rsidP="005666C0">
            <w:pPr>
              <w:jc w:val="right"/>
              <w:rPr>
                <w:szCs w:val="24"/>
              </w:rPr>
            </w:pPr>
            <w:r w:rsidRPr="00DF39E9">
              <w:rPr>
                <w:szCs w:val="24"/>
              </w:rPr>
              <w:t>(</w:t>
            </w:r>
            <w:r w:rsidR="00F1383B">
              <w:rPr>
                <w:szCs w:val="24"/>
              </w:rPr>
              <w:t>28</w:t>
            </w:r>
            <w:r w:rsidRPr="00DF39E9">
              <w:rPr>
                <w:szCs w:val="24"/>
              </w:rPr>
              <w:t>,</w:t>
            </w:r>
            <w:r w:rsidR="00F1383B">
              <w:rPr>
                <w:szCs w:val="24"/>
              </w:rPr>
              <w:t>03</w:t>
            </w:r>
            <w:r w:rsidRPr="00DF39E9">
              <w:rPr>
                <w:szCs w:val="24"/>
              </w:rPr>
              <w:t>4)</w:t>
            </w:r>
          </w:p>
        </w:tc>
      </w:tr>
      <w:tr w:rsidR="005666C0" w:rsidRPr="00D948C1" w14:paraId="7E8269B5" w14:textId="77777777" w:rsidTr="6498351E">
        <w:tc>
          <w:tcPr>
            <w:tcW w:w="3172" w:type="dxa"/>
          </w:tcPr>
          <w:p w14:paraId="6C44D2E2" w14:textId="48A8FC38" w:rsidR="005666C0" w:rsidRPr="00D948C1" w:rsidRDefault="005666C0" w:rsidP="005666C0">
            <w:pPr>
              <w:rPr>
                <w:szCs w:val="24"/>
              </w:rPr>
            </w:pPr>
            <w:r w:rsidRPr="00D948C1">
              <w:rPr>
                <w:szCs w:val="24"/>
              </w:rPr>
              <w:t>Total</w:t>
            </w:r>
            <w:r w:rsidR="00183480">
              <w:rPr>
                <w:szCs w:val="24"/>
              </w:rPr>
              <w:t xml:space="preserve"> General Fund</w:t>
            </w:r>
          </w:p>
        </w:tc>
        <w:tc>
          <w:tcPr>
            <w:tcW w:w="1432" w:type="dxa"/>
            <w:gridSpan w:val="2"/>
            <w:vAlign w:val="center"/>
          </w:tcPr>
          <w:p w14:paraId="275B1712" w14:textId="77777777" w:rsidR="005666C0" w:rsidRPr="00294859" w:rsidRDefault="005666C0" w:rsidP="005666C0">
            <w:pPr>
              <w:jc w:val="right"/>
              <w:rPr>
                <w:szCs w:val="24"/>
              </w:rPr>
            </w:pPr>
          </w:p>
        </w:tc>
        <w:tc>
          <w:tcPr>
            <w:tcW w:w="1406" w:type="dxa"/>
            <w:vAlign w:val="center"/>
          </w:tcPr>
          <w:p w14:paraId="6C90E7D3" w14:textId="2B2A09FB" w:rsidR="005666C0" w:rsidRPr="00294859" w:rsidRDefault="00840FCE" w:rsidP="005666C0">
            <w:pPr>
              <w:jc w:val="right"/>
            </w:pPr>
            <w:r>
              <w:t>(</w:t>
            </w:r>
            <w:r w:rsidR="003D3BE6">
              <w:t>3</w:t>
            </w:r>
            <w:r w:rsidR="00FD458C">
              <w:t>5</w:t>
            </w:r>
            <w:r w:rsidR="00866FBF">
              <w:t>,</w:t>
            </w:r>
            <w:r w:rsidR="00FD458C">
              <w:t>576</w:t>
            </w:r>
            <w:r>
              <w:t>)</w:t>
            </w:r>
          </w:p>
        </w:tc>
        <w:tc>
          <w:tcPr>
            <w:tcW w:w="1406" w:type="dxa"/>
            <w:vAlign w:val="center"/>
          </w:tcPr>
          <w:p w14:paraId="0E1A8523" w14:textId="77777777" w:rsidR="005666C0" w:rsidRPr="00DF39E9" w:rsidRDefault="005666C0" w:rsidP="005666C0">
            <w:pPr>
              <w:jc w:val="right"/>
              <w:rPr>
                <w:szCs w:val="24"/>
              </w:rPr>
            </w:pPr>
          </w:p>
        </w:tc>
        <w:tc>
          <w:tcPr>
            <w:tcW w:w="1406" w:type="dxa"/>
            <w:vAlign w:val="center"/>
          </w:tcPr>
          <w:p w14:paraId="2A725061" w14:textId="3C20AEA9" w:rsidR="005666C0" w:rsidRPr="00DF39E9" w:rsidRDefault="005666C0" w:rsidP="005666C0">
            <w:pPr>
              <w:jc w:val="right"/>
              <w:rPr>
                <w:szCs w:val="24"/>
              </w:rPr>
            </w:pPr>
            <w:r w:rsidRPr="00DF39E9">
              <w:rPr>
                <w:szCs w:val="24"/>
              </w:rPr>
              <w:t>(</w:t>
            </w:r>
            <w:r w:rsidR="00FD458C">
              <w:rPr>
                <w:szCs w:val="24"/>
              </w:rPr>
              <w:t>33</w:t>
            </w:r>
            <w:r w:rsidRPr="00DF39E9">
              <w:rPr>
                <w:szCs w:val="24"/>
              </w:rPr>
              <w:t>,</w:t>
            </w:r>
            <w:r w:rsidR="00FD458C">
              <w:rPr>
                <w:szCs w:val="24"/>
              </w:rPr>
              <w:t>696</w:t>
            </w:r>
            <w:r w:rsidRPr="00DF39E9">
              <w:rPr>
                <w:szCs w:val="24"/>
              </w:rPr>
              <w:t>)</w:t>
            </w:r>
          </w:p>
        </w:tc>
      </w:tr>
    </w:tbl>
    <w:p w14:paraId="2C66ED73" w14:textId="77777777" w:rsidR="00EC3487" w:rsidRPr="00D948C1" w:rsidRDefault="00EC3487"/>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1432"/>
        <w:gridCol w:w="1406"/>
        <w:gridCol w:w="1406"/>
        <w:gridCol w:w="1406"/>
      </w:tblGrid>
      <w:tr w:rsidR="000C442C" w:rsidRPr="00D948C1" w14:paraId="126CA6A5" w14:textId="77777777" w:rsidTr="6498351E">
        <w:tc>
          <w:tcPr>
            <w:tcW w:w="8822" w:type="dxa"/>
            <w:gridSpan w:val="5"/>
            <w:shd w:val="clear" w:color="auto" w:fill="D9D9D9" w:themeFill="background1" w:themeFillShade="D9"/>
          </w:tcPr>
          <w:p w14:paraId="2F9F6EDB" w14:textId="1B14C03E" w:rsidR="000C442C" w:rsidRPr="00D948C1" w:rsidRDefault="000C442C" w:rsidP="000C442C">
            <w:pPr>
              <w:tabs>
                <w:tab w:val="decimal" w:pos="830"/>
              </w:tabs>
              <w:ind w:right="176"/>
              <w:rPr>
                <w:b/>
                <w:bCs/>
                <w:szCs w:val="24"/>
              </w:rPr>
            </w:pPr>
            <w:r w:rsidRPr="00D948C1">
              <w:rPr>
                <w:b/>
                <w:bCs/>
                <w:szCs w:val="24"/>
              </w:rPr>
              <w:t>Capital Reserves:</w:t>
            </w:r>
          </w:p>
        </w:tc>
      </w:tr>
      <w:tr w:rsidR="005666C0" w:rsidRPr="00D948C1" w14:paraId="66767A3C" w14:textId="77777777" w:rsidTr="6498351E">
        <w:tc>
          <w:tcPr>
            <w:tcW w:w="3172" w:type="dxa"/>
          </w:tcPr>
          <w:p w14:paraId="789204C2" w14:textId="77777777" w:rsidR="005666C0" w:rsidRPr="00D948C1" w:rsidRDefault="005666C0" w:rsidP="005666C0">
            <w:pPr>
              <w:rPr>
                <w:szCs w:val="24"/>
              </w:rPr>
            </w:pPr>
            <w:r w:rsidRPr="00D948C1">
              <w:rPr>
                <w:szCs w:val="24"/>
              </w:rPr>
              <w:t>Capital Grants Unapplied</w:t>
            </w:r>
          </w:p>
        </w:tc>
        <w:tc>
          <w:tcPr>
            <w:tcW w:w="1432" w:type="dxa"/>
          </w:tcPr>
          <w:p w14:paraId="14CD6E55" w14:textId="77777777" w:rsidR="005666C0" w:rsidRPr="00DF39E9" w:rsidRDefault="005666C0" w:rsidP="005666C0">
            <w:pPr>
              <w:jc w:val="right"/>
              <w:rPr>
                <w:szCs w:val="24"/>
              </w:rPr>
            </w:pPr>
          </w:p>
        </w:tc>
        <w:tc>
          <w:tcPr>
            <w:tcW w:w="1406" w:type="dxa"/>
          </w:tcPr>
          <w:p w14:paraId="280E5D11" w14:textId="31025677" w:rsidR="005666C0" w:rsidRPr="00294859" w:rsidRDefault="009E79CD" w:rsidP="005666C0">
            <w:pPr>
              <w:jc w:val="right"/>
            </w:pPr>
            <w:r>
              <w:t>-</w:t>
            </w:r>
          </w:p>
        </w:tc>
        <w:tc>
          <w:tcPr>
            <w:tcW w:w="1406" w:type="dxa"/>
          </w:tcPr>
          <w:p w14:paraId="4A1512C4" w14:textId="77777777" w:rsidR="005666C0" w:rsidRPr="00DF39E9" w:rsidRDefault="005666C0" w:rsidP="005666C0">
            <w:pPr>
              <w:jc w:val="right"/>
              <w:rPr>
                <w:szCs w:val="24"/>
              </w:rPr>
            </w:pPr>
          </w:p>
        </w:tc>
        <w:tc>
          <w:tcPr>
            <w:tcW w:w="1406" w:type="dxa"/>
          </w:tcPr>
          <w:p w14:paraId="257DCEE2" w14:textId="5EFA2371" w:rsidR="005666C0" w:rsidRPr="00DF39E9" w:rsidRDefault="005666C0" w:rsidP="005666C0">
            <w:pPr>
              <w:jc w:val="right"/>
              <w:rPr>
                <w:szCs w:val="24"/>
              </w:rPr>
            </w:pPr>
            <w:r w:rsidRPr="00DF39E9">
              <w:rPr>
                <w:szCs w:val="24"/>
              </w:rPr>
              <w:t>-</w:t>
            </w:r>
          </w:p>
        </w:tc>
      </w:tr>
      <w:tr w:rsidR="005666C0" w:rsidRPr="00D948C1" w14:paraId="589E4C3B" w14:textId="77777777" w:rsidTr="6498351E">
        <w:tc>
          <w:tcPr>
            <w:tcW w:w="3172" w:type="dxa"/>
          </w:tcPr>
          <w:p w14:paraId="6A3C2A3C" w14:textId="77777777" w:rsidR="005666C0" w:rsidRPr="00D948C1" w:rsidRDefault="005666C0" w:rsidP="005666C0">
            <w:pPr>
              <w:rPr>
                <w:szCs w:val="24"/>
              </w:rPr>
            </w:pPr>
            <w:r w:rsidRPr="00D948C1">
              <w:rPr>
                <w:szCs w:val="24"/>
              </w:rPr>
              <w:t>Usable Capital Receipts</w:t>
            </w:r>
          </w:p>
        </w:tc>
        <w:tc>
          <w:tcPr>
            <w:tcW w:w="1432" w:type="dxa"/>
          </w:tcPr>
          <w:p w14:paraId="212D22DB" w14:textId="77777777" w:rsidR="005666C0" w:rsidRPr="00DF39E9" w:rsidRDefault="005666C0" w:rsidP="005666C0">
            <w:pPr>
              <w:jc w:val="right"/>
              <w:rPr>
                <w:szCs w:val="24"/>
              </w:rPr>
            </w:pPr>
          </w:p>
        </w:tc>
        <w:tc>
          <w:tcPr>
            <w:tcW w:w="1406" w:type="dxa"/>
          </w:tcPr>
          <w:p w14:paraId="5B9EE3FA" w14:textId="241ECBB3" w:rsidR="005666C0" w:rsidRPr="00294859" w:rsidRDefault="00840FCE" w:rsidP="005666C0">
            <w:pPr>
              <w:jc w:val="right"/>
            </w:pPr>
            <w:r>
              <w:t>(</w:t>
            </w:r>
            <w:r w:rsidR="009E79CD">
              <w:t>194</w:t>
            </w:r>
            <w:r>
              <w:t>)</w:t>
            </w:r>
          </w:p>
        </w:tc>
        <w:tc>
          <w:tcPr>
            <w:tcW w:w="1406" w:type="dxa"/>
          </w:tcPr>
          <w:p w14:paraId="799CE567" w14:textId="77777777" w:rsidR="005666C0" w:rsidRPr="00DF39E9" w:rsidRDefault="005666C0" w:rsidP="005666C0">
            <w:pPr>
              <w:jc w:val="right"/>
              <w:rPr>
                <w:szCs w:val="24"/>
              </w:rPr>
            </w:pPr>
          </w:p>
        </w:tc>
        <w:tc>
          <w:tcPr>
            <w:tcW w:w="1406" w:type="dxa"/>
          </w:tcPr>
          <w:p w14:paraId="13199CBA" w14:textId="3D37B0A1" w:rsidR="005666C0" w:rsidRPr="00DF39E9" w:rsidRDefault="005666C0" w:rsidP="005666C0">
            <w:pPr>
              <w:jc w:val="right"/>
              <w:rPr>
                <w:szCs w:val="24"/>
              </w:rPr>
            </w:pPr>
            <w:r w:rsidRPr="00DF39E9">
              <w:rPr>
                <w:szCs w:val="24"/>
              </w:rPr>
              <w:t>(71)</w:t>
            </w:r>
          </w:p>
        </w:tc>
      </w:tr>
      <w:tr w:rsidR="005666C0" w:rsidRPr="00D948C1" w14:paraId="61572B2C" w14:textId="77777777" w:rsidTr="6498351E">
        <w:tc>
          <w:tcPr>
            <w:tcW w:w="3172" w:type="dxa"/>
          </w:tcPr>
          <w:p w14:paraId="6F6D59BF" w14:textId="77777777" w:rsidR="005666C0" w:rsidRPr="00D948C1" w:rsidRDefault="005666C0" w:rsidP="005666C0">
            <w:pPr>
              <w:rPr>
                <w:szCs w:val="24"/>
              </w:rPr>
            </w:pPr>
            <w:r w:rsidRPr="00D948C1">
              <w:rPr>
                <w:szCs w:val="24"/>
              </w:rPr>
              <w:t>Total Usable Reserves</w:t>
            </w:r>
          </w:p>
        </w:tc>
        <w:tc>
          <w:tcPr>
            <w:tcW w:w="1432" w:type="dxa"/>
          </w:tcPr>
          <w:p w14:paraId="5118D797" w14:textId="77777777" w:rsidR="005666C0" w:rsidRPr="00DF39E9" w:rsidRDefault="005666C0" w:rsidP="005666C0">
            <w:pPr>
              <w:jc w:val="right"/>
              <w:rPr>
                <w:szCs w:val="24"/>
              </w:rPr>
            </w:pPr>
          </w:p>
        </w:tc>
        <w:tc>
          <w:tcPr>
            <w:tcW w:w="1406" w:type="dxa"/>
          </w:tcPr>
          <w:p w14:paraId="4113A894" w14:textId="1286B0FC" w:rsidR="005666C0" w:rsidRPr="00294859" w:rsidRDefault="00840FCE" w:rsidP="005666C0">
            <w:pPr>
              <w:jc w:val="right"/>
            </w:pPr>
            <w:r>
              <w:t>(</w:t>
            </w:r>
            <w:r w:rsidR="009E79CD">
              <w:t>35,770</w:t>
            </w:r>
            <w:r>
              <w:t>)</w:t>
            </w:r>
          </w:p>
        </w:tc>
        <w:tc>
          <w:tcPr>
            <w:tcW w:w="1406" w:type="dxa"/>
          </w:tcPr>
          <w:p w14:paraId="2A36FEBF" w14:textId="77777777" w:rsidR="005666C0" w:rsidRPr="00DF39E9" w:rsidRDefault="005666C0" w:rsidP="005666C0">
            <w:pPr>
              <w:jc w:val="right"/>
              <w:rPr>
                <w:szCs w:val="24"/>
              </w:rPr>
            </w:pPr>
          </w:p>
        </w:tc>
        <w:tc>
          <w:tcPr>
            <w:tcW w:w="1406" w:type="dxa"/>
          </w:tcPr>
          <w:p w14:paraId="1AD7BC15" w14:textId="7033E25E" w:rsidR="005666C0" w:rsidRPr="00DF39E9" w:rsidRDefault="005666C0" w:rsidP="005666C0">
            <w:pPr>
              <w:jc w:val="right"/>
              <w:rPr>
                <w:szCs w:val="24"/>
              </w:rPr>
            </w:pPr>
            <w:r w:rsidRPr="00DF39E9">
              <w:rPr>
                <w:szCs w:val="24"/>
              </w:rPr>
              <w:t>(33,768)</w:t>
            </w:r>
          </w:p>
        </w:tc>
      </w:tr>
    </w:tbl>
    <w:p w14:paraId="6C4ED80F" w14:textId="5FF859D6" w:rsidR="000C442C" w:rsidRDefault="003051C3" w:rsidP="003051C3">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53B5A287" w14:textId="77777777" w:rsidR="003051C3" w:rsidRPr="00D948C1" w:rsidRDefault="003051C3" w:rsidP="003051C3">
      <w:pPr>
        <w:ind w:left="720"/>
        <w:rPr>
          <w:b/>
          <w:szCs w:val="24"/>
        </w:rPr>
      </w:pPr>
    </w:p>
    <w:p w14:paraId="47EAA2DA" w14:textId="65700A9E" w:rsidR="00484A3E" w:rsidRPr="00484A3E" w:rsidRDefault="00D860EB" w:rsidP="00D1174A">
      <w:pPr>
        <w:ind w:left="720"/>
        <w:rPr>
          <w:bCs/>
          <w:szCs w:val="24"/>
        </w:rPr>
        <w:sectPr w:rsidR="00484A3E" w:rsidRPr="00484A3E" w:rsidSect="0050229D">
          <w:pgSz w:w="11907" w:h="16840" w:code="9"/>
          <w:pgMar w:top="454" w:right="567" w:bottom="397" w:left="567" w:header="720" w:footer="720" w:gutter="0"/>
          <w:cols w:space="720"/>
          <w:docGrid w:linePitch="326"/>
        </w:sectPr>
      </w:pPr>
      <w:proofErr w:type="gramStart"/>
      <w:r>
        <w:rPr>
          <w:bCs/>
          <w:szCs w:val="24"/>
        </w:rPr>
        <w:t>At</w:t>
      </w:r>
      <w:proofErr w:type="gramEnd"/>
      <w:r>
        <w:rPr>
          <w:bCs/>
          <w:szCs w:val="24"/>
        </w:rPr>
        <w:t xml:space="preserve"> 31 March 2025 t</w:t>
      </w:r>
      <w:r w:rsidR="00D1174A">
        <w:rPr>
          <w:bCs/>
          <w:szCs w:val="24"/>
        </w:rPr>
        <w:t xml:space="preserve">he Authority’s earmarked reserves </w:t>
      </w:r>
      <w:r w:rsidR="00171B1C">
        <w:rPr>
          <w:bCs/>
          <w:szCs w:val="24"/>
        </w:rPr>
        <w:t>include</w:t>
      </w:r>
      <w:r w:rsidR="00D1174A">
        <w:rPr>
          <w:bCs/>
          <w:szCs w:val="24"/>
        </w:rPr>
        <w:t xml:space="preserve"> </w:t>
      </w:r>
      <w:r w:rsidR="00320290">
        <w:rPr>
          <w:bCs/>
          <w:szCs w:val="24"/>
        </w:rPr>
        <w:t xml:space="preserve">£18.331m which has been </w:t>
      </w:r>
      <w:r w:rsidR="00A73533">
        <w:rPr>
          <w:bCs/>
          <w:szCs w:val="24"/>
        </w:rPr>
        <w:t>earmarked</w:t>
      </w:r>
      <w:r w:rsidR="00320290">
        <w:rPr>
          <w:bCs/>
          <w:szCs w:val="24"/>
        </w:rPr>
        <w:t xml:space="preserve"> </w:t>
      </w:r>
      <w:r w:rsidR="00A73533">
        <w:rPr>
          <w:bCs/>
          <w:szCs w:val="24"/>
        </w:rPr>
        <w:t>to fund</w:t>
      </w:r>
      <w:r w:rsidR="00320290">
        <w:rPr>
          <w:bCs/>
          <w:szCs w:val="24"/>
        </w:rPr>
        <w:t xml:space="preserve"> future capital </w:t>
      </w:r>
      <w:r w:rsidR="00171B1C">
        <w:rPr>
          <w:bCs/>
          <w:szCs w:val="24"/>
        </w:rPr>
        <w:t>requirements</w:t>
      </w:r>
      <w:r w:rsidR="002024B4">
        <w:rPr>
          <w:bCs/>
          <w:szCs w:val="24"/>
        </w:rPr>
        <w:t>.</w:t>
      </w:r>
      <w:r w:rsidR="007531BB">
        <w:rPr>
          <w:bCs/>
          <w:szCs w:val="24"/>
        </w:rPr>
        <w:t xml:space="preserve"> </w:t>
      </w:r>
    </w:p>
    <w:p w14:paraId="34121F38" w14:textId="525972B1" w:rsidR="00AF3C89" w:rsidRPr="00D948C1" w:rsidRDefault="001C592E" w:rsidP="006563F1">
      <w:pPr>
        <w:pStyle w:val="Heading2"/>
        <w:jc w:val="left"/>
        <w:rPr>
          <w:sz w:val="24"/>
          <w:szCs w:val="24"/>
        </w:rPr>
      </w:pPr>
      <w:bookmarkStart w:id="65" w:name="_18_Transfers_(to)/from"/>
      <w:bookmarkStart w:id="66" w:name="_Toc215593409"/>
      <w:bookmarkEnd w:id="65"/>
      <w:r w:rsidRPr="00D948C1">
        <w:rPr>
          <w:sz w:val="24"/>
          <w:szCs w:val="24"/>
        </w:rPr>
        <w:lastRenderedPageBreak/>
        <w:t>1</w:t>
      </w:r>
      <w:r w:rsidR="00B62A26">
        <w:rPr>
          <w:sz w:val="24"/>
          <w:szCs w:val="24"/>
        </w:rPr>
        <w:t>8</w:t>
      </w:r>
      <w:r w:rsidR="001429DE" w:rsidRPr="00D948C1">
        <w:rPr>
          <w:sz w:val="24"/>
          <w:szCs w:val="24"/>
        </w:rPr>
        <w:tab/>
      </w:r>
      <w:r w:rsidR="00AF3C89" w:rsidRPr="00D948C1">
        <w:rPr>
          <w:sz w:val="24"/>
          <w:szCs w:val="24"/>
        </w:rPr>
        <w:t>Transfers (to)/from Earmarked Reserves</w:t>
      </w:r>
      <w:bookmarkEnd w:id="66"/>
    </w:p>
    <w:p w14:paraId="36446D8D" w14:textId="77777777" w:rsidR="00D90216" w:rsidRPr="00D948C1" w:rsidRDefault="00D90216" w:rsidP="00D90216">
      <w:pPr>
        <w:ind w:left="709"/>
        <w:rPr>
          <w:szCs w:val="24"/>
        </w:rPr>
      </w:pPr>
    </w:p>
    <w:tbl>
      <w:tblPr>
        <w:tblW w:w="152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1701"/>
        <w:gridCol w:w="1701"/>
        <w:gridCol w:w="1701"/>
        <w:gridCol w:w="1701"/>
        <w:gridCol w:w="1701"/>
        <w:gridCol w:w="1701"/>
        <w:gridCol w:w="1701"/>
      </w:tblGrid>
      <w:tr w:rsidR="005666C0" w:rsidRPr="00D948C1" w14:paraId="3B976A56" w14:textId="77777777" w:rsidTr="00611673">
        <w:trPr>
          <w:tblHeader/>
        </w:trPr>
        <w:tc>
          <w:tcPr>
            <w:tcW w:w="3294" w:type="dxa"/>
            <w:shd w:val="clear" w:color="auto" w:fill="BD2716"/>
          </w:tcPr>
          <w:p w14:paraId="1509FD0B" w14:textId="77777777" w:rsidR="005666C0" w:rsidRPr="00D948C1" w:rsidRDefault="005666C0" w:rsidP="005666C0">
            <w:pPr>
              <w:rPr>
                <w:color w:val="FFFFFF" w:themeColor="background1"/>
                <w:szCs w:val="24"/>
              </w:rPr>
            </w:pPr>
          </w:p>
        </w:tc>
        <w:tc>
          <w:tcPr>
            <w:tcW w:w="1701" w:type="dxa"/>
            <w:shd w:val="clear" w:color="auto" w:fill="BD2716"/>
            <w:vAlign w:val="center"/>
          </w:tcPr>
          <w:p w14:paraId="301C1C00" w14:textId="1FF109CF" w:rsidR="005666C0" w:rsidRPr="00D948C1" w:rsidRDefault="002F0329" w:rsidP="005666C0">
            <w:pPr>
              <w:jc w:val="right"/>
              <w:rPr>
                <w:color w:val="FFFFFF" w:themeColor="background1"/>
                <w:szCs w:val="24"/>
              </w:rPr>
            </w:pPr>
            <w:r>
              <w:rPr>
                <w:color w:val="FFFFFF" w:themeColor="background1"/>
                <w:szCs w:val="24"/>
              </w:rPr>
              <w:t xml:space="preserve">Restated* </w:t>
            </w:r>
            <w:r w:rsidR="005666C0" w:rsidRPr="00D948C1">
              <w:rPr>
                <w:color w:val="FFFFFF" w:themeColor="background1"/>
                <w:szCs w:val="24"/>
              </w:rPr>
              <w:t xml:space="preserve">Balance </w:t>
            </w:r>
            <w:proofErr w:type="gramStart"/>
            <w:r w:rsidR="005666C0" w:rsidRPr="00D948C1">
              <w:rPr>
                <w:color w:val="FFFFFF" w:themeColor="background1"/>
                <w:szCs w:val="24"/>
              </w:rPr>
              <w:t>at</w:t>
            </w:r>
            <w:proofErr w:type="gramEnd"/>
            <w:r w:rsidR="005666C0" w:rsidRPr="00D948C1">
              <w:rPr>
                <w:color w:val="FFFFFF" w:themeColor="background1"/>
                <w:szCs w:val="24"/>
              </w:rPr>
              <w:t xml:space="preserve"> 31 March 2023</w:t>
            </w:r>
          </w:p>
          <w:p w14:paraId="3B3D5CEC" w14:textId="416B0B3C" w:rsidR="005666C0" w:rsidRPr="00D948C1" w:rsidRDefault="005666C0" w:rsidP="005666C0">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4862A5CF" w14:textId="66AB644B" w:rsidR="005666C0" w:rsidRPr="00D948C1" w:rsidRDefault="002F0329" w:rsidP="005666C0">
            <w:pPr>
              <w:jc w:val="right"/>
              <w:rPr>
                <w:color w:val="FFFFFF" w:themeColor="background1"/>
                <w:szCs w:val="24"/>
              </w:rPr>
            </w:pPr>
            <w:r>
              <w:rPr>
                <w:color w:val="FFFFFF" w:themeColor="background1"/>
                <w:szCs w:val="24"/>
              </w:rPr>
              <w:t xml:space="preserve">Restated* </w:t>
            </w:r>
            <w:r w:rsidR="005666C0" w:rsidRPr="00D948C1">
              <w:rPr>
                <w:color w:val="FFFFFF" w:themeColor="background1"/>
                <w:szCs w:val="24"/>
              </w:rPr>
              <w:t>Transfers in 2023/24</w:t>
            </w:r>
          </w:p>
          <w:p w14:paraId="3C229FFA" w14:textId="0B7FDF67" w:rsidR="005666C0" w:rsidRPr="00D948C1" w:rsidRDefault="005666C0" w:rsidP="005666C0">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719F124F" w14:textId="41428A87" w:rsidR="005666C0" w:rsidRPr="00D948C1" w:rsidRDefault="00E6647E" w:rsidP="005666C0">
            <w:pPr>
              <w:jc w:val="right"/>
              <w:rPr>
                <w:color w:val="FFFFFF" w:themeColor="background1"/>
                <w:szCs w:val="24"/>
              </w:rPr>
            </w:pPr>
            <w:r>
              <w:rPr>
                <w:color w:val="FFFFFF" w:themeColor="background1"/>
                <w:szCs w:val="24"/>
              </w:rPr>
              <w:t>Restated</w:t>
            </w:r>
            <w:r w:rsidR="002F0329">
              <w:rPr>
                <w:color w:val="FFFFFF" w:themeColor="background1"/>
                <w:szCs w:val="24"/>
              </w:rPr>
              <w:t xml:space="preserve">* </w:t>
            </w:r>
            <w:r w:rsidR="005666C0" w:rsidRPr="00D948C1">
              <w:rPr>
                <w:color w:val="FFFFFF" w:themeColor="background1"/>
                <w:szCs w:val="24"/>
              </w:rPr>
              <w:t>Transfers out 2023/24</w:t>
            </w:r>
          </w:p>
          <w:p w14:paraId="17601649" w14:textId="7E8E555C" w:rsidR="005666C0" w:rsidRPr="00D948C1" w:rsidRDefault="005666C0" w:rsidP="005666C0">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4A295A07" w14:textId="7EA2ADE0" w:rsidR="005666C0" w:rsidRPr="00D948C1" w:rsidRDefault="002F0329" w:rsidP="005666C0">
            <w:pPr>
              <w:jc w:val="right"/>
              <w:rPr>
                <w:color w:val="FFFFFF" w:themeColor="background1"/>
                <w:szCs w:val="24"/>
              </w:rPr>
            </w:pPr>
            <w:r>
              <w:rPr>
                <w:color w:val="FFFFFF" w:themeColor="background1"/>
                <w:szCs w:val="24"/>
              </w:rPr>
              <w:t xml:space="preserve">Restated* </w:t>
            </w:r>
            <w:r w:rsidR="005666C0" w:rsidRPr="00D948C1">
              <w:rPr>
                <w:color w:val="FFFFFF" w:themeColor="background1"/>
                <w:szCs w:val="24"/>
              </w:rPr>
              <w:t xml:space="preserve">Balance </w:t>
            </w:r>
            <w:proofErr w:type="gramStart"/>
            <w:r w:rsidR="005666C0" w:rsidRPr="00D948C1">
              <w:rPr>
                <w:color w:val="FFFFFF" w:themeColor="background1"/>
                <w:szCs w:val="24"/>
              </w:rPr>
              <w:t>at</w:t>
            </w:r>
            <w:proofErr w:type="gramEnd"/>
            <w:r w:rsidR="005666C0" w:rsidRPr="00D948C1">
              <w:rPr>
                <w:color w:val="FFFFFF" w:themeColor="background1"/>
                <w:szCs w:val="24"/>
              </w:rPr>
              <w:t xml:space="preserve"> 31 March 2024</w:t>
            </w:r>
          </w:p>
          <w:p w14:paraId="5C43A78A" w14:textId="2F6FA2A6" w:rsidR="005666C0" w:rsidRPr="00D948C1" w:rsidRDefault="005666C0" w:rsidP="005666C0">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5A0245FB" w14:textId="022E628B" w:rsidR="005666C0" w:rsidRPr="00D948C1" w:rsidRDefault="005666C0" w:rsidP="005666C0">
            <w:pPr>
              <w:jc w:val="right"/>
              <w:rPr>
                <w:color w:val="FFFFFF" w:themeColor="background1"/>
                <w:szCs w:val="24"/>
              </w:rPr>
            </w:pPr>
            <w:r w:rsidRPr="00D948C1">
              <w:rPr>
                <w:color w:val="FFFFFF" w:themeColor="background1"/>
                <w:szCs w:val="24"/>
              </w:rPr>
              <w:t>Transfers in 202</w:t>
            </w:r>
            <w:r>
              <w:rPr>
                <w:color w:val="FFFFFF" w:themeColor="background1"/>
                <w:szCs w:val="24"/>
              </w:rPr>
              <w:t>4</w:t>
            </w:r>
            <w:r w:rsidRPr="00D948C1">
              <w:rPr>
                <w:color w:val="FFFFFF" w:themeColor="background1"/>
                <w:szCs w:val="24"/>
              </w:rPr>
              <w:t>/2</w:t>
            </w:r>
            <w:r>
              <w:rPr>
                <w:color w:val="FFFFFF" w:themeColor="background1"/>
                <w:szCs w:val="24"/>
              </w:rPr>
              <w:t>5</w:t>
            </w:r>
          </w:p>
          <w:p w14:paraId="2A7F3BBD" w14:textId="24439B22" w:rsidR="005666C0" w:rsidRPr="00D948C1" w:rsidRDefault="005666C0" w:rsidP="005666C0">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1CE441B5" w14:textId="4D9B041A" w:rsidR="005666C0" w:rsidRPr="00D948C1" w:rsidRDefault="005666C0" w:rsidP="005666C0">
            <w:pPr>
              <w:jc w:val="right"/>
              <w:rPr>
                <w:color w:val="FFFFFF" w:themeColor="background1"/>
                <w:szCs w:val="24"/>
              </w:rPr>
            </w:pPr>
            <w:r w:rsidRPr="00D948C1">
              <w:rPr>
                <w:color w:val="FFFFFF" w:themeColor="background1"/>
                <w:szCs w:val="24"/>
              </w:rPr>
              <w:t>Transfers out 202</w:t>
            </w:r>
            <w:r>
              <w:rPr>
                <w:color w:val="FFFFFF" w:themeColor="background1"/>
                <w:szCs w:val="24"/>
              </w:rPr>
              <w:t>4</w:t>
            </w:r>
            <w:r w:rsidRPr="00D948C1">
              <w:rPr>
                <w:color w:val="FFFFFF" w:themeColor="background1"/>
                <w:szCs w:val="24"/>
              </w:rPr>
              <w:t>/2</w:t>
            </w:r>
            <w:r>
              <w:rPr>
                <w:color w:val="FFFFFF" w:themeColor="background1"/>
                <w:szCs w:val="24"/>
              </w:rPr>
              <w:t>5</w:t>
            </w:r>
          </w:p>
          <w:p w14:paraId="6E239CFF" w14:textId="7BB9776B" w:rsidR="005666C0" w:rsidRPr="00D948C1" w:rsidRDefault="005666C0" w:rsidP="005666C0">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54B63E7E" w14:textId="48511347" w:rsidR="005666C0" w:rsidRPr="00D948C1" w:rsidRDefault="005666C0" w:rsidP="005666C0">
            <w:pPr>
              <w:jc w:val="right"/>
              <w:rPr>
                <w:color w:val="FFFFFF" w:themeColor="background1"/>
                <w:szCs w:val="24"/>
              </w:rPr>
            </w:pPr>
            <w:r w:rsidRPr="00D948C1">
              <w:rPr>
                <w:color w:val="FFFFFF" w:themeColor="background1"/>
                <w:szCs w:val="24"/>
              </w:rPr>
              <w:t xml:space="preserve">Balance </w:t>
            </w:r>
            <w:proofErr w:type="gramStart"/>
            <w:r w:rsidRPr="00D948C1">
              <w:rPr>
                <w:color w:val="FFFFFF" w:themeColor="background1"/>
                <w:szCs w:val="24"/>
              </w:rPr>
              <w:t>at</w:t>
            </w:r>
            <w:proofErr w:type="gramEnd"/>
            <w:r w:rsidRPr="00D948C1">
              <w:rPr>
                <w:color w:val="FFFFFF" w:themeColor="background1"/>
                <w:szCs w:val="24"/>
              </w:rPr>
              <w:t xml:space="preserve"> 31 March 202</w:t>
            </w:r>
            <w:r>
              <w:rPr>
                <w:color w:val="FFFFFF" w:themeColor="background1"/>
                <w:szCs w:val="24"/>
              </w:rPr>
              <w:t>5</w:t>
            </w:r>
          </w:p>
          <w:p w14:paraId="674ACC95" w14:textId="30B3E72C" w:rsidR="005666C0"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6DECA476" w14:textId="77777777" w:rsidTr="00611673">
        <w:tc>
          <w:tcPr>
            <w:tcW w:w="3294" w:type="dxa"/>
          </w:tcPr>
          <w:p w14:paraId="60CD808B" w14:textId="77777777" w:rsidR="005666C0" w:rsidRPr="00D948C1" w:rsidRDefault="005666C0" w:rsidP="005666C0">
            <w:pPr>
              <w:rPr>
                <w:szCs w:val="24"/>
              </w:rPr>
            </w:pPr>
            <w:r w:rsidRPr="00D948C1">
              <w:rPr>
                <w:szCs w:val="24"/>
              </w:rPr>
              <w:t>General fund</w:t>
            </w:r>
          </w:p>
        </w:tc>
        <w:tc>
          <w:tcPr>
            <w:tcW w:w="1701" w:type="dxa"/>
            <w:vAlign w:val="center"/>
          </w:tcPr>
          <w:p w14:paraId="46C9323B" w14:textId="1C8A3A70" w:rsidR="005666C0" w:rsidRPr="00DF39E9" w:rsidRDefault="005666C0" w:rsidP="005666C0">
            <w:pPr>
              <w:tabs>
                <w:tab w:val="decimal" w:pos="884"/>
              </w:tabs>
              <w:jc w:val="right"/>
              <w:rPr>
                <w:szCs w:val="24"/>
              </w:rPr>
            </w:pPr>
            <w:r w:rsidRPr="00DF39E9">
              <w:rPr>
                <w:szCs w:val="24"/>
              </w:rPr>
              <w:t>(4,887)</w:t>
            </w:r>
          </w:p>
        </w:tc>
        <w:tc>
          <w:tcPr>
            <w:tcW w:w="1701" w:type="dxa"/>
            <w:vAlign w:val="center"/>
          </w:tcPr>
          <w:p w14:paraId="2F98E431" w14:textId="1419E9F0" w:rsidR="005666C0" w:rsidRPr="00DF39E9" w:rsidRDefault="005666C0" w:rsidP="005666C0">
            <w:pPr>
              <w:tabs>
                <w:tab w:val="decimal" w:pos="884"/>
              </w:tabs>
              <w:jc w:val="right"/>
              <w:rPr>
                <w:szCs w:val="24"/>
              </w:rPr>
            </w:pPr>
            <w:r w:rsidRPr="00DF39E9">
              <w:rPr>
                <w:szCs w:val="24"/>
              </w:rPr>
              <w:t>(995)</w:t>
            </w:r>
          </w:p>
        </w:tc>
        <w:tc>
          <w:tcPr>
            <w:tcW w:w="1701" w:type="dxa"/>
            <w:vAlign w:val="center"/>
          </w:tcPr>
          <w:p w14:paraId="1776EEB7" w14:textId="75110291" w:rsidR="005666C0" w:rsidRPr="00DF39E9" w:rsidRDefault="005666C0" w:rsidP="005666C0">
            <w:pPr>
              <w:tabs>
                <w:tab w:val="decimal" w:pos="884"/>
              </w:tabs>
              <w:jc w:val="right"/>
              <w:rPr>
                <w:szCs w:val="24"/>
              </w:rPr>
            </w:pPr>
            <w:r w:rsidRPr="00DF39E9">
              <w:rPr>
                <w:szCs w:val="24"/>
              </w:rPr>
              <w:t>220</w:t>
            </w:r>
          </w:p>
        </w:tc>
        <w:tc>
          <w:tcPr>
            <w:tcW w:w="1701" w:type="dxa"/>
            <w:vAlign w:val="center"/>
          </w:tcPr>
          <w:p w14:paraId="48B09DD3" w14:textId="289C5EDA" w:rsidR="005666C0" w:rsidRPr="00DF39E9" w:rsidRDefault="005666C0" w:rsidP="005666C0">
            <w:pPr>
              <w:tabs>
                <w:tab w:val="decimal" w:pos="884"/>
              </w:tabs>
              <w:jc w:val="right"/>
              <w:rPr>
                <w:szCs w:val="24"/>
              </w:rPr>
            </w:pPr>
            <w:r w:rsidRPr="00DF39E9">
              <w:rPr>
                <w:szCs w:val="24"/>
              </w:rPr>
              <w:t>(5,662)</w:t>
            </w:r>
          </w:p>
        </w:tc>
        <w:tc>
          <w:tcPr>
            <w:tcW w:w="1701" w:type="dxa"/>
            <w:vAlign w:val="center"/>
          </w:tcPr>
          <w:p w14:paraId="3AA37C19" w14:textId="640C8132" w:rsidR="005666C0" w:rsidRPr="00294859" w:rsidRDefault="003642F8" w:rsidP="005666C0">
            <w:pPr>
              <w:tabs>
                <w:tab w:val="decimal" w:pos="884"/>
              </w:tabs>
              <w:jc w:val="right"/>
              <w:rPr>
                <w:szCs w:val="24"/>
              </w:rPr>
            </w:pPr>
            <w:r w:rsidRPr="00294859">
              <w:rPr>
                <w:szCs w:val="24"/>
              </w:rPr>
              <w:t>(902)</w:t>
            </w:r>
          </w:p>
        </w:tc>
        <w:tc>
          <w:tcPr>
            <w:tcW w:w="1701" w:type="dxa"/>
            <w:vAlign w:val="center"/>
          </w:tcPr>
          <w:p w14:paraId="2CDC99C2" w14:textId="200DAC30" w:rsidR="005666C0" w:rsidRPr="00294859" w:rsidRDefault="00C51786" w:rsidP="005666C0">
            <w:pPr>
              <w:tabs>
                <w:tab w:val="decimal" w:pos="884"/>
              </w:tabs>
              <w:jc w:val="right"/>
              <w:rPr>
                <w:szCs w:val="24"/>
              </w:rPr>
            </w:pPr>
            <w:r w:rsidRPr="00294859">
              <w:rPr>
                <w:szCs w:val="24"/>
              </w:rPr>
              <w:t>-</w:t>
            </w:r>
          </w:p>
        </w:tc>
        <w:tc>
          <w:tcPr>
            <w:tcW w:w="1701" w:type="dxa"/>
            <w:vAlign w:val="center"/>
          </w:tcPr>
          <w:p w14:paraId="260376AD" w14:textId="3FBD0F35" w:rsidR="005666C0" w:rsidRPr="00294859" w:rsidRDefault="00C51786" w:rsidP="005666C0">
            <w:pPr>
              <w:tabs>
                <w:tab w:val="decimal" w:pos="884"/>
              </w:tabs>
              <w:jc w:val="right"/>
              <w:rPr>
                <w:szCs w:val="24"/>
              </w:rPr>
            </w:pPr>
            <w:r w:rsidRPr="00294859">
              <w:rPr>
                <w:szCs w:val="24"/>
              </w:rPr>
              <w:t>(6,564)</w:t>
            </w:r>
          </w:p>
        </w:tc>
      </w:tr>
      <w:tr w:rsidR="005666C0" w:rsidRPr="00D948C1" w14:paraId="7761974B" w14:textId="77777777" w:rsidTr="00611673">
        <w:tc>
          <w:tcPr>
            <w:tcW w:w="3294" w:type="dxa"/>
          </w:tcPr>
          <w:p w14:paraId="4E48C1CE" w14:textId="77777777" w:rsidR="005666C0" w:rsidRPr="00D948C1" w:rsidRDefault="005666C0" w:rsidP="005666C0">
            <w:pPr>
              <w:rPr>
                <w:szCs w:val="24"/>
              </w:rPr>
            </w:pPr>
            <w:r w:rsidRPr="00D948C1">
              <w:rPr>
                <w:szCs w:val="24"/>
              </w:rPr>
              <w:t>Earmarked Reserves</w:t>
            </w:r>
          </w:p>
        </w:tc>
        <w:tc>
          <w:tcPr>
            <w:tcW w:w="1701" w:type="dxa"/>
            <w:vAlign w:val="center"/>
          </w:tcPr>
          <w:p w14:paraId="221AD4DC" w14:textId="341D2635" w:rsidR="005666C0" w:rsidRPr="00DF39E9" w:rsidRDefault="005666C0" w:rsidP="005666C0">
            <w:pPr>
              <w:tabs>
                <w:tab w:val="decimal" w:pos="884"/>
              </w:tabs>
              <w:jc w:val="right"/>
              <w:rPr>
                <w:szCs w:val="24"/>
              </w:rPr>
            </w:pPr>
            <w:r w:rsidRPr="00DF39E9">
              <w:rPr>
                <w:szCs w:val="24"/>
              </w:rPr>
              <w:t>(</w:t>
            </w:r>
            <w:r w:rsidR="00A71DE6">
              <w:rPr>
                <w:szCs w:val="24"/>
              </w:rPr>
              <w:t>24</w:t>
            </w:r>
            <w:r w:rsidRPr="00DF39E9">
              <w:rPr>
                <w:szCs w:val="24"/>
              </w:rPr>
              <w:t>,</w:t>
            </w:r>
            <w:r w:rsidR="00A71DE6">
              <w:rPr>
                <w:szCs w:val="24"/>
              </w:rPr>
              <w:t>445</w:t>
            </w:r>
            <w:r w:rsidRPr="00DF39E9">
              <w:rPr>
                <w:szCs w:val="24"/>
              </w:rPr>
              <w:t>)</w:t>
            </w:r>
          </w:p>
        </w:tc>
        <w:tc>
          <w:tcPr>
            <w:tcW w:w="1701" w:type="dxa"/>
            <w:vAlign w:val="center"/>
          </w:tcPr>
          <w:p w14:paraId="07C2DE87" w14:textId="6C3DEE38" w:rsidR="005666C0" w:rsidRPr="00DF39E9" w:rsidRDefault="005666C0" w:rsidP="005666C0">
            <w:pPr>
              <w:tabs>
                <w:tab w:val="decimal" w:pos="884"/>
              </w:tabs>
              <w:jc w:val="right"/>
              <w:rPr>
                <w:szCs w:val="24"/>
              </w:rPr>
            </w:pPr>
            <w:r w:rsidRPr="00DF39E9">
              <w:rPr>
                <w:szCs w:val="24"/>
              </w:rPr>
              <w:t>(</w:t>
            </w:r>
            <w:r w:rsidR="00A71DE6">
              <w:rPr>
                <w:szCs w:val="24"/>
              </w:rPr>
              <w:t>5</w:t>
            </w:r>
            <w:r w:rsidRPr="00DF39E9">
              <w:rPr>
                <w:szCs w:val="24"/>
              </w:rPr>
              <w:t>,</w:t>
            </w:r>
            <w:r w:rsidR="00A71DE6">
              <w:rPr>
                <w:szCs w:val="24"/>
              </w:rPr>
              <w:t>194</w:t>
            </w:r>
            <w:r w:rsidRPr="00DF39E9">
              <w:rPr>
                <w:szCs w:val="24"/>
              </w:rPr>
              <w:t>)</w:t>
            </w:r>
          </w:p>
        </w:tc>
        <w:tc>
          <w:tcPr>
            <w:tcW w:w="1701" w:type="dxa"/>
            <w:vAlign w:val="center"/>
          </w:tcPr>
          <w:p w14:paraId="700F9278" w14:textId="336EABFD" w:rsidR="005666C0" w:rsidRPr="00DF39E9" w:rsidRDefault="00A71DE6" w:rsidP="005666C0">
            <w:pPr>
              <w:tabs>
                <w:tab w:val="decimal" w:pos="884"/>
              </w:tabs>
              <w:jc w:val="right"/>
              <w:rPr>
                <w:szCs w:val="24"/>
              </w:rPr>
            </w:pPr>
            <w:r>
              <w:rPr>
                <w:szCs w:val="24"/>
              </w:rPr>
              <w:t>6</w:t>
            </w:r>
            <w:r w:rsidR="005666C0" w:rsidRPr="00DF39E9">
              <w:rPr>
                <w:szCs w:val="24"/>
              </w:rPr>
              <w:t>,</w:t>
            </w:r>
            <w:r>
              <w:rPr>
                <w:szCs w:val="24"/>
              </w:rPr>
              <w:t>761</w:t>
            </w:r>
          </w:p>
        </w:tc>
        <w:tc>
          <w:tcPr>
            <w:tcW w:w="1701" w:type="dxa"/>
            <w:vAlign w:val="center"/>
          </w:tcPr>
          <w:p w14:paraId="77CEF38F" w14:textId="11176E00" w:rsidR="005666C0" w:rsidRPr="00DF39E9" w:rsidRDefault="005666C0" w:rsidP="005666C0">
            <w:pPr>
              <w:tabs>
                <w:tab w:val="decimal" w:pos="884"/>
              </w:tabs>
              <w:jc w:val="right"/>
              <w:rPr>
                <w:szCs w:val="24"/>
              </w:rPr>
            </w:pPr>
            <w:r w:rsidRPr="00DF39E9">
              <w:rPr>
                <w:szCs w:val="24"/>
              </w:rPr>
              <w:t>(</w:t>
            </w:r>
            <w:r w:rsidR="00A71DE6">
              <w:rPr>
                <w:szCs w:val="24"/>
              </w:rPr>
              <w:t>22</w:t>
            </w:r>
            <w:r w:rsidRPr="00DF39E9">
              <w:rPr>
                <w:szCs w:val="24"/>
              </w:rPr>
              <w:t>,</w:t>
            </w:r>
            <w:r w:rsidR="00A71DE6">
              <w:rPr>
                <w:szCs w:val="24"/>
              </w:rPr>
              <w:t>878</w:t>
            </w:r>
            <w:r w:rsidRPr="00DF39E9">
              <w:rPr>
                <w:szCs w:val="24"/>
              </w:rPr>
              <w:t>)</w:t>
            </w:r>
          </w:p>
        </w:tc>
        <w:tc>
          <w:tcPr>
            <w:tcW w:w="1701" w:type="dxa"/>
            <w:vAlign w:val="center"/>
          </w:tcPr>
          <w:p w14:paraId="5962B8D2" w14:textId="1C9E6B56" w:rsidR="005666C0" w:rsidRPr="00294859" w:rsidRDefault="00C51786" w:rsidP="005666C0">
            <w:pPr>
              <w:tabs>
                <w:tab w:val="decimal" w:pos="884"/>
              </w:tabs>
              <w:jc w:val="right"/>
              <w:rPr>
                <w:szCs w:val="24"/>
              </w:rPr>
            </w:pPr>
            <w:r w:rsidRPr="00294859">
              <w:rPr>
                <w:szCs w:val="24"/>
              </w:rPr>
              <w:t>(</w:t>
            </w:r>
            <w:r w:rsidR="00A71DE6">
              <w:rPr>
                <w:szCs w:val="24"/>
              </w:rPr>
              <w:t>5</w:t>
            </w:r>
            <w:r w:rsidRPr="00294859">
              <w:rPr>
                <w:szCs w:val="24"/>
              </w:rPr>
              <w:t>,49</w:t>
            </w:r>
            <w:r w:rsidR="00071DAD" w:rsidRPr="00456BDD">
              <w:rPr>
                <w:szCs w:val="24"/>
              </w:rPr>
              <w:t>4</w:t>
            </w:r>
            <w:r w:rsidRPr="00B87C7E">
              <w:rPr>
                <w:szCs w:val="24"/>
              </w:rPr>
              <w:t>)</w:t>
            </w:r>
          </w:p>
        </w:tc>
        <w:tc>
          <w:tcPr>
            <w:tcW w:w="1701" w:type="dxa"/>
            <w:vAlign w:val="center"/>
          </w:tcPr>
          <w:p w14:paraId="3B594481" w14:textId="475D388D" w:rsidR="005666C0" w:rsidRPr="00294859" w:rsidRDefault="008277F8" w:rsidP="005666C0">
            <w:pPr>
              <w:tabs>
                <w:tab w:val="decimal" w:pos="884"/>
              </w:tabs>
              <w:jc w:val="right"/>
              <w:rPr>
                <w:szCs w:val="24"/>
              </w:rPr>
            </w:pPr>
            <w:r>
              <w:rPr>
                <w:szCs w:val="24"/>
              </w:rPr>
              <w:t>4,650</w:t>
            </w:r>
          </w:p>
        </w:tc>
        <w:tc>
          <w:tcPr>
            <w:tcW w:w="1701" w:type="dxa"/>
            <w:vAlign w:val="center"/>
          </w:tcPr>
          <w:p w14:paraId="6AA5D823" w14:textId="2F330C50" w:rsidR="005666C0" w:rsidRPr="00294859" w:rsidRDefault="00071DAD" w:rsidP="005666C0">
            <w:pPr>
              <w:tabs>
                <w:tab w:val="decimal" w:pos="884"/>
              </w:tabs>
              <w:jc w:val="right"/>
              <w:rPr>
                <w:szCs w:val="24"/>
              </w:rPr>
            </w:pPr>
            <w:r w:rsidRPr="00294859">
              <w:rPr>
                <w:szCs w:val="24"/>
              </w:rPr>
              <w:t>(</w:t>
            </w:r>
            <w:r w:rsidR="008277F8">
              <w:rPr>
                <w:szCs w:val="24"/>
              </w:rPr>
              <w:t>23</w:t>
            </w:r>
            <w:r w:rsidRPr="00294859">
              <w:rPr>
                <w:szCs w:val="24"/>
              </w:rPr>
              <w:t>,</w:t>
            </w:r>
            <w:r w:rsidR="008277F8">
              <w:rPr>
                <w:szCs w:val="24"/>
              </w:rPr>
              <w:t>721</w:t>
            </w:r>
            <w:r w:rsidRPr="00294859">
              <w:rPr>
                <w:szCs w:val="24"/>
              </w:rPr>
              <w:t>)</w:t>
            </w:r>
          </w:p>
        </w:tc>
      </w:tr>
      <w:tr w:rsidR="005666C0" w:rsidRPr="00D948C1" w14:paraId="22BF20AF" w14:textId="77777777" w:rsidTr="00611673">
        <w:tc>
          <w:tcPr>
            <w:tcW w:w="3294" w:type="dxa"/>
          </w:tcPr>
          <w:p w14:paraId="75F61D9E" w14:textId="77777777" w:rsidR="005666C0" w:rsidRPr="00D948C1" w:rsidRDefault="005666C0" w:rsidP="005666C0">
            <w:pPr>
              <w:rPr>
                <w:szCs w:val="24"/>
              </w:rPr>
            </w:pPr>
            <w:r w:rsidRPr="00D948C1">
              <w:rPr>
                <w:szCs w:val="24"/>
              </w:rPr>
              <w:t>PFI Equalisation Reserves</w:t>
            </w:r>
          </w:p>
        </w:tc>
        <w:tc>
          <w:tcPr>
            <w:tcW w:w="1701" w:type="dxa"/>
            <w:vAlign w:val="center"/>
          </w:tcPr>
          <w:p w14:paraId="59E230B2" w14:textId="19441092" w:rsidR="005666C0" w:rsidRPr="00DF39E9" w:rsidRDefault="005666C0" w:rsidP="005666C0">
            <w:pPr>
              <w:tabs>
                <w:tab w:val="decimal" w:pos="884"/>
              </w:tabs>
              <w:jc w:val="right"/>
              <w:rPr>
                <w:szCs w:val="24"/>
              </w:rPr>
            </w:pPr>
            <w:r w:rsidRPr="00DF39E9">
              <w:rPr>
                <w:szCs w:val="24"/>
              </w:rPr>
              <w:t>(5,157)</w:t>
            </w:r>
          </w:p>
        </w:tc>
        <w:tc>
          <w:tcPr>
            <w:tcW w:w="1701" w:type="dxa"/>
            <w:vAlign w:val="center"/>
          </w:tcPr>
          <w:p w14:paraId="3997DFCF" w14:textId="1EA6D09A" w:rsidR="005666C0" w:rsidRPr="00DF39E9" w:rsidRDefault="005666C0" w:rsidP="005666C0">
            <w:pPr>
              <w:tabs>
                <w:tab w:val="decimal" w:pos="884"/>
              </w:tabs>
              <w:jc w:val="right"/>
              <w:rPr>
                <w:szCs w:val="24"/>
              </w:rPr>
            </w:pPr>
            <w:r w:rsidRPr="00DF39E9">
              <w:rPr>
                <w:szCs w:val="24"/>
              </w:rPr>
              <w:t>-</w:t>
            </w:r>
          </w:p>
        </w:tc>
        <w:tc>
          <w:tcPr>
            <w:tcW w:w="1701" w:type="dxa"/>
            <w:vAlign w:val="center"/>
          </w:tcPr>
          <w:p w14:paraId="32FCCDB5" w14:textId="31D31D84" w:rsidR="005666C0" w:rsidRPr="00DF39E9" w:rsidRDefault="005666C0" w:rsidP="005666C0">
            <w:pPr>
              <w:tabs>
                <w:tab w:val="decimal" w:pos="884"/>
              </w:tabs>
              <w:jc w:val="right"/>
              <w:rPr>
                <w:szCs w:val="24"/>
              </w:rPr>
            </w:pPr>
            <w:r w:rsidRPr="00DF39E9">
              <w:rPr>
                <w:szCs w:val="24"/>
              </w:rPr>
              <w:t>-</w:t>
            </w:r>
          </w:p>
        </w:tc>
        <w:tc>
          <w:tcPr>
            <w:tcW w:w="1701" w:type="dxa"/>
            <w:vAlign w:val="center"/>
          </w:tcPr>
          <w:p w14:paraId="03F11FDD" w14:textId="0B2020FB" w:rsidR="005666C0" w:rsidRPr="00DF39E9" w:rsidRDefault="005666C0" w:rsidP="005666C0">
            <w:pPr>
              <w:tabs>
                <w:tab w:val="decimal" w:pos="884"/>
              </w:tabs>
              <w:jc w:val="right"/>
              <w:rPr>
                <w:szCs w:val="24"/>
              </w:rPr>
            </w:pPr>
            <w:r w:rsidRPr="00DF39E9">
              <w:rPr>
                <w:szCs w:val="24"/>
              </w:rPr>
              <w:t>(5,157)</w:t>
            </w:r>
          </w:p>
        </w:tc>
        <w:tc>
          <w:tcPr>
            <w:tcW w:w="1701" w:type="dxa"/>
            <w:vAlign w:val="center"/>
          </w:tcPr>
          <w:p w14:paraId="546016B5" w14:textId="5C2E8B15" w:rsidR="005666C0" w:rsidRPr="00294859" w:rsidRDefault="00DB0586" w:rsidP="005666C0">
            <w:pPr>
              <w:tabs>
                <w:tab w:val="decimal" w:pos="884"/>
              </w:tabs>
              <w:jc w:val="right"/>
              <w:rPr>
                <w:szCs w:val="24"/>
              </w:rPr>
            </w:pPr>
            <w:r w:rsidRPr="00294859">
              <w:rPr>
                <w:szCs w:val="24"/>
              </w:rPr>
              <w:t>(255)</w:t>
            </w:r>
          </w:p>
        </w:tc>
        <w:tc>
          <w:tcPr>
            <w:tcW w:w="1701" w:type="dxa"/>
            <w:vAlign w:val="center"/>
          </w:tcPr>
          <w:p w14:paraId="05540B27" w14:textId="11AB19C7" w:rsidR="005666C0" w:rsidRPr="00294859" w:rsidRDefault="00DB0586" w:rsidP="005666C0">
            <w:pPr>
              <w:tabs>
                <w:tab w:val="decimal" w:pos="884"/>
              </w:tabs>
              <w:jc w:val="right"/>
              <w:rPr>
                <w:szCs w:val="24"/>
              </w:rPr>
            </w:pPr>
            <w:r w:rsidRPr="00294859">
              <w:rPr>
                <w:szCs w:val="24"/>
              </w:rPr>
              <w:t>121</w:t>
            </w:r>
          </w:p>
        </w:tc>
        <w:tc>
          <w:tcPr>
            <w:tcW w:w="1701" w:type="dxa"/>
            <w:vAlign w:val="center"/>
          </w:tcPr>
          <w:p w14:paraId="043C9224" w14:textId="1C41C4FA" w:rsidR="005666C0" w:rsidRPr="00294859" w:rsidRDefault="00DB0586" w:rsidP="005666C0">
            <w:pPr>
              <w:tabs>
                <w:tab w:val="decimal" w:pos="884"/>
              </w:tabs>
              <w:jc w:val="right"/>
              <w:rPr>
                <w:szCs w:val="24"/>
              </w:rPr>
            </w:pPr>
            <w:r w:rsidRPr="00294859">
              <w:rPr>
                <w:szCs w:val="24"/>
              </w:rPr>
              <w:t>(5,291)</w:t>
            </w:r>
          </w:p>
        </w:tc>
      </w:tr>
      <w:tr w:rsidR="005666C0" w:rsidRPr="00D948C1" w14:paraId="42FD74F7" w14:textId="77777777" w:rsidTr="00611673">
        <w:tc>
          <w:tcPr>
            <w:tcW w:w="3294" w:type="dxa"/>
          </w:tcPr>
          <w:p w14:paraId="1955967E" w14:textId="77777777" w:rsidR="005666C0" w:rsidRPr="00D948C1" w:rsidRDefault="005666C0" w:rsidP="005666C0">
            <w:pPr>
              <w:rPr>
                <w:szCs w:val="24"/>
              </w:rPr>
            </w:pPr>
            <w:r w:rsidRPr="00D948C1">
              <w:rPr>
                <w:szCs w:val="24"/>
              </w:rPr>
              <w:t>Total Earmarked Reserves</w:t>
            </w:r>
          </w:p>
        </w:tc>
        <w:tc>
          <w:tcPr>
            <w:tcW w:w="1701" w:type="dxa"/>
            <w:vAlign w:val="center"/>
          </w:tcPr>
          <w:p w14:paraId="277E034E" w14:textId="52C71DF7" w:rsidR="005666C0" w:rsidRPr="00DF39E9" w:rsidRDefault="005666C0" w:rsidP="005666C0">
            <w:pPr>
              <w:tabs>
                <w:tab w:val="decimal" w:pos="884"/>
              </w:tabs>
              <w:jc w:val="right"/>
              <w:rPr>
                <w:szCs w:val="24"/>
              </w:rPr>
            </w:pPr>
            <w:r w:rsidRPr="00DF39E9">
              <w:rPr>
                <w:szCs w:val="24"/>
              </w:rPr>
              <w:t>(</w:t>
            </w:r>
            <w:r w:rsidR="005B4688">
              <w:rPr>
                <w:szCs w:val="24"/>
              </w:rPr>
              <w:t>2</w:t>
            </w:r>
            <w:r w:rsidRPr="00DF39E9">
              <w:rPr>
                <w:szCs w:val="24"/>
              </w:rPr>
              <w:t>9,</w:t>
            </w:r>
            <w:r w:rsidR="005B4688">
              <w:rPr>
                <w:szCs w:val="24"/>
              </w:rPr>
              <w:t>60</w:t>
            </w:r>
            <w:r w:rsidRPr="00DF39E9">
              <w:rPr>
                <w:szCs w:val="24"/>
              </w:rPr>
              <w:t>2)</w:t>
            </w:r>
          </w:p>
        </w:tc>
        <w:tc>
          <w:tcPr>
            <w:tcW w:w="1701" w:type="dxa"/>
            <w:vAlign w:val="center"/>
          </w:tcPr>
          <w:p w14:paraId="5E36B1CE" w14:textId="3A8DF6CE" w:rsidR="005666C0" w:rsidRPr="00DF39E9" w:rsidRDefault="005666C0" w:rsidP="005666C0">
            <w:pPr>
              <w:tabs>
                <w:tab w:val="decimal" w:pos="884"/>
              </w:tabs>
              <w:jc w:val="right"/>
              <w:rPr>
                <w:szCs w:val="24"/>
              </w:rPr>
            </w:pPr>
            <w:r w:rsidRPr="00DF39E9">
              <w:rPr>
                <w:szCs w:val="24"/>
              </w:rPr>
              <w:t>(</w:t>
            </w:r>
            <w:r w:rsidR="007E3B8D">
              <w:rPr>
                <w:szCs w:val="24"/>
              </w:rPr>
              <w:t>5</w:t>
            </w:r>
            <w:r w:rsidRPr="00DF39E9">
              <w:rPr>
                <w:szCs w:val="24"/>
              </w:rPr>
              <w:t>,</w:t>
            </w:r>
            <w:r w:rsidR="007E3B8D">
              <w:rPr>
                <w:szCs w:val="24"/>
              </w:rPr>
              <w:t>194</w:t>
            </w:r>
            <w:r w:rsidRPr="00DF39E9">
              <w:rPr>
                <w:szCs w:val="24"/>
              </w:rPr>
              <w:t>)</w:t>
            </w:r>
          </w:p>
        </w:tc>
        <w:tc>
          <w:tcPr>
            <w:tcW w:w="1701" w:type="dxa"/>
            <w:vAlign w:val="center"/>
          </w:tcPr>
          <w:p w14:paraId="5FBFF1FA" w14:textId="7992E808" w:rsidR="005666C0" w:rsidRPr="00DF39E9" w:rsidRDefault="007E3B8D" w:rsidP="005666C0">
            <w:pPr>
              <w:tabs>
                <w:tab w:val="decimal" w:pos="884"/>
              </w:tabs>
              <w:jc w:val="right"/>
              <w:rPr>
                <w:szCs w:val="24"/>
              </w:rPr>
            </w:pPr>
            <w:r>
              <w:rPr>
                <w:szCs w:val="24"/>
              </w:rPr>
              <w:t>6</w:t>
            </w:r>
            <w:r w:rsidR="005666C0" w:rsidRPr="00DF39E9">
              <w:rPr>
                <w:szCs w:val="24"/>
              </w:rPr>
              <w:t>,</w:t>
            </w:r>
            <w:r>
              <w:rPr>
                <w:szCs w:val="24"/>
              </w:rPr>
              <w:t>761</w:t>
            </w:r>
          </w:p>
        </w:tc>
        <w:tc>
          <w:tcPr>
            <w:tcW w:w="1701" w:type="dxa"/>
            <w:vAlign w:val="center"/>
          </w:tcPr>
          <w:p w14:paraId="261C6C00" w14:textId="2CDA79D7" w:rsidR="005666C0" w:rsidRPr="00DF39E9" w:rsidRDefault="005666C0" w:rsidP="005666C0">
            <w:pPr>
              <w:tabs>
                <w:tab w:val="decimal" w:pos="884"/>
              </w:tabs>
              <w:jc w:val="right"/>
              <w:rPr>
                <w:szCs w:val="24"/>
              </w:rPr>
            </w:pPr>
            <w:r w:rsidRPr="00DF39E9">
              <w:rPr>
                <w:szCs w:val="24"/>
              </w:rPr>
              <w:t>(</w:t>
            </w:r>
            <w:r w:rsidR="00036A71">
              <w:rPr>
                <w:szCs w:val="24"/>
              </w:rPr>
              <w:t>2</w:t>
            </w:r>
            <w:r w:rsidRPr="00DF39E9">
              <w:rPr>
                <w:szCs w:val="24"/>
              </w:rPr>
              <w:t>8,</w:t>
            </w:r>
            <w:r w:rsidR="00036A71">
              <w:rPr>
                <w:szCs w:val="24"/>
              </w:rPr>
              <w:t>034</w:t>
            </w:r>
            <w:r w:rsidRPr="00DF39E9">
              <w:rPr>
                <w:szCs w:val="24"/>
              </w:rPr>
              <w:t>)</w:t>
            </w:r>
          </w:p>
        </w:tc>
        <w:tc>
          <w:tcPr>
            <w:tcW w:w="1701" w:type="dxa"/>
            <w:vAlign w:val="center"/>
          </w:tcPr>
          <w:p w14:paraId="2B67F9D1" w14:textId="405CFC40" w:rsidR="005666C0" w:rsidRPr="00294859" w:rsidRDefault="00421E02" w:rsidP="005666C0">
            <w:pPr>
              <w:tabs>
                <w:tab w:val="decimal" w:pos="884"/>
              </w:tabs>
              <w:jc w:val="right"/>
              <w:rPr>
                <w:szCs w:val="24"/>
              </w:rPr>
            </w:pPr>
            <w:r w:rsidRPr="00294859">
              <w:rPr>
                <w:szCs w:val="24"/>
              </w:rPr>
              <w:t>(</w:t>
            </w:r>
            <w:r w:rsidR="009400C2">
              <w:rPr>
                <w:szCs w:val="24"/>
              </w:rPr>
              <w:t>5</w:t>
            </w:r>
            <w:r w:rsidRPr="00294859">
              <w:rPr>
                <w:szCs w:val="24"/>
              </w:rPr>
              <w:t>,749)</w:t>
            </w:r>
          </w:p>
        </w:tc>
        <w:tc>
          <w:tcPr>
            <w:tcW w:w="1701" w:type="dxa"/>
            <w:vAlign w:val="center"/>
          </w:tcPr>
          <w:p w14:paraId="4EE79B25" w14:textId="03764B1D" w:rsidR="005666C0" w:rsidRPr="00294859" w:rsidRDefault="004E701B" w:rsidP="005666C0">
            <w:pPr>
              <w:tabs>
                <w:tab w:val="decimal" w:pos="884"/>
              </w:tabs>
              <w:jc w:val="right"/>
              <w:rPr>
                <w:szCs w:val="24"/>
              </w:rPr>
            </w:pPr>
            <w:r>
              <w:rPr>
                <w:szCs w:val="24"/>
              </w:rPr>
              <w:t>4,77</w:t>
            </w:r>
            <w:r w:rsidR="00E93CB4">
              <w:rPr>
                <w:szCs w:val="24"/>
              </w:rPr>
              <w:t>2</w:t>
            </w:r>
          </w:p>
        </w:tc>
        <w:tc>
          <w:tcPr>
            <w:tcW w:w="1701" w:type="dxa"/>
            <w:vAlign w:val="center"/>
          </w:tcPr>
          <w:p w14:paraId="2637BA94" w14:textId="6DD662E6" w:rsidR="005666C0" w:rsidRPr="00294859" w:rsidRDefault="00421E02" w:rsidP="005666C0">
            <w:pPr>
              <w:tabs>
                <w:tab w:val="decimal" w:pos="884"/>
              </w:tabs>
              <w:jc w:val="right"/>
              <w:rPr>
                <w:szCs w:val="24"/>
              </w:rPr>
            </w:pPr>
            <w:r w:rsidRPr="00294859">
              <w:rPr>
                <w:szCs w:val="24"/>
              </w:rPr>
              <w:t>(</w:t>
            </w:r>
            <w:r w:rsidR="00AF1337">
              <w:rPr>
                <w:szCs w:val="24"/>
              </w:rPr>
              <w:t>29</w:t>
            </w:r>
            <w:r w:rsidRPr="00294859">
              <w:rPr>
                <w:szCs w:val="24"/>
              </w:rPr>
              <w:t>,</w:t>
            </w:r>
            <w:r w:rsidR="00AF1337">
              <w:rPr>
                <w:szCs w:val="24"/>
              </w:rPr>
              <w:t>012</w:t>
            </w:r>
            <w:r w:rsidRPr="00294859">
              <w:rPr>
                <w:szCs w:val="24"/>
              </w:rPr>
              <w:t>)</w:t>
            </w:r>
          </w:p>
        </w:tc>
      </w:tr>
      <w:tr w:rsidR="005666C0" w:rsidRPr="00D948C1" w14:paraId="405F2482" w14:textId="77777777" w:rsidTr="00611673">
        <w:tc>
          <w:tcPr>
            <w:tcW w:w="3294" w:type="dxa"/>
          </w:tcPr>
          <w:p w14:paraId="1EA3789A" w14:textId="77777777" w:rsidR="005666C0" w:rsidRPr="00D948C1" w:rsidRDefault="005666C0" w:rsidP="005666C0">
            <w:pPr>
              <w:rPr>
                <w:szCs w:val="24"/>
              </w:rPr>
            </w:pPr>
            <w:r w:rsidRPr="00D948C1">
              <w:rPr>
                <w:szCs w:val="24"/>
              </w:rPr>
              <w:t>Capital grants unapplied</w:t>
            </w:r>
          </w:p>
        </w:tc>
        <w:tc>
          <w:tcPr>
            <w:tcW w:w="1701" w:type="dxa"/>
            <w:vAlign w:val="center"/>
          </w:tcPr>
          <w:p w14:paraId="109C959C" w14:textId="5B9CDB4C" w:rsidR="005666C0" w:rsidRPr="00DF39E9" w:rsidRDefault="005666C0" w:rsidP="005666C0">
            <w:pPr>
              <w:tabs>
                <w:tab w:val="decimal" w:pos="884"/>
              </w:tabs>
              <w:jc w:val="right"/>
              <w:rPr>
                <w:szCs w:val="24"/>
              </w:rPr>
            </w:pPr>
            <w:r w:rsidRPr="00DF39E9">
              <w:rPr>
                <w:szCs w:val="24"/>
              </w:rPr>
              <w:t>(27)</w:t>
            </w:r>
          </w:p>
        </w:tc>
        <w:tc>
          <w:tcPr>
            <w:tcW w:w="1701" w:type="dxa"/>
            <w:vAlign w:val="center"/>
          </w:tcPr>
          <w:p w14:paraId="2525AFAB" w14:textId="3123D7A9" w:rsidR="005666C0" w:rsidRPr="00DF39E9" w:rsidRDefault="005666C0" w:rsidP="005666C0">
            <w:pPr>
              <w:tabs>
                <w:tab w:val="decimal" w:pos="884"/>
              </w:tabs>
              <w:jc w:val="right"/>
              <w:rPr>
                <w:szCs w:val="24"/>
              </w:rPr>
            </w:pPr>
            <w:r w:rsidRPr="00DF39E9">
              <w:rPr>
                <w:szCs w:val="24"/>
              </w:rPr>
              <w:t>-</w:t>
            </w:r>
          </w:p>
        </w:tc>
        <w:tc>
          <w:tcPr>
            <w:tcW w:w="1701" w:type="dxa"/>
            <w:vAlign w:val="center"/>
          </w:tcPr>
          <w:p w14:paraId="3B0DB4FF" w14:textId="1461AFEA" w:rsidR="005666C0" w:rsidRPr="00DF39E9" w:rsidRDefault="005666C0" w:rsidP="005666C0">
            <w:pPr>
              <w:tabs>
                <w:tab w:val="decimal" w:pos="884"/>
              </w:tabs>
              <w:jc w:val="right"/>
              <w:rPr>
                <w:szCs w:val="24"/>
              </w:rPr>
            </w:pPr>
            <w:r w:rsidRPr="00DF39E9">
              <w:rPr>
                <w:szCs w:val="24"/>
              </w:rPr>
              <w:t>27</w:t>
            </w:r>
          </w:p>
        </w:tc>
        <w:tc>
          <w:tcPr>
            <w:tcW w:w="1701" w:type="dxa"/>
            <w:vAlign w:val="center"/>
          </w:tcPr>
          <w:p w14:paraId="5A308CCA" w14:textId="02A662A7" w:rsidR="005666C0" w:rsidRPr="00DF39E9" w:rsidRDefault="005666C0" w:rsidP="005666C0">
            <w:pPr>
              <w:tabs>
                <w:tab w:val="decimal" w:pos="884"/>
              </w:tabs>
              <w:jc w:val="right"/>
              <w:rPr>
                <w:szCs w:val="24"/>
              </w:rPr>
            </w:pPr>
            <w:r w:rsidRPr="00DF39E9">
              <w:rPr>
                <w:szCs w:val="24"/>
              </w:rPr>
              <w:t>-</w:t>
            </w:r>
          </w:p>
        </w:tc>
        <w:tc>
          <w:tcPr>
            <w:tcW w:w="1701" w:type="dxa"/>
            <w:vAlign w:val="center"/>
          </w:tcPr>
          <w:p w14:paraId="13961620" w14:textId="3FA4B424" w:rsidR="005666C0" w:rsidRPr="00294859" w:rsidRDefault="00421E02" w:rsidP="005666C0">
            <w:pPr>
              <w:tabs>
                <w:tab w:val="decimal" w:pos="884"/>
              </w:tabs>
              <w:jc w:val="right"/>
              <w:rPr>
                <w:szCs w:val="24"/>
              </w:rPr>
            </w:pPr>
            <w:r w:rsidRPr="00294859">
              <w:rPr>
                <w:szCs w:val="24"/>
              </w:rPr>
              <w:t>-</w:t>
            </w:r>
          </w:p>
        </w:tc>
        <w:tc>
          <w:tcPr>
            <w:tcW w:w="1701" w:type="dxa"/>
            <w:vAlign w:val="center"/>
          </w:tcPr>
          <w:p w14:paraId="7FDB7CF3" w14:textId="2C9FACA9" w:rsidR="005666C0" w:rsidRPr="00294859" w:rsidRDefault="00421E02" w:rsidP="005666C0">
            <w:pPr>
              <w:tabs>
                <w:tab w:val="decimal" w:pos="884"/>
              </w:tabs>
              <w:jc w:val="right"/>
              <w:rPr>
                <w:szCs w:val="24"/>
              </w:rPr>
            </w:pPr>
            <w:r w:rsidRPr="00294859">
              <w:rPr>
                <w:szCs w:val="24"/>
              </w:rPr>
              <w:t>-</w:t>
            </w:r>
          </w:p>
        </w:tc>
        <w:tc>
          <w:tcPr>
            <w:tcW w:w="1701" w:type="dxa"/>
            <w:vAlign w:val="center"/>
          </w:tcPr>
          <w:p w14:paraId="22556061" w14:textId="04AF923C" w:rsidR="005666C0" w:rsidRPr="00294859" w:rsidRDefault="00421E02" w:rsidP="005666C0">
            <w:pPr>
              <w:tabs>
                <w:tab w:val="decimal" w:pos="884"/>
              </w:tabs>
              <w:jc w:val="right"/>
              <w:rPr>
                <w:szCs w:val="24"/>
              </w:rPr>
            </w:pPr>
            <w:r w:rsidRPr="00294859">
              <w:rPr>
                <w:szCs w:val="24"/>
              </w:rPr>
              <w:t>-</w:t>
            </w:r>
          </w:p>
        </w:tc>
      </w:tr>
      <w:tr w:rsidR="005666C0" w:rsidRPr="00D948C1" w14:paraId="5F0C74C2" w14:textId="77777777" w:rsidTr="00611673">
        <w:tc>
          <w:tcPr>
            <w:tcW w:w="3294" w:type="dxa"/>
          </w:tcPr>
          <w:p w14:paraId="1D085CB4" w14:textId="77777777" w:rsidR="005666C0" w:rsidRPr="00D948C1" w:rsidRDefault="005666C0" w:rsidP="005666C0">
            <w:pPr>
              <w:rPr>
                <w:szCs w:val="24"/>
              </w:rPr>
            </w:pPr>
            <w:r w:rsidRPr="00D948C1">
              <w:rPr>
                <w:szCs w:val="24"/>
              </w:rPr>
              <w:t>Usable capital receipts</w:t>
            </w:r>
          </w:p>
        </w:tc>
        <w:tc>
          <w:tcPr>
            <w:tcW w:w="1701" w:type="dxa"/>
            <w:vAlign w:val="center"/>
          </w:tcPr>
          <w:p w14:paraId="7C4D5842" w14:textId="19856AF2" w:rsidR="005666C0" w:rsidRPr="00DF39E9" w:rsidRDefault="005666C0" w:rsidP="005666C0">
            <w:pPr>
              <w:tabs>
                <w:tab w:val="decimal" w:pos="884"/>
              </w:tabs>
              <w:jc w:val="right"/>
              <w:rPr>
                <w:szCs w:val="24"/>
              </w:rPr>
            </w:pPr>
            <w:r w:rsidRPr="00DF39E9">
              <w:rPr>
                <w:szCs w:val="24"/>
              </w:rPr>
              <w:t>(1,692)</w:t>
            </w:r>
          </w:p>
        </w:tc>
        <w:tc>
          <w:tcPr>
            <w:tcW w:w="1701" w:type="dxa"/>
            <w:vAlign w:val="center"/>
          </w:tcPr>
          <w:p w14:paraId="336D1CC5" w14:textId="63E47135" w:rsidR="005666C0" w:rsidRPr="00DF39E9" w:rsidRDefault="005666C0" w:rsidP="005666C0">
            <w:pPr>
              <w:tabs>
                <w:tab w:val="decimal" w:pos="884"/>
              </w:tabs>
              <w:jc w:val="right"/>
              <w:rPr>
                <w:szCs w:val="24"/>
              </w:rPr>
            </w:pPr>
            <w:r w:rsidRPr="00DF39E9">
              <w:rPr>
                <w:szCs w:val="24"/>
              </w:rPr>
              <w:t>(16)</w:t>
            </w:r>
          </w:p>
        </w:tc>
        <w:tc>
          <w:tcPr>
            <w:tcW w:w="1701" w:type="dxa"/>
            <w:vAlign w:val="center"/>
          </w:tcPr>
          <w:p w14:paraId="12BEAB50" w14:textId="702A589E" w:rsidR="005666C0" w:rsidRPr="00DF39E9" w:rsidRDefault="005666C0" w:rsidP="005666C0">
            <w:pPr>
              <w:tabs>
                <w:tab w:val="decimal" w:pos="884"/>
              </w:tabs>
              <w:jc w:val="right"/>
              <w:rPr>
                <w:szCs w:val="24"/>
              </w:rPr>
            </w:pPr>
            <w:r w:rsidRPr="00DF39E9">
              <w:rPr>
                <w:szCs w:val="24"/>
              </w:rPr>
              <w:t>1,637</w:t>
            </w:r>
          </w:p>
        </w:tc>
        <w:tc>
          <w:tcPr>
            <w:tcW w:w="1701" w:type="dxa"/>
            <w:vAlign w:val="center"/>
          </w:tcPr>
          <w:p w14:paraId="31A7CAB7" w14:textId="23968A67" w:rsidR="005666C0" w:rsidRPr="00DF39E9" w:rsidRDefault="005666C0" w:rsidP="005666C0">
            <w:pPr>
              <w:tabs>
                <w:tab w:val="decimal" w:pos="884"/>
              </w:tabs>
              <w:jc w:val="right"/>
              <w:rPr>
                <w:szCs w:val="24"/>
              </w:rPr>
            </w:pPr>
            <w:r w:rsidRPr="00DF39E9">
              <w:rPr>
                <w:szCs w:val="24"/>
              </w:rPr>
              <w:t>(71)</w:t>
            </w:r>
          </w:p>
        </w:tc>
        <w:tc>
          <w:tcPr>
            <w:tcW w:w="1701" w:type="dxa"/>
            <w:vAlign w:val="center"/>
          </w:tcPr>
          <w:p w14:paraId="0D189C56" w14:textId="564231D7" w:rsidR="005666C0" w:rsidRPr="00294859" w:rsidRDefault="00421E02" w:rsidP="005666C0">
            <w:pPr>
              <w:tabs>
                <w:tab w:val="decimal" w:pos="884"/>
              </w:tabs>
              <w:jc w:val="right"/>
              <w:rPr>
                <w:szCs w:val="24"/>
              </w:rPr>
            </w:pPr>
            <w:r w:rsidRPr="00294859">
              <w:rPr>
                <w:szCs w:val="24"/>
              </w:rPr>
              <w:t>(123)</w:t>
            </w:r>
          </w:p>
        </w:tc>
        <w:tc>
          <w:tcPr>
            <w:tcW w:w="1701" w:type="dxa"/>
            <w:vAlign w:val="center"/>
          </w:tcPr>
          <w:p w14:paraId="04323828" w14:textId="13725667" w:rsidR="005666C0" w:rsidRPr="00294859" w:rsidRDefault="00421E02" w:rsidP="005666C0">
            <w:pPr>
              <w:tabs>
                <w:tab w:val="decimal" w:pos="884"/>
              </w:tabs>
              <w:jc w:val="right"/>
              <w:rPr>
                <w:szCs w:val="24"/>
              </w:rPr>
            </w:pPr>
            <w:r w:rsidRPr="00294859">
              <w:rPr>
                <w:szCs w:val="24"/>
              </w:rPr>
              <w:t>-</w:t>
            </w:r>
          </w:p>
        </w:tc>
        <w:tc>
          <w:tcPr>
            <w:tcW w:w="1701" w:type="dxa"/>
            <w:vAlign w:val="center"/>
          </w:tcPr>
          <w:p w14:paraId="15A110C1" w14:textId="34F22F63" w:rsidR="005666C0" w:rsidRPr="00294859" w:rsidRDefault="00421E02" w:rsidP="005666C0">
            <w:pPr>
              <w:tabs>
                <w:tab w:val="decimal" w:pos="884"/>
              </w:tabs>
              <w:jc w:val="right"/>
              <w:rPr>
                <w:szCs w:val="24"/>
              </w:rPr>
            </w:pPr>
            <w:r w:rsidRPr="00294859">
              <w:rPr>
                <w:szCs w:val="24"/>
              </w:rPr>
              <w:t>(194)</w:t>
            </w:r>
          </w:p>
        </w:tc>
      </w:tr>
      <w:tr w:rsidR="005666C0" w:rsidRPr="00D948C1" w14:paraId="36ECB758" w14:textId="77777777" w:rsidTr="00611673">
        <w:tc>
          <w:tcPr>
            <w:tcW w:w="3294" w:type="dxa"/>
          </w:tcPr>
          <w:p w14:paraId="0047BC0B" w14:textId="77777777" w:rsidR="005666C0" w:rsidRPr="00D948C1" w:rsidRDefault="005666C0" w:rsidP="005666C0">
            <w:pPr>
              <w:rPr>
                <w:szCs w:val="24"/>
              </w:rPr>
            </w:pPr>
            <w:r w:rsidRPr="00D948C1">
              <w:rPr>
                <w:szCs w:val="24"/>
              </w:rPr>
              <w:t>Total Usable Reserves</w:t>
            </w:r>
          </w:p>
        </w:tc>
        <w:tc>
          <w:tcPr>
            <w:tcW w:w="1701" w:type="dxa"/>
            <w:vAlign w:val="center"/>
          </w:tcPr>
          <w:p w14:paraId="0430D30C" w14:textId="316D1E7A" w:rsidR="005666C0" w:rsidRPr="00DF39E9" w:rsidRDefault="005666C0" w:rsidP="005666C0">
            <w:pPr>
              <w:tabs>
                <w:tab w:val="decimal" w:pos="884"/>
              </w:tabs>
              <w:jc w:val="right"/>
              <w:rPr>
                <w:szCs w:val="24"/>
              </w:rPr>
            </w:pPr>
            <w:r w:rsidRPr="00DF39E9">
              <w:rPr>
                <w:szCs w:val="24"/>
              </w:rPr>
              <w:t>(36,208)</w:t>
            </w:r>
          </w:p>
        </w:tc>
        <w:tc>
          <w:tcPr>
            <w:tcW w:w="1701" w:type="dxa"/>
            <w:vAlign w:val="center"/>
          </w:tcPr>
          <w:p w14:paraId="57FD81B5" w14:textId="5521147A" w:rsidR="005666C0" w:rsidRPr="00DF39E9" w:rsidRDefault="005666C0" w:rsidP="005666C0">
            <w:pPr>
              <w:tabs>
                <w:tab w:val="decimal" w:pos="884"/>
              </w:tabs>
              <w:jc w:val="right"/>
              <w:rPr>
                <w:szCs w:val="24"/>
              </w:rPr>
            </w:pPr>
            <w:r w:rsidRPr="00DF39E9">
              <w:rPr>
                <w:szCs w:val="24"/>
              </w:rPr>
              <w:t>(6,205)</w:t>
            </w:r>
          </w:p>
        </w:tc>
        <w:tc>
          <w:tcPr>
            <w:tcW w:w="1701" w:type="dxa"/>
            <w:vAlign w:val="center"/>
          </w:tcPr>
          <w:p w14:paraId="67E8B43B" w14:textId="56C0047B" w:rsidR="005666C0" w:rsidRPr="00DF39E9" w:rsidRDefault="00CE27FB" w:rsidP="005666C0">
            <w:pPr>
              <w:tabs>
                <w:tab w:val="decimal" w:pos="884"/>
              </w:tabs>
              <w:jc w:val="right"/>
              <w:rPr>
                <w:szCs w:val="24"/>
              </w:rPr>
            </w:pPr>
            <w:r w:rsidRPr="00DF39E9">
              <w:rPr>
                <w:szCs w:val="24"/>
              </w:rPr>
              <w:t>8,645</w:t>
            </w:r>
          </w:p>
        </w:tc>
        <w:tc>
          <w:tcPr>
            <w:tcW w:w="1701" w:type="dxa"/>
            <w:vAlign w:val="center"/>
          </w:tcPr>
          <w:p w14:paraId="59FD22E9" w14:textId="4A2C161A" w:rsidR="005666C0" w:rsidRPr="00DF39E9" w:rsidRDefault="005666C0" w:rsidP="005666C0">
            <w:pPr>
              <w:tabs>
                <w:tab w:val="decimal" w:pos="884"/>
              </w:tabs>
              <w:jc w:val="right"/>
              <w:rPr>
                <w:szCs w:val="24"/>
              </w:rPr>
            </w:pPr>
            <w:r w:rsidRPr="00DF39E9">
              <w:rPr>
                <w:szCs w:val="24"/>
              </w:rPr>
              <w:t>(33,768)</w:t>
            </w:r>
          </w:p>
        </w:tc>
        <w:tc>
          <w:tcPr>
            <w:tcW w:w="1701" w:type="dxa"/>
            <w:vAlign w:val="center"/>
          </w:tcPr>
          <w:p w14:paraId="5F311FAE" w14:textId="1F95847E" w:rsidR="005666C0" w:rsidRPr="00294859" w:rsidRDefault="00421E02" w:rsidP="005666C0">
            <w:pPr>
              <w:tabs>
                <w:tab w:val="decimal" w:pos="884"/>
              </w:tabs>
              <w:jc w:val="right"/>
              <w:rPr>
                <w:szCs w:val="24"/>
              </w:rPr>
            </w:pPr>
            <w:r w:rsidRPr="00294859">
              <w:rPr>
                <w:szCs w:val="24"/>
              </w:rPr>
              <w:t>(6,775)</w:t>
            </w:r>
          </w:p>
        </w:tc>
        <w:tc>
          <w:tcPr>
            <w:tcW w:w="1701" w:type="dxa"/>
            <w:vAlign w:val="center"/>
          </w:tcPr>
          <w:p w14:paraId="7A994AA5" w14:textId="205ADBC8" w:rsidR="005666C0" w:rsidRPr="00294859" w:rsidRDefault="00421E02" w:rsidP="005666C0">
            <w:pPr>
              <w:tabs>
                <w:tab w:val="decimal" w:pos="884"/>
              </w:tabs>
              <w:jc w:val="right"/>
              <w:rPr>
                <w:szCs w:val="24"/>
              </w:rPr>
            </w:pPr>
            <w:r w:rsidRPr="00294859">
              <w:rPr>
                <w:szCs w:val="24"/>
              </w:rPr>
              <w:t>4,772</w:t>
            </w:r>
          </w:p>
        </w:tc>
        <w:tc>
          <w:tcPr>
            <w:tcW w:w="1701" w:type="dxa"/>
            <w:vAlign w:val="center"/>
          </w:tcPr>
          <w:p w14:paraId="65D1A67B" w14:textId="6CE8A495" w:rsidR="005666C0" w:rsidRPr="00294859" w:rsidRDefault="00421E02" w:rsidP="005666C0">
            <w:pPr>
              <w:tabs>
                <w:tab w:val="decimal" w:pos="884"/>
              </w:tabs>
              <w:jc w:val="right"/>
              <w:rPr>
                <w:szCs w:val="24"/>
              </w:rPr>
            </w:pPr>
            <w:r w:rsidRPr="00294859">
              <w:rPr>
                <w:szCs w:val="24"/>
              </w:rPr>
              <w:t>(35,770)</w:t>
            </w:r>
          </w:p>
        </w:tc>
      </w:tr>
    </w:tbl>
    <w:p w14:paraId="5B54E759" w14:textId="77777777" w:rsidR="002F0329" w:rsidRDefault="002F0329" w:rsidP="002F0329">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49E6BC6D" w14:textId="77777777" w:rsidR="002F0329" w:rsidRPr="00D948C1" w:rsidRDefault="002F0329" w:rsidP="002F0329">
      <w:pPr>
        <w:ind w:left="1429" w:hanging="709"/>
        <w:rPr>
          <w:b/>
          <w:szCs w:val="24"/>
        </w:rPr>
        <w:sectPr w:rsidR="002F0329" w:rsidRPr="00D948C1" w:rsidSect="000C442C">
          <w:pgSz w:w="16840" w:h="11907" w:orient="landscape" w:code="9"/>
          <w:pgMar w:top="567" w:right="454" w:bottom="567" w:left="397" w:header="720" w:footer="720" w:gutter="0"/>
          <w:cols w:space="720"/>
          <w:docGrid w:linePitch="326"/>
        </w:sectPr>
      </w:pPr>
    </w:p>
    <w:p w14:paraId="392AD632" w14:textId="13DE8C65" w:rsidR="00D90216" w:rsidRPr="00D948C1" w:rsidRDefault="001C592E" w:rsidP="006563F1">
      <w:pPr>
        <w:pStyle w:val="Heading2"/>
        <w:jc w:val="left"/>
        <w:rPr>
          <w:sz w:val="24"/>
          <w:szCs w:val="24"/>
        </w:rPr>
      </w:pPr>
      <w:bookmarkStart w:id="67" w:name="_19_Unusable_Reserves"/>
      <w:bookmarkStart w:id="68" w:name="_Toc215593410"/>
      <w:bookmarkEnd w:id="67"/>
      <w:r w:rsidRPr="00D948C1">
        <w:rPr>
          <w:sz w:val="24"/>
          <w:szCs w:val="24"/>
        </w:rPr>
        <w:lastRenderedPageBreak/>
        <w:t>1</w:t>
      </w:r>
      <w:r w:rsidR="00B62A26">
        <w:rPr>
          <w:sz w:val="24"/>
          <w:szCs w:val="24"/>
        </w:rPr>
        <w:t>9</w:t>
      </w:r>
      <w:r w:rsidR="00D90216" w:rsidRPr="00D948C1">
        <w:rPr>
          <w:sz w:val="24"/>
          <w:szCs w:val="24"/>
        </w:rPr>
        <w:tab/>
      </w:r>
      <w:bookmarkStart w:id="69" w:name="N18"/>
      <w:bookmarkEnd w:id="69"/>
      <w:r w:rsidR="00D90216" w:rsidRPr="00D948C1">
        <w:rPr>
          <w:sz w:val="24"/>
          <w:szCs w:val="24"/>
        </w:rPr>
        <w:t>Unusable Reserves</w:t>
      </w:r>
      <w:bookmarkEnd w:id="68"/>
    </w:p>
    <w:p w14:paraId="3B681508" w14:textId="77777777" w:rsidR="00D90216" w:rsidRPr="00D948C1" w:rsidRDefault="00D90216" w:rsidP="000C442C">
      <w:pPr>
        <w:ind w:left="360"/>
        <w:rPr>
          <w:szCs w:val="24"/>
        </w:rPr>
      </w:pPr>
    </w:p>
    <w:p w14:paraId="22FB97B8" w14:textId="2473A193" w:rsidR="00D90216" w:rsidRPr="00D948C1" w:rsidRDefault="00D90216" w:rsidP="000C442C">
      <w:pPr>
        <w:ind w:left="709"/>
        <w:rPr>
          <w:szCs w:val="24"/>
        </w:rPr>
      </w:pPr>
      <w:r w:rsidRPr="00D948C1">
        <w:rPr>
          <w:szCs w:val="24"/>
        </w:rPr>
        <w:t>The total Unusable Reserves are shown in the Movement in Reserves Statement, and details of each reserve and the movements are shown in the following tables:</w:t>
      </w:r>
    </w:p>
    <w:p w14:paraId="28F83015" w14:textId="77777777" w:rsidR="00D90216" w:rsidRPr="00D948C1" w:rsidRDefault="00D90216" w:rsidP="00D90216">
      <w:pPr>
        <w:ind w:left="360"/>
        <w:rPr>
          <w:szCs w:val="24"/>
        </w:rPr>
      </w:pPr>
    </w:p>
    <w:tbl>
      <w:tblPr>
        <w:tblW w:w="83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36"/>
      </w:tblGrid>
      <w:tr w:rsidR="0010066C" w:rsidRPr="00D948C1" w14:paraId="05553C57" w14:textId="77777777" w:rsidTr="0010066C">
        <w:trPr>
          <w:tblHeader/>
        </w:trPr>
        <w:tc>
          <w:tcPr>
            <w:tcW w:w="5245" w:type="dxa"/>
            <w:shd w:val="clear" w:color="auto" w:fill="BD2716"/>
          </w:tcPr>
          <w:p w14:paraId="54595EFC" w14:textId="77777777" w:rsidR="0010066C" w:rsidRPr="00D948C1" w:rsidRDefault="0010066C" w:rsidP="0010066C">
            <w:pPr>
              <w:rPr>
                <w:color w:val="FFFFFF" w:themeColor="background1"/>
                <w:szCs w:val="24"/>
              </w:rPr>
            </w:pPr>
          </w:p>
        </w:tc>
        <w:tc>
          <w:tcPr>
            <w:tcW w:w="1559" w:type="dxa"/>
            <w:shd w:val="clear" w:color="auto" w:fill="BD2716"/>
            <w:vAlign w:val="center"/>
          </w:tcPr>
          <w:p w14:paraId="396997DF" w14:textId="52850372" w:rsidR="0010066C" w:rsidRPr="00D948C1" w:rsidRDefault="0010066C" w:rsidP="0010066C">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039DBCB9" w14:textId="419E768B" w:rsidR="0010066C" w:rsidRPr="00D948C1" w:rsidRDefault="0010066C" w:rsidP="0010066C">
            <w:pPr>
              <w:jc w:val="right"/>
              <w:rPr>
                <w:color w:val="FFFFFF" w:themeColor="background1"/>
                <w:szCs w:val="24"/>
              </w:rPr>
            </w:pPr>
            <w:r w:rsidRPr="00D948C1">
              <w:rPr>
                <w:color w:val="FFFFFF" w:themeColor="background1"/>
                <w:szCs w:val="24"/>
              </w:rPr>
              <w:t>£000</w:t>
            </w:r>
          </w:p>
        </w:tc>
        <w:tc>
          <w:tcPr>
            <w:tcW w:w="1536" w:type="dxa"/>
            <w:shd w:val="clear" w:color="auto" w:fill="BD2716"/>
            <w:vAlign w:val="center"/>
          </w:tcPr>
          <w:p w14:paraId="762D60ED" w14:textId="542E00FE" w:rsidR="0010066C" w:rsidRPr="00D948C1" w:rsidRDefault="0010066C" w:rsidP="0010066C">
            <w:pPr>
              <w:jc w:val="right"/>
              <w:rPr>
                <w:color w:val="FFFFFF" w:themeColor="background1"/>
                <w:szCs w:val="24"/>
              </w:rPr>
            </w:pPr>
            <w:r w:rsidRPr="00D948C1">
              <w:rPr>
                <w:color w:val="FFFFFF" w:themeColor="background1"/>
                <w:szCs w:val="24"/>
              </w:rPr>
              <w:t>202</w:t>
            </w:r>
            <w:r w:rsidR="005666C0">
              <w:rPr>
                <w:color w:val="FFFFFF" w:themeColor="background1"/>
                <w:szCs w:val="24"/>
              </w:rPr>
              <w:t>3</w:t>
            </w:r>
            <w:r w:rsidRPr="00D948C1">
              <w:rPr>
                <w:color w:val="FFFFFF" w:themeColor="background1"/>
                <w:szCs w:val="24"/>
              </w:rPr>
              <w:t>/2</w:t>
            </w:r>
            <w:r w:rsidR="005666C0">
              <w:rPr>
                <w:color w:val="FFFFFF" w:themeColor="background1"/>
                <w:szCs w:val="24"/>
              </w:rPr>
              <w:t>4</w:t>
            </w:r>
          </w:p>
          <w:p w14:paraId="0F822697" w14:textId="45EC57B6" w:rsidR="0010066C" w:rsidRPr="00D948C1" w:rsidRDefault="0010066C" w:rsidP="0010066C">
            <w:pPr>
              <w:jc w:val="right"/>
              <w:rPr>
                <w:color w:val="FFFFFF" w:themeColor="background1"/>
                <w:szCs w:val="24"/>
              </w:rPr>
            </w:pPr>
            <w:r w:rsidRPr="00D948C1">
              <w:rPr>
                <w:color w:val="FFFFFF" w:themeColor="background1"/>
                <w:szCs w:val="24"/>
              </w:rPr>
              <w:t>£000</w:t>
            </w:r>
          </w:p>
        </w:tc>
      </w:tr>
      <w:tr w:rsidR="005666C0" w:rsidRPr="00D948C1" w14:paraId="6471EE77" w14:textId="77777777" w:rsidTr="0010066C">
        <w:tc>
          <w:tcPr>
            <w:tcW w:w="5245" w:type="dxa"/>
          </w:tcPr>
          <w:p w14:paraId="6260B46C" w14:textId="77777777" w:rsidR="005666C0" w:rsidRPr="00D948C1" w:rsidRDefault="005666C0" w:rsidP="005666C0">
            <w:pPr>
              <w:pStyle w:val="Footer"/>
              <w:tabs>
                <w:tab w:val="clear" w:pos="4153"/>
                <w:tab w:val="clear" w:pos="8306"/>
                <w:tab w:val="left" w:pos="720"/>
                <w:tab w:val="center" w:pos="6930"/>
              </w:tabs>
              <w:ind w:left="-108"/>
              <w:rPr>
                <w:szCs w:val="24"/>
              </w:rPr>
            </w:pPr>
            <w:r w:rsidRPr="00D948C1">
              <w:rPr>
                <w:szCs w:val="24"/>
              </w:rPr>
              <w:t>Revaluation Reserve</w:t>
            </w:r>
          </w:p>
        </w:tc>
        <w:tc>
          <w:tcPr>
            <w:tcW w:w="1559" w:type="dxa"/>
            <w:vAlign w:val="center"/>
          </w:tcPr>
          <w:p w14:paraId="32F67218" w14:textId="5FA4A5FE" w:rsidR="005666C0" w:rsidRPr="00294859" w:rsidRDefault="00F12204" w:rsidP="005666C0">
            <w:pPr>
              <w:tabs>
                <w:tab w:val="decimal" w:pos="1220"/>
              </w:tabs>
              <w:jc w:val="right"/>
              <w:rPr>
                <w:szCs w:val="24"/>
              </w:rPr>
            </w:pPr>
            <w:r w:rsidRPr="00294859">
              <w:rPr>
                <w:szCs w:val="24"/>
              </w:rPr>
              <w:t>(73,745)</w:t>
            </w:r>
          </w:p>
        </w:tc>
        <w:tc>
          <w:tcPr>
            <w:tcW w:w="1536" w:type="dxa"/>
            <w:vAlign w:val="center"/>
          </w:tcPr>
          <w:p w14:paraId="533D41B2" w14:textId="6A25B455" w:rsidR="005666C0" w:rsidRPr="00DF39E9" w:rsidRDefault="005666C0" w:rsidP="005666C0">
            <w:pPr>
              <w:tabs>
                <w:tab w:val="decimal" w:pos="1220"/>
              </w:tabs>
              <w:jc w:val="right"/>
              <w:rPr>
                <w:szCs w:val="24"/>
              </w:rPr>
            </w:pPr>
            <w:r w:rsidRPr="00DF39E9">
              <w:rPr>
                <w:szCs w:val="24"/>
              </w:rPr>
              <w:t>(73,418)</w:t>
            </w:r>
          </w:p>
        </w:tc>
      </w:tr>
      <w:tr w:rsidR="005666C0" w:rsidRPr="00D948C1" w14:paraId="63D08073" w14:textId="77777777" w:rsidTr="0010066C">
        <w:tc>
          <w:tcPr>
            <w:tcW w:w="5245" w:type="dxa"/>
          </w:tcPr>
          <w:p w14:paraId="01D63290" w14:textId="77777777" w:rsidR="005666C0" w:rsidRPr="00D948C1" w:rsidRDefault="005666C0" w:rsidP="005666C0">
            <w:pPr>
              <w:pStyle w:val="Footer"/>
              <w:tabs>
                <w:tab w:val="clear" w:pos="4153"/>
                <w:tab w:val="clear" w:pos="8306"/>
                <w:tab w:val="left" w:pos="720"/>
                <w:tab w:val="center" w:pos="6930"/>
              </w:tabs>
              <w:ind w:left="-108"/>
              <w:rPr>
                <w:szCs w:val="24"/>
              </w:rPr>
            </w:pPr>
            <w:r w:rsidRPr="00D948C1">
              <w:rPr>
                <w:szCs w:val="24"/>
              </w:rPr>
              <w:t>Capital Adjustment Account</w:t>
            </w:r>
          </w:p>
        </w:tc>
        <w:tc>
          <w:tcPr>
            <w:tcW w:w="1559" w:type="dxa"/>
            <w:vAlign w:val="center"/>
          </w:tcPr>
          <w:p w14:paraId="115E5DEF" w14:textId="1D27A342" w:rsidR="005666C0" w:rsidRPr="00294859" w:rsidRDefault="00F12204" w:rsidP="005666C0">
            <w:pPr>
              <w:tabs>
                <w:tab w:val="decimal" w:pos="1220"/>
              </w:tabs>
              <w:jc w:val="right"/>
              <w:rPr>
                <w:szCs w:val="24"/>
              </w:rPr>
            </w:pPr>
            <w:r w:rsidRPr="00294859">
              <w:rPr>
                <w:szCs w:val="24"/>
              </w:rPr>
              <w:t>(43,858)</w:t>
            </w:r>
          </w:p>
        </w:tc>
        <w:tc>
          <w:tcPr>
            <w:tcW w:w="1536" w:type="dxa"/>
            <w:vAlign w:val="center"/>
          </w:tcPr>
          <w:p w14:paraId="6B26EA01" w14:textId="2E6658E2" w:rsidR="005666C0" w:rsidRPr="00DF39E9" w:rsidRDefault="005666C0" w:rsidP="005666C0">
            <w:pPr>
              <w:tabs>
                <w:tab w:val="decimal" w:pos="1220"/>
              </w:tabs>
              <w:jc w:val="right"/>
              <w:rPr>
                <w:szCs w:val="24"/>
              </w:rPr>
            </w:pPr>
            <w:r w:rsidRPr="00DF39E9">
              <w:rPr>
                <w:szCs w:val="24"/>
              </w:rPr>
              <w:t>(42,616)</w:t>
            </w:r>
          </w:p>
        </w:tc>
      </w:tr>
      <w:tr w:rsidR="005666C0" w:rsidRPr="00D948C1" w14:paraId="3E25F287" w14:textId="77777777" w:rsidTr="0010066C">
        <w:tc>
          <w:tcPr>
            <w:tcW w:w="5245" w:type="dxa"/>
          </w:tcPr>
          <w:p w14:paraId="50DCB72F" w14:textId="77777777" w:rsidR="005666C0" w:rsidRPr="00D948C1" w:rsidRDefault="005666C0" w:rsidP="005666C0">
            <w:pPr>
              <w:pStyle w:val="Footer"/>
              <w:tabs>
                <w:tab w:val="clear" w:pos="4153"/>
                <w:tab w:val="clear" w:pos="8306"/>
                <w:tab w:val="left" w:pos="720"/>
                <w:tab w:val="center" w:pos="6930"/>
              </w:tabs>
              <w:ind w:left="-108"/>
              <w:rPr>
                <w:szCs w:val="24"/>
              </w:rPr>
            </w:pPr>
            <w:r w:rsidRPr="00D948C1">
              <w:rPr>
                <w:szCs w:val="24"/>
              </w:rPr>
              <w:t>Pensions Reserve</w:t>
            </w:r>
          </w:p>
        </w:tc>
        <w:tc>
          <w:tcPr>
            <w:tcW w:w="1559" w:type="dxa"/>
            <w:vAlign w:val="center"/>
          </w:tcPr>
          <w:p w14:paraId="3E6C6622" w14:textId="6F9BA963" w:rsidR="005666C0" w:rsidRPr="00294859" w:rsidRDefault="00F12204" w:rsidP="005666C0">
            <w:pPr>
              <w:tabs>
                <w:tab w:val="decimal" w:pos="1220"/>
              </w:tabs>
              <w:jc w:val="right"/>
              <w:rPr>
                <w:szCs w:val="24"/>
              </w:rPr>
            </w:pPr>
            <w:r w:rsidRPr="00294859">
              <w:rPr>
                <w:szCs w:val="24"/>
              </w:rPr>
              <w:t>588,430</w:t>
            </w:r>
          </w:p>
        </w:tc>
        <w:tc>
          <w:tcPr>
            <w:tcW w:w="1536" w:type="dxa"/>
            <w:vAlign w:val="center"/>
          </w:tcPr>
          <w:p w14:paraId="5389E3AF" w14:textId="5C6570B5" w:rsidR="005666C0" w:rsidRPr="00DF39E9" w:rsidRDefault="005666C0" w:rsidP="005666C0">
            <w:pPr>
              <w:tabs>
                <w:tab w:val="decimal" w:pos="1220"/>
              </w:tabs>
              <w:jc w:val="right"/>
              <w:rPr>
                <w:szCs w:val="24"/>
              </w:rPr>
            </w:pPr>
            <w:r w:rsidRPr="00DF39E9">
              <w:rPr>
                <w:szCs w:val="24"/>
              </w:rPr>
              <w:t>651,920</w:t>
            </w:r>
          </w:p>
        </w:tc>
      </w:tr>
      <w:tr w:rsidR="005666C0" w:rsidRPr="00D948C1" w14:paraId="06A2D2EC" w14:textId="77777777" w:rsidTr="0010066C">
        <w:tc>
          <w:tcPr>
            <w:tcW w:w="5245" w:type="dxa"/>
          </w:tcPr>
          <w:p w14:paraId="50D5EC00" w14:textId="77777777" w:rsidR="005666C0" w:rsidRPr="00D948C1" w:rsidRDefault="005666C0" w:rsidP="005666C0">
            <w:pPr>
              <w:pStyle w:val="Footer"/>
              <w:tabs>
                <w:tab w:val="clear" w:pos="4153"/>
                <w:tab w:val="clear" w:pos="8306"/>
                <w:tab w:val="left" w:pos="720"/>
                <w:tab w:val="center" w:pos="6930"/>
              </w:tabs>
              <w:ind w:left="-108"/>
              <w:rPr>
                <w:szCs w:val="24"/>
              </w:rPr>
            </w:pPr>
            <w:r w:rsidRPr="00D948C1">
              <w:rPr>
                <w:szCs w:val="24"/>
              </w:rPr>
              <w:t>Collection Fund Adjustment Account</w:t>
            </w:r>
          </w:p>
        </w:tc>
        <w:tc>
          <w:tcPr>
            <w:tcW w:w="1559" w:type="dxa"/>
            <w:vAlign w:val="center"/>
          </w:tcPr>
          <w:p w14:paraId="39CB965D" w14:textId="44FD410E" w:rsidR="005666C0" w:rsidRPr="00294859" w:rsidRDefault="00F12204" w:rsidP="005666C0">
            <w:pPr>
              <w:tabs>
                <w:tab w:val="decimal" w:pos="1220"/>
              </w:tabs>
              <w:jc w:val="right"/>
              <w:rPr>
                <w:szCs w:val="24"/>
              </w:rPr>
            </w:pPr>
            <w:r w:rsidRPr="00294859">
              <w:rPr>
                <w:szCs w:val="24"/>
              </w:rPr>
              <w:t>(591)</w:t>
            </w:r>
          </w:p>
        </w:tc>
        <w:tc>
          <w:tcPr>
            <w:tcW w:w="1536" w:type="dxa"/>
            <w:vAlign w:val="center"/>
          </w:tcPr>
          <w:p w14:paraId="0517C066" w14:textId="66F3FDE3" w:rsidR="005666C0" w:rsidRPr="00DF39E9" w:rsidRDefault="005666C0" w:rsidP="005666C0">
            <w:pPr>
              <w:tabs>
                <w:tab w:val="decimal" w:pos="1220"/>
              </w:tabs>
              <w:jc w:val="right"/>
              <w:rPr>
                <w:szCs w:val="24"/>
              </w:rPr>
            </w:pPr>
            <w:r w:rsidRPr="00DF39E9">
              <w:rPr>
                <w:szCs w:val="24"/>
              </w:rPr>
              <w:t>(120)</w:t>
            </w:r>
          </w:p>
        </w:tc>
      </w:tr>
      <w:tr w:rsidR="005666C0" w:rsidRPr="00D948C1" w14:paraId="44B79B53" w14:textId="77777777" w:rsidTr="0010066C">
        <w:tc>
          <w:tcPr>
            <w:tcW w:w="5245" w:type="dxa"/>
          </w:tcPr>
          <w:p w14:paraId="2F825238" w14:textId="77777777" w:rsidR="005666C0" w:rsidRPr="00D948C1" w:rsidRDefault="005666C0" w:rsidP="005666C0">
            <w:pPr>
              <w:pStyle w:val="Footer"/>
              <w:tabs>
                <w:tab w:val="clear" w:pos="4153"/>
                <w:tab w:val="clear" w:pos="8306"/>
                <w:tab w:val="left" w:pos="720"/>
                <w:tab w:val="center" w:pos="6930"/>
              </w:tabs>
              <w:ind w:left="-108"/>
              <w:rPr>
                <w:szCs w:val="24"/>
              </w:rPr>
            </w:pPr>
            <w:r w:rsidRPr="00D948C1">
              <w:rPr>
                <w:szCs w:val="24"/>
              </w:rPr>
              <w:t>Accumulated Absences Adjustment Account</w:t>
            </w:r>
          </w:p>
        </w:tc>
        <w:tc>
          <w:tcPr>
            <w:tcW w:w="1559" w:type="dxa"/>
            <w:vAlign w:val="center"/>
          </w:tcPr>
          <w:p w14:paraId="359907CF" w14:textId="5A0B334D" w:rsidR="005666C0" w:rsidRPr="00294859" w:rsidRDefault="00F12204" w:rsidP="005666C0">
            <w:pPr>
              <w:tabs>
                <w:tab w:val="decimal" w:pos="1220"/>
              </w:tabs>
              <w:jc w:val="right"/>
              <w:rPr>
                <w:szCs w:val="24"/>
              </w:rPr>
            </w:pPr>
            <w:r w:rsidRPr="00294859">
              <w:rPr>
                <w:szCs w:val="24"/>
              </w:rPr>
              <w:t>696</w:t>
            </w:r>
          </w:p>
        </w:tc>
        <w:tc>
          <w:tcPr>
            <w:tcW w:w="1536" w:type="dxa"/>
            <w:vAlign w:val="center"/>
          </w:tcPr>
          <w:p w14:paraId="66D6DF85" w14:textId="301C4B92" w:rsidR="005666C0" w:rsidRPr="00DF39E9" w:rsidRDefault="005666C0" w:rsidP="005666C0">
            <w:pPr>
              <w:tabs>
                <w:tab w:val="decimal" w:pos="1220"/>
              </w:tabs>
              <w:jc w:val="right"/>
              <w:rPr>
                <w:szCs w:val="24"/>
              </w:rPr>
            </w:pPr>
            <w:r w:rsidRPr="00DF39E9">
              <w:rPr>
                <w:szCs w:val="24"/>
              </w:rPr>
              <w:t>954</w:t>
            </w:r>
          </w:p>
        </w:tc>
      </w:tr>
      <w:tr w:rsidR="005666C0" w:rsidRPr="00D948C1" w14:paraId="4C138615" w14:textId="77777777" w:rsidTr="0010066C">
        <w:tc>
          <w:tcPr>
            <w:tcW w:w="5245" w:type="dxa"/>
          </w:tcPr>
          <w:p w14:paraId="2035F9A6" w14:textId="77777777" w:rsidR="005666C0" w:rsidRPr="00D948C1" w:rsidRDefault="005666C0" w:rsidP="005666C0">
            <w:pPr>
              <w:pStyle w:val="Footer"/>
              <w:tabs>
                <w:tab w:val="clear" w:pos="4153"/>
                <w:tab w:val="clear" w:pos="8306"/>
                <w:tab w:val="left" w:pos="720"/>
                <w:tab w:val="center" w:pos="6930"/>
              </w:tabs>
              <w:ind w:left="-108"/>
              <w:rPr>
                <w:szCs w:val="24"/>
              </w:rPr>
            </w:pPr>
            <w:r w:rsidRPr="00D948C1">
              <w:rPr>
                <w:szCs w:val="24"/>
              </w:rPr>
              <w:t>Total Unusable Reserves</w:t>
            </w:r>
          </w:p>
        </w:tc>
        <w:tc>
          <w:tcPr>
            <w:tcW w:w="1559" w:type="dxa"/>
            <w:vAlign w:val="center"/>
          </w:tcPr>
          <w:p w14:paraId="51B714FE" w14:textId="2AE8B6FF" w:rsidR="005666C0" w:rsidRPr="00294859" w:rsidRDefault="00036541" w:rsidP="005666C0">
            <w:pPr>
              <w:tabs>
                <w:tab w:val="decimal" w:pos="1220"/>
              </w:tabs>
              <w:jc w:val="right"/>
              <w:rPr>
                <w:szCs w:val="24"/>
              </w:rPr>
            </w:pPr>
            <w:r w:rsidRPr="00294859">
              <w:rPr>
                <w:szCs w:val="24"/>
              </w:rPr>
              <w:t>470,932</w:t>
            </w:r>
          </w:p>
        </w:tc>
        <w:tc>
          <w:tcPr>
            <w:tcW w:w="1536" w:type="dxa"/>
            <w:vAlign w:val="center"/>
          </w:tcPr>
          <w:p w14:paraId="1A815B7A" w14:textId="3AE196B9" w:rsidR="005666C0" w:rsidRPr="00DF39E9" w:rsidRDefault="005666C0" w:rsidP="005666C0">
            <w:pPr>
              <w:tabs>
                <w:tab w:val="decimal" w:pos="1220"/>
              </w:tabs>
              <w:jc w:val="right"/>
              <w:rPr>
                <w:szCs w:val="24"/>
              </w:rPr>
            </w:pPr>
            <w:r w:rsidRPr="00DF39E9">
              <w:rPr>
                <w:szCs w:val="24"/>
              </w:rPr>
              <w:t>536,720</w:t>
            </w:r>
          </w:p>
        </w:tc>
      </w:tr>
    </w:tbl>
    <w:p w14:paraId="240BB88F" w14:textId="77777777" w:rsidR="00D90216" w:rsidRPr="00D948C1" w:rsidRDefault="00D90216" w:rsidP="00D90216">
      <w:pPr>
        <w:rPr>
          <w:szCs w:val="24"/>
        </w:rPr>
      </w:pPr>
    </w:p>
    <w:p w14:paraId="70B4131F" w14:textId="77777777" w:rsidR="00D90216" w:rsidRPr="00D948C1" w:rsidRDefault="00D90216" w:rsidP="00D90216">
      <w:pPr>
        <w:ind w:left="709"/>
        <w:rPr>
          <w:b/>
          <w:szCs w:val="24"/>
        </w:rPr>
      </w:pPr>
      <w:r w:rsidRPr="00D948C1">
        <w:rPr>
          <w:b/>
          <w:szCs w:val="24"/>
        </w:rPr>
        <w:t>Revaluation Reserve</w:t>
      </w:r>
    </w:p>
    <w:p w14:paraId="474E8FE9" w14:textId="77777777" w:rsidR="00D90216" w:rsidRPr="00D948C1" w:rsidRDefault="00D90216" w:rsidP="00D90216">
      <w:pPr>
        <w:pStyle w:val="Footer"/>
        <w:tabs>
          <w:tab w:val="clear" w:pos="4153"/>
          <w:tab w:val="clear" w:pos="8306"/>
        </w:tabs>
        <w:ind w:left="720"/>
        <w:rPr>
          <w:szCs w:val="24"/>
        </w:rPr>
      </w:pP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59"/>
        <w:gridCol w:w="1559"/>
      </w:tblGrid>
      <w:tr w:rsidR="007407CC" w:rsidRPr="00D948C1" w14:paraId="188BE008" w14:textId="77777777" w:rsidTr="00611673">
        <w:trPr>
          <w:trHeight w:hRule="exact" w:val="610"/>
        </w:trPr>
        <w:tc>
          <w:tcPr>
            <w:tcW w:w="5342" w:type="dxa"/>
            <w:shd w:val="clear" w:color="auto" w:fill="BD2716"/>
          </w:tcPr>
          <w:p w14:paraId="2BF3BD08" w14:textId="77777777" w:rsidR="007407CC" w:rsidRPr="00D948C1" w:rsidRDefault="007407CC" w:rsidP="007407CC">
            <w:pPr>
              <w:tabs>
                <w:tab w:val="left" w:pos="720"/>
                <w:tab w:val="center" w:pos="6930"/>
              </w:tabs>
              <w:rPr>
                <w:color w:val="FFFFFF" w:themeColor="background1"/>
                <w:szCs w:val="24"/>
              </w:rPr>
            </w:pPr>
          </w:p>
        </w:tc>
        <w:tc>
          <w:tcPr>
            <w:tcW w:w="1559" w:type="dxa"/>
            <w:shd w:val="clear" w:color="auto" w:fill="BD2716"/>
            <w:vAlign w:val="center"/>
          </w:tcPr>
          <w:p w14:paraId="7D2B25FC" w14:textId="0464BB8E" w:rsidR="007407CC" w:rsidRPr="00D948C1" w:rsidRDefault="007407CC" w:rsidP="007407CC">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40A79826" w14:textId="7B5D40BC" w:rsidR="007407CC" w:rsidRPr="00D948C1" w:rsidRDefault="007407CC" w:rsidP="007407CC">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0D74935E"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1537AE7F" w14:textId="4C464082" w:rsidR="007407CC"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0D84917E" w14:textId="77777777" w:rsidTr="00DD63D7">
        <w:trPr>
          <w:trHeight w:hRule="exact" w:val="300"/>
        </w:trPr>
        <w:tc>
          <w:tcPr>
            <w:tcW w:w="5342" w:type="dxa"/>
          </w:tcPr>
          <w:p w14:paraId="1B59E530" w14:textId="77777777" w:rsidR="005666C0" w:rsidRPr="00D948C1" w:rsidRDefault="005666C0" w:rsidP="005666C0">
            <w:pPr>
              <w:pStyle w:val="Footer"/>
              <w:tabs>
                <w:tab w:val="clear" w:pos="4153"/>
                <w:tab w:val="clear" w:pos="8306"/>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559" w:type="dxa"/>
            <w:vAlign w:val="center"/>
          </w:tcPr>
          <w:p w14:paraId="62BA2D4A" w14:textId="1F59C0F3" w:rsidR="005666C0" w:rsidRPr="00294859" w:rsidRDefault="00036541" w:rsidP="005666C0">
            <w:pPr>
              <w:tabs>
                <w:tab w:val="decimal" w:pos="1026"/>
              </w:tabs>
              <w:jc w:val="right"/>
              <w:rPr>
                <w:szCs w:val="24"/>
              </w:rPr>
            </w:pPr>
            <w:r w:rsidRPr="00294859">
              <w:rPr>
                <w:szCs w:val="24"/>
              </w:rPr>
              <w:t>(73,418)</w:t>
            </w:r>
          </w:p>
        </w:tc>
        <w:tc>
          <w:tcPr>
            <w:tcW w:w="1559" w:type="dxa"/>
            <w:vAlign w:val="center"/>
          </w:tcPr>
          <w:p w14:paraId="0302C917" w14:textId="213489EE" w:rsidR="005666C0" w:rsidRPr="00DF39E9" w:rsidRDefault="005666C0" w:rsidP="005666C0">
            <w:pPr>
              <w:tabs>
                <w:tab w:val="decimal" w:pos="1026"/>
              </w:tabs>
              <w:jc w:val="right"/>
              <w:rPr>
                <w:szCs w:val="24"/>
              </w:rPr>
            </w:pPr>
            <w:r w:rsidRPr="00DF39E9">
              <w:rPr>
                <w:szCs w:val="24"/>
              </w:rPr>
              <w:t>(75,306)</w:t>
            </w:r>
          </w:p>
        </w:tc>
      </w:tr>
      <w:tr w:rsidR="005666C0" w:rsidRPr="00D948C1" w14:paraId="5DA97C49" w14:textId="77777777" w:rsidTr="00DD63D7">
        <w:trPr>
          <w:trHeight w:hRule="exact" w:val="300"/>
        </w:trPr>
        <w:tc>
          <w:tcPr>
            <w:tcW w:w="5342" w:type="dxa"/>
          </w:tcPr>
          <w:p w14:paraId="31CE386F" w14:textId="77777777" w:rsidR="005666C0" w:rsidRPr="00D948C1" w:rsidRDefault="005666C0" w:rsidP="005666C0">
            <w:pPr>
              <w:pStyle w:val="Footer"/>
              <w:tabs>
                <w:tab w:val="clear" w:pos="4153"/>
                <w:tab w:val="clear" w:pos="8306"/>
                <w:tab w:val="left" w:pos="720"/>
                <w:tab w:val="center" w:pos="6930"/>
              </w:tabs>
              <w:rPr>
                <w:szCs w:val="24"/>
              </w:rPr>
            </w:pPr>
            <w:r w:rsidRPr="00D948C1">
              <w:rPr>
                <w:szCs w:val="24"/>
              </w:rPr>
              <w:t>Upward revaluation of assets</w:t>
            </w:r>
          </w:p>
        </w:tc>
        <w:tc>
          <w:tcPr>
            <w:tcW w:w="1559" w:type="dxa"/>
            <w:vAlign w:val="center"/>
          </w:tcPr>
          <w:p w14:paraId="4F57D3DD" w14:textId="120C2830" w:rsidR="005666C0" w:rsidRPr="00294859" w:rsidRDefault="00CA6C33" w:rsidP="005666C0">
            <w:pPr>
              <w:tabs>
                <w:tab w:val="decimal" w:pos="1026"/>
              </w:tabs>
              <w:jc w:val="right"/>
              <w:rPr>
                <w:szCs w:val="24"/>
              </w:rPr>
            </w:pPr>
            <w:r w:rsidRPr="00DF39E9">
              <w:rPr>
                <w:szCs w:val="24"/>
              </w:rPr>
              <w:t>(5,579)</w:t>
            </w:r>
          </w:p>
        </w:tc>
        <w:tc>
          <w:tcPr>
            <w:tcW w:w="1559" w:type="dxa"/>
            <w:vAlign w:val="center"/>
          </w:tcPr>
          <w:p w14:paraId="38847A66" w14:textId="3E6D8668" w:rsidR="005666C0" w:rsidRPr="00DF39E9" w:rsidRDefault="005666C0" w:rsidP="005666C0">
            <w:pPr>
              <w:tabs>
                <w:tab w:val="decimal" w:pos="1026"/>
              </w:tabs>
              <w:jc w:val="right"/>
              <w:rPr>
                <w:szCs w:val="24"/>
              </w:rPr>
            </w:pPr>
            <w:r w:rsidRPr="00DF39E9">
              <w:rPr>
                <w:szCs w:val="24"/>
              </w:rPr>
              <w:t>(5,441)</w:t>
            </w:r>
          </w:p>
        </w:tc>
      </w:tr>
      <w:tr w:rsidR="005666C0" w:rsidRPr="00D948C1" w14:paraId="1FFFAEAE" w14:textId="77777777" w:rsidTr="00DD63D7">
        <w:trPr>
          <w:trHeight w:hRule="exact" w:val="635"/>
        </w:trPr>
        <w:tc>
          <w:tcPr>
            <w:tcW w:w="5342" w:type="dxa"/>
          </w:tcPr>
          <w:p w14:paraId="4A11EFAF" w14:textId="77777777" w:rsidR="005666C0" w:rsidRPr="00D948C1" w:rsidRDefault="005666C0" w:rsidP="005666C0">
            <w:pPr>
              <w:pStyle w:val="Footer"/>
              <w:tabs>
                <w:tab w:val="clear" w:pos="4153"/>
                <w:tab w:val="clear" w:pos="8306"/>
                <w:tab w:val="left" w:pos="720"/>
                <w:tab w:val="center" w:pos="6930"/>
              </w:tabs>
              <w:rPr>
                <w:szCs w:val="24"/>
              </w:rPr>
            </w:pPr>
            <w:r w:rsidRPr="00D948C1">
              <w:rPr>
                <w:szCs w:val="24"/>
              </w:rPr>
              <w:t>Downward revaluation of assets and impairment losses not charged to Net cost of Services</w:t>
            </w:r>
          </w:p>
        </w:tc>
        <w:tc>
          <w:tcPr>
            <w:tcW w:w="1559" w:type="dxa"/>
            <w:vAlign w:val="center"/>
          </w:tcPr>
          <w:p w14:paraId="2D24ED62" w14:textId="3CE29E87" w:rsidR="005666C0" w:rsidRPr="00294859" w:rsidRDefault="002C7002" w:rsidP="005666C0">
            <w:pPr>
              <w:tabs>
                <w:tab w:val="decimal" w:pos="1026"/>
              </w:tabs>
              <w:jc w:val="right"/>
              <w:rPr>
                <w:szCs w:val="24"/>
              </w:rPr>
            </w:pPr>
            <w:r w:rsidRPr="00DF39E9">
              <w:rPr>
                <w:szCs w:val="24"/>
              </w:rPr>
              <w:t>1,933</w:t>
            </w:r>
          </w:p>
        </w:tc>
        <w:tc>
          <w:tcPr>
            <w:tcW w:w="1559" w:type="dxa"/>
            <w:vAlign w:val="center"/>
          </w:tcPr>
          <w:p w14:paraId="53EE395B" w14:textId="08F016A4" w:rsidR="005666C0" w:rsidRPr="00DF39E9" w:rsidRDefault="005666C0" w:rsidP="005666C0">
            <w:pPr>
              <w:tabs>
                <w:tab w:val="decimal" w:pos="1026"/>
              </w:tabs>
              <w:jc w:val="right"/>
              <w:rPr>
                <w:szCs w:val="24"/>
              </w:rPr>
            </w:pPr>
            <w:r w:rsidRPr="00DF39E9">
              <w:rPr>
                <w:szCs w:val="24"/>
              </w:rPr>
              <w:t>4,235</w:t>
            </w:r>
          </w:p>
        </w:tc>
      </w:tr>
      <w:tr w:rsidR="005666C0" w:rsidRPr="00D948C1" w14:paraId="500F1E2C" w14:textId="77777777" w:rsidTr="00DD63D7">
        <w:trPr>
          <w:trHeight w:hRule="exact" w:val="561"/>
        </w:trPr>
        <w:tc>
          <w:tcPr>
            <w:tcW w:w="5342" w:type="dxa"/>
          </w:tcPr>
          <w:p w14:paraId="2EDD0E4C" w14:textId="77777777" w:rsidR="005666C0" w:rsidRPr="00D948C1" w:rsidRDefault="005666C0" w:rsidP="005666C0">
            <w:pPr>
              <w:pStyle w:val="Footer"/>
              <w:tabs>
                <w:tab w:val="clear" w:pos="4153"/>
                <w:tab w:val="clear" w:pos="8306"/>
                <w:tab w:val="left" w:pos="720"/>
                <w:tab w:val="center" w:pos="6930"/>
              </w:tabs>
              <w:rPr>
                <w:szCs w:val="24"/>
              </w:rPr>
            </w:pPr>
            <w:r w:rsidRPr="00D948C1">
              <w:rPr>
                <w:szCs w:val="24"/>
              </w:rPr>
              <w:t>Difference between fair value depreciation and historical cost depreciation</w:t>
            </w:r>
          </w:p>
        </w:tc>
        <w:tc>
          <w:tcPr>
            <w:tcW w:w="1559" w:type="dxa"/>
            <w:vAlign w:val="center"/>
          </w:tcPr>
          <w:p w14:paraId="717A3F37" w14:textId="283475AF" w:rsidR="005666C0" w:rsidRPr="00294859" w:rsidRDefault="0077083A" w:rsidP="005666C0">
            <w:pPr>
              <w:tabs>
                <w:tab w:val="decimal" w:pos="1026"/>
              </w:tabs>
              <w:jc w:val="right"/>
              <w:rPr>
                <w:szCs w:val="24"/>
              </w:rPr>
            </w:pPr>
            <w:r w:rsidRPr="00DF39E9">
              <w:rPr>
                <w:szCs w:val="24"/>
              </w:rPr>
              <w:t>3,318</w:t>
            </w:r>
          </w:p>
        </w:tc>
        <w:tc>
          <w:tcPr>
            <w:tcW w:w="1559" w:type="dxa"/>
            <w:vAlign w:val="center"/>
          </w:tcPr>
          <w:p w14:paraId="31589F14" w14:textId="302AAD04" w:rsidR="005666C0" w:rsidRPr="00DF39E9" w:rsidRDefault="005666C0" w:rsidP="005666C0">
            <w:pPr>
              <w:tabs>
                <w:tab w:val="decimal" w:pos="1026"/>
              </w:tabs>
              <w:jc w:val="right"/>
              <w:rPr>
                <w:szCs w:val="24"/>
              </w:rPr>
            </w:pPr>
            <w:r w:rsidRPr="00DF39E9">
              <w:rPr>
                <w:szCs w:val="24"/>
              </w:rPr>
              <w:t>3,095</w:t>
            </w:r>
          </w:p>
        </w:tc>
      </w:tr>
      <w:tr w:rsidR="005666C0" w:rsidRPr="00D948C1" w14:paraId="6BF6D864" w14:textId="77777777" w:rsidTr="0059772F">
        <w:trPr>
          <w:trHeight w:hRule="exact" w:val="635"/>
        </w:trPr>
        <w:tc>
          <w:tcPr>
            <w:tcW w:w="5342" w:type="dxa"/>
          </w:tcPr>
          <w:p w14:paraId="6F056EE6" w14:textId="77777777" w:rsidR="005666C0" w:rsidRPr="00D948C1" w:rsidRDefault="005666C0" w:rsidP="005666C0">
            <w:pPr>
              <w:pStyle w:val="Footer"/>
              <w:tabs>
                <w:tab w:val="clear" w:pos="4153"/>
                <w:tab w:val="clear" w:pos="8306"/>
                <w:tab w:val="left" w:pos="720"/>
                <w:tab w:val="center" w:pos="6930"/>
              </w:tabs>
              <w:rPr>
                <w:szCs w:val="24"/>
              </w:rPr>
            </w:pPr>
            <w:r w:rsidRPr="00D948C1">
              <w:rPr>
                <w:szCs w:val="24"/>
              </w:rPr>
              <w:t>Amount written off to the Capital Adjustment Account</w:t>
            </w:r>
          </w:p>
        </w:tc>
        <w:tc>
          <w:tcPr>
            <w:tcW w:w="1559" w:type="dxa"/>
            <w:vAlign w:val="center"/>
          </w:tcPr>
          <w:p w14:paraId="3E7C637E" w14:textId="273B83BA" w:rsidR="005666C0" w:rsidRPr="00294859" w:rsidRDefault="008A1BBC" w:rsidP="005666C0">
            <w:pPr>
              <w:tabs>
                <w:tab w:val="decimal" w:pos="1026"/>
              </w:tabs>
              <w:jc w:val="right"/>
              <w:rPr>
                <w:szCs w:val="24"/>
              </w:rPr>
            </w:pPr>
            <w:r w:rsidRPr="00DF39E9">
              <w:rPr>
                <w:szCs w:val="24"/>
              </w:rPr>
              <w:t>-</w:t>
            </w:r>
          </w:p>
        </w:tc>
        <w:tc>
          <w:tcPr>
            <w:tcW w:w="1559" w:type="dxa"/>
            <w:vAlign w:val="center"/>
          </w:tcPr>
          <w:p w14:paraId="15A1D943" w14:textId="52CC3BFD" w:rsidR="005666C0" w:rsidRPr="00DF39E9" w:rsidRDefault="005666C0" w:rsidP="005666C0">
            <w:pPr>
              <w:tabs>
                <w:tab w:val="decimal" w:pos="1026"/>
              </w:tabs>
              <w:jc w:val="right"/>
              <w:rPr>
                <w:szCs w:val="24"/>
              </w:rPr>
            </w:pPr>
            <w:r w:rsidRPr="00DF39E9">
              <w:rPr>
                <w:szCs w:val="24"/>
              </w:rPr>
              <w:t>-</w:t>
            </w:r>
          </w:p>
        </w:tc>
      </w:tr>
      <w:tr w:rsidR="005666C0" w:rsidRPr="00D948C1" w14:paraId="440293EC" w14:textId="77777777" w:rsidTr="00DD63D7">
        <w:trPr>
          <w:trHeight w:hRule="exact" w:val="300"/>
        </w:trPr>
        <w:tc>
          <w:tcPr>
            <w:tcW w:w="5342" w:type="dxa"/>
          </w:tcPr>
          <w:p w14:paraId="61F56C70" w14:textId="4E068018" w:rsidR="005666C0" w:rsidRPr="00D948C1" w:rsidRDefault="005666C0" w:rsidP="005666C0">
            <w:pPr>
              <w:pStyle w:val="Footer"/>
              <w:tabs>
                <w:tab w:val="clear" w:pos="4153"/>
                <w:tab w:val="clear" w:pos="8306"/>
                <w:tab w:val="left" w:pos="720"/>
                <w:tab w:val="center" w:pos="6930"/>
              </w:tabs>
              <w:rPr>
                <w:szCs w:val="24"/>
              </w:rPr>
            </w:pPr>
            <w:r w:rsidRPr="00D948C1">
              <w:rPr>
                <w:szCs w:val="24"/>
              </w:rPr>
              <w:t>Total Revaluation Reserve</w:t>
            </w:r>
          </w:p>
        </w:tc>
        <w:tc>
          <w:tcPr>
            <w:tcW w:w="1559" w:type="dxa"/>
            <w:vAlign w:val="center"/>
          </w:tcPr>
          <w:p w14:paraId="1F4DE559" w14:textId="762DA88A" w:rsidR="005666C0" w:rsidRPr="00294859" w:rsidRDefault="008A1BBC" w:rsidP="005666C0">
            <w:pPr>
              <w:tabs>
                <w:tab w:val="decimal" w:pos="1026"/>
              </w:tabs>
              <w:jc w:val="right"/>
              <w:rPr>
                <w:szCs w:val="24"/>
              </w:rPr>
            </w:pPr>
            <w:r w:rsidRPr="00DF39E9">
              <w:rPr>
                <w:szCs w:val="24"/>
              </w:rPr>
              <w:t>(73,745)</w:t>
            </w:r>
          </w:p>
        </w:tc>
        <w:tc>
          <w:tcPr>
            <w:tcW w:w="1559" w:type="dxa"/>
            <w:vAlign w:val="center"/>
          </w:tcPr>
          <w:p w14:paraId="66F32B27" w14:textId="5572B60A" w:rsidR="005666C0" w:rsidRPr="00DF39E9" w:rsidRDefault="005666C0" w:rsidP="005666C0">
            <w:pPr>
              <w:tabs>
                <w:tab w:val="decimal" w:pos="1026"/>
              </w:tabs>
              <w:jc w:val="right"/>
              <w:rPr>
                <w:szCs w:val="24"/>
              </w:rPr>
            </w:pPr>
            <w:r w:rsidRPr="00DF39E9">
              <w:rPr>
                <w:szCs w:val="24"/>
              </w:rPr>
              <w:t>(73,418)</w:t>
            </w:r>
          </w:p>
        </w:tc>
      </w:tr>
    </w:tbl>
    <w:p w14:paraId="31F18EB1" w14:textId="77777777" w:rsidR="00D90216" w:rsidRPr="00D948C1" w:rsidRDefault="00D90216" w:rsidP="00D90216">
      <w:pPr>
        <w:ind w:left="720"/>
        <w:jc w:val="both"/>
        <w:rPr>
          <w:sz w:val="22"/>
        </w:rPr>
      </w:pPr>
    </w:p>
    <w:p w14:paraId="1AFBDA7E" w14:textId="030A4A2A" w:rsidR="00D90216" w:rsidRPr="00D948C1" w:rsidRDefault="00D90216" w:rsidP="001A0743">
      <w:pPr>
        <w:ind w:left="720"/>
        <w:rPr>
          <w:rFonts w:cs="Arial"/>
          <w:szCs w:val="24"/>
        </w:rPr>
      </w:pPr>
      <w:r w:rsidRPr="00D948C1">
        <w:rPr>
          <w:rFonts w:cs="Arial"/>
          <w:szCs w:val="24"/>
        </w:rPr>
        <w:t xml:space="preserve">The Revaluation Reserve </w:t>
      </w:r>
      <w:r w:rsidRPr="00D948C1">
        <w:rPr>
          <w:szCs w:val="24"/>
        </w:rPr>
        <w:t>contains</w:t>
      </w:r>
      <w:r w:rsidRPr="00D948C1">
        <w:rPr>
          <w:rFonts w:cs="Arial"/>
          <w:szCs w:val="24"/>
        </w:rPr>
        <w:t xml:space="preserve"> the gains made by the Authority arising from increases in the value of its Property, Plant and Equipment. The balance is reduced when assets with accumulated gains are:</w:t>
      </w:r>
    </w:p>
    <w:p w14:paraId="4AF9E479" w14:textId="1E40E434" w:rsidR="00D90216" w:rsidRPr="00D948C1" w:rsidRDefault="00D90216" w:rsidP="001A0743">
      <w:pPr>
        <w:numPr>
          <w:ilvl w:val="0"/>
          <w:numId w:val="14"/>
        </w:numPr>
        <w:rPr>
          <w:rFonts w:cs="Arial"/>
          <w:szCs w:val="24"/>
        </w:rPr>
      </w:pPr>
      <w:r w:rsidRPr="00D948C1">
        <w:rPr>
          <w:rFonts w:cs="Arial"/>
          <w:szCs w:val="24"/>
        </w:rPr>
        <w:t>Revalued downwards or impaired and the gains are lost</w:t>
      </w:r>
      <w:r w:rsidR="00375D1C" w:rsidRPr="00D948C1">
        <w:rPr>
          <w:rFonts w:cs="Arial"/>
          <w:szCs w:val="24"/>
        </w:rPr>
        <w:t>.</w:t>
      </w:r>
    </w:p>
    <w:p w14:paraId="6FBEC17B" w14:textId="77777777" w:rsidR="00D90216" w:rsidRPr="00D948C1" w:rsidRDefault="00D90216" w:rsidP="001A0743">
      <w:pPr>
        <w:numPr>
          <w:ilvl w:val="0"/>
          <w:numId w:val="14"/>
        </w:numPr>
        <w:rPr>
          <w:rFonts w:cs="Arial"/>
          <w:szCs w:val="24"/>
        </w:rPr>
      </w:pPr>
      <w:r w:rsidRPr="00D948C1">
        <w:rPr>
          <w:rFonts w:cs="Arial"/>
          <w:szCs w:val="24"/>
        </w:rPr>
        <w:t>Used in the provision of services and the gains are consumed through depreciation, or</w:t>
      </w:r>
    </w:p>
    <w:p w14:paraId="04118F7D" w14:textId="77777777" w:rsidR="00D90216" w:rsidRPr="00D948C1" w:rsidRDefault="00D90216" w:rsidP="001A0743">
      <w:pPr>
        <w:numPr>
          <w:ilvl w:val="0"/>
          <w:numId w:val="14"/>
        </w:numPr>
        <w:rPr>
          <w:rFonts w:cs="Arial"/>
          <w:szCs w:val="24"/>
        </w:rPr>
      </w:pPr>
      <w:r w:rsidRPr="00D948C1">
        <w:rPr>
          <w:rFonts w:cs="Arial"/>
          <w:szCs w:val="24"/>
        </w:rPr>
        <w:t>Disposed of and the gains are realised.</w:t>
      </w:r>
    </w:p>
    <w:p w14:paraId="30BA4F01" w14:textId="77777777" w:rsidR="00D90216" w:rsidRPr="00D948C1" w:rsidRDefault="00D90216" w:rsidP="001A0743">
      <w:pPr>
        <w:ind w:left="770"/>
        <w:rPr>
          <w:rFonts w:cs="Arial"/>
          <w:szCs w:val="24"/>
        </w:rPr>
      </w:pPr>
    </w:p>
    <w:p w14:paraId="7675B3B9" w14:textId="118732CD" w:rsidR="00D90216" w:rsidRPr="00D948C1" w:rsidRDefault="00D90216" w:rsidP="001A0743">
      <w:pPr>
        <w:ind w:left="720"/>
        <w:rPr>
          <w:b/>
          <w:szCs w:val="24"/>
        </w:rPr>
      </w:pPr>
      <w:r w:rsidRPr="00D948C1">
        <w:rPr>
          <w:rFonts w:cs="Arial"/>
          <w:szCs w:val="24"/>
        </w:rPr>
        <w:t xml:space="preserve">The Reserve contains only revaluation gains accumulated since 1 April 2007, the date that the Reserve was created. </w:t>
      </w:r>
      <w:r w:rsidRPr="00D948C1">
        <w:rPr>
          <w:szCs w:val="24"/>
        </w:rPr>
        <w:t>Accumulated</w:t>
      </w:r>
      <w:r w:rsidRPr="00D948C1">
        <w:rPr>
          <w:rFonts w:cs="Arial"/>
          <w:szCs w:val="24"/>
        </w:rPr>
        <w:t xml:space="preserve"> gains arising before that date are consolidated into the balance on the Capital Adjustment Account.</w:t>
      </w:r>
    </w:p>
    <w:p w14:paraId="1C7CC2A9" w14:textId="77777777" w:rsidR="00D90216" w:rsidRPr="00D948C1" w:rsidRDefault="00D90216" w:rsidP="001A0743">
      <w:pPr>
        <w:ind w:left="709" w:hanging="709"/>
        <w:rPr>
          <w:b/>
          <w:szCs w:val="24"/>
        </w:rPr>
      </w:pPr>
    </w:p>
    <w:p w14:paraId="79448A02" w14:textId="77777777" w:rsidR="00D90216" w:rsidRPr="00D948C1" w:rsidRDefault="00D90216" w:rsidP="001A0743">
      <w:pPr>
        <w:pStyle w:val="BodyTextIndent"/>
        <w:ind w:left="709"/>
        <w:rPr>
          <w:b/>
          <w:szCs w:val="24"/>
          <w:lang w:val="en-GB"/>
        </w:rPr>
      </w:pPr>
      <w:r w:rsidRPr="00D948C1">
        <w:rPr>
          <w:b/>
          <w:szCs w:val="24"/>
          <w:lang w:val="en-GB"/>
        </w:rPr>
        <w:t>Capital Adjustment Account</w:t>
      </w:r>
    </w:p>
    <w:p w14:paraId="556F6CE8" w14:textId="77777777" w:rsidR="00D90216" w:rsidRPr="00D948C1" w:rsidRDefault="00D90216" w:rsidP="001A0743">
      <w:pPr>
        <w:pStyle w:val="BodyTextIndent"/>
        <w:ind w:left="709"/>
        <w:rPr>
          <w:szCs w:val="24"/>
          <w:lang w:val="en-GB"/>
        </w:rPr>
      </w:pPr>
    </w:p>
    <w:p w14:paraId="2EB1D5A0" w14:textId="68838052" w:rsidR="00D90216" w:rsidRPr="00D948C1" w:rsidRDefault="00D90216" w:rsidP="001A0743">
      <w:pPr>
        <w:ind w:left="720"/>
        <w:rPr>
          <w:szCs w:val="24"/>
        </w:rPr>
      </w:pPr>
      <w:r w:rsidRPr="00D948C1">
        <w:rPr>
          <w:szCs w:val="24"/>
        </w:rPr>
        <w:t>The Capital Adjustment Account absorbs the timing differences arising from the different arrangements for accounting for the consumption of non-current assets and for financing the acquisition under statutory provisions. The account is debited with the cost of acquisition as depreciation, impairment losses</w:t>
      </w:r>
      <w:r w:rsidR="002118B4">
        <w:rPr>
          <w:szCs w:val="24"/>
        </w:rPr>
        <w:t>,</w:t>
      </w:r>
      <w:r w:rsidRPr="00D948C1">
        <w:rPr>
          <w:szCs w:val="24"/>
        </w:rPr>
        <w:t xml:space="preserve"> and amortisations are charged to the Comprehensive Income and Expenditure Statement. The Account is credited with the amounts set aside by the Authority as finance for the costs of acquisition.</w:t>
      </w:r>
    </w:p>
    <w:p w14:paraId="775D30B1" w14:textId="77777777" w:rsidR="00D90216" w:rsidRPr="00D948C1" w:rsidRDefault="00D90216" w:rsidP="00D90216">
      <w:pPr>
        <w:ind w:left="709"/>
        <w:rPr>
          <w:sz w:val="22"/>
          <w:szCs w:val="22"/>
        </w:rPr>
      </w:pPr>
    </w:p>
    <w:p w14:paraId="27B8EA1E" w14:textId="39A9C660" w:rsidR="00D90216" w:rsidRPr="00D948C1" w:rsidRDefault="00BC6640" w:rsidP="000C442C">
      <w:pPr>
        <w:ind w:left="720"/>
        <w:rPr>
          <w:szCs w:val="24"/>
        </w:rPr>
      </w:pPr>
      <w:r w:rsidRPr="00D948C1">
        <w:rPr>
          <w:sz w:val="22"/>
          <w:szCs w:val="22"/>
        </w:rPr>
        <w:br w:type="page"/>
      </w:r>
      <w:r w:rsidR="0050693C" w:rsidRPr="00D948C1">
        <w:rPr>
          <w:szCs w:val="24"/>
        </w:rPr>
        <w:lastRenderedPageBreak/>
        <w:t>In addition, t</w:t>
      </w:r>
      <w:r w:rsidR="00D90216" w:rsidRPr="00D948C1">
        <w:rPr>
          <w:szCs w:val="24"/>
        </w:rPr>
        <w:t xml:space="preserve">he </w:t>
      </w:r>
      <w:r w:rsidR="0050693C" w:rsidRPr="00D948C1">
        <w:rPr>
          <w:szCs w:val="24"/>
        </w:rPr>
        <w:t>a</w:t>
      </w:r>
      <w:r w:rsidR="00D90216" w:rsidRPr="00D948C1">
        <w:rPr>
          <w:szCs w:val="24"/>
        </w:rPr>
        <w:t>ccount contains revaluation gains accumulated on Property, Plant and Equipment before 1 April 2007, the date the Revaluation Reserve was created to hold such gains.</w:t>
      </w:r>
    </w:p>
    <w:p w14:paraId="7BFA40BC" w14:textId="77777777" w:rsidR="00B753AF" w:rsidRPr="00D948C1" w:rsidRDefault="00B753AF" w:rsidP="002000FC">
      <w:pPr>
        <w:ind w:left="720"/>
        <w:jc w:val="both"/>
        <w:rPr>
          <w:sz w:val="22"/>
          <w:szCs w:val="22"/>
        </w:rPr>
      </w:pPr>
    </w:p>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1134"/>
        <w:gridCol w:w="1134"/>
        <w:gridCol w:w="1134"/>
        <w:gridCol w:w="1134"/>
      </w:tblGrid>
      <w:tr w:rsidR="005666C0" w:rsidRPr="00D948C1" w14:paraId="729CEAFF" w14:textId="77777777" w:rsidTr="00611673">
        <w:trPr>
          <w:trHeight w:hRule="exact" w:val="576"/>
        </w:trPr>
        <w:tc>
          <w:tcPr>
            <w:tcW w:w="4350" w:type="dxa"/>
            <w:shd w:val="clear" w:color="auto" w:fill="BD2716"/>
          </w:tcPr>
          <w:p w14:paraId="4A926335" w14:textId="77777777" w:rsidR="005666C0" w:rsidRPr="00D948C1" w:rsidRDefault="005666C0" w:rsidP="005666C0">
            <w:pPr>
              <w:tabs>
                <w:tab w:val="left" w:pos="720"/>
                <w:tab w:val="center" w:pos="6930"/>
              </w:tabs>
              <w:rPr>
                <w:color w:val="FFFFFF" w:themeColor="background1"/>
                <w:szCs w:val="24"/>
              </w:rPr>
            </w:pPr>
          </w:p>
        </w:tc>
        <w:tc>
          <w:tcPr>
            <w:tcW w:w="1134" w:type="dxa"/>
            <w:shd w:val="clear" w:color="auto" w:fill="BD2716"/>
            <w:vAlign w:val="center"/>
          </w:tcPr>
          <w:p w14:paraId="49AB6664" w14:textId="72EFD3F9"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35100580" w14:textId="3AC50BB4" w:rsidR="005666C0"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81241B2" w14:textId="09E04CB1"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6CF4CC48" w14:textId="2F6F186A" w:rsidR="005666C0"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5EE644F9"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7213143E" w14:textId="42F0ED48" w:rsidR="005666C0"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6C7ECAE"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064DD2CE" w14:textId="2ECF9BA4" w:rsidR="005666C0"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04BCADAE" w14:textId="77777777" w:rsidTr="00DD63D7">
        <w:trPr>
          <w:trHeight w:hRule="exact" w:val="300"/>
        </w:trPr>
        <w:tc>
          <w:tcPr>
            <w:tcW w:w="4350" w:type="dxa"/>
          </w:tcPr>
          <w:p w14:paraId="1E79C4E1" w14:textId="77777777" w:rsidR="005666C0" w:rsidRPr="00D948C1" w:rsidRDefault="005666C0" w:rsidP="005666C0">
            <w:pPr>
              <w:tabs>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134" w:type="dxa"/>
            <w:vAlign w:val="center"/>
          </w:tcPr>
          <w:p w14:paraId="4082AC40" w14:textId="77777777" w:rsidR="005666C0" w:rsidRPr="00D948C1" w:rsidRDefault="005666C0" w:rsidP="005666C0">
            <w:pPr>
              <w:tabs>
                <w:tab w:val="decimal" w:pos="1080"/>
              </w:tabs>
              <w:jc w:val="right"/>
              <w:rPr>
                <w:szCs w:val="24"/>
              </w:rPr>
            </w:pPr>
          </w:p>
        </w:tc>
        <w:tc>
          <w:tcPr>
            <w:tcW w:w="1134" w:type="dxa"/>
            <w:vAlign w:val="center"/>
          </w:tcPr>
          <w:p w14:paraId="7016FC26" w14:textId="386303CB" w:rsidR="005666C0" w:rsidRPr="00DF39E9" w:rsidRDefault="001F0FBB" w:rsidP="005666C0">
            <w:pPr>
              <w:tabs>
                <w:tab w:val="decimal" w:pos="884"/>
              </w:tabs>
              <w:jc w:val="right"/>
              <w:rPr>
                <w:szCs w:val="24"/>
              </w:rPr>
            </w:pPr>
            <w:r w:rsidRPr="00294859">
              <w:rPr>
                <w:szCs w:val="24"/>
              </w:rPr>
              <w:t>(42,618)</w:t>
            </w:r>
          </w:p>
        </w:tc>
        <w:tc>
          <w:tcPr>
            <w:tcW w:w="1134" w:type="dxa"/>
            <w:vAlign w:val="center"/>
          </w:tcPr>
          <w:p w14:paraId="01490F09" w14:textId="307E6C02" w:rsidR="005666C0" w:rsidRPr="00DF39E9" w:rsidRDefault="005666C0" w:rsidP="005666C0">
            <w:pPr>
              <w:tabs>
                <w:tab w:val="decimal" w:pos="1080"/>
              </w:tabs>
              <w:jc w:val="right"/>
              <w:rPr>
                <w:szCs w:val="24"/>
              </w:rPr>
            </w:pPr>
          </w:p>
          <w:p w14:paraId="3CD42309" w14:textId="128184E1" w:rsidR="00286E5C" w:rsidRPr="00DF39E9" w:rsidRDefault="00286E5C" w:rsidP="005666C0">
            <w:pPr>
              <w:tabs>
                <w:tab w:val="decimal" w:pos="1080"/>
              </w:tabs>
              <w:jc w:val="right"/>
              <w:rPr>
                <w:szCs w:val="24"/>
              </w:rPr>
            </w:pPr>
          </w:p>
        </w:tc>
        <w:tc>
          <w:tcPr>
            <w:tcW w:w="1134" w:type="dxa"/>
            <w:vAlign w:val="center"/>
          </w:tcPr>
          <w:p w14:paraId="3150D308" w14:textId="2D25D6A7" w:rsidR="005666C0" w:rsidRPr="00DF39E9" w:rsidRDefault="005666C0" w:rsidP="005666C0">
            <w:pPr>
              <w:tabs>
                <w:tab w:val="decimal" w:pos="884"/>
              </w:tabs>
              <w:jc w:val="right"/>
              <w:rPr>
                <w:szCs w:val="24"/>
              </w:rPr>
            </w:pPr>
            <w:r w:rsidRPr="00DF39E9">
              <w:rPr>
                <w:szCs w:val="24"/>
              </w:rPr>
              <w:t>(38,281)</w:t>
            </w:r>
          </w:p>
        </w:tc>
      </w:tr>
    </w:tbl>
    <w:p w14:paraId="03B03271" w14:textId="77777777" w:rsidR="00EC3487" w:rsidRPr="00D948C1" w:rsidRDefault="00EC3487"/>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1134"/>
        <w:gridCol w:w="1134"/>
        <w:gridCol w:w="1134"/>
        <w:gridCol w:w="1134"/>
      </w:tblGrid>
      <w:tr w:rsidR="00EC3487" w:rsidRPr="00D948C1" w14:paraId="18F5F964" w14:textId="77777777" w:rsidTr="00C42769">
        <w:trPr>
          <w:trHeight w:hRule="exact" w:val="624"/>
        </w:trPr>
        <w:tc>
          <w:tcPr>
            <w:tcW w:w="8886" w:type="dxa"/>
            <w:gridSpan w:val="5"/>
            <w:shd w:val="clear" w:color="auto" w:fill="D9D9D9" w:themeFill="background1" w:themeFillShade="D9"/>
          </w:tcPr>
          <w:p w14:paraId="16857569" w14:textId="53203D8D" w:rsidR="00EC3487" w:rsidRPr="00D948C1" w:rsidRDefault="00EC3487" w:rsidP="00EC3487">
            <w:pPr>
              <w:tabs>
                <w:tab w:val="decimal" w:pos="885"/>
              </w:tabs>
              <w:rPr>
                <w:b/>
                <w:bCs/>
                <w:szCs w:val="24"/>
              </w:rPr>
            </w:pPr>
            <w:r w:rsidRPr="00D948C1">
              <w:rPr>
                <w:b/>
                <w:bCs/>
                <w:szCs w:val="24"/>
              </w:rPr>
              <w:t>Reversal of items relating to capital expenditure debited or credited to the Comprehensive Income and Expenditure Statement:</w:t>
            </w:r>
          </w:p>
        </w:tc>
      </w:tr>
      <w:tr w:rsidR="005666C0" w:rsidRPr="00D948C1" w14:paraId="60080373" w14:textId="77777777" w:rsidTr="00C42769">
        <w:trPr>
          <w:trHeight w:hRule="exact" w:val="624"/>
        </w:trPr>
        <w:tc>
          <w:tcPr>
            <w:tcW w:w="4350" w:type="dxa"/>
          </w:tcPr>
          <w:p w14:paraId="2F6D264E" w14:textId="77777777" w:rsidR="005666C0" w:rsidRPr="00D948C1" w:rsidRDefault="005666C0" w:rsidP="005666C0">
            <w:pPr>
              <w:numPr>
                <w:ilvl w:val="0"/>
                <w:numId w:val="15"/>
              </w:numPr>
              <w:tabs>
                <w:tab w:val="center" w:pos="6930"/>
              </w:tabs>
              <w:rPr>
                <w:szCs w:val="24"/>
              </w:rPr>
            </w:pPr>
            <w:r w:rsidRPr="00D948C1">
              <w:rPr>
                <w:szCs w:val="24"/>
              </w:rPr>
              <w:t>Charges for depreciation and impairment of non-current assets</w:t>
            </w:r>
          </w:p>
        </w:tc>
        <w:tc>
          <w:tcPr>
            <w:tcW w:w="1134" w:type="dxa"/>
            <w:vAlign w:val="center"/>
          </w:tcPr>
          <w:p w14:paraId="096341ED" w14:textId="31A7AF59" w:rsidR="005666C0" w:rsidRPr="00294859" w:rsidRDefault="007D4ACB" w:rsidP="005666C0">
            <w:pPr>
              <w:tabs>
                <w:tab w:val="decimal" w:pos="884"/>
              </w:tabs>
              <w:jc w:val="right"/>
              <w:rPr>
                <w:szCs w:val="24"/>
              </w:rPr>
            </w:pPr>
            <w:r w:rsidRPr="00DF39E9">
              <w:rPr>
                <w:szCs w:val="24"/>
              </w:rPr>
              <w:t>3,330</w:t>
            </w:r>
          </w:p>
        </w:tc>
        <w:tc>
          <w:tcPr>
            <w:tcW w:w="1134" w:type="dxa"/>
            <w:vAlign w:val="center"/>
          </w:tcPr>
          <w:p w14:paraId="3FE4CE6E" w14:textId="77777777" w:rsidR="005666C0" w:rsidRPr="00294859" w:rsidRDefault="005666C0" w:rsidP="005666C0">
            <w:pPr>
              <w:tabs>
                <w:tab w:val="decimal" w:pos="885"/>
              </w:tabs>
              <w:jc w:val="right"/>
              <w:rPr>
                <w:szCs w:val="24"/>
              </w:rPr>
            </w:pPr>
          </w:p>
        </w:tc>
        <w:tc>
          <w:tcPr>
            <w:tcW w:w="1134" w:type="dxa"/>
            <w:vAlign w:val="center"/>
          </w:tcPr>
          <w:p w14:paraId="178F1043" w14:textId="436E4A25" w:rsidR="005666C0" w:rsidRPr="00DF39E9" w:rsidRDefault="005666C0" w:rsidP="005666C0">
            <w:pPr>
              <w:tabs>
                <w:tab w:val="decimal" w:pos="884"/>
              </w:tabs>
              <w:jc w:val="right"/>
              <w:rPr>
                <w:szCs w:val="24"/>
              </w:rPr>
            </w:pPr>
            <w:r w:rsidRPr="00DF39E9">
              <w:rPr>
                <w:szCs w:val="24"/>
              </w:rPr>
              <w:t>2,637</w:t>
            </w:r>
          </w:p>
        </w:tc>
        <w:tc>
          <w:tcPr>
            <w:tcW w:w="1134" w:type="dxa"/>
            <w:vAlign w:val="center"/>
          </w:tcPr>
          <w:p w14:paraId="666F89D8" w14:textId="77777777" w:rsidR="005666C0" w:rsidRPr="00DF39E9" w:rsidRDefault="005666C0" w:rsidP="005666C0">
            <w:pPr>
              <w:tabs>
                <w:tab w:val="decimal" w:pos="885"/>
              </w:tabs>
              <w:jc w:val="right"/>
              <w:rPr>
                <w:szCs w:val="24"/>
              </w:rPr>
            </w:pPr>
          </w:p>
        </w:tc>
      </w:tr>
      <w:tr w:rsidR="005666C0" w:rsidRPr="00D948C1" w14:paraId="0027C3E2" w14:textId="77777777" w:rsidTr="00C42769">
        <w:trPr>
          <w:trHeight w:hRule="exact" w:val="624"/>
        </w:trPr>
        <w:tc>
          <w:tcPr>
            <w:tcW w:w="4350" w:type="dxa"/>
          </w:tcPr>
          <w:p w14:paraId="2E7946C5" w14:textId="77777777" w:rsidR="005666C0" w:rsidRPr="00D948C1" w:rsidRDefault="005666C0" w:rsidP="005666C0">
            <w:pPr>
              <w:numPr>
                <w:ilvl w:val="0"/>
                <w:numId w:val="15"/>
              </w:numPr>
              <w:tabs>
                <w:tab w:val="center" w:pos="6930"/>
              </w:tabs>
              <w:rPr>
                <w:szCs w:val="24"/>
              </w:rPr>
            </w:pPr>
            <w:r w:rsidRPr="00D948C1">
              <w:rPr>
                <w:szCs w:val="24"/>
              </w:rPr>
              <w:t>Revaluation losses on Property, Plant &amp; Equipment</w:t>
            </w:r>
          </w:p>
        </w:tc>
        <w:tc>
          <w:tcPr>
            <w:tcW w:w="1134" w:type="dxa"/>
            <w:vAlign w:val="center"/>
          </w:tcPr>
          <w:p w14:paraId="7D9CADEF" w14:textId="63716265" w:rsidR="005666C0" w:rsidRPr="00294859" w:rsidRDefault="00173FA1" w:rsidP="005666C0">
            <w:pPr>
              <w:tabs>
                <w:tab w:val="decimal" w:pos="884"/>
              </w:tabs>
              <w:jc w:val="right"/>
              <w:rPr>
                <w:szCs w:val="24"/>
              </w:rPr>
            </w:pPr>
            <w:r w:rsidRPr="00DF39E9">
              <w:rPr>
                <w:szCs w:val="24"/>
              </w:rPr>
              <w:t>71</w:t>
            </w:r>
          </w:p>
        </w:tc>
        <w:tc>
          <w:tcPr>
            <w:tcW w:w="1134" w:type="dxa"/>
            <w:vAlign w:val="center"/>
          </w:tcPr>
          <w:p w14:paraId="7EC996C4" w14:textId="77777777" w:rsidR="005666C0" w:rsidRPr="00294859" w:rsidRDefault="005666C0" w:rsidP="005666C0">
            <w:pPr>
              <w:tabs>
                <w:tab w:val="decimal" w:pos="885"/>
              </w:tabs>
              <w:jc w:val="right"/>
              <w:rPr>
                <w:szCs w:val="24"/>
              </w:rPr>
            </w:pPr>
          </w:p>
        </w:tc>
        <w:tc>
          <w:tcPr>
            <w:tcW w:w="1134" w:type="dxa"/>
            <w:vAlign w:val="center"/>
          </w:tcPr>
          <w:p w14:paraId="0E40A94A" w14:textId="0079A0CF" w:rsidR="005666C0" w:rsidRPr="00DF39E9" w:rsidRDefault="005666C0" w:rsidP="005666C0">
            <w:pPr>
              <w:tabs>
                <w:tab w:val="decimal" w:pos="884"/>
              </w:tabs>
              <w:jc w:val="right"/>
              <w:rPr>
                <w:szCs w:val="24"/>
              </w:rPr>
            </w:pPr>
            <w:r w:rsidRPr="00DF39E9">
              <w:rPr>
                <w:szCs w:val="24"/>
              </w:rPr>
              <w:t>133</w:t>
            </w:r>
          </w:p>
        </w:tc>
        <w:tc>
          <w:tcPr>
            <w:tcW w:w="1134" w:type="dxa"/>
            <w:vAlign w:val="center"/>
          </w:tcPr>
          <w:p w14:paraId="61AB3547" w14:textId="77777777" w:rsidR="005666C0" w:rsidRPr="00DF39E9" w:rsidRDefault="005666C0" w:rsidP="005666C0">
            <w:pPr>
              <w:tabs>
                <w:tab w:val="decimal" w:pos="885"/>
              </w:tabs>
              <w:jc w:val="right"/>
              <w:rPr>
                <w:szCs w:val="24"/>
              </w:rPr>
            </w:pPr>
          </w:p>
        </w:tc>
      </w:tr>
      <w:tr w:rsidR="005666C0" w:rsidRPr="00D948C1" w14:paraId="3869953C" w14:textId="77777777" w:rsidTr="00DD63D7">
        <w:trPr>
          <w:trHeight w:hRule="exact" w:val="300"/>
        </w:trPr>
        <w:tc>
          <w:tcPr>
            <w:tcW w:w="4350" w:type="dxa"/>
          </w:tcPr>
          <w:p w14:paraId="10925579" w14:textId="77777777" w:rsidR="005666C0" w:rsidRPr="00D948C1" w:rsidRDefault="005666C0" w:rsidP="005666C0">
            <w:pPr>
              <w:numPr>
                <w:ilvl w:val="0"/>
                <w:numId w:val="15"/>
              </w:numPr>
              <w:tabs>
                <w:tab w:val="center" w:pos="6930"/>
              </w:tabs>
              <w:rPr>
                <w:szCs w:val="24"/>
              </w:rPr>
            </w:pPr>
            <w:r w:rsidRPr="00D948C1">
              <w:rPr>
                <w:szCs w:val="24"/>
              </w:rPr>
              <w:t>Amortisation of intangible assets</w:t>
            </w:r>
          </w:p>
        </w:tc>
        <w:tc>
          <w:tcPr>
            <w:tcW w:w="1134" w:type="dxa"/>
            <w:vAlign w:val="center"/>
          </w:tcPr>
          <w:p w14:paraId="58E5C86A" w14:textId="3934DE02" w:rsidR="005666C0" w:rsidRPr="00294859" w:rsidRDefault="007D4ACB" w:rsidP="005666C0">
            <w:pPr>
              <w:tabs>
                <w:tab w:val="decimal" w:pos="884"/>
              </w:tabs>
              <w:jc w:val="right"/>
              <w:rPr>
                <w:szCs w:val="24"/>
              </w:rPr>
            </w:pPr>
            <w:r w:rsidRPr="00DF39E9">
              <w:rPr>
                <w:szCs w:val="24"/>
              </w:rPr>
              <w:t>219</w:t>
            </w:r>
          </w:p>
        </w:tc>
        <w:tc>
          <w:tcPr>
            <w:tcW w:w="1134" w:type="dxa"/>
            <w:vAlign w:val="center"/>
          </w:tcPr>
          <w:p w14:paraId="02468154" w14:textId="77777777" w:rsidR="005666C0" w:rsidRPr="00294859" w:rsidRDefault="005666C0" w:rsidP="005666C0">
            <w:pPr>
              <w:tabs>
                <w:tab w:val="decimal" w:pos="885"/>
              </w:tabs>
              <w:jc w:val="right"/>
              <w:rPr>
                <w:szCs w:val="24"/>
              </w:rPr>
            </w:pPr>
          </w:p>
        </w:tc>
        <w:tc>
          <w:tcPr>
            <w:tcW w:w="1134" w:type="dxa"/>
            <w:vAlign w:val="center"/>
          </w:tcPr>
          <w:p w14:paraId="65DC3201" w14:textId="034D4723" w:rsidR="005666C0" w:rsidRPr="00DF39E9" w:rsidRDefault="005666C0" w:rsidP="005666C0">
            <w:pPr>
              <w:tabs>
                <w:tab w:val="decimal" w:pos="884"/>
              </w:tabs>
              <w:jc w:val="right"/>
              <w:rPr>
                <w:szCs w:val="24"/>
              </w:rPr>
            </w:pPr>
            <w:r w:rsidRPr="00DF39E9">
              <w:rPr>
                <w:szCs w:val="24"/>
              </w:rPr>
              <w:t>188</w:t>
            </w:r>
          </w:p>
        </w:tc>
        <w:tc>
          <w:tcPr>
            <w:tcW w:w="1134" w:type="dxa"/>
            <w:vAlign w:val="center"/>
          </w:tcPr>
          <w:p w14:paraId="4B773CF0" w14:textId="77777777" w:rsidR="005666C0" w:rsidRPr="00DF39E9" w:rsidRDefault="005666C0" w:rsidP="005666C0">
            <w:pPr>
              <w:tabs>
                <w:tab w:val="decimal" w:pos="885"/>
              </w:tabs>
              <w:jc w:val="right"/>
              <w:rPr>
                <w:szCs w:val="24"/>
              </w:rPr>
            </w:pPr>
          </w:p>
        </w:tc>
      </w:tr>
      <w:tr w:rsidR="005666C0" w:rsidRPr="00D948C1" w14:paraId="25EDFDDE" w14:textId="77777777" w:rsidTr="00DD63D7">
        <w:trPr>
          <w:trHeight w:hRule="exact" w:val="300"/>
        </w:trPr>
        <w:tc>
          <w:tcPr>
            <w:tcW w:w="4350" w:type="dxa"/>
          </w:tcPr>
          <w:p w14:paraId="458EF4AA" w14:textId="53006645" w:rsidR="005666C0" w:rsidRPr="00D948C1" w:rsidRDefault="005666C0" w:rsidP="005666C0">
            <w:pPr>
              <w:tabs>
                <w:tab w:val="left" w:pos="720"/>
                <w:tab w:val="center" w:pos="6930"/>
              </w:tabs>
              <w:rPr>
                <w:szCs w:val="24"/>
              </w:rPr>
            </w:pPr>
            <w:r w:rsidRPr="00D948C1">
              <w:rPr>
                <w:szCs w:val="24"/>
              </w:rPr>
              <w:t>Sub-total</w:t>
            </w:r>
          </w:p>
        </w:tc>
        <w:tc>
          <w:tcPr>
            <w:tcW w:w="1134" w:type="dxa"/>
            <w:vAlign w:val="center"/>
          </w:tcPr>
          <w:p w14:paraId="184CFDBE" w14:textId="77777777" w:rsidR="005666C0" w:rsidRPr="00294859" w:rsidRDefault="005666C0" w:rsidP="005666C0">
            <w:pPr>
              <w:tabs>
                <w:tab w:val="decimal" w:pos="1080"/>
              </w:tabs>
              <w:jc w:val="right"/>
              <w:rPr>
                <w:szCs w:val="24"/>
              </w:rPr>
            </w:pPr>
          </w:p>
        </w:tc>
        <w:tc>
          <w:tcPr>
            <w:tcW w:w="1134" w:type="dxa"/>
            <w:vAlign w:val="center"/>
          </w:tcPr>
          <w:p w14:paraId="5CAF2FA6" w14:textId="53CEB132" w:rsidR="005666C0" w:rsidRPr="00294859" w:rsidRDefault="00D03847" w:rsidP="005666C0">
            <w:pPr>
              <w:tabs>
                <w:tab w:val="decimal" w:pos="885"/>
              </w:tabs>
              <w:jc w:val="right"/>
              <w:rPr>
                <w:szCs w:val="24"/>
              </w:rPr>
            </w:pPr>
            <w:r w:rsidRPr="00DF39E9">
              <w:rPr>
                <w:szCs w:val="24"/>
              </w:rPr>
              <w:t>3,619</w:t>
            </w:r>
          </w:p>
        </w:tc>
        <w:tc>
          <w:tcPr>
            <w:tcW w:w="1134" w:type="dxa"/>
            <w:vAlign w:val="center"/>
          </w:tcPr>
          <w:p w14:paraId="47C3D409" w14:textId="77777777" w:rsidR="005666C0" w:rsidRPr="00DF39E9" w:rsidRDefault="005666C0" w:rsidP="005666C0">
            <w:pPr>
              <w:tabs>
                <w:tab w:val="decimal" w:pos="1080"/>
              </w:tabs>
              <w:jc w:val="right"/>
              <w:rPr>
                <w:szCs w:val="24"/>
              </w:rPr>
            </w:pPr>
          </w:p>
        </w:tc>
        <w:tc>
          <w:tcPr>
            <w:tcW w:w="1134" w:type="dxa"/>
            <w:vAlign w:val="center"/>
          </w:tcPr>
          <w:p w14:paraId="3EAA4A37" w14:textId="09664C20" w:rsidR="005666C0" w:rsidRPr="00DF39E9" w:rsidRDefault="005666C0" w:rsidP="005666C0">
            <w:pPr>
              <w:tabs>
                <w:tab w:val="decimal" w:pos="885"/>
              </w:tabs>
              <w:jc w:val="right"/>
              <w:rPr>
                <w:szCs w:val="24"/>
              </w:rPr>
            </w:pPr>
            <w:r w:rsidRPr="00DF39E9">
              <w:rPr>
                <w:szCs w:val="24"/>
              </w:rPr>
              <w:t>2,958</w:t>
            </w:r>
          </w:p>
        </w:tc>
      </w:tr>
      <w:tr w:rsidR="005666C0" w:rsidRPr="00D948C1" w14:paraId="35225D5F" w14:textId="77777777" w:rsidTr="00C42769">
        <w:trPr>
          <w:trHeight w:hRule="exact" w:val="856"/>
        </w:trPr>
        <w:tc>
          <w:tcPr>
            <w:tcW w:w="4350" w:type="dxa"/>
          </w:tcPr>
          <w:p w14:paraId="3630F7FA" w14:textId="77777777" w:rsidR="005666C0" w:rsidRPr="00D948C1" w:rsidRDefault="005666C0" w:rsidP="005666C0">
            <w:pPr>
              <w:rPr>
                <w:rFonts w:cs="Arial"/>
                <w:szCs w:val="24"/>
              </w:rPr>
            </w:pPr>
            <w:r w:rsidRPr="00D948C1">
              <w:rPr>
                <w:rFonts w:cs="Arial"/>
                <w:szCs w:val="24"/>
              </w:rPr>
              <w:t>Disposal of assets via the Comprehensive Income &amp; Expenditure Statement</w:t>
            </w:r>
          </w:p>
        </w:tc>
        <w:tc>
          <w:tcPr>
            <w:tcW w:w="1134" w:type="dxa"/>
            <w:vAlign w:val="center"/>
          </w:tcPr>
          <w:p w14:paraId="0FA612DB" w14:textId="77777777" w:rsidR="005666C0" w:rsidRPr="00294859" w:rsidRDefault="005666C0" w:rsidP="005666C0">
            <w:pPr>
              <w:tabs>
                <w:tab w:val="decimal" w:pos="1080"/>
              </w:tabs>
              <w:jc w:val="right"/>
              <w:rPr>
                <w:szCs w:val="24"/>
              </w:rPr>
            </w:pPr>
          </w:p>
        </w:tc>
        <w:tc>
          <w:tcPr>
            <w:tcW w:w="1134" w:type="dxa"/>
            <w:vAlign w:val="center"/>
          </w:tcPr>
          <w:p w14:paraId="712E17A6" w14:textId="4D829309" w:rsidR="005666C0" w:rsidRPr="00294859" w:rsidRDefault="00330509" w:rsidP="005666C0">
            <w:pPr>
              <w:tabs>
                <w:tab w:val="decimal" w:pos="885"/>
              </w:tabs>
              <w:jc w:val="right"/>
              <w:rPr>
                <w:szCs w:val="24"/>
              </w:rPr>
            </w:pPr>
            <w:r w:rsidRPr="00DF39E9">
              <w:rPr>
                <w:szCs w:val="24"/>
              </w:rPr>
              <w:t>7</w:t>
            </w:r>
          </w:p>
        </w:tc>
        <w:tc>
          <w:tcPr>
            <w:tcW w:w="1134" w:type="dxa"/>
            <w:vAlign w:val="center"/>
          </w:tcPr>
          <w:p w14:paraId="104E2F12" w14:textId="77777777" w:rsidR="005666C0" w:rsidRPr="00DF39E9" w:rsidRDefault="005666C0" w:rsidP="005666C0">
            <w:pPr>
              <w:tabs>
                <w:tab w:val="decimal" w:pos="1080"/>
              </w:tabs>
              <w:jc w:val="right"/>
              <w:rPr>
                <w:szCs w:val="24"/>
              </w:rPr>
            </w:pPr>
          </w:p>
        </w:tc>
        <w:tc>
          <w:tcPr>
            <w:tcW w:w="1134" w:type="dxa"/>
            <w:vAlign w:val="center"/>
          </w:tcPr>
          <w:p w14:paraId="538875F7" w14:textId="2496C76A" w:rsidR="005666C0" w:rsidRPr="00DF39E9" w:rsidRDefault="005666C0" w:rsidP="005666C0">
            <w:pPr>
              <w:tabs>
                <w:tab w:val="decimal" w:pos="885"/>
              </w:tabs>
              <w:jc w:val="right"/>
              <w:rPr>
                <w:szCs w:val="24"/>
              </w:rPr>
            </w:pPr>
            <w:r w:rsidRPr="00DF39E9">
              <w:rPr>
                <w:szCs w:val="24"/>
              </w:rPr>
              <w:t>48</w:t>
            </w:r>
          </w:p>
        </w:tc>
      </w:tr>
      <w:tr w:rsidR="005666C0" w:rsidRPr="00D948C1" w14:paraId="5AEA2F21" w14:textId="77777777" w:rsidTr="00C42769">
        <w:trPr>
          <w:trHeight w:hRule="exact" w:val="624"/>
        </w:trPr>
        <w:tc>
          <w:tcPr>
            <w:tcW w:w="4350" w:type="dxa"/>
          </w:tcPr>
          <w:p w14:paraId="0264DAC9" w14:textId="77777777" w:rsidR="005666C0" w:rsidRPr="00D948C1" w:rsidRDefault="005666C0" w:rsidP="005666C0">
            <w:pPr>
              <w:rPr>
                <w:rFonts w:cs="Arial"/>
                <w:szCs w:val="24"/>
              </w:rPr>
            </w:pPr>
            <w:r w:rsidRPr="00D948C1">
              <w:rPr>
                <w:rFonts w:cs="Arial"/>
                <w:szCs w:val="24"/>
              </w:rPr>
              <w:t>Adjusting amounts written out of the Revaluation Reserve</w:t>
            </w:r>
          </w:p>
          <w:p w14:paraId="7229F941" w14:textId="77777777" w:rsidR="005666C0" w:rsidRPr="00D948C1" w:rsidRDefault="005666C0" w:rsidP="005666C0">
            <w:pPr>
              <w:tabs>
                <w:tab w:val="left" w:pos="720"/>
                <w:tab w:val="center" w:pos="6930"/>
              </w:tabs>
              <w:rPr>
                <w:szCs w:val="24"/>
              </w:rPr>
            </w:pPr>
          </w:p>
        </w:tc>
        <w:tc>
          <w:tcPr>
            <w:tcW w:w="1134" w:type="dxa"/>
            <w:vAlign w:val="center"/>
          </w:tcPr>
          <w:p w14:paraId="4F4C2136" w14:textId="77777777" w:rsidR="005666C0" w:rsidRPr="00294859" w:rsidRDefault="005666C0" w:rsidP="005666C0">
            <w:pPr>
              <w:tabs>
                <w:tab w:val="decimal" w:pos="1080"/>
              </w:tabs>
              <w:jc w:val="right"/>
              <w:rPr>
                <w:szCs w:val="24"/>
              </w:rPr>
            </w:pPr>
          </w:p>
        </w:tc>
        <w:tc>
          <w:tcPr>
            <w:tcW w:w="1134" w:type="dxa"/>
            <w:vAlign w:val="center"/>
          </w:tcPr>
          <w:p w14:paraId="36A2E311" w14:textId="254FAF77" w:rsidR="005666C0" w:rsidRPr="00294859" w:rsidRDefault="00330509" w:rsidP="005666C0">
            <w:pPr>
              <w:tabs>
                <w:tab w:val="decimal" w:pos="885"/>
              </w:tabs>
              <w:jc w:val="right"/>
              <w:rPr>
                <w:szCs w:val="24"/>
              </w:rPr>
            </w:pPr>
            <w:r w:rsidRPr="00DF39E9">
              <w:rPr>
                <w:szCs w:val="24"/>
              </w:rPr>
              <w:t>-</w:t>
            </w:r>
          </w:p>
        </w:tc>
        <w:tc>
          <w:tcPr>
            <w:tcW w:w="1134" w:type="dxa"/>
            <w:vAlign w:val="center"/>
          </w:tcPr>
          <w:p w14:paraId="21EDE3D6" w14:textId="77777777" w:rsidR="005666C0" w:rsidRPr="00DF39E9" w:rsidRDefault="005666C0" w:rsidP="005666C0">
            <w:pPr>
              <w:tabs>
                <w:tab w:val="decimal" w:pos="1080"/>
              </w:tabs>
              <w:jc w:val="right"/>
              <w:rPr>
                <w:szCs w:val="24"/>
              </w:rPr>
            </w:pPr>
          </w:p>
        </w:tc>
        <w:tc>
          <w:tcPr>
            <w:tcW w:w="1134" w:type="dxa"/>
            <w:vAlign w:val="center"/>
          </w:tcPr>
          <w:p w14:paraId="42C6AD11" w14:textId="375BF115" w:rsidR="005666C0" w:rsidRPr="00DF39E9" w:rsidRDefault="005666C0" w:rsidP="005666C0">
            <w:pPr>
              <w:tabs>
                <w:tab w:val="decimal" w:pos="885"/>
              </w:tabs>
              <w:jc w:val="right"/>
              <w:rPr>
                <w:szCs w:val="24"/>
              </w:rPr>
            </w:pPr>
            <w:r w:rsidRPr="00DF39E9">
              <w:rPr>
                <w:szCs w:val="24"/>
              </w:rPr>
              <w:t>-</w:t>
            </w:r>
          </w:p>
        </w:tc>
      </w:tr>
      <w:tr w:rsidR="005666C0" w:rsidRPr="00D948C1" w14:paraId="1910D956" w14:textId="77777777" w:rsidTr="0059772F">
        <w:trPr>
          <w:trHeight w:hRule="exact" w:val="856"/>
        </w:trPr>
        <w:tc>
          <w:tcPr>
            <w:tcW w:w="4350" w:type="dxa"/>
          </w:tcPr>
          <w:p w14:paraId="651EE98A" w14:textId="77777777" w:rsidR="005666C0" w:rsidRPr="00D948C1" w:rsidRDefault="005666C0" w:rsidP="005666C0">
            <w:pPr>
              <w:tabs>
                <w:tab w:val="left" w:pos="720"/>
                <w:tab w:val="center" w:pos="6930"/>
              </w:tabs>
              <w:rPr>
                <w:szCs w:val="24"/>
              </w:rPr>
            </w:pPr>
            <w:r w:rsidRPr="00D948C1">
              <w:rPr>
                <w:szCs w:val="24"/>
              </w:rPr>
              <w:t>Net amount written out of the cost of non-current assets consumed in the year</w:t>
            </w:r>
          </w:p>
        </w:tc>
        <w:tc>
          <w:tcPr>
            <w:tcW w:w="1134" w:type="dxa"/>
            <w:vAlign w:val="center"/>
          </w:tcPr>
          <w:p w14:paraId="6DF24A31" w14:textId="77777777" w:rsidR="005666C0" w:rsidRPr="00294859" w:rsidRDefault="005666C0" w:rsidP="005666C0">
            <w:pPr>
              <w:tabs>
                <w:tab w:val="decimal" w:pos="1080"/>
              </w:tabs>
              <w:jc w:val="right"/>
              <w:rPr>
                <w:szCs w:val="24"/>
              </w:rPr>
            </w:pPr>
          </w:p>
        </w:tc>
        <w:tc>
          <w:tcPr>
            <w:tcW w:w="1134" w:type="dxa"/>
            <w:vAlign w:val="center"/>
          </w:tcPr>
          <w:p w14:paraId="03152BB2" w14:textId="1D45A121" w:rsidR="005666C0" w:rsidRPr="00294859" w:rsidRDefault="00230301" w:rsidP="005666C0">
            <w:pPr>
              <w:tabs>
                <w:tab w:val="decimal" w:pos="885"/>
              </w:tabs>
              <w:jc w:val="right"/>
              <w:rPr>
                <w:szCs w:val="24"/>
              </w:rPr>
            </w:pPr>
            <w:r w:rsidRPr="00DF39E9">
              <w:rPr>
                <w:szCs w:val="24"/>
              </w:rPr>
              <w:t>3,62</w:t>
            </w:r>
            <w:r w:rsidR="007D4680" w:rsidRPr="00DF39E9">
              <w:rPr>
                <w:szCs w:val="24"/>
              </w:rPr>
              <w:t>7</w:t>
            </w:r>
          </w:p>
        </w:tc>
        <w:tc>
          <w:tcPr>
            <w:tcW w:w="1134" w:type="dxa"/>
            <w:vAlign w:val="center"/>
          </w:tcPr>
          <w:p w14:paraId="5E3A02BC" w14:textId="77777777" w:rsidR="005666C0" w:rsidRPr="00DF39E9" w:rsidRDefault="005666C0" w:rsidP="005666C0">
            <w:pPr>
              <w:tabs>
                <w:tab w:val="decimal" w:pos="1080"/>
              </w:tabs>
              <w:jc w:val="right"/>
              <w:rPr>
                <w:szCs w:val="24"/>
              </w:rPr>
            </w:pPr>
          </w:p>
        </w:tc>
        <w:tc>
          <w:tcPr>
            <w:tcW w:w="1134" w:type="dxa"/>
            <w:vAlign w:val="center"/>
          </w:tcPr>
          <w:p w14:paraId="5FCB65E5" w14:textId="74508702" w:rsidR="005666C0" w:rsidRPr="00DF39E9" w:rsidRDefault="005666C0" w:rsidP="005666C0">
            <w:pPr>
              <w:tabs>
                <w:tab w:val="decimal" w:pos="885"/>
              </w:tabs>
              <w:jc w:val="right"/>
              <w:rPr>
                <w:szCs w:val="24"/>
              </w:rPr>
            </w:pPr>
            <w:r w:rsidRPr="00DF39E9">
              <w:rPr>
                <w:szCs w:val="24"/>
              </w:rPr>
              <w:t>3,006</w:t>
            </w:r>
          </w:p>
        </w:tc>
      </w:tr>
    </w:tbl>
    <w:p w14:paraId="4A43E92F" w14:textId="77777777" w:rsidR="00EC3487" w:rsidRPr="00D948C1" w:rsidRDefault="00EC3487"/>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1134"/>
        <w:gridCol w:w="1134"/>
        <w:gridCol w:w="1134"/>
        <w:gridCol w:w="1134"/>
      </w:tblGrid>
      <w:tr w:rsidR="00982FEC" w:rsidRPr="00D948C1" w14:paraId="327BFF78" w14:textId="77777777" w:rsidTr="00982FEC">
        <w:trPr>
          <w:trHeight w:hRule="exact" w:val="300"/>
        </w:trPr>
        <w:tc>
          <w:tcPr>
            <w:tcW w:w="8886" w:type="dxa"/>
            <w:gridSpan w:val="5"/>
            <w:shd w:val="clear" w:color="auto" w:fill="D9D9D9" w:themeFill="background1" w:themeFillShade="D9"/>
          </w:tcPr>
          <w:p w14:paraId="5A9C1FC7" w14:textId="662BDBAE" w:rsidR="00982FEC" w:rsidRPr="00D948C1" w:rsidRDefault="00982FEC" w:rsidP="00982FEC">
            <w:pPr>
              <w:tabs>
                <w:tab w:val="decimal" w:pos="885"/>
              </w:tabs>
              <w:rPr>
                <w:b/>
                <w:bCs/>
                <w:szCs w:val="24"/>
              </w:rPr>
            </w:pPr>
            <w:r w:rsidRPr="00D948C1">
              <w:rPr>
                <w:b/>
                <w:bCs/>
                <w:szCs w:val="24"/>
              </w:rPr>
              <w:t>Capital financing applied in the year:</w:t>
            </w:r>
          </w:p>
        </w:tc>
      </w:tr>
      <w:tr w:rsidR="005666C0" w:rsidRPr="00D948C1" w14:paraId="313618B4" w14:textId="77777777" w:rsidTr="00C42769">
        <w:trPr>
          <w:trHeight w:hRule="exact" w:val="624"/>
        </w:trPr>
        <w:tc>
          <w:tcPr>
            <w:tcW w:w="4350" w:type="dxa"/>
          </w:tcPr>
          <w:p w14:paraId="5A0460D4" w14:textId="5E467E9B" w:rsidR="005666C0" w:rsidRPr="00D948C1" w:rsidRDefault="005666C0" w:rsidP="005666C0">
            <w:pPr>
              <w:numPr>
                <w:ilvl w:val="0"/>
                <w:numId w:val="15"/>
              </w:numPr>
              <w:tabs>
                <w:tab w:val="center" w:pos="6930"/>
              </w:tabs>
              <w:rPr>
                <w:szCs w:val="24"/>
              </w:rPr>
            </w:pPr>
            <w:r>
              <w:rPr>
                <w:szCs w:val="24"/>
              </w:rPr>
              <w:t>Prior year financing of NWFC capital assets</w:t>
            </w:r>
          </w:p>
        </w:tc>
        <w:tc>
          <w:tcPr>
            <w:tcW w:w="1134" w:type="dxa"/>
            <w:vAlign w:val="center"/>
          </w:tcPr>
          <w:p w14:paraId="4D1B782B" w14:textId="3FBFA067" w:rsidR="005666C0" w:rsidRPr="00294859" w:rsidRDefault="00B56F94" w:rsidP="005666C0">
            <w:pPr>
              <w:tabs>
                <w:tab w:val="decimal" w:pos="885"/>
              </w:tabs>
              <w:jc w:val="right"/>
              <w:rPr>
                <w:szCs w:val="24"/>
              </w:rPr>
            </w:pPr>
            <w:r w:rsidRPr="00DF39E9">
              <w:rPr>
                <w:szCs w:val="24"/>
              </w:rPr>
              <w:t>-</w:t>
            </w:r>
          </w:p>
        </w:tc>
        <w:tc>
          <w:tcPr>
            <w:tcW w:w="1134" w:type="dxa"/>
            <w:vAlign w:val="center"/>
          </w:tcPr>
          <w:p w14:paraId="31DDEAA8" w14:textId="77777777" w:rsidR="005666C0" w:rsidRPr="00294859" w:rsidRDefault="005666C0" w:rsidP="005666C0">
            <w:pPr>
              <w:tabs>
                <w:tab w:val="decimal" w:pos="885"/>
              </w:tabs>
              <w:jc w:val="right"/>
              <w:rPr>
                <w:szCs w:val="24"/>
              </w:rPr>
            </w:pPr>
          </w:p>
        </w:tc>
        <w:tc>
          <w:tcPr>
            <w:tcW w:w="1134" w:type="dxa"/>
            <w:vAlign w:val="center"/>
          </w:tcPr>
          <w:p w14:paraId="315F4844" w14:textId="56BB92D0" w:rsidR="005666C0" w:rsidRPr="00DF39E9" w:rsidRDefault="005666C0" w:rsidP="005666C0">
            <w:pPr>
              <w:tabs>
                <w:tab w:val="decimal" w:pos="885"/>
              </w:tabs>
              <w:jc w:val="right"/>
              <w:rPr>
                <w:szCs w:val="24"/>
              </w:rPr>
            </w:pPr>
            <w:r w:rsidRPr="00DF39E9">
              <w:rPr>
                <w:szCs w:val="24"/>
              </w:rPr>
              <w:t>(751)</w:t>
            </w:r>
          </w:p>
        </w:tc>
        <w:tc>
          <w:tcPr>
            <w:tcW w:w="1134" w:type="dxa"/>
            <w:vAlign w:val="center"/>
          </w:tcPr>
          <w:p w14:paraId="2F642D99" w14:textId="77777777" w:rsidR="005666C0" w:rsidRPr="00DF39E9" w:rsidRDefault="005666C0" w:rsidP="005666C0">
            <w:pPr>
              <w:tabs>
                <w:tab w:val="decimal" w:pos="885"/>
              </w:tabs>
              <w:jc w:val="right"/>
              <w:rPr>
                <w:szCs w:val="24"/>
              </w:rPr>
            </w:pPr>
          </w:p>
        </w:tc>
      </w:tr>
      <w:tr w:rsidR="005666C0" w:rsidRPr="00D948C1" w14:paraId="189BDEA3" w14:textId="77777777" w:rsidTr="00746F3D">
        <w:trPr>
          <w:trHeight w:hRule="exact" w:val="857"/>
        </w:trPr>
        <w:tc>
          <w:tcPr>
            <w:tcW w:w="4350" w:type="dxa"/>
          </w:tcPr>
          <w:p w14:paraId="035E8E3B" w14:textId="77777777" w:rsidR="005666C0" w:rsidRPr="00D948C1" w:rsidRDefault="005666C0" w:rsidP="005666C0">
            <w:pPr>
              <w:numPr>
                <w:ilvl w:val="0"/>
                <w:numId w:val="15"/>
              </w:numPr>
              <w:tabs>
                <w:tab w:val="center" w:pos="6930"/>
              </w:tabs>
              <w:rPr>
                <w:szCs w:val="24"/>
              </w:rPr>
            </w:pPr>
            <w:r w:rsidRPr="00D948C1">
              <w:rPr>
                <w:szCs w:val="24"/>
              </w:rPr>
              <w:t>Statutory provision for financing of capital investment charged against General Fund</w:t>
            </w:r>
          </w:p>
        </w:tc>
        <w:tc>
          <w:tcPr>
            <w:tcW w:w="1134" w:type="dxa"/>
            <w:vAlign w:val="center"/>
          </w:tcPr>
          <w:p w14:paraId="5D8322EE" w14:textId="4FF8E75F" w:rsidR="005666C0" w:rsidRPr="00294859" w:rsidRDefault="00701602" w:rsidP="005666C0">
            <w:pPr>
              <w:tabs>
                <w:tab w:val="decimal" w:pos="885"/>
              </w:tabs>
              <w:jc w:val="right"/>
              <w:rPr>
                <w:szCs w:val="24"/>
              </w:rPr>
            </w:pPr>
            <w:r w:rsidRPr="00DF39E9">
              <w:rPr>
                <w:szCs w:val="24"/>
              </w:rPr>
              <w:t>(606)</w:t>
            </w:r>
          </w:p>
        </w:tc>
        <w:tc>
          <w:tcPr>
            <w:tcW w:w="1134" w:type="dxa"/>
            <w:vAlign w:val="center"/>
          </w:tcPr>
          <w:p w14:paraId="0ADFF8D4" w14:textId="77777777" w:rsidR="005666C0" w:rsidRPr="00294859" w:rsidRDefault="005666C0" w:rsidP="005666C0">
            <w:pPr>
              <w:tabs>
                <w:tab w:val="decimal" w:pos="885"/>
              </w:tabs>
              <w:jc w:val="right"/>
              <w:rPr>
                <w:szCs w:val="24"/>
              </w:rPr>
            </w:pPr>
          </w:p>
        </w:tc>
        <w:tc>
          <w:tcPr>
            <w:tcW w:w="1134" w:type="dxa"/>
            <w:vAlign w:val="center"/>
          </w:tcPr>
          <w:p w14:paraId="5736A2E2" w14:textId="0401BE71" w:rsidR="005666C0" w:rsidRPr="00DF39E9" w:rsidRDefault="005666C0" w:rsidP="005666C0">
            <w:pPr>
              <w:tabs>
                <w:tab w:val="decimal" w:pos="885"/>
              </w:tabs>
              <w:jc w:val="right"/>
              <w:rPr>
                <w:szCs w:val="24"/>
              </w:rPr>
            </w:pPr>
            <w:r w:rsidRPr="00DF39E9">
              <w:rPr>
                <w:szCs w:val="24"/>
              </w:rPr>
              <w:t>(517)</w:t>
            </w:r>
          </w:p>
        </w:tc>
        <w:tc>
          <w:tcPr>
            <w:tcW w:w="1134" w:type="dxa"/>
            <w:vAlign w:val="center"/>
          </w:tcPr>
          <w:p w14:paraId="6613972F" w14:textId="77777777" w:rsidR="005666C0" w:rsidRPr="00DF39E9" w:rsidRDefault="005666C0" w:rsidP="005666C0">
            <w:pPr>
              <w:tabs>
                <w:tab w:val="decimal" w:pos="885"/>
              </w:tabs>
              <w:jc w:val="right"/>
              <w:rPr>
                <w:szCs w:val="24"/>
              </w:rPr>
            </w:pPr>
          </w:p>
        </w:tc>
      </w:tr>
      <w:tr w:rsidR="005666C0" w:rsidRPr="00D948C1" w14:paraId="12070B1F" w14:textId="77777777" w:rsidTr="00746F3D">
        <w:trPr>
          <w:trHeight w:hRule="exact" w:val="624"/>
        </w:trPr>
        <w:tc>
          <w:tcPr>
            <w:tcW w:w="4350" w:type="dxa"/>
          </w:tcPr>
          <w:p w14:paraId="55969B01" w14:textId="77777777" w:rsidR="005666C0" w:rsidRPr="00D948C1" w:rsidRDefault="005666C0" w:rsidP="005666C0">
            <w:pPr>
              <w:numPr>
                <w:ilvl w:val="0"/>
                <w:numId w:val="15"/>
              </w:numPr>
              <w:tabs>
                <w:tab w:val="center" w:pos="6930"/>
              </w:tabs>
              <w:rPr>
                <w:szCs w:val="24"/>
              </w:rPr>
            </w:pPr>
            <w:r w:rsidRPr="00D948C1">
              <w:rPr>
                <w:szCs w:val="24"/>
              </w:rPr>
              <w:t>Use of capital reserves to fund expenditure</w:t>
            </w:r>
          </w:p>
          <w:p w14:paraId="0DC55281" w14:textId="77777777" w:rsidR="005666C0" w:rsidRPr="00D948C1" w:rsidRDefault="005666C0" w:rsidP="005666C0">
            <w:pPr>
              <w:tabs>
                <w:tab w:val="center" w:pos="6930"/>
              </w:tabs>
              <w:ind w:left="360"/>
              <w:rPr>
                <w:szCs w:val="24"/>
              </w:rPr>
            </w:pPr>
          </w:p>
        </w:tc>
        <w:tc>
          <w:tcPr>
            <w:tcW w:w="1134" w:type="dxa"/>
            <w:vAlign w:val="center"/>
          </w:tcPr>
          <w:p w14:paraId="65FAC9DF" w14:textId="6A1D5F0A" w:rsidR="005666C0" w:rsidRPr="00294859" w:rsidRDefault="00701602" w:rsidP="005666C0">
            <w:pPr>
              <w:tabs>
                <w:tab w:val="decimal" w:pos="885"/>
              </w:tabs>
              <w:jc w:val="right"/>
              <w:rPr>
                <w:szCs w:val="24"/>
              </w:rPr>
            </w:pPr>
            <w:r w:rsidRPr="00DF39E9">
              <w:rPr>
                <w:szCs w:val="24"/>
              </w:rPr>
              <w:t>(1,261)</w:t>
            </w:r>
          </w:p>
        </w:tc>
        <w:tc>
          <w:tcPr>
            <w:tcW w:w="1134" w:type="dxa"/>
            <w:vAlign w:val="center"/>
          </w:tcPr>
          <w:p w14:paraId="611F53E4" w14:textId="77777777" w:rsidR="005666C0" w:rsidRPr="00294859" w:rsidRDefault="005666C0" w:rsidP="005666C0">
            <w:pPr>
              <w:tabs>
                <w:tab w:val="decimal" w:pos="885"/>
              </w:tabs>
              <w:jc w:val="right"/>
              <w:rPr>
                <w:szCs w:val="24"/>
              </w:rPr>
            </w:pPr>
          </w:p>
        </w:tc>
        <w:tc>
          <w:tcPr>
            <w:tcW w:w="1134" w:type="dxa"/>
            <w:vAlign w:val="center"/>
          </w:tcPr>
          <w:p w14:paraId="456CE863" w14:textId="0933B023" w:rsidR="005666C0" w:rsidRPr="00DF39E9" w:rsidRDefault="005666C0" w:rsidP="005666C0">
            <w:pPr>
              <w:tabs>
                <w:tab w:val="decimal" w:pos="885"/>
              </w:tabs>
              <w:jc w:val="right"/>
              <w:rPr>
                <w:szCs w:val="24"/>
              </w:rPr>
            </w:pPr>
            <w:r w:rsidRPr="00DF39E9">
              <w:rPr>
                <w:szCs w:val="24"/>
              </w:rPr>
              <w:t>(1,637)</w:t>
            </w:r>
          </w:p>
        </w:tc>
        <w:tc>
          <w:tcPr>
            <w:tcW w:w="1134" w:type="dxa"/>
            <w:vAlign w:val="center"/>
          </w:tcPr>
          <w:p w14:paraId="7E1BF806" w14:textId="77777777" w:rsidR="005666C0" w:rsidRPr="00DF39E9" w:rsidRDefault="005666C0" w:rsidP="005666C0">
            <w:pPr>
              <w:tabs>
                <w:tab w:val="decimal" w:pos="885"/>
              </w:tabs>
              <w:jc w:val="right"/>
              <w:rPr>
                <w:szCs w:val="24"/>
              </w:rPr>
            </w:pPr>
          </w:p>
        </w:tc>
      </w:tr>
      <w:tr w:rsidR="005666C0" w:rsidRPr="00D948C1" w14:paraId="4188D6D4" w14:textId="77777777" w:rsidTr="00C42769">
        <w:trPr>
          <w:trHeight w:hRule="exact" w:val="624"/>
        </w:trPr>
        <w:tc>
          <w:tcPr>
            <w:tcW w:w="4350" w:type="dxa"/>
          </w:tcPr>
          <w:p w14:paraId="71E5B69C" w14:textId="77777777" w:rsidR="005666C0" w:rsidRPr="00D948C1" w:rsidRDefault="005666C0" w:rsidP="005666C0">
            <w:pPr>
              <w:numPr>
                <w:ilvl w:val="0"/>
                <w:numId w:val="15"/>
              </w:numPr>
              <w:tabs>
                <w:tab w:val="center" w:pos="6930"/>
              </w:tabs>
              <w:rPr>
                <w:szCs w:val="24"/>
              </w:rPr>
            </w:pPr>
            <w:r w:rsidRPr="00D948C1">
              <w:rPr>
                <w:szCs w:val="24"/>
              </w:rPr>
              <w:t>Capital expenditure charged to General Fund Balance</w:t>
            </w:r>
          </w:p>
        </w:tc>
        <w:tc>
          <w:tcPr>
            <w:tcW w:w="1134" w:type="dxa"/>
            <w:vAlign w:val="center"/>
          </w:tcPr>
          <w:p w14:paraId="149B6926" w14:textId="5958634B" w:rsidR="005666C0" w:rsidRPr="00294859" w:rsidRDefault="00701602" w:rsidP="005666C0">
            <w:pPr>
              <w:tabs>
                <w:tab w:val="decimal" w:pos="885"/>
              </w:tabs>
              <w:jc w:val="right"/>
              <w:rPr>
                <w:szCs w:val="24"/>
              </w:rPr>
            </w:pPr>
            <w:r w:rsidRPr="00DF39E9">
              <w:rPr>
                <w:szCs w:val="24"/>
              </w:rPr>
              <w:t>(3,000)</w:t>
            </w:r>
          </w:p>
        </w:tc>
        <w:tc>
          <w:tcPr>
            <w:tcW w:w="1134" w:type="dxa"/>
            <w:vAlign w:val="center"/>
          </w:tcPr>
          <w:p w14:paraId="291D8EA1" w14:textId="77777777" w:rsidR="005666C0" w:rsidRPr="00294859" w:rsidRDefault="005666C0" w:rsidP="005666C0">
            <w:pPr>
              <w:tabs>
                <w:tab w:val="decimal" w:pos="885"/>
              </w:tabs>
              <w:jc w:val="right"/>
              <w:rPr>
                <w:szCs w:val="24"/>
              </w:rPr>
            </w:pPr>
          </w:p>
        </w:tc>
        <w:tc>
          <w:tcPr>
            <w:tcW w:w="1134" w:type="dxa"/>
            <w:vAlign w:val="center"/>
          </w:tcPr>
          <w:p w14:paraId="7CC9450F" w14:textId="4BAB9340" w:rsidR="005666C0" w:rsidRPr="00DF39E9" w:rsidRDefault="005666C0" w:rsidP="005666C0">
            <w:pPr>
              <w:tabs>
                <w:tab w:val="decimal" w:pos="885"/>
              </w:tabs>
              <w:jc w:val="right"/>
              <w:rPr>
                <w:szCs w:val="24"/>
              </w:rPr>
            </w:pPr>
            <w:r w:rsidRPr="00DF39E9">
              <w:rPr>
                <w:szCs w:val="24"/>
              </w:rPr>
              <w:t>(4,437)</w:t>
            </w:r>
          </w:p>
        </w:tc>
        <w:tc>
          <w:tcPr>
            <w:tcW w:w="1134" w:type="dxa"/>
            <w:vAlign w:val="center"/>
          </w:tcPr>
          <w:p w14:paraId="506B5AD7" w14:textId="77777777" w:rsidR="005666C0" w:rsidRPr="00DF39E9" w:rsidRDefault="005666C0" w:rsidP="005666C0">
            <w:pPr>
              <w:tabs>
                <w:tab w:val="decimal" w:pos="885"/>
              </w:tabs>
              <w:jc w:val="right"/>
              <w:rPr>
                <w:szCs w:val="24"/>
              </w:rPr>
            </w:pPr>
          </w:p>
        </w:tc>
      </w:tr>
      <w:tr w:rsidR="005666C0" w:rsidRPr="00D948C1" w14:paraId="7E89F1CC" w14:textId="77777777" w:rsidTr="00C42769">
        <w:trPr>
          <w:trHeight w:hRule="exact" w:val="300"/>
        </w:trPr>
        <w:tc>
          <w:tcPr>
            <w:tcW w:w="4350" w:type="dxa"/>
          </w:tcPr>
          <w:p w14:paraId="39A64BFF" w14:textId="50286463" w:rsidR="005666C0" w:rsidRPr="00D948C1" w:rsidRDefault="005666C0" w:rsidP="005666C0">
            <w:pPr>
              <w:tabs>
                <w:tab w:val="left" w:pos="720"/>
                <w:tab w:val="center" w:pos="6930"/>
              </w:tabs>
              <w:rPr>
                <w:szCs w:val="24"/>
              </w:rPr>
            </w:pPr>
            <w:r w:rsidRPr="00D948C1">
              <w:rPr>
                <w:szCs w:val="24"/>
              </w:rPr>
              <w:t>Sub-total</w:t>
            </w:r>
          </w:p>
        </w:tc>
        <w:tc>
          <w:tcPr>
            <w:tcW w:w="1134" w:type="dxa"/>
            <w:vAlign w:val="center"/>
          </w:tcPr>
          <w:p w14:paraId="3BBE4C54" w14:textId="77777777" w:rsidR="005666C0" w:rsidRPr="00294859" w:rsidRDefault="005666C0" w:rsidP="005666C0">
            <w:pPr>
              <w:tabs>
                <w:tab w:val="decimal" w:pos="1080"/>
              </w:tabs>
              <w:jc w:val="right"/>
              <w:rPr>
                <w:szCs w:val="24"/>
              </w:rPr>
            </w:pPr>
          </w:p>
        </w:tc>
        <w:tc>
          <w:tcPr>
            <w:tcW w:w="1134" w:type="dxa"/>
            <w:vAlign w:val="center"/>
          </w:tcPr>
          <w:p w14:paraId="0E83126D" w14:textId="2C27A75A" w:rsidR="005666C0" w:rsidRPr="00294859" w:rsidRDefault="006649D8" w:rsidP="005666C0">
            <w:pPr>
              <w:tabs>
                <w:tab w:val="decimal" w:pos="885"/>
              </w:tabs>
              <w:jc w:val="right"/>
              <w:rPr>
                <w:szCs w:val="24"/>
              </w:rPr>
            </w:pPr>
            <w:r w:rsidRPr="00DF39E9">
              <w:rPr>
                <w:szCs w:val="24"/>
              </w:rPr>
              <w:t>(4,867)</w:t>
            </w:r>
          </w:p>
        </w:tc>
        <w:tc>
          <w:tcPr>
            <w:tcW w:w="1134" w:type="dxa"/>
            <w:vAlign w:val="center"/>
          </w:tcPr>
          <w:p w14:paraId="5566A641" w14:textId="77777777" w:rsidR="005666C0" w:rsidRPr="00DF39E9" w:rsidRDefault="005666C0" w:rsidP="005666C0">
            <w:pPr>
              <w:tabs>
                <w:tab w:val="decimal" w:pos="1080"/>
              </w:tabs>
              <w:jc w:val="right"/>
              <w:rPr>
                <w:szCs w:val="24"/>
              </w:rPr>
            </w:pPr>
          </w:p>
        </w:tc>
        <w:tc>
          <w:tcPr>
            <w:tcW w:w="1134" w:type="dxa"/>
            <w:vAlign w:val="center"/>
          </w:tcPr>
          <w:p w14:paraId="5E04F077" w14:textId="7D024A96" w:rsidR="005666C0" w:rsidRPr="00DF39E9" w:rsidRDefault="005666C0" w:rsidP="005666C0">
            <w:pPr>
              <w:tabs>
                <w:tab w:val="decimal" w:pos="885"/>
              </w:tabs>
              <w:jc w:val="right"/>
              <w:rPr>
                <w:szCs w:val="24"/>
              </w:rPr>
            </w:pPr>
            <w:r w:rsidRPr="00DF39E9">
              <w:rPr>
                <w:szCs w:val="24"/>
              </w:rPr>
              <w:t>(</w:t>
            </w:r>
            <w:r w:rsidR="00AB15B4" w:rsidRPr="00DF39E9">
              <w:rPr>
                <w:szCs w:val="24"/>
              </w:rPr>
              <w:t>7,342</w:t>
            </w:r>
            <w:r w:rsidRPr="00DF39E9">
              <w:rPr>
                <w:szCs w:val="24"/>
              </w:rPr>
              <w:t>)</w:t>
            </w:r>
          </w:p>
        </w:tc>
      </w:tr>
      <w:tr w:rsidR="005666C0" w:rsidRPr="00D948C1" w14:paraId="57B5CB58" w14:textId="77777777" w:rsidTr="00746F3D">
        <w:trPr>
          <w:trHeight w:hRule="exact" w:val="300"/>
        </w:trPr>
        <w:tc>
          <w:tcPr>
            <w:tcW w:w="4350" w:type="dxa"/>
          </w:tcPr>
          <w:p w14:paraId="0D0E26E2" w14:textId="77777777" w:rsidR="005666C0" w:rsidRPr="00D948C1" w:rsidRDefault="005666C0" w:rsidP="005666C0">
            <w:pPr>
              <w:tabs>
                <w:tab w:val="left" w:pos="720"/>
                <w:tab w:val="center" w:pos="6930"/>
              </w:tabs>
              <w:rPr>
                <w:szCs w:val="24"/>
              </w:rPr>
            </w:pPr>
            <w:r w:rsidRPr="00D948C1">
              <w:rPr>
                <w:szCs w:val="24"/>
              </w:rPr>
              <w:t xml:space="preserve">Balance as </w:t>
            </w:r>
            <w:proofErr w:type="gramStart"/>
            <w:r w:rsidRPr="00D948C1">
              <w:rPr>
                <w:szCs w:val="24"/>
              </w:rPr>
              <w:t>at</w:t>
            </w:r>
            <w:proofErr w:type="gramEnd"/>
            <w:r w:rsidRPr="00D948C1">
              <w:rPr>
                <w:szCs w:val="24"/>
              </w:rPr>
              <w:t xml:space="preserve"> 31 March</w:t>
            </w:r>
          </w:p>
        </w:tc>
        <w:tc>
          <w:tcPr>
            <w:tcW w:w="1134" w:type="dxa"/>
            <w:vAlign w:val="center"/>
          </w:tcPr>
          <w:p w14:paraId="72F664AB" w14:textId="77777777" w:rsidR="005666C0" w:rsidRPr="00294859" w:rsidRDefault="005666C0" w:rsidP="005666C0">
            <w:pPr>
              <w:tabs>
                <w:tab w:val="decimal" w:pos="1080"/>
              </w:tabs>
              <w:jc w:val="right"/>
              <w:rPr>
                <w:szCs w:val="24"/>
              </w:rPr>
            </w:pPr>
          </w:p>
        </w:tc>
        <w:tc>
          <w:tcPr>
            <w:tcW w:w="1134" w:type="dxa"/>
            <w:vAlign w:val="center"/>
          </w:tcPr>
          <w:p w14:paraId="7180F9A4" w14:textId="01B2425E" w:rsidR="005666C0" w:rsidRPr="00294859" w:rsidRDefault="00F66CC5" w:rsidP="005666C0">
            <w:pPr>
              <w:tabs>
                <w:tab w:val="decimal" w:pos="885"/>
              </w:tabs>
              <w:jc w:val="right"/>
              <w:rPr>
                <w:szCs w:val="24"/>
              </w:rPr>
            </w:pPr>
            <w:r w:rsidRPr="00DF39E9">
              <w:rPr>
                <w:szCs w:val="24"/>
              </w:rPr>
              <w:t>(43,858)</w:t>
            </w:r>
          </w:p>
        </w:tc>
        <w:tc>
          <w:tcPr>
            <w:tcW w:w="1134" w:type="dxa"/>
            <w:vAlign w:val="center"/>
          </w:tcPr>
          <w:p w14:paraId="7BF5FCCA" w14:textId="77777777" w:rsidR="005666C0" w:rsidRPr="00DF39E9" w:rsidRDefault="005666C0" w:rsidP="005666C0">
            <w:pPr>
              <w:tabs>
                <w:tab w:val="decimal" w:pos="1080"/>
              </w:tabs>
              <w:jc w:val="right"/>
              <w:rPr>
                <w:szCs w:val="24"/>
              </w:rPr>
            </w:pPr>
          </w:p>
        </w:tc>
        <w:tc>
          <w:tcPr>
            <w:tcW w:w="1134" w:type="dxa"/>
            <w:vAlign w:val="center"/>
          </w:tcPr>
          <w:p w14:paraId="26EFC719" w14:textId="46A3A0DC" w:rsidR="005666C0" w:rsidRPr="00DF39E9" w:rsidRDefault="005666C0" w:rsidP="005666C0">
            <w:pPr>
              <w:tabs>
                <w:tab w:val="decimal" w:pos="885"/>
              </w:tabs>
              <w:jc w:val="right"/>
              <w:rPr>
                <w:szCs w:val="24"/>
              </w:rPr>
            </w:pPr>
            <w:r w:rsidRPr="00DF39E9">
              <w:rPr>
                <w:szCs w:val="24"/>
              </w:rPr>
              <w:t>(4</w:t>
            </w:r>
            <w:r w:rsidR="00CB01BF" w:rsidRPr="00DF39E9">
              <w:rPr>
                <w:szCs w:val="24"/>
              </w:rPr>
              <w:t>2,618</w:t>
            </w:r>
            <w:r w:rsidRPr="00DF39E9">
              <w:rPr>
                <w:szCs w:val="24"/>
              </w:rPr>
              <w:t>)</w:t>
            </w:r>
          </w:p>
        </w:tc>
      </w:tr>
    </w:tbl>
    <w:p w14:paraId="7446D0D2" w14:textId="77777777" w:rsidR="004B46CF" w:rsidRPr="00D948C1" w:rsidRDefault="00D90216" w:rsidP="00D90216">
      <w:pPr>
        <w:rPr>
          <w:b/>
          <w:sz w:val="22"/>
        </w:rPr>
      </w:pPr>
      <w:r w:rsidRPr="00D948C1">
        <w:rPr>
          <w:b/>
          <w:sz w:val="22"/>
        </w:rPr>
        <w:tab/>
      </w:r>
    </w:p>
    <w:p w14:paraId="5BC61108" w14:textId="77777777" w:rsidR="00D90216" w:rsidRPr="00D948C1" w:rsidRDefault="006F0BBE" w:rsidP="001931F4">
      <w:pPr>
        <w:ind w:left="709"/>
        <w:rPr>
          <w:b/>
          <w:szCs w:val="24"/>
        </w:rPr>
      </w:pPr>
      <w:r w:rsidRPr="00D948C1">
        <w:rPr>
          <w:b/>
          <w:sz w:val="22"/>
        </w:rPr>
        <w:br w:type="page"/>
      </w:r>
      <w:r w:rsidR="00D90216" w:rsidRPr="00D948C1">
        <w:rPr>
          <w:b/>
          <w:szCs w:val="24"/>
        </w:rPr>
        <w:lastRenderedPageBreak/>
        <w:t>Pensions Reserve</w:t>
      </w:r>
    </w:p>
    <w:p w14:paraId="58884CC7" w14:textId="77777777" w:rsidR="00D90216" w:rsidRPr="00D948C1" w:rsidRDefault="00D90216" w:rsidP="001931F4">
      <w:pPr>
        <w:ind w:left="709"/>
        <w:rPr>
          <w:szCs w:val="24"/>
        </w:rPr>
      </w:pPr>
    </w:p>
    <w:p w14:paraId="7FF64535" w14:textId="34A4DB3F" w:rsidR="00D90216" w:rsidRPr="00D948C1" w:rsidRDefault="00D90216" w:rsidP="001931F4">
      <w:pPr>
        <w:ind w:left="709"/>
        <w:rPr>
          <w:szCs w:val="24"/>
        </w:rPr>
      </w:pPr>
      <w:r w:rsidRPr="00D948C1">
        <w:rPr>
          <w:szCs w:val="24"/>
        </w:rPr>
        <w:t xml:space="preserve">The Pensions Reserve absorbs the timing differences arising from the different arrangements for accounting for </w:t>
      </w:r>
      <w:proofErr w:type="spellStart"/>
      <w:r w:rsidRPr="00D948C1">
        <w:rPr>
          <w:szCs w:val="24"/>
        </w:rPr>
        <w:t>post employment</w:t>
      </w:r>
      <w:proofErr w:type="spellEnd"/>
      <w:r w:rsidRPr="00D948C1">
        <w:rPr>
          <w:szCs w:val="24"/>
        </w:rPr>
        <w:t xml:space="preserve"> benefits and for funding benefits in accordance with statutory provisions.</w:t>
      </w:r>
      <w:r w:rsidR="009D6B29" w:rsidRPr="00D948C1">
        <w:rPr>
          <w:szCs w:val="24"/>
        </w:rPr>
        <w:t xml:space="preserve"> The reserve relates to both the LGPS and Firefighters pension schemes, and the large negative value of the reserve reflects the unfunded nature of the Firefighters pension scheme.</w:t>
      </w:r>
    </w:p>
    <w:p w14:paraId="25C9F712" w14:textId="77777777" w:rsidR="00D90216" w:rsidRPr="00D948C1" w:rsidRDefault="00D90216" w:rsidP="00D90216">
      <w:pPr>
        <w:ind w:left="709"/>
        <w:jc w:val="both"/>
        <w:rPr>
          <w:szCs w:val="24"/>
        </w:rPr>
      </w:pPr>
    </w:p>
    <w:tbl>
      <w:tblPr>
        <w:tblW w:w="87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57"/>
        <w:gridCol w:w="1533"/>
      </w:tblGrid>
      <w:tr w:rsidR="001931F4" w:rsidRPr="00D948C1" w14:paraId="5629D355" w14:textId="77777777" w:rsidTr="00611673">
        <w:trPr>
          <w:trHeight w:hRule="exact" w:val="592"/>
        </w:trPr>
        <w:tc>
          <w:tcPr>
            <w:tcW w:w="5670" w:type="dxa"/>
            <w:shd w:val="clear" w:color="auto" w:fill="BD2716"/>
          </w:tcPr>
          <w:p w14:paraId="501827E8" w14:textId="399F11EA" w:rsidR="001931F4" w:rsidRPr="00D948C1" w:rsidRDefault="001931F4" w:rsidP="00670DBF">
            <w:pPr>
              <w:tabs>
                <w:tab w:val="left" w:pos="720"/>
                <w:tab w:val="center" w:pos="6930"/>
              </w:tabs>
              <w:rPr>
                <w:color w:val="FFFFFF" w:themeColor="background1"/>
                <w:szCs w:val="24"/>
              </w:rPr>
            </w:pPr>
          </w:p>
        </w:tc>
        <w:tc>
          <w:tcPr>
            <w:tcW w:w="1557" w:type="dxa"/>
            <w:shd w:val="clear" w:color="auto" w:fill="BD2716"/>
            <w:vAlign w:val="center"/>
          </w:tcPr>
          <w:p w14:paraId="4B88BABD" w14:textId="53B5FB07" w:rsidR="001931F4" w:rsidRPr="00D948C1" w:rsidRDefault="001931F4" w:rsidP="00611673">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49BFDC3A" w14:textId="3F57E58A" w:rsidR="00021F7E" w:rsidRPr="00D948C1" w:rsidRDefault="00021F7E" w:rsidP="00611673">
            <w:pPr>
              <w:jc w:val="right"/>
              <w:rPr>
                <w:color w:val="FFFFFF" w:themeColor="background1"/>
                <w:szCs w:val="24"/>
              </w:rPr>
            </w:pPr>
            <w:r w:rsidRPr="00D948C1">
              <w:rPr>
                <w:color w:val="FFFFFF" w:themeColor="background1"/>
                <w:szCs w:val="24"/>
              </w:rPr>
              <w:t>£000</w:t>
            </w:r>
          </w:p>
        </w:tc>
        <w:tc>
          <w:tcPr>
            <w:tcW w:w="1533" w:type="dxa"/>
            <w:shd w:val="clear" w:color="auto" w:fill="BD2716"/>
            <w:vAlign w:val="center"/>
          </w:tcPr>
          <w:p w14:paraId="4D1ECF21"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0A3F2DF6" w14:textId="31FCFD41" w:rsidR="00021F7E"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36094802" w14:textId="77777777" w:rsidTr="003572E5">
        <w:trPr>
          <w:trHeight w:hRule="exact" w:val="278"/>
        </w:trPr>
        <w:tc>
          <w:tcPr>
            <w:tcW w:w="5670" w:type="dxa"/>
          </w:tcPr>
          <w:p w14:paraId="60D97D57" w14:textId="77777777" w:rsidR="005666C0" w:rsidRPr="00D948C1" w:rsidRDefault="005666C0" w:rsidP="005666C0">
            <w:pPr>
              <w:pStyle w:val="Footer"/>
              <w:tabs>
                <w:tab w:val="clear" w:pos="4153"/>
                <w:tab w:val="clear" w:pos="8306"/>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557" w:type="dxa"/>
            <w:vAlign w:val="center"/>
          </w:tcPr>
          <w:p w14:paraId="12AA4F72" w14:textId="0BA284EA" w:rsidR="005666C0" w:rsidRPr="00294859" w:rsidRDefault="00D939E9" w:rsidP="005666C0">
            <w:pPr>
              <w:tabs>
                <w:tab w:val="decimal" w:pos="885"/>
              </w:tabs>
              <w:jc w:val="right"/>
              <w:rPr>
                <w:szCs w:val="24"/>
              </w:rPr>
            </w:pPr>
            <w:r w:rsidRPr="00294859">
              <w:rPr>
                <w:szCs w:val="24"/>
              </w:rPr>
              <w:t>651,920</w:t>
            </w:r>
          </w:p>
        </w:tc>
        <w:tc>
          <w:tcPr>
            <w:tcW w:w="1533" w:type="dxa"/>
            <w:vAlign w:val="center"/>
          </w:tcPr>
          <w:p w14:paraId="7B40B3BF" w14:textId="726FE958" w:rsidR="005666C0" w:rsidRPr="00DF39E9" w:rsidRDefault="005666C0" w:rsidP="005666C0">
            <w:pPr>
              <w:tabs>
                <w:tab w:val="decimal" w:pos="885"/>
              </w:tabs>
              <w:jc w:val="right"/>
              <w:rPr>
                <w:szCs w:val="24"/>
              </w:rPr>
            </w:pPr>
            <w:r w:rsidRPr="00DF39E9">
              <w:rPr>
                <w:szCs w:val="24"/>
              </w:rPr>
              <w:t>651,536</w:t>
            </w:r>
          </w:p>
        </w:tc>
      </w:tr>
      <w:tr w:rsidR="005666C0" w:rsidRPr="00D948C1" w14:paraId="2709258F" w14:textId="77777777" w:rsidTr="003572E5">
        <w:trPr>
          <w:trHeight w:hRule="exact" w:val="556"/>
        </w:trPr>
        <w:tc>
          <w:tcPr>
            <w:tcW w:w="5670" w:type="dxa"/>
            <w:vAlign w:val="bottom"/>
          </w:tcPr>
          <w:p w14:paraId="1D1C51F1" w14:textId="77777777" w:rsidR="005666C0" w:rsidRPr="00D948C1" w:rsidRDefault="005666C0" w:rsidP="005666C0">
            <w:pPr>
              <w:rPr>
                <w:rFonts w:cs="Arial"/>
                <w:szCs w:val="24"/>
              </w:rPr>
            </w:pPr>
            <w:r w:rsidRPr="00D948C1">
              <w:rPr>
                <w:rFonts w:cs="Arial"/>
                <w:szCs w:val="24"/>
              </w:rPr>
              <w:t>Actuarial (gains) or losses on pensions assets and liabilities</w:t>
            </w:r>
          </w:p>
        </w:tc>
        <w:tc>
          <w:tcPr>
            <w:tcW w:w="1557" w:type="dxa"/>
            <w:vAlign w:val="center"/>
          </w:tcPr>
          <w:p w14:paraId="62803C87" w14:textId="7DFF483E" w:rsidR="005666C0" w:rsidRPr="00294859" w:rsidRDefault="0017199A" w:rsidP="005666C0">
            <w:pPr>
              <w:tabs>
                <w:tab w:val="decimal" w:pos="885"/>
              </w:tabs>
              <w:jc w:val="right"/>
              <w:rPr>
                <w:szCs w:val="24"/>
              </w:rPr>
            </w:pPr>
            <w:r w:rsidRPr="00294859">
              <w:rPr>
                <w:szCs w:val="24"/>
              </w:rPr>
              <w:t>(67,199)</w:t>
            </w:r>
          </w:p>
        </w:tc>
        <w:tc>
          <w:tcPr>
            <w:tcW w:w="1533" w:type="dxa"/>
            <w:vAlign w:val="center"/>
          </w:tcPr>
          <w:p w14:paraId="3DDB4016" w14:textId="26D07F47" w:rsidR="005666C0" w:rsidRPr="00DF39E9" w:rsidRDefault="005666C0" w:rsidP="005666C0">
            <w:pPr>
              <w:tabs>
                <w:tab w:val="decimal" w:pos="885"/>
              </w:tabs>
              <w:jc w:val="right"/>
              <w:rPr>
                <w:szCs w:val="24"/>
              </w:rPr>
            </w:pPr>
            <w:r w:rsidRPr="00DF39E9">
              <w:rPr>
                <w:szCs w:val="24"/>
              </w:rPr>
              <w:t>(4,170)</w:t>
            </w:r>
          </w:p>
        </w:tc>
      </w:tr>
      <w:tr w:rsidR="005666C0" w:rsidRPr="00D948C1" w14:paraId="300F140B" w14:textId="77777777" w:rsidTr="00746F3D">
        <w:trPr>
          <w:trHeight w:hRule="exact" w:val="847"/>
        </w:trPr>
        <w:tc>
          <w:tcPr>
            <w:tcW w:w="5670" w:type="dxa"/>
            <w:vAlign w:val="center"/>
          </w:tcPr>
          <w:p w14:paraId="24F2A5C2" w14:textId="77777777" w:rsidR="005666C0" w:rsidRPr="00D948C1" w:rsidRDefault="005666C0" w:rsidP="005666C0">
            <w:pPr>
              <w:rPr>
                <w:rFonts w:cs="Arial"/>
                <w:szCs w:val="24"/>
              </w:rPr>
            </w:pPr>
            <w:r w:rsidRPr="00D948C1">
              <w:rPr>
                <w:rFonts w:cs="Arial"/>
                <w:szCs w:val="24"/>
              </w:rPr>
              <w:t>Reversal of items relating to retirement benefits debited or credited to Net Cost of Services in the Comprehensive Income &amp; Expenditure Statement</w:t>
            </w:r>
          </w:p>
        </w:tc>
        <w:tc>
          <w:tcPr>
            <w:tcW w:w="1557" w:type="dxa"/>
            <w:vAlign w:val="center"/>
          </w:tcPr>
          <w:p w14:paraId="0BCDCFE8" w14:textId="36F15B55" w:rsidR="005666C0" w:rsidRPr="00294859" w:rsidRDefault="00A32952" w:rsidP="005666C0">
            <w:pPr>
              <w:tabs>
                <w:tab w:val="decimal" w:pos="885"/>
              </w:tabs>
              <w:jc w:val="right"/>
              <w:rPr>
                <w:szCs w:val="24"/>
              </w:rPr>
            </w:pPr>
            <w:r w:rsidRPr="00294859">
              <w:rPr>
                <w:szCs w:val="24"/>
              </w:rPr>
              <w:t>35,145</w:t>
            </w:r>
          </w:p>
        </w:tc>
        <w:tc>
          <w:tcPr>
            <w:tcW w:w="1533" w:type="dxa"/>
            <w:vAlign w:val="center"/>
          </w:tcPr>
          <w:p w14:paraId="0371FF20" w14:textId="17141FA4" w:rsidR="005666C0" w:rsidRPr="00DF39E9" w:rsidRDefault="005666C0" w:rsidP="005666C0">
            <w:pPr>
              <w:tabs>
                <w:tab w:val="decimal" w:pos="885"/>
              </w:tabs>
              <w:jc w:val="right"/>
              <w:rPr>
                <w:szCs w:val="24"/>
              </w:rPr>
            </w:pPr>
            <w:r w:rsidRPr="00DF39E9">
              <w:rPr>
                <w:szCs w:val="24"/>
              </w:rPr>
              <w:t>33,880</w:t>
            </w:r>
          </w:p>
        </w:tc>
      </w:tr>
      <w:tr w:rsidR="005666C0" w:rsidRPr="00D948C1" w14:paraId="14EAB9EB" w14:textId="77777777" w:rsidTr="003572E5">
        <w:trPr>
          <w:trHeight w:val="278"/>
        </w:trPr>
        <w:tc>
          <w:tcPr>
            <w:tcW w:w="5670" w:type="dxa"/>
            <w:vAlign w:val="center"/>
          </w:tcPr>
          <w:p w14:paraId="4D80C209" w14:textId="77777777" w:rsidR="005666C0" w:rsidRPr="00D948C1" w:rsidRDefault="005666C0" w:rsidP="005666C0">
            <w:pPr>
              <w:rPr>
                <w:rFonts w:cs="Arial"/>
                <w:szCs w:val="24"/>
              </w:rPr>
            </w:pPr>
            <w:r w:rsidRPr="00D948C1">
              <w:rPr>
                <w:rFonts w:cs="Arial"/>
                <w:szCs w:val="24"/>
              </w:rPr>
              <w:t>Net payments to pensioners payable in the year</w:t>
            </w:r>
          </w:p>
        </w:tc>
        <w:tc>
          <w:tcPr>
            <w:tcW w:w="1557" w:type="dxa"/>
            <w:vAlign w:val="center"/>
          </w:tcPr>
          <w:p w14:paraId="5FA0BD84" w14:textId="2D3DC2C7" w:rsidR="005666C0" w:rsidRPr="00294859" w:rsidRDefault="00546EC8" w:rsidP="005666C0">
            <w:pPr>
              <w:tabs>
                <w:tab w:val="decimal" w:pos="885"/>
              </w:tabs>
              <w:jc w:val="right"/>
              <w:rPr>
                <w:szCs w:val="24"/>
              </w:rPr>
            </w:pPr>
            <w:r w:rsidRPr="00294859">
              <w:rPr>
                <w:szCs w:val="24"/>
              </w:rPr>
              <w:t>(31,040</w:t>
            </w:r>
            <w:r w:rsidRPr="00456BDD">
              <w:rPr>
                <w:szCs w:val="24"/>
              </w:rPr>
              <w:t>)</w:t>
            </w:r>
          </w:p>
        </w:tc>
        <w:tc>
          <w:tcPr>
            <w:tcW w:w="1533" w:type="dxa"/>
            <w:vAlign w:val="center"/>
          </w:tcPr>
          <w:p w14:paraId="290145FF" w14:textId="1A3AB39D" w:rsidR="005666C0" w:rsidRPr="00DF39E9" w:rsidRDefault="005666C0" w:rsidP="005666C0">
            <w:pPr>
              <w:tabs>
                <w:tab w:val="decimal" w:pos="885"/>
              </w:tabs>
              <w:jc w:val="right"/>
              <w:rPr>
                <w:szCs w:val="24"/>
              </w:rPr>
            </w:pPr>
            <w:r w:rsidRPr="00DF39E9">
              <w:rPr>
                <w:szCs w:val="24"/>
              </w:rPr>
              <w:t>(28,970)</w:t>
            </w:r>
          </w:p>
        </w:tc>
      </w:tr>
      <w:tr w:rsidR="005666C0" w:rsidRPr="00D948C1" w14:paraId="197711CF" w14:textId="77777777" w:rsidTr="003572E5">
        <w:trPr>
          <w:trHeight w:val="278"/>
        </w:trPr>
        <w:tc>
          <w:tcPr>
            <w:tcW w:w="5670" w:type="dxa"/>
            <w:vAlign w:val="center"/>
          </w:tcPr>
          <w:p w14:paraId="0BEB198E" w14:textId="77777777" w:rsidR="005666C0" w:rsidRPr="00D948C1" w:rsidRDefault="005666C0" w:rsidP="005666C0">
            <w:pPr>
              <w:rPr>
                <w:rFonts w:cs="Arial"/>
                <w:szCs w:val="24"/>
              </w:rPr>
            </w:pPr>
            <w:r w:rsidRPr="00D948C1">
              <w:rPr>
                <w:rFonts w:cs="Arial"/>
                <w:szCs w:val="24"/>
              </w:rPr>
              <w:t>Employers pension contributions</w:t>
            </w:r>
          </w:p>
        </w:tc>
        <w:tc>
          <w:tcPr>
            <w:tcW w:w="1557" w:type="dxa"/>
            <w:vAlign w:val="center"/>
          </w:tcPr>
          <w:p w14:paraId="5540245E" w14:textId="31E8EC9D" w:rsidR="005666C0" w:rsidRPr="00294859" w:rsidRDefault="00546EC8" w:rsidP="005666C0">
            <w:pPr>
              <w:tabs>
                <w:tab w:val="decimal" w:pos="885"/>
              </w:tabs>
              <w:jc w:val="right"/>
              <w:rPr>
                <w:szCs w:val="24"/>
              </w:rPr>
            </w:pPr>
            <w:r w:rsidRPr="00294859">
              <w:rPr>
                <w:szCs w:val="24"/>
              </w:rPr>
              <w:t>(396)</w:t>
            </w:r>
          </w:p>
        </w:tc>
        <w:tc>
          <w:tcPr>
            <w:tcW w:w="1533" w:type="dxa"/>
            <w:vAlign w:val="center"/>
          </w:tcPr>
          <w:p w14:paraId="2C8C278C" w14:textId="571122FF" w:rsidR="005666C0" w:rsidRPr="00DF39E9" w:rsidRDefault="005666C0" w:rsidP="005666C0">
            <w:pPr>
              <w:tabs>
                <w:tab w:val="decimal" w:pos="885"/>
              </w:tabs>
              <w:jc w:val="right"/>
              <w:rPr>
                <w:szCs w:val="24"/>
              </w:rPr>
            </w:pPr>
            <w:r w:rsidRPr="00DF39E9">
              <w:rPr>
                <w:szCs w:val="24"/>
              </w:rPr>
              <w:t>(356)</w:t>
            </w:r>
          </w:p>
        </w:tc>
      </w:tr>
      <w:tr w:rsidR="005666C0" w:rsidRPr="00D948C1" w14:paraId="6F6903AA" w14:textId="77777777" w:rsidTr="003572E5">
        <w:trPr>
          <w:trHeight w:val="278"/>
        </w:trPr>
        <w:tc>
          <w:tcPr>
            <w:tcW w:w="5670" w:type="dxa"/>
          </w:tcPr>
          <w:p w14:paraId="07F2F2DE" w14:textId="3307C432" w:rsidR="005666C0" w:rsidRPr="00D948C1" w:rsidRDefault="005666C0" w:rsidP="005666C0">
            <w:pPr>
              <w:pStyle w:val="Footer"/>
              <w:tabs>
                <w:tab w:val="clear" w:pos="4153"/>
                <w:tab w:val="clear" w:pos="8306"/>
                <w:tab w:val="left" w:pos="720"/>
                <w:tab w:val="center" w:pos="6930"/>
              </w:tabs>
              <w:rPr>
                <w:szCs w:val="24"/>
              </w:rPr>
            </w:pPr>
            <w:r w:rsidRPr="00D948C1">
              <w:rPr>
                <w:szCs w:val="24"/>
              </w:rPr>
              <w:t>Total</w:t>
            </w:r>
          </w:p>
        </w:tc>
        <w:tc>
          <w:tcPr>
            <w:tcW w:w="1557" w:type="dxa"/>
            <w:vAlign w:val="center"/>
          </w:tcPr>
          <w:p w14:paraId="0E5BD8C3" w14:textId="0B146CE7" w:rsidR="005666C0" w:rsidRPr="00294859" w:rsidRDefault="00AA5FC5" w:rsidP="005666C0">
            <w:pPr>
              <w:tabs>
                <w:tab w:val="decimal" w:pos="885"/>
              </w:tabs>
              <w:jc w:val="right"/>
              <w:rPr>
                <w:szCs w:val="24"/>
              </w:rPr>
            </w:pPr>
            <w:r w:rsidRPr="00DF39E9">
              <w:rPr>
                <w:szCs w:val="24"/>
              </w:rPr>
              <w:t>588,430</w:t>
            </w:r>
          </w:p>
        </w:tc>
        <w:tc>
          <w:tcPr>
            <w:tcW w:w="1533" w:type="dxa"/>
            <w:vAlign w:val="center"/>
          </w:tcPr>
          <w:p w14:paraId="063E1908" w14:textId="73D88220" w:rsidR="005666C0" w:rsidRPr="00DF39E9" w:rsidRDefault="005666C0" w:rsidP="005666C0">
            <w:pPr>
              <w:tabs>
                <w:tab w:val="decimal" w:pos="885"/>
              </w:tabs>
              <w:jc w:val="right"/>
              <w:rPr>
                <w:szCs w:val="24"/>
              </w:rPr>
            </w:pPr>
            <w:r w:rsidRPr="00DF39E9">
              <w:rPr>
                <w:szCs w:val="24"/>
              </w:rPr>
              <w:t>651,920</w:t>
            </w:r>
          </w:p>
        </w:tc>
      </w:tr>
    </w:tbl>
    <w:p w14:paraId="098262E7" w14:textId="445DD455" w:rsidR="000F5BFB" w:rsidRPr="00D948C1" w:rsidRDefault="000F5BFB">
      <w:pPr>
        <w:rPr>
          <w:rFonts w:cs="Arial"/>
          <w:b/>
          <w:szCs w:val="24"/>
          <w:lang w:val="en-US"/>
        </w:rPr>
      </w:pPr>
    </w:p>
    <w:p w14:paraId="68C9A1C5" w14:textId="10899769" w:rsidR="00D90216" w:rsidRPr="00D948C1" w:rsidRDefault="00D90216" w:rsidP="00D90216">
      <w:pPr>
        <w:pStyle w:val="BodyTextIndent"/>
        <w:ind w:left="709"/>
        <w:jc w:val="both"/>
        <w:rPr>
          <w:rFonts w:cs="Arial"/>
          <w:b/>
          <w:szCs w:val="24"/>
        </w:rPr>
      </w:pPr>
      <w:r w:rsidRPr="00D948C1">
        <w:rPr>
          <w:rFonts w:cs="Arial"/>
          <w:b/>
          <w:szCs w:val="24"/>
        </w:rPr>
        <w:t>Collection Fund Adjustment Account</w:t>
      </w:r>
    </w:p>
    <w:p w14:paraId="1A500133" w14:textId="77777777" w:rsidR="00D90216" w:rsidRPr="00D948C1" w:rsidRDefault="00D90216" w:rsidP="00D90216">
      <w:pPr>
        <w:pStyle w:val="BodyTextIndent"/>
        <w:ind w:left="709"/>
        <w:jc w:val="both"/>
        <w:rPr>
          <w:rFonts w:cs="Arial"/>
          <w:szCs w:val="24"/>
        </w:rPr>
      </w:pPr>
    </w:p>
    <w:p w14:paraId="0A4AB3F5" w14:textId="77777777" w:rsidR="00D90216" w:rsidRPr="00D948C1" w:rsidRDefault="00D90216" w:rsidP="00D90216">
      <w:pPr>
        <w:pStyle w:val="BodyTextIndent"/>
        <w:ind w:left="709"/>
        <w:jc w:val="both"/>
        <w:rPr>
          <w:rFonts w:cs="Arial"/>
          <w:szCs w:val="24"/>
        </w:rPr>
      </w:pPr>
      <w:r w:rsidRPr="00D948C1">
        <w:rPr>
          <w:rFonts w:cs="Arial"/>
          <w:szCs w:val="24"/>
        </w:rPr>
        <w:t>The Collection Fund Adjustment Account manages the differences arising from the recognition of council tax</w:t>
      </w:r>
      <w:r w:rsidR="00FC7AF7" w:rsidRPr="00D948C1">
        <w:rPr>
          <w:rFonts w:cs="Arial"/>
          <w:szCs w:val="24"/>
        </w:rPr>
        <w:t xml:space="preserve"> and business rates</w:t>
      </w:r>
      <w:r w:rsidRPr="00D948C1">
        <w:rPr>
          <w:rFonts w:cs="Arial"/>
          <w:szCs w:val="24"/>
        </w:rPr>
        <w:t xml:space="preserve"> income in the Comprehensive Income and Expenditure Statement as it falls due from council tax </w:t>
      </w:r>
      <w:r w:rsidR="00FC7AF7" w:rsidRPr="00D948C1">
        <w:rPr>
          <w:rFonts w:cs="Arial"/>
          <w:szCs w:val="24"/>
        </w:rPr>
        <w:t xml:space="preserve">and business rates </w:t>
      </w:r>
      <w:r w:rsidRPr="00D948C1">
        <w:rPr>
          <w:rFonts w:cs="Arial"/>
          <w:szCs w:val="24"/>
        </w:rPr>
        <w:t>payers compared with the statutory arrangements for paying across amounts to the General Fund.</w:t>
      </w:r>
    </w:p>
    <w:p w14:paraId="6EE67AD8" w14:textId="77777777" w:rsidR="00D90216" w:rsidRPr="00D948C1" w:rsidRDefault="00D90216" w:rsidP="00D90216">
      <w:pPr>
        <w:pStyle w:val="BodyTextIndent"/>
        <w:ind w:left="709"/>
        <w:jc w:val="both"/>
        <w:rPr>
          <w:rFonts w:cs="Arial"/>
          <w:sz w:val="22"/>
          <w:szCs w:val="22"/>
        </w:rPr>
      </w:pPr>
    </w:p>
    <w:tbl>
      <w:tblPr>
        <w:tblW w:w="98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1134"/>
        <w:gridCol w:w="1134"/>
        <w:gridCol w:w="1134"/>
        <w:gridCol w:w="1134"/>
        <w:gridCol w:w="1134"/>
        <w:gridCol w:w="1134"/>
      </w:tblGrid>
      <w:tr w:rsidR="00021F7E" w:rsidRPr="00D948C1" w14:paraId="7DE41332" w14:textId="77777777" w:rsidTr="00611673">
        <w:trPr>
          <w:trHeight w:hRule="exact" w:val="300"/>
        </w:trPr>
        <w:tc>
          <w:tcPr>
            <w:tcW w:w="3074" w:type="dxa"/>
            <w:shd w:val="clear" w:color="auto" w:fill="BD2716"/>
          </w:tcPr>
          <w:p w14:paraId="1B039D31" w14:textId="267F2290" w:rsidR="00021F7E" w:rsidRPr="00D948C1" w:rsidRDefault="00021F7E" w:rsidP="00CD62E6">
            <w:pPr>
              <w:tabs>
                <w:tab w:val="left" w:pos="720"/>
                <w:tab w:val="center" w:pos="6930"/>
              </w:tabs>
              <w:rPr>
                <w:color w:val="FFFFFF" w:themeColor="background1"/>
                <w:szCs w:val="24"/>
              </w:rPr>
            </w:pPr>
          </w:p>
        </w:tc>
        <w:tc>
          <w:tcPr>
            <w:tcW w:w="2268" w:type="dxa"/>
            <w:gridSpan w:val="2"/>
            <w:shd w:val="clear" w:color="auto" w:fill="BD2716"/>
            <w:vAlign w:val="center"/>
          </w:tcPr>
          <w:p w14:paraId="74B229DA" w14:textId="77777777" w:rsidR="00021F7E" w:rsidRPr="00D948C1" w:rsidRDefault="00021F7E" w:rsidP="00611673">
            <w:pPr>
              <w:jc w:val="center"/>
              <w:rPr>
                <w:color w:val="FFFFFF" w:themeColor="background1"/>
                <w:szCs w:val="24"/>
              </w:rPr>
            </w:pPr>
            <w:r w:rsidRPr="00D948C1">
              <w:rPr>
                <w:color w:val="FFFFFF" w:themeColor="background1"/>
                <w:szCs w:val="24"/>
              </w:rPr>
              <w:t>Council Tax</w:t>
            </w:r>
          </w:p>
        </w:tc>
        <w:tc>
          <w:tcPr>
            <w:tcW w:w="2268" w:type="dxa"/>
            <w:gridSpan w:val="2"/>
            <w:shd w:val="clear" w:color="auto" w:fill="BD2716"/>
            <w:vAlign w:val="center"/>
          </w:tcPr>
          <w:p w14:paraId="71FC9437" w14:textId="77777777" w:rsidR="00021F7E" w:rsidRPr="00D948C1" w:rsidRDefault="00021F7E" w:rsidP="00611673">
            <w:pPr>
              <w:jc w:val="center"/>
              <w:rPr>
                <w:color w:val="FFFFFF" w:themeColor="background1"/>
                <w:szCs w:val="24"/>
              </w:rPr>
            </w:pPr>
            <w:r w:rsidRPr="00D948C1">
              <w:rPr>
                <w:color w:val="FFFFFF" w:themeColor="background1"/>
                <w:szCs w:val="24"/>
              </w:rPr>
              <w:t>Business Rates</w:t>
            </w:r>
          </w:p>
        </w:tc>
        <w:tc>
          <w:tcPr>
            <w:tcW w:w="2268" w:type="dxa"/>
            <w:gridSpan w:val="2"/>
            <w:shd w:val="clear" w:color="auto" w:fill="BD2716"/>
            <w:vAlign w:val="center"/>
          </w:tcPr>
          <w:p w14:paraId="01CF0449" w14:textId="77777777" w:rsidR="00021F7E" w:rsidRPr="00D948C1" w:rsidRDefault="00021F7E" w:rsidP="00611673">
            <w:pPr>
              <w:jc w:val="center"/>
              <w:rPr>
                <w:color w:val="FFFFFF" w:themeColor="background1"/>
                <w:szCs w:val="24"/>
              </w:rPr>
            </w:pPr>
            <w:r w:rsidRPr="00D948C1">
              <w:rPr>
                <w:color w:val="FFFFFF" w:themeColor="background1"/>
                <w:szCs w:val="24"/>
              </w:rPr>
              <w:t>Total</w:t>
            </w:r>
          </w:p>
        </w:tc>
      </w:tr>
      <w:tr w:rsidR="0010066C" w:rsidRPr="00D948C1" w14:paraId="4521C04F" w14:textId="77777777" w:rsidTr="00611673">
        <w:trPr>
          <w:trHeight w:hRule="exact" w:val="592"/>
        </w:trPr>
        <w:tc>
          <w:tcPr>
            <w:tcW w:w="3074" w:type="dxa"/>
            <w:shd w:val="clear" w:color="auto" w:fill="BD2716"/>
          </w:tcPr>
          <w:p w14:paraId="31C16B97" w14:textId="77777777" w:rsidR="0010066C" w:rsidRPr="00D948C1" w:rsidRDefault="0010066C" w:rsidP="0010066C">
            <w:pPr>
              <w:tabs>
                <w:tab w:val="left" w:pos="720"/>
                <w:tab w:val="center" w:pos="6930"/>
              </w:tabs>
              <w:rPr>
                <w:color w:val="FFFFFF" w:themeColor="background1"/>
                <w:szCs w:val="24"/>
              </w:rPr>
            </w:pPr>
          </w:p>
        </w:tc>
        <w:tc>
          <w:tcPr>
            <w:tcW w:w="1134" w:type="dxa"/>
            <w:shd w:val="clear" w:color="auto" w:fill="BD2716"/>
            <w:vAlign w:val="center"/>
          </w:tcPr>
          <w:p w14:paraId="5579BE6A" w14:textId="3A8ADE98" w:rsidR="005666C0" w:rsidRPr="00D948C1" w:rsidRDefault="0010066C" w:rsidP="005666C0">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6449452A" w14:textId="14789C42" w:rsidR="0010066C" w:rsidRPr="00D948C1" w:rsidRDefault="0010066C" w:rsidP="0010066C">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BE1F62D"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69EF36C5" w14:textId="56AE192D" w:rsidR="0010066C"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232E98E9" w14:textId="77777777"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19150D98" w14:textId="4DACED93" w:rsidR="0010066C"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1B75333F"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57B73485" w14:textId="7A3BAD28" w:rsidR="0010066C"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1CD605FE" w14:textId="77777777" w:rsidR="005666C0" w:rsidRPr="00D948C1" w:rsidRDefault="005666C0" w:rsidP="005666C0">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2A66A3EA" w14:textId="59B0B1D2" w:rsidR="0010066C" w:rsidRPr="00D948C1" w:rsidRDefault="005666C0" w:rsidP="005666C0">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5E2EAF6B"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3EAB1A6E" w14:textId="400C8106" w:rsidR="0010066C"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6DC74B50" w14:textId="77777777" w:rsidTr="00746F3D">
        <w:trPr>
          <w:trHeight w:hRule="exact" w:val="300"/>
        </w:trPr>
        <w:tc>
          <w:tcPr>
            <w:tcW w:w="3074" w:type="dxa"/>
          </w:tcPr>
          <w:p w14:paraId="10F1BC3C" w14:textId="77777777" w:rsidR="005666C0" w:rsidRPr="00D948C1" w:rsidRDefault="005666C0" w:rsidP="005666C0">
            <w:pPr>
              <w:tabs>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134" w:type="dxa"/>
            <w:vAlign w:val="center"/>
          </w:tcPr>
          <w:p w14:paraId="24CF104E" w14:textId="1D93F452" w:rsidR="005666C0" w:rsidRPr="00294859" w:rsidRDefault="00070229" w:rsidP="005666C0">
            <w:pPr>
              <w:tabs>
                <w:tab w:val="decimal" w:pos="837"/>
              </w:tabs>
              <w:jc w:val="right"/>
              <w:rPr>
                <w:szCs w:val="24"/>
              </w:rPr>
            </w:pPr>
            <w:r w:rsidRPr="00294859">
              <w:rPr>
                <w:szCs w:val="24"/>
              </w:rPr>
              <w:t>130</w:t>
            </w:r>
          </w:p>
        </w:tc>
        <w:tc>
          <w:tcPr>
            <w:tcW w:w="1134" w:type="dxa"/>
            <w:vAlign w:val="center"/>
          </w:tcPr>
          <w:p w14:paraId="36B15741" w14:textId="25287FEB" w:rsidR="005666C0" w:rsidRPr="00DF39E9" w:rsidRDefault="005666C0" w:rsidP="005666C0">
            <w:pPr>
              <w:tabs>
                <w:tab w:val="decimal" w:pos="837"/>
              </w:tabs>
              <w:jc w:val="right"/>
              <w:rPr>
                <w:szCs w:val="24"/>
              </w:rPr>
            </w:pPr>
            <w:r w:rsidRPr="00DF39E9">
              <w:rPr>
                <w:szCs w:val="24"/>
              </w:rPr>
              <w:t>5</w:t>
            </w:r>
          </w:p>
        </w:tc>
        <w:tc>
          <w:tcPr>
            <w:tcW w:w="1134" w:type="dxa"/>
            <w:vAlign w:val="center"/>
          </w:tcPr>
          <w:p w14:paraId="4C6D2710" w14:textId="79500387" w:rsidR="005666C0" w:rsidRPr="00294859" w:rsidRDefault="00883398" w:rsidP="005666C0">
            <w:pPr>
              <w:tabs>
                <w:tab w:val="decimal" w:pos="837"/>
              </w:tabs>
              <w:jc w:val="right"/>
              <w:rPr>
                <w:szCs w:val="24"/>
              </w:rPr>
            </w:pPr>
            <w:r w:rsidRPr="00294859">
              <w:rPr>
                <w:szCs w:val="24"/>
              </w:rPr>
              <w:t>(249)</w:t>
            </w:r>
          </w:p>
        </w:tc>
        <w:tc>
          <w:tcPr>
            <w:tcW w:w="1134" w:type="dxa"/>
            <w:vAlign w:val="center"/>
          </w:tcPr>
          <w:p w14:paraId="12807179" w14:textId="2B49B373" w:rsidR="005666C0" w:rsidRPr="00DF39E9" w:rsidRDefault="005666C0" w:rsidP="005666C0">
            <w:pPr>
              <w:tabs>
                <w:tab w:val="decimal" w:pos="837"/>
              </w:tabs>
              <w:jc w:val="right"/>
              <w:rPr>
                <w:szCs w:val="24"/>
              </w:rPr>
            </w:pPr>
            <w:r w:rsidRPr="00DF39E9">
              <w:rPr>
                <w:szCs w:val="24"/>
              </w:rPr>
              <w:t>(212)</w:t>
            </w:r>
          </w:p>
        </w:tc>
        <w:tc>
          <w:tcPr>
            <w:tcW w:w="1134" w:type="dxa"/>
            <w:vAlign w:val="center"/>
          </w:tcPr>
          <w:p w14:paraId="648DEE92" w14:textId="5BD56A1A" w:rsidR="005666C0" w:rsidRPr="00294859" w:rsidRDefault="00883398" w:rsidP="005666C0">
            <w:pPr>
              <w:tabs>
                <w:tab w:val="decimal" w:pos="837"/>
              </w:tabs>
              <w:jc w:val="right"/>
              <w:rPr>
                <w:szCs w:val="24"/>
              </w:rPr>
            </w:pPr>
            <w:r w:rsidRPr="00294859">
              <w:rPr>
                <w:szCs w:val="24"/>
              </w:rPr>
              <w:t>(120)</w:t>
            </w:r>
          </w:p>
        </w:tc>
        <w:tc>
          <w:tcPr>
            <w:tcW w:w="1134" w:type="dxa"/>
            <w:vAlign w:val="center"/>
          </w:tcPr>
          <w:p w14:paraId="3406390C" w14:textId="2E9C4478" w:rsidR="005666C0" w:rsidRPr="00DF39E9" w:rsidRDefault="005666C0" w:rsidP="005666C0">
            <w:pPr>
              <w:tabs>
                <w:tab w:val="decimal" w:pos="837"/>
              </w:tabs>
              <w:jc w:val="right"/>
              <w:rPr>
                <w:szCs w:val="24"/>
              </w:rPr>
            </w:pPr>
            <w:r w:rsidRPr="00DF39E9">
              <w:rPr>
                <w:szCs w:val="24"/>
              </w:rPr>
              <w:t>(207)</w:t>
            </w:r>
          </w:p>
        </w:tc>
      </w:tr>
      <w:tr w:rsidR="005666C0" w:rsidRPr="00D948C1" w14:paraId="4FEF58C5" w14:textId="77777777" w:rsidTr="00746F3D">
        <w:trPr>
          <w:trHeight w:hRule="exact" w:val="2467"/>
        </w:trPr>
        <w:tc>
          <w:tcPr>
            <w:tcW w:w="3074" w:type="dxa"/>
          </w:tcPr>
          <w:p w14:paraId="11A1209F" w14:textId="77777777" w:rsidR="005666C0" w:rsidRPr="00D948C1" w:rsidRDefault="005666C0" w:rsidP="005666C0">
            <w:pPr>
              <w:tabs>
                <w:tab w:val="left" w:pos="720"/>
                <w:tab w:val="center" w:pos="6930"/>
              </w:tabs>
              <w:rPr>
                <w:szCs w:val="24"/>
              </w:rPr>
            </w:pPr>
            <w:r w:rsidRPr="00D948C1">
              <w:rPr>
                <w:szCs w:val="24"/>
              </w:rPr>
              <w:t xml:space="preserve">Amount by which council tax income credited to the </w:t>
            </w:r>
            <w:r w:rsidRPr="00D948C1">
              <w:rPr>
                <w:rFonts w:cs="Arial"/>
                <w:szCs w:val="24"/>
              </w:rPr>
              <w:t>Comprehensive Income and Expenditure Statement is different from council tax income calculated for the year in accordance with statutory requirements</w:t>
            </w:r>
          </w:p>
        </w:tc>
        <w:tc>
          <w:tcPr>
            <w:tcW w:w="1134" w:type="dxa"/>
            <w:vAlign w:val="center"/>
          </w:tcPr>
          <w:p w14:paraId="677DCF33" w14:textId="765BA6C5" w:rsidR="005666C0" w:rsidRPr="00294859" w:rsidRDefault="00E467B5" w:rsidP="005666C0">
            <w:pPr>
              <w:tabs>
                <w:tab w:val="decimal" w:pos="837"/>
              </w:tabs>
              <w:jc w:val="right"/>
              <w:rPr>
                <w:szCs w:val="24"/>
              </w:rPr>
            </w:pPr>
            <w:r w:rsidRPr="00294859">
              <w:rPr>
                <w:szCs w:val="24"/>
              </w:rPr>
              <w:t>(</w:t>
            </w:r>
            <w:r w:rsidR="0026736D" w:rsidRPr="00456BDD">
              <w:rPr>
                <w:szCs w:val="24"/>
              </w:rPr>
              <w:t>516)</w:t>
            </w:r>
          </w:p>
        </w:tc>
        <w:tc>
          <w:tcPr>
            <w:tcW w:w="1134" w:type="dxa"/>
            <w:vAlign w:val="center"/>
          </w:tcPr>
          <w:p w14:paraId="47F3AF73" w14:textId="70E215D2" w:rsidR="005666C0" w:rsidRPr="00DF39E9" w:rsidRDefault="005666C0" w:rsidP="005666C0">
            <w:pPr>
              <w:tabs>
                <w:tab w:val="decimal" w:pos="837"/>
              </w:tabs>
              <w:jc w:val="right"/>
              <w:rPr>
                <w:szCs w:val="24"/>
              </w:rPr>
            </w:pPr>
            <w:r w:rsidRPr="00DF39E9">
              <w:rPr>
                <w:szCs w:val="24"/>
              </w:rPr>
              <w:t>126</w:t>
            </w:r>
          </w:p>
        </w:tc>
        <w:tc>
          <w:tcPr>
            <w:tcW w:w="1134" w:type="dxa"/>
            <w:vAlign w:val="center"/>
          </w:tcPr>
          <w:p w14:paraId="6DFCB10B" w14:textId="4F26EACC" w:rsidR="005666C0" w:rsidRPr="00294859" w:rsidRDefault="001E3FAE" w:rsidP="005666C0">
            <w:pPr>
              <w:tabs>
                <w:tab w:val="decimal" w:pos="837"/>
              </w:tabs>
              <w:jc w:val="right"/>
              <w:rPr>
                <w:szCs w:val="24"/>
              </w:rPr>
            </w:pPr>
            <w:r w:rsidRPr="00294859">
              <w:rPr>
                <w:szCs w:val="24"/>
              </w:rPr>
              <w:t>-</w:t>
            </w:r>
          </w:p>
        </w:tc>
        <w:tc>
          <w:tcPr>
            <w:tcW w:w="1134" w:type="dxa"/>
            <w:vAlign w:val="center"/>
          </w:tcPr>
          <w:p w14:paraId="3838FE43" w14:textId="5B99F495" w:rsidR="005666C0" w:rsidRPr="00DF39E9" w:rsidRDefault="005666C0" w:rsidP="005666C0">
            <w:pPr>
              <w:tabs>
                <w:tab w:val="decimal" w:pos="837"/>
              </w:tabs>
              <w:jc w:val="right"/>
              <w:rPr>
                <w:szCs w:val="24"/>
              </w:rPr>
            </w:pPr>
            <w:r w:rsidRPr="00DF39E9">
              <w:rPr>
                <w:szCs w:val="24"/>
              </w:rPr>
              <w:t>-</w:t>
            </w:r>
          </w:p>
        </w:tc>
        <w:tc>
          <w:tcPr>
            <w:tcW w:w="1134" w:type="dxa"/>
            <w:vAlign w:val="center"/>
          </w:tcPr>
          <w:p w14:paraId="7D7F21B6" w14:textId="36D80187" w:rsidR="005666C0" w:rsidRPr="00294859" w:rsidRDefault="00462427" w:rsidP="005666C0">
            <w:pPr>
              <w:tabs>
                <w:tab w:val="decimal" w:pos="837"/>
              </w:tabs>
              <w:jc w:val="right"/>
              <w:rPr>
                <w:szCs w:val="24"/>
              </w:rPr>
            </w:pPr>
            <w:r w:rsidRPr="00294859">
              <w:rPr>
                <w:szCs w:val="24"/>
              </w:rPr>
              <w:t>(516)</w:t>
            </w:r>
          </w:p>
        </w:tc>
        <w:tc>
          <w:tcPr>
            <w:tcW w:w="1134" w:type="dxa"/>
            <w:vAlign w:val="center"/>
          </w:tcPr>
          <w:p w14:paraId="5407F282" w14:textId="39E5CF3E" w:rsidR="005666C0" w:rsidRPr="00DF39E9" w:rsidRDefault="005666C0" w:rsidP="005666C0">
            <w:pPr>
              <w:tabs>
                <w:tab w:val="decimal" w:pos="837"/>
              </w:tabs>
              <w:jc w:val="right"/>
              <w:rPr>
                <w:szCs w:val="24"/>
              </w:rPr>
            </w:pPr>
            <w:r w:rsidRPr="00DF39E9">
              <w:rPr>
                <w:szCs w:val="24"/>
              </w:rPr>
              <w:t>126</w:t>
            </w:r>
          </w:p>
        </w:tc>
      </w:tr>
      <w:tr w:rsidR="005666C0" w:rsidRPr="00D948C1" w14:paraId="0AA53B58" w14:textId="77777777" w:rsidTr="00746F3D">
        <w:trPr>
          <w:trHeight w:hRule="exact" w:val="2558"/>
        </w:trPr>
        <w:tc>
          <w:tcPr>
            <w:tcW w:w="3074" w:type="dxa"/>
          </w:tcPr>
          <w:p w14:paraId="2C2D4B7E" w14:textId="77777777" w:rsidR="005666C0" w:rsidRPr="00D948C1" w:rsidRDefault="005666C0" w:rsidP="005666C0">
            <w:pPr>
              <w:tabs>
                <w:tab w:val="left" w:pos="720"/>
                <w:tab w:val="center" w:pos="6930"/>
              </w:tabs>
              <w:rPr>
                <w:szCs w:val="24"/>
              </w:rPr>
            </w:pPr>
            <w:r w:rsidRPr="00D948C1">
              <w:rPr>
                <w:szCs w:val="24"/>
              </w:rPr>
              <w:t xml:space="preserve">Amount by which business rates income credited to the </w:t>
            </w:r>
            <w:r w:rsidRPr="00D948C1">
              <w:rPr>
                <w:rFonts w:cs="Arial"/>
                <w:szCs w:val="24"/>
              </w:rPr>
              <w:t xml:space="preserve">Comprehensive Income and Expenditure Statement is different from </w:t>
            </w:r>
            <w:r w:rsidRPr="00D948C1">
              <w:rPr>
                <w:szCs w:val="24"/>
              </w:rPr>
              <w:t>business rates</w:t>
            </w:r>
            <w:r w:rsidRPr="00D948C1">
              <w:rPr>
                <w:rFonts w:cs="Arial"/>
                <w:szCs w:val="24"/>
              </w:rPr>
              <w:t xml:space="preserve"> income calculated for the year in accordance with statutory requirements</w:t>
            </w:r>
          </w:p>
        </w:tc>
        <w:tc>
          <w:tcPr>
            <w:tcW w:w="1134" w:type="dxa"/>
            <w:vAlign w:val="center"/>
          </w:tcPr>
          <w:p w14:paraId="329DBEEF" w14:textId="43312360" w:rsidR="005666C0" w:rsidRPr="00294859" w:rsidRDefault="001E3FAE" w:rsidP="005666C0">
            <w:pPr>
              <w:tabs>
                <w:tab w:val="decimal" w:pos="837"/>
              </w:tabs>
              <w:jc w:val="right"/>
              <w:rPr>
                <w:szCs w:val="24"/>
              </w:rPr>
            </w:pPr>
            <w:r w:rsidRPr="00294859">
              <w:rPr>
                <w:szCs w:val="24"/>
              </w:rPr>
              <w:t>-</w:t>
            </w:r>
          </w:p>
        </w:tc>
        <w:tc>
          <w:tcPr>
            <w:tcW w:w="1134" w:type="dxa"/>
            <w:vAlign w:val="center"/>
          </w:tcPr>
          <w:p w14:paraId="51C3C2FA" w14:textId="4A8DC359" w:rsidR="005666C0" w:rsidRPr="00DF39E9" w:rsidRDefault="005666C0" w:rsidP="005666C0">
            <w:pPr>
              <w:tabs>
                <w:tab w:val="decimal" w:pos="837"/>
              </w:tabs>
              <w:jc w:val="right"/>
              <w:rPr>
                <w:szCs w:val="24"/>
              </w:rPr>
            </w:pPr>
            <w:r w:rsidRPr="00DF39E9">
              <w:rPr>
                <w:szCs w:val="24"/>
              </w:rPr>
              <w:t>-</w:t>
            </w:r>
          </w:p>
        </w:tc>
        <w:tc>
          <w:tcPr>
            <w:tcW w:w="1134" w:type="dxa"/>
            <w:vAlign w:val="center"/>
          </w:tcPr>
          <w:p w14:paraId="5E1BC2DE" w14:textId="699AB87E" w:rsidR="005666C0" w:rsidRPr="00294859" w:rsidRDefault="00AD6C87" w:rsidP="005666C0">
            <w:pPr>
              <w:tabs>
                <w:tab w:val="decimal" w:pos="837"/>
              </w:tabs>
              <w:jc w:val="right"/>
              <w:rPr>
                <w:szCs w:val="24"/>
              </w:rPr>
            </w:pPr>
            <w:r w:rsidRPr="00294859">
              <w:rPr>
                <w:szCs w:val="24"/>
              </w:rPr>
              <w:t>44</w:t>
            </w:r>
          </w:p>
        </w:tc>
        <w:tc>
          <w:tcPr>
            <w:tcW w:w="1134" w:type="dxa"/>
            <w:vAlign w:val="center"/>
          </w:tcPr>
          <w:p w14:paraId="73D7434B" w14:textId="5360A999" w:rsidR="005666C0" w:rsidRPr="00DF39E9" w:rsidRDefault="005666C0" w:rsidP="005666C0">
            <w:pPr>
              <w:tabs>
                <w:tab w:val="decimal" w:pos="837"/>
              </w:tabs>
              <w:jc w:val="right"/>
              <w:rPr>
                <w:szCs w:val="24"/>
              </w:rPr>
            </w:pPr>
            <w:r w:rsidRPr="00DF39E9">
              <w:rPr>
                <w:szCs w:val="24"/>
              </w:rPr>
              <w:t>(38)</w:t>
            </w:r>
          </w:p>
        </w:tc>
        <w:tc>
          <w:tcPr>
            <w:tcW w:w="1134" w:type="dxa"/>
            <w:vAlign w:val="center"/>
          </w:tcPr>
          <w:p w14:paraId="243D8132" w14:textId="2441D6A4" w:rsidR="005666C0" w:rsidRPr="00294859" w:rsidRDefault="00462427" w:rsidP="005666C0">
            <w:pPr>
              <w:tabs>
                <w:tab w:val="decimal" w:pos="837"/>
              </w:tabs>
              <w:jc w:val="right"/>
              <w:rPr>
                <w:szCs w:val="24"/>
              </w:rPr>
            </w:pPr>
            <w:r w:rsidRPr="00294859">
              <w:rPr>
                <w:szCs w:val="24"/>
              </w:rPr>
              <w:t>44</w:t>
            </w:r>
          </w:p>
        </w:tc>
        <w:tc>
          <w:tcPr>
            <w:tcW w:w="1134" w:type="dxa"/>
            <w:vAlign w:val="center"/>
          </w:tcPr>
          <w:p w14:paraId="61A4CEFA" w14:textId="48ACBFE4" w:rsidR="005666C0" w:rsidRPr="00DF39E9" w:rsidRDefault="005666C0" w:rsidP="005666C0">
            <w:pPr>
              <w:tabs>
                <w:tab w:val="decimal" w:pos="837"/>
              </w:tabs>
              <w:jc w:val="right"/>
              <w:rPr>
                <w:szCs w:val="24"/>
              </w:rPr>
            </w:pPr>
            <w:r w:rsidRPr="00DF39E9">
              <w:rPr>
                <w:szCs w:val="24"/>
              </w:rPr>
              <w:t>(38)</w:t>
            </w:r>
          </w:p>
        </w:tc>
      </w:tr>
      <w:tr w:rsidR="005666C0" w:rsidRPr="00D948C1" w14:paraId="15A945F2" w14:textId="77777777" w:rsidTr="00746F3D">
        <w:trPr>
          <w:trHeight w:hRule="exact" w:val="300"/>
        </w:trPr>
        <w:tc>
          <w:tcPr>
            <w:tcW w:w="3074" w:type="dxa"/>
          </w:tcPr>
          <w:p w14:paraId="5CC6C090" w14:textId="77777777" w:rsidR="005666C0" w:rsidRPr="00D948C1" w:rsidRDefault="005666C0" w:rsidP="005666C0">
            <w:pPr>
              <w:tabs>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31 March</w:t>
            </w:r>
          </w:p>
        </w:tc>
        <w:tc>
          <w:tcPr>
            <w:tcW w:w="1134" w:type="dxa"/>
            <w:vAlign w:val="center"/>
          </w:tcPr>
          <w:p w14:paraId="4FD633D8" w14:textId="768B27FA" w:rsidR="005666C0" w:rsidRPr="00294859" w:rsidRDefault="006C1BD1" w:rsidP="005666C0">
            <w:pPr>
              <w:tabs>
                <w:tab w:val="decimal" w:pos="837"/>
              </w:tabs>
              <w:jc w:val="right"/>
              <w:rPr>
                <w:szCs w:val="24"/>
              </w:rPr>
            </w:pPr>
            <w:r w:rsidRPr="00294859">
              <w:rPr>
                <w:szCs w:val="24"/>
              </w:rPr>
              <w:t>(386)</w:t>
            </w:r>
          </w:p>
        </w:tc>
        <w:tc>
          <w:tcPr>
            <w:tcW w:w="1134" w:type="dxa"/>
            <w:vAlign w:val="center"/>
          </w:tcPr>
          <w:p w14:paraId="678FD602" w14:textId="05411D11" w:rsidR="005666C0" w:rsidRPr="00DF39E9" w:rsidRDefault="005666C0" w:rsidP="005666C0">
            <w:pPr>
              <w:tabs>
                <w:tab w:val="decimal" w:pos="837"/>
              </w:tabs>
              <w:jc w:val="right"/>
              <w:rPr>
                <w:szCs w:val="24"/>
              </w:rPr>
            </w:pPr>
            <w:r w:rsidRPr="00DF39E9">
              <w:rPr>
                <w:szCs w:val="24"/>
              </w:rPr>
              <w:t>130</w:t>
            </w:r>
          </w:p>
        </w:tc>
        <w:tc>
          <w:tcPr>
            <w:tcW w:w="1134" w:type="dxa"/>
            <w:vAlign w:val="center"/>
          </w:tcPr>
          <w:p w14:paraId="14120430" w14:textId="0D646800" w:rsidR="005666C0" w:rsidRPr="00294859" w:rsidRDefault="00AD6C87" w:rsidP="005666C0">
            <w:pPr>
              <w:tabs>
                <w:tab w:val="decimal" w:pos="837"/>
              </w:tabs>
              <w:jc w:val="right"/>
              <w:rPr>
                <w:szCs w:val="24"/>
              </w:rPr>
            </w:pPr>
            <w:r w:rsidRPr="00294859">
              <w:rPr>
                <w:szCs w:val="24"/>
              </w:rPr>
              <w:t>(205)</w:t>
            </w:r>
          </w:p>
        </w:tc>
        <w:tc>
          <w:tcPr>
            <w:tcW w:w="1134" w:type="dxa"/>
            <w:vAlign w:val="center"/>
          </w:tcPr>
          <w:p w14:paraId="123769C6" w14:textId="31E29650" w:rsidR="005666C0" w:rsidRPr="00DF39E9" w:rsidRDefault="005666C0" w:rsidP="005666C0">
            <w:pPr>
              <w:tabs>
                <w:tab w:val="decimal" w:pos="837"/>
              </w:tabs>
              <w:jc w:val="right"/>
              <w:rPr>
                <w:szCs w:val="24"/>
              </w:rPr>
            </w:pPr>
            <w:r w:rsidRPr="00DF39E9">
              <w:rPr>
                <w:szCs w:val="24"/>
              </w:rPr>
              <w:t>(249)</w:t>
            </w:r>
          </w:p>
        </w:tc>
        <w:tc>
          <w:tcPr>
            <w:tcW w:w="1134" w:type="dxa"/>
            <w:vAlign w:val="center"/>
          </w:tcPr>
          <w:p w14:paraId="72E19D94" w14:textId="2440A86D" w:rsidR="005666C0" w:rsidRPr="00294859" w:rsidRDefault="00462427" w:rsidP="005666C0">
            <w:pPr>
              <w:tabs>
                <w:tab w:val="decimal" w:pos="837"/>
              </w:tabs>
              <w:jc w:val="right"/>
              <w:rPr>
                <w:szCs w:val="24"/>
              </w:rPr>
            </w:pPr>
            <w:r w:rsidRPr="00294859">
              <w:rPr>
                <w:szCs w:val="24"/>
              </w:rPr>
              <w:t>(591)</w:t>
            </w:r>
          </w:p>
        </w:tc>
        <w:tc>
          <w:tcPr>
            <w:tcW w:w="1134" w:type="dxa"/>
            <w:vAlign w:val="center"/>
          </w:tcPr>
          <w:p w14:paraId="54673000" w14:textId="11E4C0DD" w:rsidR="005666C0" w:rsidRPr="00DF39E9" w:rsidRDefault="005666C0" w:rsidP="005666C0">
            <w:pPr>
              <w:tabs>
                <w:tab w:val="decimal" w:pos="837"/>
              </w:tabs>
              <w:jc w:val="right"/>
              <w:rPr>
                <w:szCs w:val="24"/>
              </w:rPr>
            </w:pPr>
            <w:r w:rsidRPr="00DF39E9">
              <w:rPr>
                <w:szCs w:val="24"/>
              </w:rPr>
              <w:t>(120)</w:t>
            </w:r>
          </w:p>
        </w:tc>
      </w:tr>
    </w:tbl>
    <w:p w14:paraId="19ED1581" w14:textId="77777777" w:rsidR="00D90216" w:rsidRPr="00D948C1" w:rsidRDefault="00350024" w:rsidP="000F5BFB">
      <w:pPr>
        <w:pStyle w:val="BodyTextIndent"/>
        <w:ind w:left="709"/>
        <w:rPr>
          <w:rFonts w:cs="Arial"/>
          <w:b/>
          <w:szCs w:val="24"/>
        </w:rPr>
      </w:pPr>
      <w:r w:rsidRPr="00D948C1">
        <w:rPr>
          <w:rFonts w:cs="Arial"/>
          <w:b/>
          <w:sz w:val="22"/>
          <w:szCs w:val="22"/>
        </w:rPr>
        <w:br w:type="page"/>
      </w:r>
      <w:r w:rsidR="00D90216" w:rsidRPr="00D948C1">
        <w:rPr>
          <w:rFonts w:cs="Arial"/>
          <w:b/>
          <w:szCs w:val="24"/>
        </w:rPr>
        <w:lastRenderedPageBreak/>
        <w:t>Accumulated Absences Adjustment Account</w:t>
      </w:r>
    </w:p>
    <w:p w14:paraId="375EBF5E" w14:textId="143FFD22" w:rsidR="00D90216" w:rsidRPr="00D948C1" w:rsidRDefault="00D90216" w:rsidP="6498351E">
      <w:pPr>
        <w:pStyle w:val="BodyTextIndent"/>
        <w:ind w:left="709"/>
        <w:rPr>
          <w:rFonts w:cs="Arial"/>
        </w:rPr>
      </w:pPr>
    </w:p>
    <w:p w14:paraId="48E05A41" w14:textId="68C69D49" w:rsidR="00D90216" w:rsidRPr="00467E18" w:rsidRDefault="00D90216" w:rsidP="000F5BFB">
      <w:pPr>
        <w:pStyle w:val="BodyTextIndent"/>
        <w:ind w:left="709"/>
        <w:rPr>
          <w:rFonts w:cs="Arial"/>
        </w:rPr>
      </w:pPr>
      <w:r w:rsidRPr="00467E18">
        <w:rPr>
          <w:rFonts w:cs="Arial"/>
        </w:rPr>
        <w:t>The Accumulated Absences Adjustment Account manages the differences arising from the recognition of accrued employee costs in the Comprehensive Income and Expenditure Statement compared with the statutory arrangements for paying across amounts to the General Fund.</w:t>
      </w:r>
    </w:p>
    <w:p w14:paraId="61F35909" w14:textId="77777777" w:rsidR="00D90216" w:rsidRPr="00D948C1" w:rsidRDefault="00D90216" w:rsidP="00D90216">
      <w:pPr>
        <w:pStyle w:val="BodyTextIndent"/>
        <w:ind w:left="709"/>
        <w:jc w:val="both"/>
        <w:rPr>
          <w:rFonts w:cs="Arial"/>
          <w:szCs w:val="24"/>
        </w:rPr>
      </w:pPr>
    </w:p>
    <w:tbl>
      <w:tblPr>
        <w:tblW w:w="86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gridCol w:w="1371"/>
        <w:gridCol w:w="1346"/>
      </w:tblGrid>
      <w:tr w:rsidR="0010066C" w:rsidRPr="00D948C1" w14:paraId="25AFEF27" w14:textId="77777777" w:rsidTr="00611673">
        <w:trPr>
          <w:trHeight w:hRule="exact" w:val="588"/>
        </w:trPr>
        <w:tc>
          <w:tcPr>
            <w:tcW w:w="5909" w:type="dxa"/>
            <w:shd w:val="clear" w:color="auto" w:fill="BD2716"/>
          </w:tcPr>
          <w:p w14:paraId="4FAB9DE9" w14:textId="77777777" w:rsidR="0010066C" w:rsidRPr="00D948C1" w:rsidRDefault="0010066C" w:rsidP="0010066C">
            <w:pPr>
              <w:tabs>
                <w:tab w:val="left" w:pos="720"/>
                <w:tab w:val="center" w:pos="6930"/>
              </w:tabs>
              <w:rPr>
                <w:color w:val="FFFFFF" w:themeColor="background1"/>
                <w:szCs w:val="24"/>
              </w:rPr>
            </w:pPr>
          </w:p>
        </w:tc>
        <w:tc>
          <w:tcPr>
            <w:tcW w:w="1371" w:type="dxa"/>
            <w:shd w:val="clear" w:color="auto" w:fill="BD2716"/>
            <w:vAlign w:val="center"/>
          </w:tcPr>
          <w:p w14:paraId="18D414C6" w14:textId="00371B45" w:rsidR="0010066C" w:rsidRPr="00D948C1" w:rsidRDefault="0010066C" w:rsidP="0010066C">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05D5E637" w14:textId="1B2DABE0" w:rsidR="0010066C" w:rsidRPr="00D948C1" w:rsidRDefault="0010066C" w:rsidP="0010066C">
            <w:pPr>
              <w:jc w:val="right"/>
              <w:rPr>
                <w:color w:val="FFFFFF" w:themeColor="background1"/>
                <w:szCs w:val="24"/>
              </w:rPr>
            </w:pPr>
            <w:r w:rsidRPr="00D948C1">
              <w:rPr>
                <w:color w:val="FFFFFF" w:themeColor="background1"/>
                <w:szCs w:val="24"/>
              </w:rPr>
              <w:t>£000</w:t>
            </w:r>
          </w:p>
        </w:tc>
        <w:tc>
          <w:tcPr>
            <w:tcW w:w="1346" w:type="dxa"/>
            <w:shd w:val="clear" w:color="auto" w:fill="BD2716"/>
            <w:vAlign w:val="center"/>
          </w:tcPr>
          <w:p w14:paraId="28901275"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4858503E" w14:textId="3A20CAED" w:rsidR="0010066C"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20C5DDE6" w14:textId="77777777" w:rsidTr="00746F3D">
        <w:trPr>
          <w:trHeight w:hRule="exact" w:val="300"/>
        </w:trPr>
        <w:tc>
          <w:tcPr>
            <w:tcW w:w="5909" w:type="dxa"/>
          </w:tcPr>
          <w:p w14:paraId="31B92393" w14:textId="77777777" w:rsidR="005666C0" w:rsidRPr="00467E18" w:rsidRDefault="005666C0" w:rsidP="005666C0">
            <w:pPr>
              <w:tabs>
                <w:tab w:val="left" w:pos="720"/>
                <w:tab w:val="center" w:pos="6930"/>
              </w:tabs>
            </w:pPr>
            <w:r w:rsidRPr="00467E18">
              <w:t xml:space="preserve">Balance </w:t>
            </w:r>
            <w:proofErr w:type="gramStart"/>
            <w:r w:rsidRPr="00467E18">
              <w:t>at</w:t>
            </w:r>
            <w:proofErr w:type="gramEnd"/>
            <w:r w:rsidRPr="00467E18">
              <w:t xml:space="preserve"> 1 April</w:t>
            </w:r>
          </w:p>
        </w:tc>
        <w:tc>
          <w:tcPr>
            <w:tcW w:w="1371" w:type="dxa"/>
            <w:vAlign w:val="center"/>
          </w:tcPr>
          <w:p w14:paraId="269693E6" w14:textId="6E7FD0E4" w:rsidR="005666C0" w:rsidRPr="00DF39E9" w:rsidRDefault="3886AEF0" w:rsidP="005666C0">
            <w:pPr>
              <w:tabs>
                <w:tab w:val="decimal" w:pos="837"/>
              </w:tabs>
              <w:jc w:val="right"/>
            </w:pPr>
            <w:r w:rsidRPr="00DF39E9">
              <w:t>954</w:t>
            </w:r>
          </w:p>
        </w:tc>
        <w:tc>
          <w:tcPr>
            <w:tcW w:w="1346" w:type="dxa"/>
            <w:vAlign w:val="center"/>
          </w:tcPr>
          <w:p w14:paraId="16FAA93C" w14:textId="0616436B" w:rsidR="005666C0" w:rsidRPr="00DF39E9" w:rsidRDefault="005666C0" w:rsidP="005666C0">
            <w:pPr>
              <w:tabs>
                <w:tab w:val="decimal" w:pos="837"/>
              </w:tabs>
              <w:jc w:val="right"/>
            </w:pPr>
            <w:r w:rsidRPr="00DF39E9">
              <w:t>957</w:t>
            </w:r>
          </w:p>
        </w:tc>
      </w:tr>
      <w:tr w:rsidR="005666C0" w:rsidRPr="00D948C1" w14:paraId="761D061F" w14:textId="77777777" w:rsidTr="003572E5">
        <w:trPr>
          <w:trHeight w:hRule="exact" w:val="828"/>
        </w:trPr>
        <w:tc>
          <w:tcPr>
            <w:tcW w:w="5909" w:type="dxa"/>
          </w:tcPr>
          <w:p w14:paraId="61DE7920" w14:textId="77777777" w:rsidR="005666C0" w:rsidRPr="00360E4B" w:rsidRDefault="005666C0" w:rsidP="005666C0">
            <w:pPr>
              <w:tabs>
                <w:tab w:val="left" w:pos="720"/>
                <w:tab w:val="center" w:pos="6930"/>
              </w:tabs>
            </w:pPr>
            <w:r w:rsidRPr="00360E4B">
              <w:t>Amount by which remuneration charged on an accruals basis is different from remuneration chargeable in the year in accordance with statutory requirements</w:t>
            </w:r>
          </w:p>
        </w:tc>
        <w:tc>
          <w:tcPr>
            <w:tcW w:w="1371" w:type="dxa"/>
            <w:vAlign w:val="center"/>
          </w:tcPr>
          <w:p w14:paraId="2ED99FC9" w14:textId="2B3E482C" w:rsidR="005666C0" w:rsidRPr="00DF39E9" w:rsidRDefault="001F2A01" w:rsidP="005666C0">
            <w:pPr>
              <w:tabs>
                <w:tab w:val="decimal" w:pos="837"/>
              </w:tabs>
              <w:jc w:val="right"/>
            </w:pPr>
            <w:r w:rsidRPr="00DF39E9">
              <w:t>(</w:t>
            </w:r>
            <w:r w:rsidR="6DA92B02" w:rsidRPr="00DF39E9">
              <w:t>258</w:t>
            </w:r>
            <w:r w:rsidRPr="00DF39E9">
              <w:t>)</w:t>
            </w:r>
          </w:p>
        </w:tc>
        <w:tc>
          <w:tcPr>
            <w:tcW w:w="1346" w:type="dxa"/>
            <w:vAlign w:val="center"/>
          </w:tcPr>
          <w:p w14:paraId="5E44C566" w14:textId="6175BAC0" w:rsidR="005666C0" w:rsidRPr="00DF39E9" w:rsidRDefault="001F2A01" w:rsidP="005666C0">
            <w:pPr>
              <w:tabs>
                <w:tab w:val="decimal" w:pos="837"/>
              </w:tabs>
              <w:jc w:val="right"/>
            </w:pPr>
            <w:r w:rsidRPr="00DF39E9">
              <w:t>(</w:t>
            </w:r>
            <w:r w:rsidR="005666C0" w:rsidRPr="00DF39E9">
              <w:t>3</w:t>
            </w:r>
            <w:r w:rsidRPr="00DF39E9">
              <w:t>)</w:t>
            </w:r>
          </w:p>
        </w:tc>
      </w:tr>
      <w:tr w:rsidR="005666C0" w:rsidRPr="00D948C1" w14:paraId="6EDD4F0F" w14:textId="77777777" w:rsidTr="00746F3D">
        <w:trPr>
          <w:trHeight w:hRule="exact" w:val="300"/>
        </w:trPr>
        <w:tc>
          <w:tcPr>
            <w:tcW w:w="5909" w:type="dxa"/>
          </w:tcPr>
          <w:p w14:paraId="7E6701EB" w14:textId="77777777" w:rsidR="005666C0" w:rsidRPr="00360E4B" w:rsidRDefault="005666C0" w:rsidP="005666C0">
            <w:pPr>
              <w:tabs>
                <w:tab w:val="left" w:pos="720"/>
                <w:tab w:val="center" w:pos="6930"/>
              </w:tabs>
            </w:pPr>
            <w:r w:rsidRPr="00360E4B">
              <w:t xml:space="preserve">Balance </w:t>
            </w:r>
            <w:proofErr w:type="gramStart"/>
            <w:r w:rsidRPr="00360E4B">
              <w:t>at</w:t>
            </w:r>
            <w:proofErr w:type="gramEnd"/>
            <w:r w:rsidRPr="00360E4B">
              <w:t xml:space="preserve"> 31 March</w:t>
            </w:r>
          </w:p>
        </w:tc>
        <w:tc>
          <w:tcPr>
            <w:tcW w:w="1371" w:type="dxa"/>
            <w:vAlign w:val="center"/>
          </w:tcPr>
          <w:p w14:paraId="50C198D8" w14:textId="78B01D65" w:rsidR="005666C0" w:rsidRPr="00DF39E9" w:rsidRDefault="2DC75B51" w:rsidP="005666C0">
            <w:pPr>
              <w:tabs>
                <w:tab w:val="decimal" w:pos="837"/>
              </w:tabs>
              <w:jc w:val="right"/>
            </w:pPr>
            <w:r w:rsidRPr="00DF39E9">
              <w:t>696</w:t>
            </w:r>
          </w:p>
        </w:tc>
        <w:tc>
          <w:tcPr>
            <w:tcW w:w="1346" w:type="dxa"/>
            <w:vAlign w:val="center"/>
          </w:tcPr>
          <w:p w14:paraId="29A13817" w14:textId="155BD5B9" w:rsidR="005666C0" w:rsidRPr="00DF39E9" w:rsidRDefault="005666C0" w:rsidP="005666C0">
            <w:pPr>
              <w:tabs>
                <w:tab w:val="decimal" w:pos="837"/>
              </w:tabs>
              <w:jc w:val="right"/>
            </w:pPr>
            <w:r w:rsidRPr="00DF39E9">
              <w:t>954</w:t>
            </w:r>
          </w:p>
        </w:tc>
      </w:tr>
    </w:tbl>
    <w:p w14:paraId="3B2ED608" w14:textId="77777777" w:rsidR="00D90216" w:rsidRPr="00D948C1" w:rsidRDefault="00D90216" w:rsidP="00D90216">
      <w:pPr>
        <w:rPr>
          <w:b/>
          <w:sz w:val="22"/>
        </w:rPr>
      </w:pPr>
    </w:p>
    <w:p w14:paraId="0ED5B3D2" w14:textId="5A422D64" w:rsidR="00D90216" w:rsidRPr="00D948C1" w:rsidRDefault="00B62A26" w:rsidP="006563F1">
      <w:pPr>
        <w:pStyle w:val="Heading2"/>
        <w:jc w:val="left"/>
        <w:rPr>
          <w:sz w:val="24"/>
          <w:szCs w:val="24"/>
        </w:rPr>
      </w:pPr>
      <w:bookmarkStart w:id="70" w:name="_Toc215593411"/>
      <w:r>
        <w:rPr>
          <w:sz w:val="24"/>
          <w:szCs w:val="24"/>
        </w:rPr>
        <w:t>20</w:t>
      </w:r>
      <w:r w:rsidR="00D90216" w:rsidRPr="00D948C1">
        <w:rPr>
          <w:sz w:val="24"/>
          <w:szCs w:val="24"/>
        </w:rPr>
        <w:tab/>
      </w:r>
      <w:bookmarkStart w:id="71" w:name="N19"/>
      <w:bookmarkEnd w:id="71"/>
      <w:r w:rsidR="00D90216" w:rsidRPr="00D948C1">
        <w:rPr>
          <w:sz w:val="24"/>
          <w:szCs w:val="24"/>
        </w:rPr>
        <w:t>Contingent Liability</w:t>
      </w:r>
      <w:bookmarkEnd w:id="70"/>
    </w:p>
    <w:p w14:paraId="4FE07645" w14:textId="77777777" w:rsidR="008B4E79" w:rsidRPr="00D948C1" w:rsidRDefault="008B4E79" w:rsidP="000F5BFB">
      <w:pPr>
        <w:rPr>
          <w:rFonts w:cs="Arial"/>
          <w:color w:val="000000"/>
          <w:szCs w:val="24"/>
        </w:rPr>
      </w:pPr>
    </w:p>
    <w:p w14:paraId="3FF1CC98" w14:textId="47DDBE10" w:rsidR="009F7FA6" w:rsidRPr="009F7FA6" w:rsidRDefault="009F7FA6" w:rsidP="009F7FA6">
      <w:pPr>
        <w:ind w:left="720"/>
        <w:rPr>
          <w:rFonts w:cs="Arial"/>
          <w:color w:val="000000"/>
        </w:rPr>
      </w:pPr>
      <w:bookmarkStart w:id="72" w:name="_Hlk140240379"/>
      <w:r w:rsidRPr="2DDE738B">
        <w:rPr>
          <w:rFonts w:cs="Arial"/>
          <w:color w:val="000000" w:themeColor="text1"/>
        </w:rPr>
        <w:t>Matthews Case Stage 2</w:t>
      </w:r>
    </w:p>
    <w:p w14:paraId="3A42C3F4" w14:textId="77777777" w:rsidR="009F7FA6" w:rsidRPr="009F7FA6" w:rsidRDefault="009F7FA6" w:rsidP="009F7FA6">
      <w:pPr>
        <w:ind w:left="720"/>
        <w:rPr>
          <w:rFonts w:cs="Arial"/>
          <w:color w:val="000000"/>
          <w:szCs w:val="24"/>
        </w:rPr>
      </w:pPr>
    </w:p>
    <w:p w14:paraId="2E642E39" w14:textId="1548EAB6" w:rsidR="009F7FA6" w:rsidRDefault="009F7FA6" w:rsidP="009F7FA6">
      <w:pPr>
        <w:ind w:left="720"/>
        <w:rPr>
          <w:rFonts w:cs="Arial"/>
          <w:color w:val="000000"/>
          <w:szCs w:val="24"/>
        </w:rPr>
      </w:pPr>
      <w:r w:rsidRPr="009F7FA6">
        <w:rPr>
          <w:rFonts w:cs="Arial"/>
          <w:color w:val="000000"/>
          <w:szCs w:val="24"/>
        </w:rPr>
        <w:t xml:space="preserve">Before 2006, retained firefighters were not eligible to join the fire service pension scheme. This was challenged in </w:t>
      </w:r>
      <w:proofErr w:type="gramStart"/>
      <w:r w:rsidRPr="009F7FA6">
        <w:rPr>
          <w:rFonts w:cs="Arial"/>
          <w:color w:val="000000"/>
          <w:szCs w:val="24"/>
        </w:rPr>
        <w:t>court</w:t>
      </w:r>
      <w:proofErr w:type="gramEnd"/>
      <w:r w:rsidRPr="009F7FA6">
        <w:rPr>
          <w:rFonts w:cs="Arial"/>
          <w:color w:val="000000"/>
          <w:szCs w:val="24"/>
        </w:rPr>
        <w:t xml:space="preserve"> and a modified scheme was developed for retained firefighters employed between 1 July 2000 and 5 April 2006. Following the Matthews case, the European Court ruled separately that retained firefighters could “buy back” pensionable benefits from the start of their employment, provided they were employed as a firefighter between 7 April 2000 and 30 June 2000. These members will be contacted </w:t>
      </w:r>
      <w:r>
        <w:rPr>
          <w:rFonts w:cs="Arial"/>
          <w:color w:val="000000"/>
          <w:szCs w:val="24"/>
        </w:rPr>
        <w:t>during</w:t>
      </w:r>
      <w:r w:rsidRPr="009F7FA6">
        <w:rPr>
          <w:rFonts w:cs="Arial"/>
          <w:color w:val="000000"/>
          <w:szCs w:val="24"/>
        </w:rPr>
        <w:t xml:space="preserve"> 2024</w:t>
      </w:r>
      <w:r>
        <w:rPr>
          <w:rFonts w:cs="Arial"/>
          <w:color w:val="000000"/>
          <w:szCs w:val="24"/>
        </w:rPr>
        <w:t>/25</w:t>
      </w:r>
      <w:r w:rsidRPr="009F7FA6">
        <w:rPr>
          <w:rFonts w:cs="Arial"/>
          <w:color w:val="000000"/>
          <w:szCs w:val="24"/>
        </w:rPr>
        <w:t xml:space="preserve"> with the option to join the scheme or buy back additional pensionable service.</w:t>
      </w:r>
    </w:p>
    <w:p w14:paraId="719468FC" w14:textId="77777777" w:rsidR="009F7FA6" w:rsidRDefault="009F7FA6" w:rsidP="009F7FA6">
      <w:pPr>
        <w:ind w:left="720"/>
        <w:rPr>
          <w:rFonts w:cs="Arial"/>
          <w:color w:val="000000"/>
          <w:szCs w:val="24"/>
        </w:rPr>
      </w:pPr>
    </w:p>
    <w:p w14:paraId="54213E46" w14:textId="11BD304A" w:rsidR="009F7FA6" w:rsidRPr="009F7FA6" w:rsidRDefault="009F7FA6" w:rsidP="009F7FA6">
      <w:pPr>
        <w:ind w:left="720"/>
        <w:rPr>
          <w:rFonts w:cs="Arial"/>
          <w:color w:val="000000"/>
        </w:rPr>
      </w:pPr>
      <w:r w:rsidRPr="2DDE738B">
        <w:rPr>
          <w:rFonts w:cs="Arial"/>
          <w:color w:val="000000" w:themeColor="text1"/>
        </w:rPr>
        <w:t>The Government’s Actuary Department has estimated a potential increase in the firefighter pension scheme liability to be £26m. As there are several uncertainties regarding eligibility, value of additional benefits and take up of additional benefits it is unclear what the actual cost to the Authority will be. The Authority is expecting these costs to be covered by grant funding from the Home Office.</w:t>
      </w:r>
    </w:p>
    <w:p w14:paraId="659F747B" w14:textId="77777777" w:rsidR="000D74A5" w:rsidRDefault="000D74A5" w:rsidP="000F5BFB">
      <w:pPr>
        <w:ind w:left="720"/>
        <w:rPr>
          <w:rFonts w:cs="Arial"/>
          <w:color w:val="000000"/>
          <w:szCs w:val="24"/>
        </w:rPr>
      </w:pPr>
    </w:p>
    <w:p w14:paraId="763E62B3" w14:textId="63D462C3" w:rsidR="00D90216" w:rsidRPr="00D948C1" w:rsidRDefault="001C592E" w:rsidP="006563F1">
      <w:pPr>
        <w:pStyle w:val="Heading2"/>
        <w:jc w:val="left"/>
        <w:rPr>
          <w:sz w:val="24"/>
          <w:szCs w:val="24"/>
        </w:rPr>
      </w:pPr>
      <w:bookmarkStart w:id="73" w:name="_Toc215593412"/>
      <w:bookmarkEnd w:id="72"/>
      <w:r w:rsidRPr="00D948C1">
        <w:rPr>
          <w:sz w:val="24"/>
          <w:szCs w:val="24"/>
        </w:rPr>
        <w:t>2</w:t>
      </w:r>
      <w:r w:rsidR="00B62A26">
        <w:rPr>
          <w:sz w:val="24"/>
          <w:szCs w:val="24"/>
        </w:rPr>
        <w:t>1</w:t>
      </w:r>
      <w:r w:rsidR="00D90216" w:rsidRPr="00D948C1">
        <w:rPr>
          <w:sz w:val="24"/>
          <w:szCs w:val="24"/>
        </w:rPr>
        <w:tab/>
        <w:t>Post Balance Sheet Events</w:t>
      </w:r>
      <w:bookmarkEnd w:id="73"/>
    </w:p>
    <w:p w14:paraId="525D6849" w14:textId="77777777" w:rsidR="00D90216" w:rsidRPr="00D948C1" w:rsidRDefault="00D90216" w:rsidP="000F5BFB">
      <w:pPr>
        <w:rPr>
          <w:szCs w:val="24"/>
        </w:rPr>
      </w:pPr>
    </w:p>
    <w:p w14:paraId="64768AB7" w14:textId="65D12C94" w:rsidR="00202CB0" w:rsidRPr="00D948C1" w:rsidRDefault="00970192" w:rsidP="000F5BFB">
      <w:pPr>
        <w:ind w:left="709"/>
      </w:pPr>
      <w:r w:rsidRPr="2DDE738B">
        <w:rPr>
          <w:lang w:val="en-US"/>
        </w:rPr>
        <w:t xml:space="preserve">As at the date </w:t>
      </w:r>
      <w:r w:rsidR="00C53DA4" w:rsidRPr="2DDE738B">
        <w:rPr>
          <w:lang w:val="en-US"/>
        </w:rPr>
        <w:t>of signing of the</w:t>
      </w:r>
      <w:r w:rsidR="00097D31" w:rsidRPr="2DDE738B">
        <w:rPr>
          <w:lang w:val="en-US"/>
        </w:rPr>
        <w:t xml:space="preserve"> draft</w:t>
      </w:r>
      <w:r w:rsidR="00C53DA4" w:rsidRPr="2DDE738B">
        <w:rPr>
          <w:lang w:val="en-US"/>
        </w:rPr>
        <w:t xml:space="preserve"> accounts</w:t>
      </w:r>
      <w:r w:rsidR="00C53DA4" w:rsidRPr="009C78A1">
        <w:rPr>
          <w:lang w:val="en-US"/>
        </w:rPr>
        <w:t xml:space="preserve">, </w:t>
      </w:r>
      <w:r w:rsidR="009B2F29">
        <w:rPr>
          <w:lang w:val="en-US"/>
        </w:rPr>
        <w:t>16</w:t>
      </w:r>
      <w:r w:rsidR="009B2F29" w:rsidRPr="009B2F29">
        <w:rPr>
          <w:vertAlign w:val="superscript"/>
          <w:lang w:val="en-US"/>
        </w:rPr>
        <w:t>th</w:t>
      </w:r>
      <w:r w:rsidR="009B2F29">
        <w:rPr>
          <w:lang w:val="en-US"/>
        </w:rPr>
        <w:t xml:space="preserve"> July 2025</w:t>
      </w:r>
      <w:r w:rsidR="00C53DA4" w:rsidRPr="009C78A1">
        <w:rPr>
          <w:lang w:val="en-US"/>
        </w:rPr>
        <w:t>,</w:t>
      </w:r>
      <w:r w:rsidR="00C53DA4" w:rsidRPr="2DDE738B">
        <w:rPr>
          <w:lang w:val="en-US"/>
        </w:rPr>
        <w:t xml:space="preserve"> </w:t>
      </w:r>
      <w:r w:rsidRPr="2DDE738B">
        <w:rPr>
          <w:lang w:val="en-US"/>
        </w:rPr>
        <w:t xml:space="preserve">there </w:t>
      </w:r>
      <w:r w:rsidR="00ED6F5F" w:rsidRPr="2DDE738B">
        <w:rPr>
          <w:lang w:val="en-US"/>
        </w:rPr>
        <w:t>have been no events either adjusting on non-adjusting.</w:t>
      </w:r>
    </w:p>
    <w:p w14:paraId="32B47249" w14:textId="77777777" w:rsidR="008F213A" w:rsidRPr="00D948C1" w:rsidRDefault="008F213A" w:rsidP="000F5BFB">
      <w:pPr>
        <w:ind w:left="709"/>
        <w:rPr>
          <w:b/>
          <w:szCs w:val="24"/>
        </w:rPr>
      </w:pPr>
    </w:p>
    <w:p w14:paraId="4F913243" w14:textId="08A00E10" w:rsidR="00D90216" w:rsidRPr="00F45195" w:rsidRDefault="001C592E" w:rsidP="006563F1">
      <w:pPr>
        <w:pStyle w:val="Heading2"/>
        <w:jc w:val="left"/>
        <w:rPr>
          <w:sz w:val="24"/>
          <w:szCs w:val="24"/>
        </w:rPr>
      </w:pPr>
      <w:bookmarkStart w:id="74" w:name="_Toc215593413"/>
      <w:r w:rsidRPr="00D948C1">
        <w:rPr>
          <w:sz w:val="24"/>
          <w:szCs w:val="24"/>
        </w:rPr>
        <w:t>2</w:t>
      </w:r>
      <w:r w:rsidR="00B62A26">
        <w:rPr>
          <w:sz w:val="24"/>
          <w:szCs w:val="24"/>
        </w:rPr>
        <w:t>2</w:t>
      </w:r>
      <w:r w:rsidR="00D90216">
        <w:tab/>
      </w:r>
      <w:r w:rsidR="00D90216" w:rsidRPr="00F45195">
        <w:rPr>
          <w:sz w:val="24"/>
          <w:szCs w:val="24"/>
        </w:rPr>
        <w:t>Nature and Extent of Risks Arising from Financial Instruments</w:t>
      </w:r>
      <w:bookmarkEnd w:id="74"/>
    </w:p>
    <w:p w14:paraId="104202B8" w14:textId="77777777" w:rsidR="00D90216" w:rsidRPr="00F45195" w:rsidRDefault="00D90216" w:rsidP="000F5BFB">
      <w:pPr>
        <w:ind w:left="709"/>
      </w:pPr>
    </w:p>
    <w:p w14:paraId="4F6F002B" w14:textId="77777777" w:rsidR="00D90216" w:rsidRPr="00F45195" w:rsidRDefault="00D90216" w:rsidP="000F5BFB">
      <w:pPr>
        <w:ind w:left="709"/>
      </w:pPr>
      <w:r w:rsidRPr="00F45195">
        <w:t>The Authority’s activities expose it to a variety of financial risks:</w:t>
      </w:r>
    </w:p>
    <w:p w14:paraId="70665BB8" w14:textId="77777777" w:rsidR="00D90216" w:rsidRPr="00F45195" w:rsidRDefault="00D90216" w:rsidP="000F5BFB">
      <w:pPr>
        <w:ind w:left="709"/>
      </w:pPr>
    </w:p>
    <w:p w14:paraId="21D9837A" w14:textId="06F0C1F8" w:rsidR="00D90216" w:rsidRPr="00F45195" w:rsidRDefault="00D90216" w:rsidP="000F5BFB">
      <w:pPr>
        <w:numPr>
          <w:ilvl w:val="0"/>
          <w:numId w:val="18"/>
        </w:numPr>
      </w:pPr>
      <w:r w:rsidRPr="00F45195">
        <w:t>Credit risk – the possibility that other parties might fail to pay amounts due to the Authority</w:t>
      </w:r>
      <w:r w:rsidR="000A40E3" w:rsidRPr="00F45195">
        <w:t>.</w:t>
      </w:r>
    </w:p>
    <w:p w14:paraId="3095ACDF" w14:textId="5D4DE97C" w:rsidR="00D90216" w:rsidRPr="00F45195" w:rsidRDefault="00D90216" w:rsidP="000F5BFB">
      <w:pPr>
        <w:numPr>
          <w:ilvl w:val="0"/>
          <w:numId w:val="18"/>
        </w:numPr>
      </w:pPr>
      <w:r w:rsidRPr="00F45195">
        <w:t>Liquidity risk – the possibility that the Authority might not have funds available to meet its commitments to make payments</w:t>
      </w:r>
      <w:r w:rsidR="000A40E3" w:rsidRPr="00F45195">
        <w:t>.</w:t>
      </w:r>
    </w:p>
    <w:p w14:paraId="7915C0C6" w14:textId="6234700B" w:rsidR="00D90216" w:rsidRPr="00F45195" w:rsidRDefault="00D90216" w:rsidP="000F5BFB">
      <w:pPr>
        <w:numPr>
          <w:ilvl w:val="0"/>
          <w:numId w:val="18"/>
        </w:numPr>
      </w:pPr>
      <w:r w:rsidRPr="00F45195">
        <w:t xml:space="preserve">Market risk – the possibility that financial loss might arise for the Authority </w:t>
      </w:r>
      <w:r w:rsidR="0094180B" w:rsidRPr="00F45195">
        <w:t>because of</w:t>
      </w:r>
      <w:r w:rsidRPr="00F45195">
        <w:t xml:space="preserve"> changes in such measures as interest rates and stock market movements.</w:t>
      </w:r>
    </w:p>
    <w:p w14:paraId="52915CFF" w14:textId="77777777" w:rsidR="00D90216" w:rsidRPr="00F45195" w:rsidRDefault="00D90216" w:rsidP="000F5BFB"/>
    <w:p w14:paraId="2DA98039" w14:textId="0EF5E4DA" w:rsidR="00D90216" w:rsidRPr="00F45195" w:rsidRDefault="00D90216" w:rsidP="000F5BFB">
      <w:pPr>
        <w:ind w:left="709"/>
      </w:pPr>
      <w:r w:rsidRPr="00F45195">
        <w:t xml:space="preserve">Risk management is carried out under policies approved by the Authority in the annual Treasury Management Strategy. The strategy provides written principles for overall risk </w:t>
      </w:r>
      <w:r w:rsidRPr="00F45195">
        <w:lastRenderedPageBreak/>
        <w:t>management, as well as written policies covering specific areas, such as interest rate risk, credit risk and the investment of surplus cash.</w:t>
      </w:r>
    </w:p>
    <w:p w14:paraId="5AA8DF86" w14:textId="77777777" w:rsidR="00D92F67" w:rsidRPr="00F45195" w:rsidRDefault="00D92F67" w:rsidP="000F5BFB">
      <w:pPr>
        <w:ind w:left="720"/>
        <w:rPr>
          <w:b/>
        </w:rPr>
      </w:pPr>
    </w:p>
    <w:p w14:paraId="1B940933" w14:textId="77777777" w:rsidR="00D90216" w:rsidRPr="00F45195" w:rsidRDefault="00D90216" w:rsidP="000F5BFB">
      <w:pPr>
        <w:ind w:left="720"/>
        <w:rPr>
          <w:b/>
        </w:rPr>
      </w:pPr>
      <w:r w:rsidRPr="00F45195">
        <w:rPr>
          <w:b/>
        </w:rPr>
        <w:t>Credit Risk</w:t>
      </w:r>
    </w:p>
    <w:p w14:paraId="1931A420" w14:textId="77777777" w:rsidR="00D90216" w:rsidRPr="00F45195" w:rsidRDefault="00D90216" w:rsidP="000F5BFB">
      <w:pPr>
        <w:ind w:left="709"/>
      </w:pPr>
    </w:p>
    <w:p w14:paraId="207214C0" w14:textId="77777777" w:rsidR="00D90216" w:rsidRPr="00F45195" w:rsidRDefault="00D90216" w:rsidP="000F5BFB">
      <w:pPr>
        <w:ind w:left="709"/>
      </w:pPr>
      <w:r w:rsidRPr="00F45195">
        <w:t>Credit risk arises from deposits with banks and financial institutions, as well as credit exposures to the Authority’s customers.</w:t>
      </w:r>
    </w:p>
    <w:p w14:paraId="5392DB45" w14:textId="345B640E" w:rsidR="00D90216" w:rsidRPr="00F45195" w:rsidRDefault="00D90216" w:rsidP="000F5BFB">
      <w:pPr>
        <w:ind w:left="709"/>
      </w:pPr>
    </w:p>
    <w:p w14:paraId="5F1E0FAD" w14:textId="62DD0877" w:rsidR="00A7369F" w:rsidRPr="00F45195" w:rsidRDefault="00A7369F" w:rsidP="000F5BFB">
      <w:pPr>
        <w:ind w:left="709"/>
      </w:pPr>
      <w:r w:rsidRPr="00F45195">
        <w:t xml:space="preserve">This risk is minimised through the Annual Investment Strategy, which states that any investment counterparty must have a minimum actual or implied credit rating of AA- </w:t>
      </w:r>
      <w:r w:rsidR="001C3A52" w:rsidRPr="00F45195">
        <w:t>to</w:t>
      </w:r>
      <w:r w:rsidRPr="00F45195">
        <w:t xml:space="preserve"> be eligible. The Authority will also have regard to recent banking reform legislation which provides for creditor 'bail-in' rather than state 'bail-out' of banks should the bank fail. The effect of this legislation is that a local authority is likely to lose a higher proportion of any assets caught up in a credit event than almost any other type of institution. Credit risk control therefore means that unsecured bank deposits are, unless for very short duration, not suitable as an investment instrument in the future.</w:t>
      </w:r>
    </w:p>
    <w:p w14:paraId="5650CF91" w14:textId="77777777" w:rsidR="00D90216" w:rsidRPr="00F45195" w:rsidRDefault="00D90216" w:rsidP="000F5BFB"/>
    <w:p w14:paraId="7537DF0A" w14:textId="77777777" w:rsidR="00D90216" w:rsidRPr="00F45195" w:rsidRDefault="00D90216" w:rsidP="000F5BFB">
      <w:pPr>
        <w:ind w:left="720"/>
      </w:pPr>
      <w:r w:rsidRPr="00F45195">
        <w:t>In the context of credit risk, trade debtors are treated as financial instruments.</w:t>
      </w:r>
      <w:r w:rsidRPr="00013537">
        <w:t xml:space="preserve"> </w:t>
      </w:r>
    </w:p>
    <w:p w14:paraId="55B99BED" w14:textId="77777777" w:rsidR="00762A90" w:rsidRPr="00F45195" w:rsidRDefault="00762A90" w:rsidP="00746F3D">
      <w:pPr>
        <w:rPr>
          <w:b/>
        </w:rPr>
      </w:pPr>
    </w:p>
    <w:p w14:paraId="3EC6892F" w14:textId="584BAD01" w:rsidR="00D90216" w:rsidRPr="00F45195" w:rsidRDefault="00D90216" w:rsidP="000F5BFB">
      <w:pPr>
        <w:ind w:left="720"/>
        <w:rPr>
          <w:b/>
        </w:rPr>
      </w:pPr>
      <w:bookmarkStart w:id="75" w:name="_Hlk141616625"/>
      <w:r w:rsidRPr="00F45195">
        <w:rPr>
          <w:b/>
        </w:rPr>
        <w:t xml:space="preserve">Trade </w:t>
      </w:r>
      <w:r w:rsidR="001931F4" w:rsidRPr="00F45195">
        <w:rPr>
          <w:b/>
        </w:rPr>
        <w:t>D</w:t>
      </w:r>
      <w:r w:rsidRPr="00F45195">
        <w:rPr>
          <w:b/>
        </w:rPr>
        <w:t xml:space="preserve">ebtor </w:t>
      </w:r>
      <w:r w:rsidR="001931F4" w:rsidRPr="00F45195">
        <w:rPr>
          <w:b/>
        </w:rPr>
        <w:t>C</w:t>
      </w:r>
      <w:r w:rsidRPr="00F45195">
        <w:rPr>
          <w:b/>
        </w:rPr>
        <w:t xml:space="preserve">redit </w:t>
      </w:r>
      <w:r w:rsidR="001931F4" w:rsidRPr="00F45195">
        <w:rPr>
          <w:b/>
        </w:rPr>
        <w:t>R</w:t>
      </w:r>
      <w:r w:rsidRPr="00F45195">
        <w:rPr>
          <w:b/>
        </w:rPr>
        <w:t>isk</w:t>
      </w:r>
    </w:p>
    <w:p w14:paraId="6189A0EC" w14:textId="77777777" w:rsidR="00D90216" w:rsidRPr="00D948C1" w:rsidRDefault="00D90216" w:rsidP="000F5BFB">
      <w:pPr>
        <w:ind w:left="720"/>
        <w:rPr>
          <w:highlight w:val="green"/>
        </w:rPr>
      </w:pPr>
    </w:p>
    <w:p w14:paraId="77EF5732" w14:textId="1415E2EC" w:rsidR="00D90216" w:rsidRPr="00663DA5" w:rsidRDefault="00D90216" w:rsidP="000F5BFB">
      <w:pPr>
        <w:ind w:left="709"/>
      </w:pPr>
      <w:r w:rsidRPr="00F45195">
        <w:t xml:space="preserve">The Authority does not generally allow credit for customers, such that </w:t>
      </w:r>
      <w:r w:rsidR="007603E1" w:rsidRPr="00F45195">
        <w:t>£0.</w:t>
      </w:r>
      <w:r w:rsidR="005854EF">
        <w:t>027</w:t>
      </w:r>
      <w:r w:rsidR="00E63989" w:rsidRPr="00663DA5">
        <w:t xml:space="preserve">m </w:t>
      </w:r>
      <w:r w:rsidRPr="00663DA5">
        <w:t xml:space="preserve">of the </w:t>
      </w:r>
      <w:r w:rsidR="007603E1" w:rsidRPr="00663DA5">
        <w:t>£0</w:t>
      </w:r>
      <w:r w:rsidRPr="00663DA5">
        <w:t>.</w:t>
      </w:r>
      <w:r w:rsidR="00480C3F">
        <w:t>24</w:t>
      </w:r>
      <w:r w:rsidR="00BA618C" w:rsidRPr="00663DA5">
        <w:t>5</w:t>
      </w:r>
      <w:r w:rsidR="00CC71B7" w:rsidRPr="00663DA5">
        <w:t xml:space="preserve">m </w:t>
      </w:r>
      <w:r w:rsidRPr="00663DA5">
        <w:t xml:space="preserve">balance is past due date for payment. On a prudent basis the Authority has created a provision for </w:t>
      </w:r>
      <w:r w:rsidR="00307578" w:rsidRPr="00663DA5">
        <w:t>expected credit losses</w:t>
      </w:r>
      <w:r w:rsidRPr="00663DA5">
        <w:t xml:space="preserve"> to cover any potential loss arising from this, which currently stands at </w:t>
      </w:r>
      <w:r w:rsidR="007603E1" w:rsidRPr="00663DA5">
        <w:t>£0.</w:t>
      </w:r>
      <w:r w:rsidR="00CC71B7" w:rsidRPr="00663DA5">
        <w:t>0</w:t>
      </w:r>
      <w:r w:rsidR="00F514A3" w:rsidRPr="00663DA5">
        <w:t>3</w:t>
      </w:r>
      <w:r w:rsidR="00FB50BC">
        <w:t>1</w:t>
      </w:r>
      <w:r w:rsidR="00CC71B7" w:rsidRPr="00663DA5">
        <w:t>m</w:t>
      </w:r>
      <w:r w:rsidRPr="00663DA5">
        <w:t xml:space="preserve"> which is considered sufficient for this purpose.</w:t>
      </w:r>
    </w:p>
    <w:bookmarkEnd w:id="75"/>
    <w:p w14:paraId="33F114B9" w14:textId="77777777" w:rsidR="00255965" w:rsidRPr="00D948C1" w:rsidRDefault="00255965" w:rsidP="000F5BFB">
      <w:pPr>
        <w:rPr>
          <w:szCs w:val="24"/>
        </w:rPr>
      </w:pPr>
    </w:p>
    <w:p w14:paraId="2BF31854" w14:textId="64E91AE4" w:rsidR="00D90216" w:rsidRPr="00D948C1" w:rsidRDefault="00D90216" w:rsidP="00746F3D">
      <w:pPr>
        <w:ind w:left="709"/>
        <w:rPr>
          <w:szCs w:val="24"/>
        </w:rPr>
      </w:pPr>
      <w:r w:rsidRPr="00D948C1">
        <w:rPr>
          <w:szCs w:val="24"/>
        </w:rPr>
        <w:t xml:space="preserve">The past due amount can be analysed by age as follows: </w:t>
      </w:r>
    </w:p>
    <w:p w14:paraId="700296A9" w14:textId="77777777" w:rsidR="00746F3D" w:rsidRPr="00D948C1" w:rsidRDefault="00746F3D" w:rsidP="00746F3D">
      <w:pPr>
        <w:ind w:left="709"/>
        <w:rPr>
          <w:szCs w:val="24"/>
        </w:rPr>
      </w:pPr>
    </w:p>
    <w:tbl>
      <w:tblPr>
        <w:tblW w:w="6379"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701"/>
        <w:gridCol w:w="1560"/>
      </w:tblGrid>
      <w:tr w:rsidR="0010066C" w:rsidRPr="00D948C1" w14:paraId="32309BC2" w14:textId="77777777" w:rsidTr="00611673">
        <w:tc>
          <w:tcPr>
            <w:tcW w:w="3118" w:type="dxa"/>
            <w:shd w:val="clear" w:color="auto" w:fill="BD2716"/>
          </w:tcPr>
          <w:p w14:paraId="27F927C2" w14:textId="765DBF02" w:rsidR="0010066C" w:rsidRPr="00D948C1" w:rsidRDefault="0010066C" w:rsidP="0010066C">
            <w:pPr>
              <w:rPr>
                <w:color w:val="FFFFFF" w:themeColor="background1"/>
                <w:szCs w:val="24"/>
              </w:rPr>
            </w:pPr>
          </w:p>
        </w:tc>
        <w:tc>
          <w:tcPr>
            <w:tcW w:w="1701" w:type="dxa"/>
            <w:shd w:val="clear" w:color="auto" w:fill="BD2716"/>
            <w:vAlign w:val="center"/>
          </w:tcPr>
          <w:p w14:paraId="02E8A827" w14:textId="7A8AC685" w:rsidR="0010066C" w:rsidRPr="00D948C1" w:rsidRDefault="0010066C" w:rsidP="0010066C">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1C76FDC4" w14:textId="32879931" w:rsidR="0010066C" w:rsidRPr="00D948C1" w:rsidRDefault="0010066C" w:rsidP="0010066C">
            <w:pPr>
              <w:jc w:val="right"/>
              <w:rPr>
                <w:color w:val="FFFFFF" w:themeColor="background1"/>
                <w:szCs w:val="24"/>
              </w:rPr>
            </w:pPr>
            <w:r w:rsidRPr="00D948C1">
              <w:rPr>
                <w:color w:val="FFFFFF" w:themeColor="background1"/>
                <w:szCs w:val="24"/>
              </w:rPr>
              <w:t>£000</w:t>
            </w:r>
          </w:p>
        </w:tc>
        <w:tc>
          <w:tcPr>
            <w:tcW w:w="1560" w:type="dxa"/>
            <w:shd w:val="clear" w:color="auto" w:fill="BD2716"/>
            <w:vAlign w:val="center"/>
          </w:tcPr>
          <w:p w14:paraId="5BDDF9D5" w14:textId="77777777" w:rsidR="005666C0" w:rsidRPr="00D948C1" w:rsidRDefault="005666C0" w:rsidP="005666C0">
            <w:pPr>
              <w:jc w:val="right"/>
              <w:rPr>
                <w:color w:val="FFFFFF" w:themeColor="background1"/>
                <w:szCs w:val="24"/>
              </w:rPr>
            </w:pPr>
            <w:r w:rsidRPr="00D948C1">
              <w:rPr>
                <w:color w:val="FFFFFF" w:themeColor="background1"/>
                <w:szCs w:val="24"/>
              </w:rPr>
              <w:t>2023/24</w:t>
            </w:r>
          </w:p>
          <w:p w14:paraId="18D7E6D2" w14:textId="6DC659FC" w:rsidR="0010066C" w:rsidRPr="00D948C1" w:rsidRDefault="005666C0" w:rsidP="005666C0">
            <w:pPr>
              <w:jc w:val="right"/>
              <w:rPr>
                <w:color w:val="FFFFFF" w:themeColor="background1"/>
                <w:szCs w:val="24"/>
              </w:rPr>
            </w:pPr>
            <w:r w:rsidRPr="00D948C1">
              <w:rPr>
                <w:color w:val="FFFFFF" w:themeColor="background1"/>
                <w:szCs w:val="24"/>
              </w:rPr>
              <w:t>£000</w:t>
            </w:r>
          </w:p>
        </w:tc>
      </w:tr>
      <w:tr w:rsidR="005666C0" w:rsidRPr="00D948C1" w14:paraId="0A9698DC" w14:textId="77777777" w:rsidTr="003572E5">
        <w:trPr>
          <w:trHeight w:val="278"/>
        </w:trPr>
        <w:tc>
          <w:tcPr>
            <w:tcW w:w="3118" w:type="dxa"/>
          </w:tcPr>
          <w:p w14:paraId="1585BF46" w14:textId="6A7066DC" w:rsidR="005666C0" w:rsidRPr="00D948C1" w:rsidRDefault="005666C0" w:rsidP="005666C0">
            <w:pPr>
              <w:ind w:left="34"/>
              <w:rPr>
                <w:szCs w:val="24"/>
              </w:rPr>
            </w:pPr>
            <w:r w:rsidRPr="00D948C1">
              <w:rPr>
                <w:szCs w:val="24"/>
              </w:rPr>
              <w:t>0 to 30 days</w:t>
            </w:r>
          </w:p>
        </w:tc>
        <w:tc>
          <w:tcPr>
            <w:tcW w:w="1701" w:type="dxa"/>
            <w:vAlign w:val="center"/>
          </w:tcPr>
          <w:p w14:paraId="4707AD62" w14:textId="2512F325" w:rsidR="005666C0" w:rsidRPr="00294859" w:rsidRDefault="00C20426" w:rsidP="005666C0">
            <w:pPr>
              <w:jc w:val="right"/>
              <w:rPr>
                <w:szCs w:val="24"/>
              </w:rPr>
            </w:pPr>
            <w:r w:rsidRPr="00294859">
              <w:rPr>
                <w:szCs w:val="24"/>
              </w:rPr>
              <w:t>218</w:t>
            </w:r>
          </w:p>
        </w:tc>
        <w:tc>
          <w:tcPr>
            <w:tcW w:w="1560" w:type="dxa"/>
            <w:vAlign w:val="center"/>
          </w:tcPr>
          <w:p w14:paraId="43F1A014" w14:textId="2E12A02F" w:rsidR="005666C0" w:rsidRPr="00DF39E9" w:rsidRDefault="005666C0" w:rsidP="005666C0">
            <w:pPr>
              <w:jc w:val="right"/>
              <w:rPr>
                <w:szCs w:val="24"/>
              </w:rPr>
            </w:pPr>
            <w:r w:rsidRPr="00DF39E9">
              <w:rPr>
                <w:szCs w:val="24"/>
              </w:rPr>
              <w:t>201</w:t>
            </w:r>
          </w:p>
        </w:tc>
      </w:tr>
      <w:tr w:rsidR="005666C0" w:rsidRPr="00D948C1" w14:paraId="72D42E6A" w14:textId="77777777" w:rsidTr="003572E5">
        <w:trPr>
          <w:trHeight w:val="278"/>
        </w:trPr>
        <w:tc>
          <w:tcPr>
            <w:tcW w:w="3118" w:type="dxa"/>
          </w:tcPr>
          <w:p w14:paraId="4E72E412" w14:textId="70C40003" w:rsidR="005666C0" w:rsidRPr="00D948C1" w:rsidRDefault="005666C0" w:rsidP="005666C0">
            <w:pPr>
              <w:ind w:left="34"/>
              <w:rPr>
                <w:szCs w:val="24"/>
              </w:rPr>
            </w:pPr>
            <w:r w:rsidRPr="00D948C1">
              <w:rPr>
                <w:szCs w:val="24"/>
              </w:rPr>
              <w:t>31 to 60 days</w:t>
            </w:r>
          </w:p>
        </w:tc>
        <w:tc>
          <w:tcPr>
            <w:tcW w:w="1701" w:type="dxa"/>
            <w:vAlign w:val="center"/>
          </w:tcPr>
          <w:p w14:paraId="28A47090" w14:textId="10817347" w:rsidR="005666C0" w:rsidRPr="00294859" w:rsidRDefault="00C20426" w:rsidP="005666C0">
            <w:pPr>
              <w:jc w:val="right"/>
              <w:rPr>
                <w:szCs w:val="24"/>
              </w:rPr>
            </w:pPr>
            <w:r w:rsidRPr="00294859">
              <w:rPr>
                <w:szCs w:val="24"/>
              </w:rPr>
              <w:t>20</w:t>
            </w:r>
          </w:p>
        </w:tc>
        <w:tc>
          <w:tcPr>
            <w:tcW w:w="1560" w:type="dxa"/>
            <w:vAlign w:val="center"/>
          </w:tcPr>
          <w:p w14:paraId="65C293C6" w14:textId="30328B81" w:rsidR="005666C0" w:rsidRPr="00DF39E9" w:rsidRDefault="005666C0" w:rsidP="005666C0">
            <w:pPr>
              <w:jc w:val="right"/>
              <w:rPr>
                <w:szCs w:val="24"/>
              </w:rPr>
            </w:pPr>
            <w:r w:rsidRPr="00DF39E9">
              <w:rPr>
                <w:szCs w:val="24"/>
              </w:rPr>
              <w:t>170</w:t>
            </w:r>
          </w:p>
        </w:tc>
      </w:tr>
      <w:tr w:rsidR="005666C0" w:rsidRPr="00D948C1" w14:paraId="6A166314" w14:textId="77777777" w:rsidTr="003572E5">
        <w:trPr>
          <w:trHeight w:val="278"/>
        </w:trPr>
        <w:tc>
          <w:tcPr>
            <w:tcW w:w="3118" w:type="dxa"/>
          </w:tcPr>
          <w:p w14:paraId="5105914B" w14:textId="766E77F4" w:rsidR="005666C0" w:rsidRPr="00D948C1" w:rsidRDefault="005666C0" w:rsidP="005666C0">
            <w:pPr>
              <w:ind w:left="34"/>
              <w:rPr>
                <w:szCs w:val="24"/>
              </w:rPr>
            </w:pPr>
            <w:r w:rsidRPr="00D948C1">
              <w:rPr>
                <w:szCs w:val="24"/>
              </w:rPr>
              <w:t>61 to 90 days</w:t>
            </w:r>
          </w:p>
        </w:tc>
        <w:tc>
          <w:tcPr>
            <w:tcW w:w="1701" w:type="dxa"/>
            <w:vAlign w:val="center"/>
          </w:tcPr>
          <w:p w14:paraId="5DA3BC97" w14:textId="46C07FA5" w:rsidR="005666C0" w:rsidRPr="00294859" w:rsidRDefault="00C20426" w:rsidP="005666C0">
            <w:pPr>
              <w:jc w:val="right"/>
              <w:rPr>
                <w:szCs w:val="24"/>
              </w:rPr>
            </w:pPr>
            <w:r w:rsidRPr="00294859">
              <w:rPr>
                <w:szCs w:val="24"/>
              </w:rPr>
              <w:t>1</w:t>
            </w:r>
          </w:p>
        </w:tc>
        <w:tc>
          <w:tcPr>
            <w:tcW w:w="1560" w:type="dxa"/>
            <w:vAlign w:val="center"/>
          </w:tcPr>
          <w:p w14:paraId="03030F1B" w14:textId="15DBB387" w:rsidR="005666C0" w:rsidRPr="00DF39E9" w:rsidRDefault="005666C0" w:rsidP="005666C0">
            <w:pPr>
              <w:jc w:val="right"/>
              <w:rPr>
                <w:szCs w:val="24"/>
              </w:rPr>
            </w:pPr>
            <w:r w:rsidRPr="00DF39E9">
              <w:rPr>
                <w:szCs w:val="24"/>
              </w:rPr>
              <w:t>1</w:t>
            </w:r>
          </w:p>
        </w:tc>
      </w:tr>
      <w:tr w:rsidR="005666C0" w:rsidRPr="00D948C1" w14:paraId="36C24F3A" w14:textId="77777777" w:rsidTr="003572E5">
        <w:trPr>
          <w:trHeight w:val="278"/>
        </w:trPr>
        <w:tc>
          <w:tcPr>
            <w:tcW w:w="3118" w:type="dxa"/>
          </w:tcPr>
          <w:p w14:paraId="77E3EBD3" w14:textId="6E58FD8F" w:rsidR="005666C0" w:rsidRPr="00D948C1" w:rsidRDefault="005666C0" w:rsidP="005666C0">
            <w:pPr>
              <w:ind w:left="34"/>
              <w:rPr>
                <w:szCs w:val="24"/>
              </w:rPr>
            </w:pPr>
            <w:r w:rsidRPr="00D948C1">
              <w:rPr>
                <w:szCs w:val="24"/>
              </w:rPr>
              <w:t>91 to 180 days</w:t>
            </w:r>
          </w:p>
        </w:tc>
        <w:tc>
          <w:tcPr>
            <w:tcW w:w="1701" w:type="dxa"/>
            <w:vAlign w:val="center"/>
          </w:tcPr>
          <w:p w14:paraId="7DDAFDA0" w14:textId="06FB6C0B" w:rsidR="005666C0" w:rsidRPr="00294859" w:rsidRDefault="00C20426" w:rsidP="005666C0">
            <w:pPr>
              <w:jc w:val="right"/>
              <w:rPr>
                <w:szCs w:val="24"/>
              </w:rPr>
            </w:pPr>
            <w:r w:rsidRPr="00294859">
              <w:rPr>
                <w:szCs w:val="24"/>
              </w:rPr>
              <w:t>7</w:t>
            </w:r>
          </w:p>
        </w:tc>
        <w:tc>
          <w:tcPr>
            <w:tcW w:w="1560" w:type="dxa"/>
            <w:vAlign w:val="center"/>
          </w:tcPr>
          <w:p w14:paraId="3A7189AE" w14:textId="457045B3" w:rsidR="005666C0" w:rsidRPr="00DF39E9" w:rsidRDefault="005666C0" w:rsidP="005666C0">
            <w:pPr>
              <w:jc w:val="right"/>
              <w:rPr>
                <w:szCs w:val="24"/>
              </w:rPr>
            </w:pPr>
            <w:r w:rsidRPr="00DF39E9">
              <w:rPr>
                <w:szCs w:val="24"/>
              </w:rPr>
              <w:t>0</w:t>
            </w:r>
          </w:p>
        </w:tc>
      </w:tr>
      <w:tr w:rsidR="005666C0" w:rsidRPr="00D948C1" w14:paraId="60A15989" w14:textId="77777777" w:rsidTr="003572E5">
        <w:trPr>
          <w:trHeight w:val="278"/>
        </w:trPr>
        <w:tc>
          <w:tcPr>
            <w:tcW w:w="3118" w:type="dxa"/>
          </w:tcPr>
          <w:p w14:paraId="57663824" w14:textId="782B207C" w:rsidR="005666C0" w:rsidRPr="00D948C1" w:rsidRDefault="005666C0" w:rsidP="005666C0">
            <w:pPr>
              <w:ind w:left="34"/>
              <w:rPr>
                <w:szCs w:val="24"/>
              </w:rPr>
            </w:pPr>
            <w:r w:rsidRPr="00D948C1">
              <w:rPr>
                <w:szCs w:val="24"/>
              </w:rPr>
              <w:t>Over 180 days</w:t>
            </w:r>
          </w:p>
        </w:tc>
        <w:tc>
          <w:tcPr>
            <w:tcW w:w="1701" w:type="dxa"/>
            <w:vAlign w:val="center"/>
          </w:tcPr>
          <w:p w14:paraId="07848F47" w14:textId="6BCB3248" w:rsidR="005666C0" w:rsidRPr="00294859" w:rsidRDefault="00C20426" w:rsidP="005666C0">
            <w:pPr>
              <w:jc w:val="right"/>
              <w:rPr>
                <w:szCs w:val="24"/>
              </w:rPr>
            </w:pPr>
            <w:r w:rsidRPr="00294859">
              <w:rPr>
                <w:szCs w:val="24"/>
              </w:rPr>
              <w:t>0</w:t>
            </w:r>
          </w:p>
        </w:tc>
        <w:tc>
          <w:tcPr>
            <w:tcW w:w="1560" w:type="dxa"/>
            <w:vAlign w:val="center"/>
          </w:tcPr>
          <w:p w14:paraId="2C204918" w14:textId="411109FB" w:rsidR="005666C0" w:rsidRPr="00DF39E9" w:rsidRDefault="005666C0" w:rsidP="005666C0">
            <w:pPr>
              <w:jc w:val="right"/>
              <w:rPr>
                <w:szCs w:val="24"/>
              </w:rPr>
            </w:pPr>
            <w:r w:rsidRPr="00DF39E9">
              <w:rPr>
                <w:szCs w:val="24"/>
              </w:rPr>
              <w:t>3</w:t>
            </w:r>
          </w:p>
        </w:tc>
      </w:tr>
      <w:tr w:rsidR="005666C0" w:rsidRPr="00D948C1" w14:paraId="44372571" w14:textId="77777777" w:rsidTr="003572E5">
        <w:trPr>
          <w:trHeight w:val="278"/>
        </w:trPr>
        <w:tc>
          <w:tcPr>
            <w:tcW w:w="3118" w:type="dxa"/>
          </w:tcPr>
          <w:p w14:paraId="28F4D182" w14:textId="2090F462" w:rsidR="005666C0" w:rsidRPr="00D948C1" w:rsidRDefault="005666C0" w:rsidP="005666C0">
            <w:pPr>
              <w:ind w:left="34"/>
              <w:rPr>
                <w:szCs w:val="24"/>
              </w:rPr>
            </w:pPr>
            <w:r w:rsidRPr="00D948C1">
              <w:rPr>
                <w:szCs w:val="24"/>
              </w:rPr>
              <w:t>Total</w:t>
            </w:r>
          </w:p>
        </w:tc>
        <w:tc>
          <w:tcPr>
            <w:tcW w:w="1701" w:type="dxa"/>
            <w:vAlign w:val="center"/>
          </w:tcPr>
          <w:p w14:paraId="531641EA" w14:textId="3AF4422E" w:rsidR="005666C0" w:rsidRPr="00294859" w:rsidRDefault="00C20426" w:rsidP="005666C0">
            <w:pPr>
              <w:jc w:val="right"/>
              <w:rPr>
                <w:szCs w:val="24"/>
              </w:rPr>
            </w:pPr>
            <w:r w:rsidRPr="00294859">
              <w:rPr>
                <w:szCs w:val="24"/>
              </w:rPr>
              <w:t>24</w:t>
            </w:r>
            <w:r w:rsidR="003A2707" w:rsidRPr="00456BDD">
              <w:rPr>
                <w:szCs w:val="24"/>
              </w:rPr>
              <w:t>5</w:t>
            </w:r>
          </w:p>
        </w:tc>
        <w:tc>
          <w:tcPr>
            <w:tcW w:w="1560" w:type="dxa"/>
            <w:vAlign w:val="center"/>
          </w:tcPr>
          <w:p w14:paraId="50E1B62B" w14:textId="5C98F243" w:rsidR="005666C0" w:rsidRPr="00DF39E9" w:rsidRDefault="005666C0" w:rsidP="005666C0">
            <w:pPr>
              <w:jc w:val="right"/>
              <w:rPr>
                <w:szCs w:val="24"/>
              </w:rPr>
            </w:pPr>
            <w:r w:rsidRPr="00DF39E9">
              <w:rPr>
                <w:szCs w:val="24"/>
              </w:rPr>
              <w:t>375</w:t>
            </w:r>
          </w:p>
        </w:tc>
      </w:tr>
    </w:tbl>
    <w:p w14:paraId="34877DF5" w14:textId="77777777" w:rsidR="008216A1" w:rsidRPr="00D948C1" w:rsidRDefault="008216A1" w:rsidP="00D90216">
      <w:pPr>
        <w:ind w:firstLine="720"/>
        <w:jc w:val="both"/>
        <w:rPr>
          <w:b/>
          <w:sz w:val="22"/>
          <w:szCs w:val="22"/>
        </w:rPr>
      </w:pPr>
    </w:p>
    <w:p w14:paraId="4CF7DD85" w14:textId="77777777" w:rsidR="00D90216" w:rsidRPr="00D948C1" w:rsidRDefault="00D90216" w:rsidP="000F5BFB">
      <w:pPr>
        <w:ind w:firstLine="720"/>
        <w:rPr>
          <w:b/>
          <w:szCs w:val="24"/>
        </w:rPr>
      </w:pPr>
      <w:r w:rsidRPr="00D948C1">
        <w:rPr>
          <w:b/>
          <w:szCs w:val="24"/>
        </w:rPr>
        <w:t>Liquidity Risk</w:t>
      </w:r>
    </w:p>
    <w:p w14:paraId="5BFA1606" w14:textId="77777777" w:rsidR="00D90216" w:rsidRPr="00D948C1" w:rsidRDefault="00D90216" w:rsidP="000F5BFB">
      <w:pPr>
        <w:ind w:firstLine="720"/>
        <w:rPr>
          <w:b/>
          <w:szCs w:val="24"/>
        </w:rPr>
      </w:pPr>
    </w:p>
    <w:p w14:paraId="242BD4CD" w14:textId="509C59DC" w:rsidR="00D90216" w:rsidRPr="00D948C1" w:rsidRDefault="00D90216" w:rsidP="000F5BFB">
      <w:pPr>
        <w:ind w:left="720"/>
        <w:rPr>
          <w:szCs w:val="24"/>
        </w:rPr>
      </w:pPr>
      <w:r w:rsidRPr="00D948C1">
        <w:rPr>
          <w:szCs w:val="24"/>
        </w:rPr>
        <w:t>The Authority has a comprehensive cash flow management system that seeks to ensure that cash is available as needed. There is no significant risk that it will be unable to raise finance to meet its commitments under financial instruments.</w:t>
      </w:r>
    </w:p>
    <w:p w14:paraId="2F90F153" w14:textId="77777777" w:rsidR="00F96C8B" w:rsidRPr="00D948C1" w:rsidRDefault="00F96C8B" w:rsidP="000F5BFB">
      <w:pPr>
        <w:ind w:left="720"/>
        <w:rPr>
          <w:szCs w:val="24"/>
        </w:rPr>
      </w:pPr>
    </w:p>
    <w:p w14:paraId="34052ED9" w14:textId="1D09F26C" w:rsidR="009B5951" w:rsidRDefault="00D90216" w:rsidP="009B5951">
      <w:pPr>
        <w:ind w:left="720"/>
        <w:rPr>
          <w:szCs w:val="24"/>
        </w:rPr>
      </w:pPr>
      <w:r w:rsidRPr="00D948C1">
        <w:rPr>
          <w:szCs w:val="24"/>
        </w:rPr>
        <w:t xml:space="preserve">The maturity profile of our </w:t>
      </w:r>
      <w:r w:rsidR="002D74C1" w:rsidRPr="00D948C1">
        <w:rPr>
          <w:szCs w:val="24"/>
        </w:rPr>
        <w:t xml:space="preserve">remaining </w:t>
      </w:r>
      <w:r w:rsidRPr="00D948C1">
        <w:rPr>
          <w:szCs w:val="24"/>
        </w:rPr>
        <w:t>debt is shown in the table below.</w:t>
      </w:r>
    </w:p>
    <w:p w14:paraId="21A5ED02" w14:textId="77777777" w:rsidR="009B5951" w:rsidRDefault="009B5951">
      <w:pPr>
        <w:rPr>
          <w:szCs w:val="24"/>
        </w:rPr>
      </w:pPr>
      <w:r>
        <w:rPr>
          <w:szCs w:val="24"/>
        </w:rPr>
        <w:br w:type="page"/>
      </w:r>
    </w:p>
    <w:p w14:paraId="59CF2E8F" w14:textId="2695AB87" w:rsidR="00D90216" w:rsidRPr="00D948C1" w:rsidRDefault="007461FD" w:rsidP="000F5BFB">
      <w:pPr>
        <w:ind w:left="180" w:firstLine="540"/>
      </w:pPr>
      <w:r>
        <w:lastRenderedPageBreak/>
        <w:t>Value of PWLB loans maturing in future years</w:t>
      </w:r>
      <w:r w:rsidR="00665819">
        <w:t xml:space="preserve"> as </w:t>
      </w:r>
      <w:proofErr w:type="gramStart"/>
      <w:r w:rsidR="00665819">
        <w:t>at</w:t>
      </w:r>
      <w:proofErr w:type="gramEnd"/>
      <w:r w:rsidR="00665819">
        <w:t xml:space="preserve"> 31 March 202</w:t>
      </w:r>
      <w:r w:rsidR="195FB76D">
        <w:t>5</w:t>
      </w:r>
      <w:r w:rsidR="0010066C">
        <w:t>:</w:t>
      </w:r>
    </w:p>
    <w:p w14:paraId="190490EB" w14:textId="77777777" w:rsidR="00665819" w:rsidRPr="00D948C1" w:rsidRDefault="00665819" w:rsidP="007461FD">
      <w:pPr>
        <w:ind w:left="180" w:firstLine="540"/>
        <w:rPr>
          <w:szCs w:val="24"/>
        </w:rPr>
      </w:pPr>
    </w:p>
    <w:tbl>
      <w:tblPr>
        <w:tblStyle w:val="TableGrid"/>
        <w:tblW w:w="0" w:type="auto"/>
        <w:tblInd w:w="763" w:type="dxa"/>
        <w:tblLook w:val="04A0" w:firstRow="1" w:lastRow="0" w:firstColumn="1" w:lastColumn="0" w:noHBand="0" w:noVBand="1"/>
      </w:tblPr>
      <w:tblGrid>
        <w:gridCol w:w="1505"/>
        <w:gridCol w:w="1472"/>
      </w:tblGrid>
      <w:tr w:rsidR="00665819" w:rsidRPr="00D948C1" w14:paraId="38495402" w14:textId="77777777" w:rsidTr="00611673">
        <w:tc>
          <w:tcPr>
            <w:tcW w:w="1505" w:type="dxa"/>
            <w:shd w:val="clear" w:color="auto" w:fill="BD2716"/>
            <w:vAlign w:val="center"/>
          </w:tcPr>
          <w:p w14:paraId="65FFFB71" w14:textId="27CC4379" w:rsidR="00665819" w:rsidRPr="00D948C1" w:rsidRDefault="00665819" w:rsidP="00611673">
            <w:pPr>
              <w:rPr>
                <w:color w:val="FFFFFF" w:themeColor="background1"/>
                <w:szCs w:val="24"/>
              </w:rPr>
            </w:pPr>
            <w:r w:rsidRPr="00D948C1">
              <w:rPr>
                <w:color w:val="FFFFFF" w:themeColor="background1"/>
                <w:szCs w:val="24"/>
              </w:rPr>
              <w:t>Year</w:t>
            </w:r>
          </w:p>
        </w:tc>
        <w:tc>
          <w:tcPr>
            <w:tcW w:w="1472" w:type="dxa"/>
            <w:shd w:val="clear" w:color="auto" w:fill="BD2716"/>
            <w:vAlign w:val="center"/>
          </w:tcPr>
          <w:p w14:paraId="285DF9EA" w14:textId="432EF527" w:rsidR="00665819" w:rsidRPr="00D948C1" w:rsidRDefault="00665819" w:rsidP="00611673">
            <w:pPr>
              <w:jc w:val="right"/>
              <w:rPr>
                <w:color w:val="FFFFFF" w:themeColor="background1"/>
                <w:szCs w:val="24"/>
              </w:rPr>
            </w:pPr>
            <w:r w:rsidRPr="00D948C1">
              <w:rPr>
                <w:color w:val="FFFFFF" w:themeColor="background1"/>
                <w:szCs w:val="24"/>
              </w:rPr>
              <w:t>Loan Value (</w:t>
            </w:r>
            <w:r w:rsidR="00F2325E" w:rsidRPr="00D948C1">
              <w:rPr>
                <w:color w:val="FFFFFF" w:themeColor="background1"/>
                <w:szCs w:val="24"/>
              </w:rPr>
              <w:t>£000</w:t>
            </w:r>
            <w:r w:rsidRPr="00D948C1">
              <w:rPr>
                <w:color w:val="FFFFFF" w:themeColor="background1"/>
                <w:szCs w:val="24"/>
              </w:rPr>
              <w:t>)</w:t>
            </w:r>
          </w:p>
        </w:tc>
      </w:tr>
      <w:tr w:rsidR="00665819" w:rsidRPr="00D948C1" w14:paraId="653F22E0" w14:textId="77777777" w:rsidTr="003572E5">
        <w:trPr>
          <w:trHeight w:val="278"/>
        </w:trPr>
        <w:tc>
          <w:tcPr>
            <w:tcW w:w="1505" w:type="dxa"/>
          </w:tcPr>
          <w:p w14:paraId="7028ADEF" w14:textId="20DD55F4" w:rsidR="00665819" w:rsidRPr="00D948C1" w:rsidRDefault="00665819" w:rsidP="007461FD">
            <w:pPr>
              <w:rPr>
                <w:szCs w:val="24"/>
              </w:rPr>
            </w:pPr>
            <w:r w:rsidRPr="00D948C1">
              <w:rPr>
                <w:szCs w:val="24"/>
              </w:rPr>
              <w:t>2035</w:t>
            </w:r>
          </w:p>
        </w:tc>
        <w:tc>
          <w:tcPr>
            <w:tcW w:w="1472" w:type="dxa"/>
            <w:vAlign w:val="center"/>
          </w:tcPr>
          <w:p w14:paraId="63A5A887" w14:textId="33A3DBAE" w:rsidR="00665819" w:rsidRPr="00663DA5" w:rsidRDefault="00665819" w:rsidP="00746F3D">
            <w:pPr>
              <w:jc w:val="right"/>
            </w:pPr>
            <w:r w:rsidRPr="00663DA5">
              <w:t>650</w:t>
            </w:r>
          </w:p>
        </w:tc>
      </w:tr>
      <w:tr w:rsidR="00665819" w:rsidRPr="00D948C1" w14:paraId="0D186C3D" w14:textId="77777777" w:rsidTr="003572E5">
        <w:trPr>
          <w:trHeight w:val="278"/>
        </w:trPr>
        <w:tc>
          <w:tcPr>
            <w:tcW w:w="1505" w:type="dxa"/>
          </w:tcPr>
          <w:p w14:paraId="4229D16D" w14:textId="332981B5" w:rsidR="00665819" w:rsidRPr="00D948C1" w:rsidRDefault="00665819" w:rsidP="007461FD">
            <w:pPr>
              <w:rPr>
                <w:szCs w:val="24"/>
              </w:rPr>
            </w:pPr>
            <w:r w:rsidRPr="00D948C1">
              <w:rPr>
                <w:szCs w:val="24"/>
              </w:rPr>
              <w:t>2036</w:t>
            </w:r>
          </w:p>
        </w:tc>
        <w:tc>
          <w:tcPr>
            <w:tcW w:w="1472" w:type="dxa"/>
            <w:vAlign w:val="center"/>
          </w:tcPr>
          <w:p w14:paraId="59542B92" w14:textId="735AA245" w:rsidR="00665819" w:rsidRPr="00663DA5" w:rsidRDefault="00665819" w:rsidP="00746F3D">
            <w:pPr>
              <w:jc w:val="right"/>
            </w:pPr>
            <w:r w:rsidRPr="00663DA5">
              <w:t>650</w:t>
            </w:r>
          </w:p>
        </w:tc>
      </w:tr>
      <w:tr w:rsidR="00665819" w:rsidRPr="00D948C1" w14:paraId="665A86D2" w14:textId="77777777" w:rsidTr="003572E5">
        <w:trPr>
          <w:trHeight w:val="278"/>
        </w:trPr>
        <w:tc>
          <w:tcPr>
            <w:tcW w:w="1505" w:type="dxa"/>
          </w:tcPr>
          <w:p w14:paraId="7CFD1EB9" w14:textId="0DE85DEB" w:rsidR="00665819" w:rsidRPr="00D948C1" w:rsidRDefault="00665819" w:rsidP="007461FD">
            <w:pPr>
              <w:rPr>
                <w:szCs w:val="24"/>
              </w:rPr>
            </w:pPr>
            <w:r w:rsidRPr="00D948C1">
              <w:rPr>
                <w:szCs w:val="24"/>
              </w:rPr>
              <w:t>2037</w:t>
            </w:r>
          </w:p>
        </w:tc>
        <w:tc>
          <w:tcPr>
            <w:tcW w:w="1472" w:type="dxa"/>
            <w:vAlign w:val="center"/>
          </w:tcPr>
          <w:p w14:paraId="159092C0" w14:textId="1C1A5817" w:rsidR="00665819" w:rsidRPr="00663DA5" w:rsidRDefault="00665819" w:rsidP="00746F3D">
            <w:pPr>
              <w:jc w:val="right"/>
            </w:pPr>
            <w:r w:rsidRPr="00663DA5">
              <w:t>700</w:t>
            </w:r>
          </w:p>
        </w:tc>
      </w:tr>
      <w:tr w:rsidR="00665819" w:rsidRPr="00D948C1" w14:paraId="0B942578" w14:textId="77777777" w:rsidTr="003572E5">
        <w:trPr>
          <w:trHeight w:val="278"/>
        </w:trPr>
        <w:tc>
          <w:tcPr>
            <w:tcW w:w="1505" w:type="dxa"/>
          </w:tcPr>
          <w:p w14:paraId="39F31389" w14:textId="279D218D" w:rsidR="00665819" w:rsidRPr="00D948C1" w:rsidRDefault="00665819" w:rsidP="007461FD">
            <w:pPr>
              <w:rPr>
                <w:szCs w:val="24"/>
              </w:rPr>
            </w:pPr>
            <w:r w:rsidRPr="00D948C1">
              <w:rPr>
                <w:szCs w:val="24"/>
              </w:rPr>
              <w:t>Total</w:t>
            </w:r>
          </w:p>
        </w:tc>
        <w:tc>
          <w:tcPr>
            <w:tcW w:w="1472" w:type="dxa"/>
            <w:vAlign w:val="center"/>
          </w:tcPr>
          <w:p w14:paraId="3D41422A" w14:textId="1C15E3B0" w:rsidR="00665819" w:rsidRPr="00663DA5" w:rsidRDefault="00665819" w:rsidP="00746F3D">
            <w:pPr>
              <w:jc w:val="right"/>
            </w:pPr>
            <w:r w:rsidRPr="00663DA5">
              <w:t>2,000</w:t>
            </w:r>
          </w:p>
        </w:tc>
      </w:tr>
    </w:tbl>
    <w:p w14:paraId="01078925" w14:textId="77777777" w:rsidR="001543B8" w:rsidRPr="00D948C1" w:rsidRDefault="001543B8" w:rsidP="00665819">
      <w:pPr>
        <w:jc w:val="both"/>
        <w:rPr>
          <w:b/>
          <w:szCs w:val="24"/>
        </w:rPr>
      </w:pPr>
    </w:p>
    <w:p w14:paraId="192513BB" w14:textId="0FE4A69C" w:rsidR="00D90216" w:rsidRPr="00D948C1" w:rsidRDefault="00D90216" w:rsidP="000F5BFB">
      <w:pPr>
        <w:ind w:left="720"/>
        <w:rPr>
          <w:b/>
          <w:szCs w:val="24"/>
        </w:rPr>
      </w:pPr>
      <w:r w:rsidRPr="00D948C1">
        <w:rPr>
          <w:b/>
          <w:szCs w:val="24"/>
        </w:rPr>
        <w:t>Market risk</w:t>
      </w:r>
    </w:p>
    <w:p w14:paraId="3E72B321" w14:textId="77777777" w:rsidR="00D90216" w:rsidRPr="00D948C1" w:rsidRDefault="00D90216" w:rsidP="000F5BFB">
      <w:pPr>
        <w:ind w:left="720"/>
        <w:rPr>
          <w:b/>
          <w:highlight w:val="green"/>
        </w:rPr>
      </w:pPr>
    </w:p>
    <w:p w14:paraId="514ECF01" w14:textId="789C1802" w:rsidR="00D90216" w:rsidRPr="00663DA5" w:rsidRDefault="00D90216" w:rsidP="000F5BFB">
      <w:pPr>
        <w:spacing w:after="240"/>
        <w:ind w:left="720"/>
      </w:pPr>
      <w:r w:rsidRPr="00663DA5">
        <w:t>The Authority is exposed to risk in terms of its exposure to interest rate movements on its borrowings and investments.</w:t>
      </w:r>
      <w:r w:rsidR="0066777B" w:rsidRPr="00663DA5">
        <w:t xml:space="preserve"> </w:t>
      </w:r>
      <w:r w:rsidRPr="00663DA5">
        <w:t>Movements in interest rates have a complex impact on the Authority. For instance, a rise in interest rate movements would have the following effects:</w:t>
      </w:r>
    </w:p>
    <w:p w14:paraId="57684748" w14:textId="1B4B4D47" w:rsidR="00D90216" w:rsidRPr="00663DA5" w:rsidRDefault="00D90216" w:rsidP="000F5BFB">
      <w:pPr>
        <w:numPr>
          <w:ilvl w:val="0"/>
          <w:numId w:val="19"/>
        </w:numPr>
        <w:spacing w:after="240"/>
      </w:pPr>
      <w:r w:rsidRPr="00663DA5">
        <w:t>Borrowings at fixed rates – the fair value of the liabilities borrowings will fall</w:t>
      </w:r>
      <w:r w:rsidR="00470E44" w:rsidRPr="00663DA5">
        <w:t>.</w:t>
      </w:r>
    </w:p>
    <w:p w14:paraId="568380E7" w14:textId="32E06001" w:rsidR="00D90216" w:rsidRPr="00663DA5" w:rsidRDefault="00D90216" w:rsidP="000F5BFB">
      <w:pPr>
        <w:numPr>
          <w:ilvl w:val="0"/>
          <w:numId w:val="19"/>
        </w:numPr>
        <w:spacing w:after="240"/>
      </w:pPr>
      <w:r w:rsidRPr="00663DA5">
        <w:t>Investments at variable rates – the interest income credited to the deficit on the provision of services will rise</w:t>
      </w:r>
      <w:r w:rsidR="00470E44" w:rsidRPr="00663DA5">
        <w:t>.</w:t>
      </w:r>
    </w:p>
    <w:p w14:paraId="0DF4FF67" w14:textId="3B315AB4" w:rsidR="00D90216" w:rsidRPr="00663DA5" w:rsidRDefault="00D90216">
      <w:pPr>
        <w:spacing w:after="240"/>
        <w:ind w:left="720"/>
      </w:pPr>
      <w:r w:rsidRPr="00663DA5">
        <w:t xml:space="preserve">We hold fixed rate financial liabilities </w:t>
      </w:r>
      <w:r w:rsidR="004D6EE3" w:rsidRPr="00663DA5">
        <w:t xml:space="preserve">(borrowings) </w:t>
      </w:r>
      <w:r w:rsidRPr="00663DA5">
        <w:t>and variable rate financial assets</w:t>
      </w:r>
      <w:r w:rsidR="004D6EE3" w:rsidRPr="00663DA5">
        <w:t xml:space="preserve"> (investments)</w:t>
      </w:r>
      <w:r w:rsidRPr="00663DA5">
        <w:t>.</w:t>
      </w:r>
    </w:p>
    <w:p w14:paraId="0AF6D1F6" w14:textId="71F13004" w:rsidR="00D90216" w:rsidRPr="00663DA5" w:rsidRDefault="00D90216" w:rsidP="000F5BFB">
      <w:pPr>
        <w:spacing w:after="240"/>
        <w:ind w:left="720"/>
      </w:pPr>
      <w:r w:rsidRPr="00663DA5">
        <w:t>Borrowings are not carried at fair value, so nominal gains and losses on fixed rate loans would not impact on the Deficit on the Provision of Services or Other Comprehensive Income and Expenditure. Instead, the effect of changes in market interest rates is to change the fair value of the liabilities reported in the notes to the balance sheet. Fair values represent the amount due if debt is repaid before its maturity date. When the loans finally mature, they will be repayable at their nominal values.</w:t>
      </w:r>
    </w:p>
    <w:p w14:paraId="39E17F0B" w14:textId="4F793474" w:rsidR="00D90216" w:rsidRPr="001D7BD7" w:rsidRDefault="00D90216" w:rsidP="000F5BFB">
      <w:pPr>
        <w:spacing w:after="240"/>
        <w:ind w:left="720"/>
      </w:pPr>
      <w:r w:rsidRPr="00663DA5">
        <w:t xml:space="preserve">Our financial assets are the cash deposits </w:t>
      </w:r>
      <w:r w:rsidR="004D6EE3" w:rsidRPr="00663DA5">
        <w:t xml:space="preserve">placed in </w:t>
      </w:r>
      <w:r w:rsidR="006C3528" w:rsidRPr="00663DA5">
        <w:t>fixed deposits</w:t>
      </w:r>
      <w:r w:rsidR="004D6EE3" w:rsidRPr="00663DA5">
        <w:t xml:space="preserve"> with</w:t>
      </w:r>
      <w:r w:rsidRPr="00663DA5">
        <w:t xml:space="preserve"> </w:t>
      </w:r>
      <w:r w:rsidR="00C814C7" w:rsidRPr="00663DA5">
        <w:t>the Debt Management Office</w:t>
      </w:r>
      <w:r w:rsidRPr="00663DA5">
        <w:t>. Interest received on the</w:t>
      </w:r>
      <w:r w:rsidR="00AA70F3" w:rsidRPr="00663DA5">
        <w:t>se deposits</w:t>
      </w:r>
      <w:r w:rsidRPr="00663DA5">
        <w:t xml:space="preserve"> is linked to the </w:t>
      </w:r>
      <w:r w:rsidR="004D6EE3" w:rsidRPr="00663DA5">
        <w:t>base rate</w:t>
      </w:r>
      <w:r w:rsidRPr="00663DA5">
        <w:t xml:space="preserve">. </w:t>
      </w:r>
      <w:r w:rsidR="00C45FE5" w:rsidRPr="00663DA5">
        <w:t>Each working day the balance o</w:t>
      </w:r>
      <w:r w:rsidR="001D329F" w:rsidRPr="00663DA5">
        <w:t>f</w:t>
      </w:r>
      <w:r w:rsidR="00C45FE5" w:rsidRPr="00663DA5">
        <w:t xml:space="preserve"> the Authority's </w:t>
      </w:r>
      <w:r w:rsidR="001D329F" w:rsidRPr="00663DA5">
        <w:t>available cash</w:t>
      </w:r>
      <w:r w:rsidR="00C45FE5" w:rsidRPr="00663DA5">
        <w:t xml:space="preserve"> is invested to ensure that the interest received on surplus balances is maximised. The average balance </w:t>
      </w:r>
      <w:r w:rsidR="001D329F" w:rsidRPr="00663DA5">
        <w:t>invested</w:t>
      </w:r>
      <w:r w:rsidR="00C45FE5" w:rsidRPr="00663DA5">
        <w:t xml:space="preserve"> throughout the year was </w:t>
      </w:r>
      <w:r w:rsidR="008C3052" w:rsidRPr="00663DA5">
        <w:t>£</w:t>
      </w:r>
      <w:r w:rsidR="001F2887" w:rsidRPr="00663DA5">
        <w:t>22.5</w:t>
      </w:r>
      <w:r w:rsidR="00C45FE5" w:rsidRPr="00663DA5">
        <w:t xml:space="preserve"> million </w:t>
      </w:r>
      <w:r w:rsidRPr="00663DA5">
        <w:t>and, with no change in that level of balances, a 1% increase in the market rate of interest, if sustained over the whole year would give rise to additional interest earned of £</w:t>
      </w:r>
      <w:r w:rsidR="00E90E7B" w:rsidRPr="00663DA5">
        <w:t>225</w:t>
      </w:r>
      <w:r w:rsidRPr="00663DA5">
        <w:t>,</w:t>
      </w:r>
      <w:r w:rsidR="005D6A60" w:rsidRPr="00663DA5">
        <w:t>000</w:t>
      </w:r>
      <w:r w:rsidRPr="00663DA5">
        <w:t xml:space="preserve"> and a 1% fall would give a reduction of the same amount.</w:t>
      </w:r>
      <w:r w:rsidRPr="003A48A2">
        <w:t xml:space="preserve"> </w:t>
      </w:r>
    </w:p>
    <w:p w14:paraId="1AD39713" w14:textId="0DFAAAB0" w:rsidR="00D90216" w:rsidRPr="00D948C1" w:rsidRDefault="001C592E" w:rsidP="006563F1">
      <w:pPr>
        <w:pStyle w:val="Heading2"/>
        <w:jc w:val="left"/>
        <w:rPr>
          <w:sz w:val="24"/>
          <w:szCs w:val="24"/>
          <w:lang w:val="en-US"/>
        </w:rPr>
      </w:pPr>
      <w:bookmarkStart w:id="76" w:name="_23_Local_Authority"/>
      <w:bookmarkStart w:id="77" w:name="_Toc215593414"/>
      <w:bookmarkEnd w:id="76"/>
      <w:r w:rsidRPr="00D948C1">
        <w:rPr>
          <w:sz w:val="24"/>
          <w:szCs w:val="24"/>
          <w:lang w:val="en-US"/>
        </w:rPr>
        <w:t>2</w:t>
      </w:r>
      <w:r w:rsidR="00B62A26">
        <w:rPr>
          <w:sz w:val="24"/>
          <w:szCs w:val="24"/>
          <w:lang w:val="en-US"/>
        </w:rPr>
        <w:t>3</w:t>
      </w:r>
      <w:r w:rsidR="00D90216" w:rsidRPr="00D948C1">
        <w:rPr>
          <w:sz w:val="24"/>
          <w:szCs w:val="24"/>
          <w:lang w:val="en-US"/>
        </w:rPr>
        <w:tab/>
      </w:r>
      <w:bookmarkStart w:id="78" w:name="N22"/>
      <w:bookmarkStart w:id="79" w:name="_Hlk140222307"/>
      <w:bookmarkEnd w:id="78"/>
      <w:r w:rsidR="00D90216" w:rsidRPr="00D948C1">
        <w:rPr>
          <w:sz w:val="24"/>
          <w:szCs w:val="24"/>
          <w:lang w:val="en-US"/>
        </w:rPr>
        <w:t>Local Autho</w:t>
      </w:r>
      <w:r w:rsidR="00B86715" w:rsidRPr="00D948C1">
        <w:rPr>
          <w:sz w:val="24"/>
          <w:szCs w:val="24"/>
          <w:lang w:val="en-US"/>
        </w:rPr>
        <w:t xml:space="preserve">rity Controlled Company – NW </w:t>
      </w:r>
      <w:proofErr w:type="spellStart"/>
      <w:r w:rsidR="00B86715" w:rsidRPr="00D948C1">
        <w:rPr>
          <w:sz w:val="24"/>
          <w:szCs w:val="24"/>
          <w:lang w:val="en-US"/>
        </w:rPr>
        <w:t>Fir</w:t>
      </w:r>
      <w:r w:rsidR="00D90216" w:rsidRPr="00D948C1">
        <w:rPr>
          <w:sz w:val="24"/>
          <w:szCs w:val="24"/>
          <w:lang w:val="en-US"/>
        </w:rPr>
        <w:t>eControl</w:t>
      </w:r>
      <w:proofErr w:type="spellEnd"/>
      <w:r w:rsidR="00D90216" w:rsidRPr="00D948C1">
        <w:rPr>
          <w:sz w:val="24"/>
          <w:szCs w:val="24"/>
          <w:lang w:val="en-US"/>
        </w:rPr>
        <w:t xml:space="preserve"> L</w:t>
      </w:r>
      <w:r w:rsidR="00B86715" w:rsidRPr="00D948C1">
        <w:rPr>
          <w:sz w:val="24"/>
          <w:szCs w:val="24"/>
          <w:lang w:val="en-US"/>
        </w:rPr>
        <w:t>imi</w:t>
      </w:r>
      <w:r w:rsidR="00D90216" w:rsidRPr="00D948C1">
        <w:rPr>
          <w:sz w:val="24"/>
          <w:szCs w:val="24"/>
          <w:lang w:val="en-US"/>
        </w:rPr>
        <w:t>t</w:t>
      </w:r>
      <w:r w:rsidR="00B86715" w:rsidRPr="00D948C1">
        <w:rPr>
          <w:sz w:val="24"/>
          <w:szCs w:val="24"/>
          <w:lang w:val="en-US"/>
        </w:rPr>
        <w:t>e</w:t>
      </w:r>
      <w:r w:rsidR="00D90216" w:rsidRPr="00D948C1">
        <w:rPr>
          <w:sz w:val="24"/>
          <w:szCs w:val="24"/>
          <w:lang w:val="en-US"/>
        </w:rPr>
        <w:t>d</w:t>
      </w:r>
      <w:bookmarkEnd w:id="77"/>
    </w:p>
    <w:p w14:paraId="425771B8" w14:textId="77777777" w:rsidR="00B86715" w:rsidRPr="00D948C1" w:rsidRDefault="00B86715" w:rsidP="000F5BFB">
      <w:pPr>
        <w:rPr>
          <w:rFonts w:cs="Arial"/>
          <w:b/>
          <w:szCs w:val="24"/>
          <w:u w:val="single"/>
          <w:lang w:eastAsia="en-GB"/>
        </w:rPr>
      </w:pPr>
    </w:p>
    <w:p w14:paraId="2FB27411" w14:textId="25CC77C2" w:rsidR="00B86715" w:rsidRPr="001D7BD7" w:rsidRDefault="00AF76C8" w:rsidP="000F5BFB">
      <w:pPr>
        <w:spacing w:after="240"/>
        <w:ind w:left="720"/>
        <w:rPr>
          <w:rFonts w:cs="Arial"/>
          <w:lang w:eastAsia="en-GB"/>
        </w:rPr>
      </w:pPr>
      <w:r w:rsidRPr="00904247">
        <w:rPr>
          <w:rFonts w:cs="Arial"/>
          <w:lang w:eastAsia="en-GB"/>
        </w:rPr>
        <w:t>N</w:t>
      </w:r>
      <w:r w:rsidRPr="001D7BD7">
        <w:rPr>
          <w:rFonts w:cs="Arial"/>
          <w:lang w:eastAsia="en-GB"/>
        </w:rPr>
        <w:t xml:space="preserve">W </w:t>
      </w:r>
      <w:proofErr w:type="spellStart"/>
      <w:r w:rsidRPr="001D7BD7">
        <w:rPr>
          <w:rFonts w:cs="Arial"/>
          <w:lang w:eastAsia="en-GB"/>
        </w:rPr>
        <w:t>Fire</w:t>
      </w:r>
      <w:r w:rsidR="00B86715" w:rsidRPr="001D7BD7">
        <w:rPr>
          <w:rFonts w:cs="Arial"/>
          <w:lang w:eastAsia="en-GB"/>
        </w:rPr>
        <w:t>Control</w:t>
      </w:r>
      <w:proofErr w:type="spellEnd"/>
      <w:r w:rsidR="00B86715" w:rsidRPr="001D7BD7">
        <w:rPr>
          <w:rFonts w:cs="Arial"/>
          <w:lang w:eastAsia="en-GB"/>
        </w:rPr>
        <w:t xml:space="preserve"> Limited is a company limited by guarantee with the responsibility for Fire and Rescue Service mobilisation for the </w:t>
      </w:r>
      <w:proofErr w:type="gramStart"/>
      <w:r w:rsidR="00B86715" w:rsidRPr="001D7BD7">
        <w:rPr>
          <w:rFonts w:cs="Arial"/>
          <w:lang w:eastAsia="en-GB"/>
        </w:rPr>
        <w:t>North West</w:t>
      </w:r>
      <w:proofErr w:type="gramEnd"/>
      <w:r w:rsidR="00B86715" w:rsidRPr="001D7BD7">
        <w:rPr>
          <w:rFonts w:cs="Arial"/>
          <w:lang w:eastAsia="en-GB"/>
        </w:rPr>
        <w:t xml:space="preserve"> region. The Company has four members which are Cheshire, </w:t>
      </w:r>
      <w:r w:rsidR="00B86715" w:rsidRPr="001D7BD7">
        <w:rPr>
          <w:rFonts w:cs="Arial"/>
        </w:rPr>
        <w:t>Cumbria</w:t>
      </w:r>
      <w:r w:rsidR="00B86715" w:rsidRPr="001D7BD7">
        <w:rPr>
          <w:rFonts w:cs="Arial"/>
          <w:lang w:eastAsia="en-GB"/>
        </w:rPr>
        <w:t xml:space="preserve">, Greater </w:t>
      </w:r>
      <w:r w:rsidR="0094180B" w:rsidRPr="001D7BD7">
        <w:rPr>
          <w:rFonts w:cs="Arial"/>
          <w:lang w:eastAsia="en-GB"/>
        </w:rPr>
        <w:t>Manchester,</w:t>
      </w:r>
      <w:r w:rsidR="00B86715" w:rsidRPr="001D7BD7">
        <w:rPr>
          <w:rFonts w:cs="Arial"/>
          <w:lang w:eastAsia="en-GB"/>
        </w:rPr>
        <w:t xml:space="preserve"> and Lancashire Fire &amp; Rescue Authorities (FRAs). The liability of each member in the event of the company being wound up is limited and shall not exceed £1. Each member of the company has the right to appoint 2 directors, who are Councillors appointed to their respective FRAs. All directors have equal voting rights.</w:t>
      </w:r>
    </w:p>
    <w:p w14:paraId="6C1B69F1" w14:textId="77777777" w:rsidR="009B6312" w:rsidRPr="001D7BD7" w:rsidRDefault="009B6312" w:rsidP="000F5BFB">
      <w:pPr>
        <w:spacing w:after="240"/>
        <w:ind w:left="720"/>
        <w:rPr>
          <w:rFonts w:cs="Arial"/>
          <w:lang w:eastAsia="en-GB"/>
        </w:rPr>
      </w:pPr>
      <w:r w:rsidRPr="001D7BD7">
        <w:rPr>
          <w:rFonts w:cs="Arial"/>
          <w:lang w:eastAsia="en-GB"/>
        </w:rPr>
        <w:t>During May 2014 all four services transferred their Control Room functions into the regionali</w:t>
      </w:r>
      <w:r w:rsidR="00E87D8D" w:rsidRPr="001D7BD7">
        <w:rPr>
          <w:rFonts w:cs="Arial"/>
          <w:lang w:eastAsia="en-GB"/>
        </w:rPr>
        <w:t xml:space="preserve">sed service provided by NW </w:t>
      </w:r>
      <w:proofErr w:type="spellStart"/>
      <w:r w:rsidR="00E87D8D" w:rsidRPr="001D7BD7">
        <w:rPr>
          <w:rFonts w:cs="Arial"/>
          <w:lang w:eastAsia="en-GB"/>
        </w:rPr>
        <w:t>Fire</w:t>
      </w:r>
      <w:r w:rsidRPr="001D7BD7">
        <w:rPr>
          <w:rFonts w:cs="Arial"/>
          <w:lang w:eastAsia="en-GB"/>
        </w:rPr>
        <w:t>Control</w:t>
      </w:r>
      <w:proofErr w:type="spellEnd"/>
      <w:r w:rsidRPr="001D7BD7">
        <w:rPr>
          <w:rFonts w:cs="Arial"/>
          <w:lang w:eastAsia="en-GB"/>
        </w:rPr>
        <w:t xml:space="preserve"> </w:t>
      </w:r>
      <w:r w:rsidR="002B520D" w:rsidRPr="001D7BD7">
        <w:rPr>
          <w:rFonts w:cs="Arial"/>
          <w:lang w:eastAsia="en-GB"/>
        </w:rPr>
        <w:t>Limited</w:t>
      </w:r>
      <w:r w:rsidRPr="001D7BD7">
        <w:rPr>
          <w:rFonts w:cs="Arial"/>
          <w:lang w:eastAsia="en-GB"/>
        </w:rPr>
        <w:t xml:space="preserve">. The cost of the service is charged out to the four FRAs on an agreed pro rata basis agreed by a Service Level Agreement. The implementation phase continued to be funded by a section 31 grant from the Department for Communities and Local Government plus an ongoing grant to fund 66% of the lease costs for </w:t>
      </w:r>
      <w:r w:rsidRPr="001D7BD7">
        <w:rPr>
          <w:rFonts w:cs="Arial"/>
          <w:lang w:eastAsia="en-GB"/>
        </w:rPr>
        <w:lastRenderedPageBreak/>
        <w:t xml:space="preserve">the building. The grant is paid to Greater Manchester Fire &amp; Rescue Authority as lead authority for the </w:t>
      </w:r>
      <w:proofErr w:type="gramStart"/>
      <w:r w:rsidRPr="001D7BD7">
        <w:rPr>
          <w:rFonts w:cs="Arial"/>
          <w:lang w:eastAsia="en-GB"/>
        </w:rPr>
        <w:t>North West</w:t>
      </w:r>
      <w:proofErr w:type="gramEnd"/>
      <w:r w:rsidRPr="001D7BD7">
        <w:rPr>
          <w:rFonts w:cs="Arial"/>
          <w:lang w:eastAsia="en-GB"/>
        </w:rPr>
        <w:t xml:space="preserve"> region and released to the company as required. </w:t>
      </w:r>
      <w:r w:rsidR="00011E3D" w:rsidRPr="001D7BD7">
        <w:rPr>
          <w:rFonts w:cs="Arial"/>
          <w:lang w:eastAsia="en-GB"/>
        </w:rPr>
        <w:t>From 8th May 2017 Greater Manchester Fire and Rescue Service transferred into the Greater Manchester Combined Authori</w:t>
      </w:r>
      <w:r w:rsidR="0037293D" w:rsidRPr="001D7BD7">
        <w:rPr>
          <w:rFonts w:cs="Arial"/>
          <w:lang w:eastAsia="en-GB"/>
        </w:rPr>
        <w:t xml:space="preserve">ty and the ownership of NW </w:t>
      </w:r>
      <w:proofErr w:type="spellStart"/>
      <w:r w:rsidR="0037293D" w:rsidRPr="001D7BD7">
        <w:rPr>
          <w:rFonts w:cs="Arial"/>
          <w:lang w:eastAsia="en-GB"/>
        </w:rPr>
        <w:t>Fire</w:t>
      </w:r>
      <w:r w:rsidR="00011E3D" w:rsidRPr="001D7BD7">
        <w:rPr>
          <w:rFonts w:cs="Arial"/>
          <w:lang w:eastAsia="en-GB"/>
        </w:rPr>
        <w:t>Control</w:t>
      </w:r>
      <w:proofErr w:type="spellEnd"/>
      <w:r w:rsidR="00011E3D" w:rsidRPr="001D7BD7">
        <w:rPr>
          <w:rFonts w:cs="Arial"/>
          <w:lang w:eastAsia="en-GB"/>
        </w:rPr>
        <w:t xml:space="preserve"> </w:t>
      </w:r>
      <w:r w:rsidR="002B520D" w:rsidRPr="001D7BD7">
        <w:rPr>
          <w:rFonts w:cs="Arial"/>
          <w:lang w:eastAsia="en-GB"/>
        </w:rPr>
        <w:t xml:space="preserve">Limited </w:t>
      </w:r>
      <w:r w:rsidR="00011E3D" w:rsidRPr="001D7BD7">
        <w:rPr>
          <w:rFonts w:cs="Arial"/>
          <w:lang w:eastAsia="en-GB"/>
        </w:rPr>
        <w:t>therefore also transfers.</w:t>
      </w:r>
    </w:p>
    <w:p w14:paraId="72BC4479" w14:textId="2DDAA30D" w:rsidR="009B6312" w:rsidRPr="001D7BD7" w:rsidRDefault="009B6312" w:rsidP="000F5BFB">
      <w:pPr>
        <w:spacing w:after="240"/>
        <w:ind w:left="720"/>
        <w:rPr>
          <w:rFonts w:cs="Arial"/>
          <w:lang w:eastAsia="en-GB"/>
        </w:rPr>
      </w:pPr>
      <w:bookmarkStart w:id="80" w:name="_Hlk81904470"/>
      <w:r w:rsidRPr="001D7BD7">
        <w:rPr>
          <w:rFonts w:cs="Arial"/>
          <w:lang w:eastAsia="en-GB"/>
        </w:rPr>
        <w:t>A</w:t>
      </w:r>
      <w:r w:rsidR="00051F06" w:rsidRPr="001D7BD7">
        <w:rPr>
          <w:rFonts w:cs="Arial"/>
          <w:lang w:eastAsia="en-GB"/>
        </w:rPr>
        <w:t>n</w:t>
      </w:r>
      <w:r w:rsidRPr="001D7BD7">
        <w:rPr>
          <w:rFonts w:cs="Arial"/>
          <w:lang w:eastAsia="en-GB"/>
        </w:rPr>
        <w:t xml:space="preserve"> assessment for Group Accounting requirements has taken place during 20</w:t>
      </w:r>
      <w:r w:rsidR="0064196C" w:rsidRPr="001D7BD7">
        <w:rPr>
          <w:rFonts w:cs="Arial"/>
          <w:lang w:eastAsia="en-GB"/>
        </w:rPr>
        <w:t>2</w:t>
      </w:r>
      <w:r w:rsidR="47CA742E" w:rsidRPr="001D7BD7">
        <w:rPr>
          <w:rFonts w:cs="Arial"/>
          <w:lang w:eastAsia="en-GB"/>
        </w:rPr>
        <w:t>4</w:t>
      </w:r>
      <w:r w:rsidR="005529ED" w:rsidRPr="001D7BD7">
        <w:rPr>
          <w:rFonts w:cs="Arial"/>
          <w:lang w:eastAsia="en-GB"/>
        </w:rPr>
        <w:t>/2</w:t>
      </w:r>
      <w:r w:rsidR="4A3BE2FA" w:rsidRPr="001D7BD7">
        <w:rPr>
          <w:rFonts w:cs="Arial"/>
          <w:lang w:eastAsia="en-GB"/>
        </w:rPr>
        <w:t>5</w:t>
      </w:r>
      <w:r w:rsidR="0037293D" w:rsidRPr="001D7BD7">
        <w:rPr>
          <w:rFonts w:cs="Arial"/>
          <w:lang w:eastAsia="en-GB"/>
        </w:rPr>
        <w:t xml:space="preserve"> in respect of NW </w:t>
      </w:r>
      <w:proofErr w:type="spellStart"/>
      <w:r w:rsidR="0037293D" w:rsidRPr="001D7BD7">
        <w:rPr>
          <w:rFonts w:cs="Arial"/>
          <w:lang w:eastAsia="en-GB"/>
        </w:rPr>
        <w:t>Fire</w:t>
      </w:r>
      <w:r w:rsidRPr="001D7BD7">
        <w:rPr>
          <w:rFonts w:cs="Arial"/>
          <w:lang w:eastAsia="en-GB"/>
        </w:rPr>
        <w:t>Control</w:t>
      </w:r>
      <w:proofErr w:type="spellEnd"/>
      <w:r w:rsidRPr="001D7BD7">
        <w:rPr>
          <w:rFonts w:cs="Arial"/>
          <w:lang w:eastAsia="en-GB"/>
        </w:rPr>
        <w:t xml:space="preserve"> </w:t>
      </w:r>
      <w:r w:rsidR="002B520D" w:rsidRPr="001D7BD7">
        <w:rPr>
          <w:rFonts w:cs="Arial"/>
          <w:lang w:eastAsia="en-GB"/>
        </w:rPr>
        <w:t>Limited</w:t>
      </w:r>
      <w:r w:rsidRPr="001D7BD7">
        <w:rPr>
          <w:rFonts w:cs="Arial"/>
          <w:lang w:eastAsia="en-GB"/>
        </w:rPr>
        <w:t>. This is in accordance with the Code of Practice on Local Authority Accounting in the United Kingdom Based on International Financial Reporting Standards (IFRS 10, 11 &amp; 12).</w:t>
      </w:r>
      <w:r w:rsidR="005E1E00" w:rsidRPr="00904247">
        <w:rPr>
          <w:rFonts w:cs="Arial"/>
          <w:lang w:eastAsia="en-GB"/>
        </w:rPr>
        <w:t xml:space="preserve"> </w:t>
      </w:r>
    </w:p>
    <w:p w14:paraId="4382D27D" w14:textId="5A163F66" w:rsidR="00ED21C2" w:rsidRPr="001D7BD7" w:rsidRDefault="009B6312" w:rsidP="000F5BFB">
      <w:pPr>
        <w:spacing w:after="240"/>
        <w:ind w:left="720"/>
        <w:rPr>
          <w:rFonts w:cs="Arial"/>
          <w:lang w:eastAsia="en-GB"/>
        </w:rPr>
      </w:pPr>
      <w:r w:rsidRPr="001D7BD7">
        <w:rPr>
          <w:rFonts w:cs="Arial"/>
          <w:lang w:eastAsia="en-GB"/>
        </w:rPr>
        <w:t xml:space="preserve">It has been determined that the company is governed by Joint Control </w:t>
      </w:r>
      <w:r w:rsidR="001C3A52" w:rsidRPr="001D7BD7">
        <w:rPr>
          <w:rFonts w:cs="Arial"/>
          <w:lang w:eastAsia="en-GB"/>
        </w:rPr>
        <w:t>since</w:t>
      </w:r>
      <w:r w:rsidRPr="001D7BD7">
        <w:rPr>
          <w:rFonts w:cs="Arial"/>
          <w:lang w:eastAsia="en-GB"/>
        </w:rPr>
        <w:t xml:space="preserve"> unanimous consent exists for key decisions and each Authority has equal voting rights. This joint arrangement has been deemed to be a Joint Operation as the parties have rights to the assets, and obligations for the liabilities relating to the arrangement</w:t>
      </w:r>
      <w:r w:rsidR="00F93F5A" w:rsidRPr="001D7BD7">
        <w:rPr>
          <w:rFonts w:cs="Arial"/>
          <w:lang w:eastAsia="en-GB"/>
        </w:rPr>
        <w:t xml:space="preserve">, and on this basis, the Authority’s 25% share of the transactions and balances of NW </w:t>
      </w:r>
      <w:proofErr w:type="spellStart"/>
      <w:r w:rsidR="00F93F5A" w:rsidRPr="001D7BD7">
        <w:rPr>
          <w:rFonts w:cs="Arial"/>
          <w:lang w:eastAsia="en-GB"/>
        </w:rPr>
        <w:t>FireControl</w:t>
      </w:r>
      <w:proofErr w:type="spellEnd"/>
      <w:r w:rsidR="00F93F5A" w:rsidRPr="001D7BD7">
        <w:rPr>
          <w:rFonts w:cs="Arial"/>
          <w:lang w:eastAsia="en-GB"/>
        </w:rPr>
        <w:t xml:space="preserve"> Limited have been recognised within the accounts.</w:t>
      </w:r>
      <w:r w:rsidR="005E1E00" w:rsidRPr="001D7BD7">
        <w:rPr>
          <w:rFonts w:cs="Arial"/>
          <w:lang w:eastAsia="en-GB"/>
        </w:rPr>
        <w:t xml:space="preserve"> See </w:t>
      </w:r>
      <w:hyperlink w:anchor="_29_Significant_Judgements">
        <w:r w:rsidR="00DE1A4B" w:rsidRPr="00717BB2">
          <w:rPr>
            <w:rStyle w:val="Hyperlink"/>
            <w:rFonts w:cs="Arial"/>
            <w:lang w:eastAsia="en-GB"/>
          </w:rPr>
          <w:t>Note</w:t>
        </w:r>
        <w:r w:rsidR="00DE1A4B">
          <w:rPr>
            <w:rStyle w:val="Hyperlink"/>
            <w:rFonts w:cs="Arial"/>
            <w:lang w:eastAsia="en-GB"/>
          </w:rPr>
          <w:t xml:space="preserve"> 29</w:t>
        </w:r>
      </w:hyperlink>
      <w:r w:rsidR="005E1E00" w:rsidRPr="001D7BD7">
        <w:rPr>
          <w:rFonts w:cs="Arial"/>
          <w:lang w:eastAsia="en-GB"/>
        </w:rPr>
        <w:t xml:space="preserve"> </w:t>
      </w:r>
      <w:r w:rsidR="00DE1A4B">
        <w:rPr>
          <w:rFonts w:cs="Arial"/>
          <w:lang w:eastAsia="en-GB"/>
        </w:rPr>
        <w:t>s</w:t>
      </w:r>
      <w:r w:rsidR="00390EED">
        <w:rPr>
          <w:rFonts w:cs="Arial"/>
          <w:lang w:eastAsia="en-GB"/>
        </w:rPr>
        <w:t>ignificant</w:t>
      </w:r>
      <w:r w:rsidR="005E1E00" w:rsidRPr="001D7BD7">
        <w:rPr>
          <w:rFonts w:cs="Arial"/>
          <w:lang w:eastAsia="en-GB"/>
        </w:rPr>
        <w:t xml:space="preserve"> judgements.</w:t>
      </w:r>
      <w:bookmarkEnd w:id="80"/>
    </w:p>
    <w:p w14:paraId="617F39AF" w14:textId="2CD005FF" w:rsidR="00F06F0B" w:rsidRPr="001D7BD7" w:rsidRDefault="00F06F0B" w:rsidP="000F5BFB">
      <w:pPr>
        <w:ind w:left="720"/>
        <w:rPr>
          <w:rFonts w:cs="Arial"/>
        </w:rPr>
      </w:pPr>
      <w:r w:rsidRPr="001D7BD7">
        <w:rPr>
          <w:rFonts w:cs="Arial"/>
        </w:rPr>
        <w:t xml:space="preserve">Below shows the key Information from the Draft </w:t>
      </w:r>
      <w:r w:rsidR="0037293D" w:rsidRPr="001D7BD7">
        <w:rPr>
          <w:rFonts w:cs="Arial"/>
        </w:rPr>
        <w:t xml:space="preserve">Financial Statements of NW </w:t>
      </w:r>
      <w:proofErr w:type="spellStart"/>
      <w:r w:rsidR="0037293D" w:rsidRPr="001D7BD7">
        <w:rPr>
          <w:rFonts w:cs="Arial"/>
        </w:rPr>
        <w:t>Fire</w:t>
      </w:r>
      <w:r w:rsidRPr="001D7BD7">
        <w:rPr>
          <w:rFonts w:cs="Arial"/>
        </w:rPr>
        <w:t>Control</w:t>
      </w:r>
      <w:proofErr w:type="spellEnd"/>
      <w:r w:rsidRPr="001D7BD7">
        <w:rPr>
          <w:rFonts w:cs="Arial"/>
        </w:rPr>
        <w:t xml:space="preserve"> </w:t>
      </w:r>
      <w:r w:rsidR="002B520D" w:rsidRPr="001D7BD7">
        <w:rPr>
          <w:rFonts w:cs="Arial"/>
          <w:lang w:eastAsia="en-GB"/>
        </w:rPr>
        <w:t>Limited</w:t>
      </w:r>
      <w:r w:rsidRPr="001D7BD7">
        <w:rPr>
          <w:rFonts w:cs="Arial"/>
        </w:rPr>
        <w:t>:</w:t>
      </w:r>
    </w:p>
    <w:p w14:paraId="68D4D90C" w14:textId="77777777" w:rsidR="00F800C7" w:rsidRPr="00D948C1" w:rsidRDefault="00F800C7" w:rsidP="00F800C7">
      <w:pPr>
        <w:rPr>
          <w:rFonts w:cs="Arial"/>
          <w:sz w:val="22"/>
          <w:szCs w:val="22"/>
        </w:rPr>
      </w:pPr>
    </w:p>
    <w:tbl>
      <w:tblPr>
        <w:tblW w:w="8385"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279"/>
        <w:gridCol w:w="2279"/>
      </w:tblGrid>
      <w:tr w:rsidR="003D2C98" w:rsidRPr="00D948C1" w14:paraId="15A134F2" w14:textId="77777777" w:rsidTr="001D7BD7">
        <w:tc>
          <w:tcPr>
            <w:tcW w:w="3827" w:type="dxa"/>
            <w:shd w:val="clear" w:color="auto" w:fill="BD2716"/>
            <w:vAlign w:val="center"/>
          </w:tcPr>
          <w:p w14:paraId="48977F78" w14:textId="77777777" w:rsidR="003D2C98" w:rsidRPr="00D948C1" w:rsidRDefault="003D2C98" w:rsidP="00611673">
            <w:pPr>
              <w:rPr>
                <w:rFonts w:cs="Arial"/>
                <w:color w:val="FFFFFF" w:themeColor="background1"/>
                <w:szCs w:val="24"/>
              </w:rPr>
            </w:pPr>
            <w:r w:rsidRPr="00D948C1">
              <w:rPr>
                <w:rFonts w:cs="Arial"/>
                <w:color w:val="FFFFFF" w:themeColor="background1"/>
                <w:szCs w:val="24"/>
              </w:rPr>
              <w:t>Key Information</w:t>
            </w:r>
          </w:p>
        </w:tc>
        <w:tc>
          <w:tcPr>
            <w:tcW w:w="2279" w:type="dxa"/>
            <w:shd w:val="clear" w:color="auto" w:fill="BD2716"/>
            <w:vAlign w:val="center"/>
          </w:tcPr>
          <w:p w14:paraId="7701FDD3" w14:textId="77777777" w:rsidR="003D2C98" w:rsidRPr="00D948C1" w:rsidRDefault="003D2C98" w:rsidP="00611673">
            <w:pPr>
              <w:jc w:val="right"/>
              <w:rPr>
                <w:rFonts w:cs="Arial"/>
                <w:color w:val="FFFFFF" w:themeColor="background1"/>
                <w:szCs w:val="24"/>
              </w:rPr>
            </w:pPr>
            <w:r w:rsidRPr="00D948C1">
              <w:rPr>
                <w:rFonts w:cs="Arial"/>
                <w:color w:val="FFFFFF" w:themeColor="background1"/>
                <w:szCs w:val="24"/>
              </w:rPr>
              <w:t>Year ended</w:t>
            </w:r>
          </w:p>
          <w:p w14:paraId="535F13CE" w14:textId="76A8613F" w:rsidR="00021F7E" w:rsidRPr="00D948C1" w:rsidRDefault="003D2C98" w:rsidP="00611673">
            <w:pPr>
              <w:jc w:val="right"/>
              <w:rPr>
                <w:rFonts w:cs="Arial"/>
                <w:color w:val="FFFFFF" w:themeColor="background1"/>
                <w:szCs w:val="24"/>
              </w:rPr>
            </w:pPr>
            <w:r w:rsidRPr="00D948C1">
              <w:rPr>
                <w:rFonts w:cs="Arial"/>
                <w:color w:val="FFFFFF" w:themeColor="background1"/>
                <w:szCs w:val="24"/>
              </w:rPr>
              <w:t>31 March 202</w:t>
            </w:r>
            <w:r w:rsidR="005666C0">
              <w:rPr>
                <w:rFonts w:cs="Arial"/>
                <w:color w:val="FFFFFF" w:themeColor="background1"/>
                <w:szCs w:val="24"/>
              </w:rPr>
              <w:t>5</w:t>
            </w:r>
          </w:p>
          <w:p w14:paraId="4469574E" w14:textId="1DB567E2" w:rsidR="003D2C98" w:rsidRPr="00D948C1" w:rsidRDefault="00F2325E" w:rsidP="00611673">
            <w:pPr>
              <w:jc w:val="right"/>
              <w:rPr>
                <w:rFonts w:cs="Arial"/>
                <w:color w:val="FFFFFF" w:themeColor="background1"/>
                <w:szCs w:val="24"/>
              </w:rPr>
            </w:pPr>
            <w:r w:rsidRPr="00D948C1">
              <w:rPr>
                <w:rFonts w:cs="Arial"/>
                <w:color w:val="FFFFFF" w:themeColor="background1"/>
                <w:szCs w:val="24"/>
              </w:rPr>
              <w:t>£000</w:t>
            </w:r>
          </w:p>
        </w:tc>
        <w:tc>
          <w:tcPr>
            <w:tcW w:w="2279" w:type="dxa"/>
            <w:shd w:val="clear" w:color="auto" w:fill="BD2716"/>
            <w:vAlign w:val="center"/>
          </w:tcPr>
          <w:p w14:paraId="404AD81C" w14:textId="77777777" w:rsidR="003D2C98" w:rsidRPr="00D948C1" w:rsidRDefault="003D2C98" w:rsidP="00611673">
            <w:pPr>
              <w:jc w:val="right"/>
              <w:rPr>
                <w:rFonts w:cs="Arial"/>
                <w:color w:val="FFFFFF" w:themeColor="background1"/>
                <w:szCs w:val="24"/>
              </w:rPr>
            </w:pPr>
            <w:r w:rsidRPr="00D948C1">
              <w:rPr>
                <w:rFonts w:cs="Arial"/>
                <w:color w:val="FFFFFF" w:themeColor="background1"/>
                <w:szCs w:val="24"/>
              </w:rPr>
              <w:t>Year ended</w:t>
            </w:r>
          </w:p>
          <w:p w14:paraId="125171A8" w14:textId="1ECBC5BE" w:rsidR="003D2C98" w:rsidRPr="00D948C1" w:rsidRDefault="003D2C98" w:rsidP="00611673">
            <w:pPr>
              <w:jc w:val="right"/>
              <w:rPr>
                <w:rFonts w:cs="Arial"/>
                <w:color w:val="FFFFFF" w:themeColor="background1"/>
                <w:szCs w:val="24"/>
              </w:rPr>
            </w:pPr>
            <w:r w:rsidRPr="00D948C1">
              <w:rPr>
                <w:rFonts w:cs="Arial"/>
                <w:color w:val="FFFFFF" w:themeColor="background1"/>
                <w:szCs w:val="24"/>
              </w:rPr>
              <w:t>31 March 202</w:t>
            </w:r>
            <w:r w:rsidR="005666C0">
              <w:rPr>
                <w:rFonts w:cs="Arial"/>
                <w:color w:val="FFFFFF" w:themeColor="background1"/>
                <w:szCs w:val="24"/>
              </w:rPr>
              <w:t>4</w:t>
            </w:r>
          </w:p>
          <w:p w14:paraId="77446622" w14:textId="3293FAD3" w:rsidR="003D2C98" w:rsidRPr="00D948C1" w:rsidRDefault="00F2325E" w:rsidP="00611673">
            <w:pPr>
              <w:jc w:val="right"/>
              <w:rPr>
                <w:rFonts w:cs="Arial"/>
                <w:color w:val="FFFFFF" w:themeColor="background1"/>
                <w:szCs w:val="24"/>
              </w:rPr>
            </w:pPr>
            <w:r w:rsidRPr="00D948C1">
              <w:rPr>
                <w:rFonts w:cs="Arial"/>
                <w:color w:val="FFFFFF" w:themeColor="background1"/>
                <w:szCs w:val="24"/>
              </w:rPr>
              <w:t>£000</w:t>
            </w:r>
          </w:p>
        </w:tc>
      </w:tr>
      <w:tr w:rsidR="005666C0" w:rsidRPr="00D948C1" w14:paraId="1D566167" w14:textId="77777777" w:rsidTr="001D7BD7">
        <w:tc>
          <w:tcPr>
            <w:tcW w:w="3827" w:type="dxa"/>
          </w:tcPr>
          <w:p w14:paraId="6478F7C9" w14:textId="77777777" w:rsidR="005666C0" w:rsidRPr="00D948C1" w:rsidRDefault="005666C0" w:rsidP="005666C0">
            <w:pPr>
              <w:rPr>
                <w:rFonts w:cs="Arial"/>
                <w:szCs w:val="24"/>
              </w:rPr>
            </w:pPr>
            <w:r w:rsidRPr="00D948C1">
              <w:rPr>
                <w:rFonts w:cs="Arial"/>
                <w:szCs w:val="24"/>
              </w:rPr>
              <w:t>Total assets less Current Liabilities</w:t>
            </w:r>
          </w:p>
        </w:tc>
        <w:tc>
          <w:tcPr>
            <w:tcW w:w="2279" w:type="dxa"/>
            <w:vAlign w:val="center"/>
          </w:tcPr>
          <w:p w14:paraId="0FC6CBFD" w14:textId="5E8EDEB1" w:rsidR="005666C0" w:rsidRPr="00294859" w:rsidRDefault="007140F7" w:rsidP="005666C0">
            <w:pPr>
              <w:jc w:val="right"/>
              <w:rPr>
                <w:rFonts w:cs="Arial"/>
                <w:szCs w:val="24"/>
              </w:rPr>
            </w:pPr>
            <w:r w:rsidRPr="00294859">
              <w:rPr>
                <w:rFonts w:cs="Arial"/>
                <w:szCs w:val="24"/>
              </w:rPr>
              <w:t>383</w:t>
            </w:r>
          </w:p>
        </w:tc>
        <w:tc>
          <w:tcPr>
            <w:tcW w:w="2279" w:type="dxa"/>
            <w:vAlign w:val="center"/>
          </w:tcPr>
          <w:p w14:paraId="5A3EF5AF" w14:textId="4C775205" w:rsidR="005666C0" w:rsidRPr="00DF39E9" w:rsidRDefault="005666C0" w:rsidP="005666C0">
            <w:pPr>
              <w:jc w:val="right"/>
              <w:rPr>
                <w:rFonts w:cs="Arial"/>
                <w:szCs w:val="24"/>
              </w:rPr>
            </w:pPr>
            <w:r w:rsidRPr="00DF39E9">
              <w:rPr>
                <w:rFonts w:cs="Arial"/>
                <w:szCs w:val="24"/>
              </w:rPr>
              <w:t>356</w:t>
            </w:r>
          </w:p>
        </w:tc>
      </w:tr>
      <w:tr w:rsidR="005666C0" w:rsidRPr="00D948C1" w14:paraId="39C30A77" w14:textId="77777777" w:rsidTr="001D7BD7">
        <w:trPr>
          <w:trHeight w:val="278"/>
        </w:trPr>
        <w:tc>
          <w:tcPr>
            <w:tcW w:w="3827" w:type="dxa"/>
          </w:tcPr>
          <w:p w14:paraId="15E38031" w14:textId="526BE87B" w:rsidR="005666C0" w:rsidRPr="00D948C1" w:rsidRDefault="005666C0" w:rsidP="005666C0">
            <w:pPr>
              <w:rPr>
                <w:rFonts w:cs="Arial"/>
                <w:szCs w:val="24"/>
              </w:rPr>
            </w:pPr>
            <w:r w:rsidRPr="00D948C1">
              <w:rPr>
                <w:rFonts w:cs="Arial"/>
                <w:szCs w:val="24"/>
              </w:rPr>
              <w:t>Net assets*</w:t>
            </w:r>
          </w:p>
        </w:tc>
        <w:tc>
          <w:tcPr>
            <w:tcW w:w="2279" w:type="dxa"/>
            <w:vAlign w:val="center"/>
          </w:tcPr>
          <w:p w14:paraId="53B98E1F" w14:textId="5392448D" w:rsidR="005666C0" w:rsidRPr="00294859" w:rsidRDefault="007140F7" w:rsidP="005666C0">
            <w:pPr>
              <w:jc w:val="right"/>
              <w:rPr>
                <w:rFonts w:cs="Arial"/>
                <w:szCs w:val="24"/>
              </w:rPr>
            </w:pPr>
            <w:r w:rsidRPr="00294859">
              <w:rPr>
                <w:rFonts w:cs="Arial"/>
                <w:szCs w:val="24"/>
              </w:rPr>
              <w:t>383</w:t>
            </w:r>
          </w:p>
        </w:tc>
        <w:tc>
          <w:tcPr>
            <w:tcW w:w="2279" w:type="dxa"/>
            <w:vAlign w:val="center"/>
          </w:tcPr>
          <w:p w14:paraId="699D7394" w14:textId="4516DDE8" w:rsidR="005666C0" w:rsidRPr="00DF39E9" w:rsidRDefault="005666C0" w:rsidP="005666C0">
            <w:pPr>
              <w:jc w:val="right"/>
              <w:rPr>
                <w:rFonts w:cs="Arial"/>
                <w:szCs w:val="24"/>
              </w:rPr>
            </w:pPr>
            <w:r w:rsidRPr="00DF39E9">
              <w:rPr>
                <w:rFonts w:cs="Arial"/>
                <w:szCs w:val="24"/>
              </w:rPr>
              <w:t>356</w:t>
            </w:r>
          </w:p>
        </w:tc>
      </w:tr>
      <w:tr w:rsidR="005666C0" w:rsidRPr="00D948C1" w14:paraId="4F12D80C" w14:textId="77777777" w:rsidTr="001D7BD7">
        <w:trPr>
          <w:trHeight w:val="278"/>
        </w:trPr>
        <w:tc>
          <w:tcPr>
            <w:tcW w:w="3827" w:type="dxa"/>
          </w:tcPr>
          <w:p w14:paraId="0A7553B2" w14:textId="1F8BDE08" w:rsidR="005666C0" w:rsidRPr="00D948C1" w:rsidRDefault="005666C0" w:rsidP="005666C0">
            <w:pPr>
              <w:rPr>
                <w:rFonts w:cs="Arial"/>
                <w:szCs w:val="24"/>
              </w:rPr>
            </w:pPr>
            <w:r w:rsidRPr="00D948C1">
              <w:rPr>
                <w:rFonts w:cs="Arial"/>
                <w:szCs w:val="24"/>
              </w:rPr>
              <w:t>Surplus/(deficit) Before Taxation</w:t>
            </w:r>
          </w:p>
        </w:tc>
        <w:tc>
          <w:tcPr>
            <w:tcW w:w="2279" w:type="dxa"/>
            <w:vAlign w:val="center"/>
          </w:tcPr>
          <w:p w14:paraId="52188CAF" w14:textId="221E826E" w:rsidR="005666C0" w:rsidRPr="00294859" w:rsidRDefault="007140F7" w:rsidP="005666C0">
            <w:pPr>
              <w:jc w:val="right"/>
              <w:rPr>
                <w:rFonts w:cs="Arial"/>
                <w:szCs w:val="24"/>
              </w:rPr>
            </w:pPr>
            <w:r w:rsidRPr="00294859">
              <w:rPr>
                <w:rFonts w:cs="Arial"/>
                <w:szCs w:val="24"/>
              </w:rPr>
              <w:t>185</w:t>
            </w:r>
          </w:p>
        </w:tc>
        <w:tc>
          <w:tcPr>
            <w:tcW w:w="2279" w:type="dxa"/>
            <w:vAlign w:val="center"/>
          </w:tcPr>
          <w:p w14:paraId="24CF1B0E" w14:textId="11361332" w:rsidR="005666C0" w:rsidRPr="00DF39E9" w:rsidRDefault="005666C0" w:rsidP="005666C0">
            <w:pPr>
              <w:jc w:val="right"/>
              <w:rPr>
                <w:rFonts w:cs="Arial"/>
                <w:szCs w:val="24"/>
              </w:rPr>
            </w:pPr>
            <w:r w:rsidRPr="00DF39E9">
              <w:rPr>
                <w:rFonts w:cs="Arial"/>
                <w:szCs w:val="24"/>
              </w:rPr>
              <w:t>85</w:t>
            </w:r>
          </w:p>
        </w:tc>
      </w:tr>
      <w:tr w:rsidR="005666C0" w:rsidRPr="00D948C1" w14:paraId="17B90632" w14:textId="77777777" w:rsidTr="001D7BD7">
        <w:trPr>
          <w:trHeight w:val="278"/>
        </w:trPr>
        <w:tc>
          <w:tcPr>
            <w:tcW w:w="3827" w:type="dxa"/>
          </w:tcPr>
          <w:p w14:paraId="20F72E4F" w14:textId="7987E9A6" w:rsidR="005666C0" w:rsidRPr="00D948C1" w:rsidRDefault="005666C0" w:rsidP="005666C0">
            <w:pPr>
              <w:rPr>
                <w:rFonts w:cs="Arial"/>
                <w:szCs w:val="24"/>
              </w:rPr>
            </w:pPr>
            <w:r w:rsidRPr="00D948C1">
              <w:rPr>
                <w:rFonts w:cs="Arial"/>
                <w:szCs w:val="24"/>
              </w:rPr>
              <w:t>Surplus/(deficit) After Taxation</w:t>
            </w:r>
          </w:p>
        </w:tc>
        <w:tc>
          <w:tcPr>
            <w:tcW w:w="2279" w:type="dxa"/>
            <w:vAlign w:val="center"/>
          </w:tcPr>
          <w:p w14:paraId="45B86065" w14:textId="38F6FE8B" w:rsidR="005666C0" w:rsidRPr="00294859" w:rsidRDefault="00D017ED" w:rsidP="005666C0">
            <w:pPr>
              <w:jc w:val="right"/>
              <w:rPr>
                <w:rFonts w:cs="Arial"/>
                <w:szCs w:val="24"/>
              </w:rPr>
            </w:pPr>
            <w:r w:rsidRPr="00294859">
              <w:rPr>
                <w:rFonts w:cs="Arial"/>
                <w:szCs w:val="24"/>
              </w:rPr>
              <w:t>1</w:t>
            </w:r>
            <w:r w:rsidRPr="00456BDD">
              <w:rPr>
                <w:rFonts w:cs="Arial"/>
                <w:szCs w:val="24"/>
              </w:rPr>
              <w:t>78</w:t>
            </w:r>
          </w:p>
        </w:tc>
        <w:tc>
          <w:tcPr>
            <w:tcW w:w="2279" w:type="dxa"/>
            <w:vAlign w:val="center"/>
          </w:tcPr>
          <w:p w14:paraId="1818A9AA" w14:textId="0BC1AE53" w:rsidR="005666C0" w:rsidRPr="00DF39E9" w:rsidRDefault="005666C0" w:rsidP="005666C0">
            <w:pPr>
              <w:jc w:val="right"/>
              <w:rPr>
                <w:rFonts w:cs="Arial"/>
                <w:szCs w:val="24"/>
              </w:rPr>
            </w:pPr>
            <w:r w:rsidRPr="00DF39E9">
              <w:rPr>
                <w:rFonts w:cs="Arial"/>
                <w:szCs w:val="24"/>
              </w:rPr>
              <w:t>84</w:t>
            </w:r>
          </w:p>
        </w:tc>
      </w:tr>
      <w:tr w:rsidR="005666C0" w:rsidRPr="00D948C1" w14:paraId="1F319F0F" w14:textId="77777777" w:rsidTr="001D7BD7">
        <w:trPr>
          <w:trHeight w:val="278"/>
        </w:trPr>
        <w:tc>
          <w:tcPr>
            <w:tcW w:w="3827" w:type="dxa"/>
          </w:tcPr>
          <w:p w14:paraId="302F5BAB" w14:textId="77777777" w:rsidR="005666C0" w:rsidRPr="00D948C1" w:rsidRDefault="005666C0" w:rsidP="005666C0">
            <w:pPr>
              <w:rPr>
                <w:rFonts w:cs="Arial"/>
                <w:szCs w:val="24"/>
              </w:rPr>
            </w:pPr>
            <w:r w:rsidRPr="00D948C1">
              <w:rPr>
                <w:rFonts w:cs="Arial"/>
                <w:szCs w:val="24"/>
              </w:rPr>
              <w:t>Debtor Balance (LFRS)</w:t>
            </w:r>
          </w:p>
        </w:tc>
        <w:tc>
          <w:tcPr>
            <w:tcW w:w="2279" w:type="dxa"/>
            <w:vAlign w:val="center"/>
          </w:tcPr>
          <w:p w14:paraId="23DC8F1B" w14:textId="1FAEFE6D" w:rsidR="005666C0" w:rsidRPr="00294859" w:rsidRDefault="00CE6594" w:rsidP="005666C0">
            <w:pPr>
              <w:jc w:val="right"/>
              <w:rPr>
                <w:rFonts w:cs="Arial"/>
                <w:szCs w:val="24"/>
              </w:rPr>
            </w:pPr>
            <w:r w:rsidRPr="00294859">
              <w:rPr>
                <w:rFonts w:cs="Arial"/>
                <w:szCs w:val="24"/>
              </w:rPr>
              <w:t>-</w:t>
            </w:r>
          </w:p>
        </w:tc>
        <w:tc>
          <w:tcPr>
            <w:tcW w:w="2279" w:type="dxa"/>
            <w:vAlign w:val="center"/>
          </w:tcPr>
          <w:p w14:paraId="59C6B957" w14:textId="39F77C0A" w:rsidR="005666C0" w:rsidRPr="00DF39E9" w:rsidRDefault="005666C0" w:rsidP="005666C0">
            <w:pPr>
              <w:jc w:val="right"/>
              <w:rPr>
                <w:rFonts w:cs="Arial"/>
                <w:szCs w:val="24"/>
              </w:rPr>
            </w:pPr>
            <w:r w:rsidRPr="00DF39E9">
              <w:rPr>
                <w:rFonts w:cs="Arial"/>
                <w:szCs w:val="24"/>
              </w:rPr>
              <w:t>-</w:t>
            </w:r>
          </w:p>
        </w:tc>
      </w:tr>
      <w:tr w:rsidR="005666C0" w:rsidRPr="00D948C1" w14:paraId="7817D4EE" w14:textId="77777777" w:rsidTr="001D7BD7">
        <w:trPr>
          <w:trHeight w:val="278"/>
        </w:trPr>
        <w:tc>
          <w:tcPr>
            <w:tcW w:w="3827" w:type="dxa"/>
          </w:tcPr>
          <w:p w14:paraId="4DAFC908" w14:textId="77777777" w:rsidR="005666C0" w:rsidRPr="00D948C1" w:rsidRDefault="005666C0" w:rsidP="005666C0">
            <w:pPr>
              <w:rPr>
                <w:rFonts w:cs="Arial"/>
                <w:szCs w:val="24"/>
              </w:rPr>
            </w:pPr>
            <w:r w:rsidRPr="00D948C1">
              <w:rPr>
                <w:rFonts w:cs="Arial"/>
                <w:szCs w:val="24"/>
              </w:rPr>
              <w:t>Creditor Balance (LFRS)</w:t>
            </w:r>
          </w:p>
        </w:tc>
        <w:tc>
          <w:tcPr>
            <w:tcW w:w="2279" w:type="dxa"/>
            <w:vAlign w:val="center"/>
          </w:tcPr>
          <w:p w14:paraId="6BC015CA" w14:textId="17635332" w:rsidR="005666C0" w:rsidRPr="00294859" w:rsidRDefault="00CE6594" w:rsidP="005666C0">
            <w:pPr>
              <w:jc w:val="right"/>
              <w:rPr>
                <w:rFonts w:cs="Arial"/>
                <w:szCs w:val="24"/>
              </w:rPr>
            </w:pPr>
            <w:r w:rsidRPr="00294859">
              <w:rPr>
                <w:rFonts w:cs="Arial"/>
                <w:szCs w:val="24"/>
              </w:rPr>
              <w:t>-</w:t>
            </w:r>
          </w:p>
        </w:tc>
        <w:tc>
          <w:tcPr>
            <w:tcW w:w="2279" w:type="dxa"/>
            <w:vAlign w:val="center"/>
          </w:tcPr>
          <w:p w14:paraId="052446FB" w14:textId="4CF7B52F" w:rsidR="005666C0" w:rsidRPr="00DF39E9" w:rsidRDefault="005666C0" w:rsidP="005666C0">
            <w:pPr>
              <w:jc w:val="right"/>
              <w:rPr>
                <w:rFonts w:cs="Arial"/>
                <w:szCs w:val="24"/>
              </w:rPr>
            </w:pPr>
            <w:r w:rsidRPr="00DF39E9">
              <w:rPr>
                <w:rFonts w:cs="Arial"/>
                <w:szCs w:val="24"/>
              </w:rPr>
              <w:t>-</w:t>
            </w:r>
          </w:p>
        </w:tc>
      </w:tr>
      <w:tr w:rsidR="005666C0" w:rsidRPr="00D948C1" w14:paraId="7F285004" w14:textId="77777777" w:rsidTr="001D7BD7">
        <w:tc>
          <w:tcPr>
            <w:tcW w:w="3827" w:type="dxa"/>
          </w:tcPr>
          <w:p w14:paraId="4550B748" w14:textId="77777777" w:rsidR="005666C0" w:rsidRPr="00D948C1" w:rsidRDefault="005666C0" w:rsidP="005666C0">
            <w:pPr>
              <w:rPr>
                <w:rFonts w:cs="Arial"/>
                <w:szCs w:val="24"/>
              </w:rPr>
            </w:pPr>
            <w:r w:rsidRPr="00D948C1">
              <w:rPr>
                <w:rFonts w:cs="Arial"/>
                <w:szCs w:val="24"/>
              </w:rPr>
              <w:t xml:space="preserve">Invoices raised by NW </w:t>
            </w:r>
            <w:proofErr w:type="spellStart"/>
            <w:r w:rsidRPr="00D948C1">
              <w:rPr>
                <w:rFonts w:cs="Arial"/>
                <w:szCs w:val="24"/>
              </w:rPr>
              <w:t>FireControl</w:t>
            </w:r>
            <w:proofErr w:type="spellEnd"/>
            <w:r w:rsidRPr="00D948C1">
              <w:rPr>
                <w:rFonts w:cs="Arial"/>
                <w:szCs w:val="24"/>
              </w:rPr>
              <w:t xml:space="preserve"> to LFRS</w:t>
            </w:r>
          </w:p>
        </w:tc>
        <w:tc>
          <w:tcPr>
            <w:tcW w:w="2279" w:type="dxa"/>
            <w:vAlign w:val="center"/>
          </w:tcPr>
          <w:p w14:paraId="449412B5" w14:textId="065F5C05" w:rsidR="005666C0" w:rsidRPr="00294859" w:rsidRDefault="008E5E96" w:rsidP="005666C0">
            <w:pPr>
              <w:jc w:val="right"/>
              <w:rPr>
                <w:rFonts w:cs="Arial"/>
                <w:szCs w:val="24"/>
              </w:rPr>
            </w:pPr>
            <w:r w:rsidRPr="00294859">
              <w:rPr>
                <w:rFonts w:cs="Arial"/>
                <w:szCs w:val="24"/>
              </w:rPr>
              <w:t>2,200</w:t>
            </w:r>
          </w:p>
        </w:tc>
        <w:tc>
          <w:tcPr>
            <w:tcW w:w="2279" w:type="dxa"/>
            <w:vAlign w:val="center"/>
          </w:tcPr>
          <w:p w14:paraId="7CD2A974" w14:textId="3DDEA503" w:rsidR="005666C0" w:rsidRPr="00DF39E9" w:rsidRDefault="005666C0" w:rsidP="005666C0">
            <w:pPr>
              <w:jc w:val="right"/>
              <w:rPr>
                <w:rFonts w:cs="Arial"/>
                <w:szCs w:val="24"/>
              </w:rPr>
            </w:pPr>
            <w:r w:rsidRPr="00DF39E9">
              <w:rPr>
                <w:rFonts w:cs="Arial"/>
                <w:szCs w:val="24"/>
              </w:rPr>
              <w:t>1,649</w:t>
            </w:r>
          </w:p>
        </w:tc>
      </w:tr>
      <w:tr w:rsidR="005666C0" w:rsidRPr="00D948C1" w14:paraId="1E3BDFEA" w14:textId="77777777" w:rsidTr="001D7BD7">
        <w:tc>
          <w:tcPr>
            <w:tcW w:w="3827" w:type="dxa"/>
          </w:tcPr>
          <w:p w14:paraId="4892AD67" w14:textId="77777777" w:rsidR="005666C0" w:rsidRPr="00D948C1" w:rsidRDefault="005666C0" w:rsidP="005666C0">
            <w:pPr>
              <w:rPr>
                <w:rFonts w:cs="Arial"/>
                <w:szCs w:val="24"/>
              </w:rPr>
            </w:pPr>
            <w:r w:rsidRPr="00D948C1">
              <w:rPr>
                <w:rFonts w:cs="Arial"/>
                <w:szCs w:val="24"/>
              </w:rPr>
              <w:t xml:space="preserve">Invoices raised by LFRS to NW </w:t>
            </w:r>
            <w:proofErr w:type="spellStart"/>
            <w:r w:rsidRPr="00D948C1">
              <w:rPr>
                <w:rFonts w:cs="Arial"/>
                <w:szCs w:val="24"/>
              </w:rPr>
              <w:t>FireControl</w:t>
            </w:r>
            <w:proofErr w:type="spellEnd"/>
          </w:p>
        </w:tc>
        <w:tc>
          <w:tcPr>
            <w:tcW w:w="2279" w:type="dxa"/>
            <w:vAlign w:val="center"/>
          </w:tcPr>
          <w:p w14:paraId="3E131D50" w14:textId="7D49C955" w:rsidR="005666C0" w:rsidRPr="00294859" w:rsidRDefault="0022389C" w:rsidP="005666C0">
            <w:pPr>
              <w:jc w:val="right"/>
              <w:rPr>
                <w:rFonts w:cs="Arial"/>
                <w:szCs w:val="24"/>
              </w:rPr>
            </w:pPr>
            <w:r w:rsidRPr="00294859">
              <w:rPr>
                <w:rFonts w:cs="Arial"/>
                <w:szCs w:val="24"/>
              </w:rPr>
              <w:t>-</w:t>
            </w:r>
          </w:p>
        </w:tc>
        <w:tc>
          <w:tcPr>
            <w:tcW w:w="2279" w:type="dxa"/>
            <w:vAlign w:val="center"/>
          </w:tcPr>
          <w:p w14:paraId="18315D67" w14:textId="73614DFF" w:rsidR="005666C0" w:rsidRPr="00DF39E9" w:rsidRDefault="005666C0" w:rsidP="005666C0">
            <w:pPr>
              <w:jc w:val="right"/>
              <w:rPr>
                <w:rFonts w:cs="Arial"/>
                <w:szCs w:val="24"/>
              </w:rPr>
            </w:pPr>
            <w:r w:rsidRPr="00DF39E9">
              <w:rPr>
                <w:rFonts w:cs="Arial"/>
                <w:szCs w:val="24"/>
              </w:rPr>
              <w:t>-</w:t>
            </w:r>
          </w:p>
        </w:tc>
      </w:tr>
    </w:tbl>
    <w:p w14:paraId="7A09C994" w14:textId="77777777" w:rsidR="009B6312" w:rsidRPr="00D948C1" w:rsidRDefault="009B6312" w:rsidP="00F06F0B">
      <w:pPr>
        <w:ind w:left="709"/>
        <w:jc w:val="both"/>
        <w:rPr>
          <w:rFonts w:cs="Arial"/>
          <w:sz w:val="22"/>
          <w:szCs w:val="22"/>
        </w:rPr>
      </w:pPr>
    </w:p>
    <w:p w14:paraId="64872E18" w14:textId="39701D79" w:rsidR="009B6312" w:rsidRPr="001D7BD7" w:rsidRDefault="009B6312" w:rsidP="001931F4">
      <w:pPr>
        <w:pStyle w:val="NoSpacing"/>
        <w:ind w:left="709"/>
        <w:rPr>
          <w:lang w:eastAsia="en-GB"/>
        </w:rPr>
      </w:pPr>
      <w:r w:rsidRPr="001D7BD7">
        <w:rPr>
          <w:lang w:eastAsia="en-GB"/>
        </w:rPr>
        <w:t xml:space="preserve">*Net </w:t>
      </w:r>
      <w:r w:rsidR="003C5E02" w:rsidRPr="001D7BD7">
        <w:rPr>
          <w:lang w:eastAsia="en-GB"/>
        </w:rPr>
        <w:t>assets</w:t>
      </w:r>
      <w:r w:rsidRPr="001D7BD7">
        <w:rPr>
          <w:lang w:eastAsia="en-GB"/>
        </w:rPr>
        <w:t xml:space="preserve"> </w:t>
      </w:r>
      <w:proofErr w:type="gramStart"/>
      <w:r w:rsidRPr="001D7BD7">
        <w:rPr>
          <w:lang w:eastAsia="en-GB"/>
        </w:rPr>
        <w:t>includes</w:t>
      </w:r>
      <w:proofErr w:type="gramEnd"/>
      <w:r w:rsidRPr="001D7BD7">
        <w:rPr>
          <w:lang w:eastAsia="en-GB"/>
        </w:rPr>
        <w:t xml:space="preserve"> the future pension liabilities under </w:t>
      </w:r>
      <w:r w:rsidR="00AD0F73" w:rsidRPr="001D7BD7">
        <w:rPr>
          <w:lang w:eastAsia="en-GB"/>
        </w:rPr>
        <w:t>IAS19</w:t>
      </w:r>
      <w:r w:rsidRPr="001D7BD7">
        <w:rPr>
          <w:lang w:eastAsia="en-GB"/>
        </w:rPr>
        <w:t xml:space="preserve"> reported by the Cheshire Pension Fund actuaries.</w:t>
      </w:r>
    </w:p>
    <w:p w14:paraId="31004E53" w14:textId="77777777" w:rsidR="009B6312" w:rsidRPr="001D7BD7" w:rsidRDefault="009B6312" w:rsidP="001931F4">
      <w:pPr>
        <w:pStyle w:val="NoSpacing"/>
        <w:ind w:left="709"/>
        <w:rPr>
          <w:lang w:eastAsia="en-GB"/>
        </w:rPr>
      </w:pPr>
      <w:r w:rsidRPr="001D7BD7">
        <w:rPr>
          <w:lang w:eastAsia="en-GB"/>
        </w:rPr>
        <w:t>All figures are shown net of VAT.</w:t>
      </w:r>
    </w:p>
    <w:p w14:paraId="73C98670" w14:textId="7BAA375D" w:rsidR="009B6312" w:rsidRPr="001D7BD7" w:rsidRDefault="009B6312" w:rsidP="001931F4">
      <w:pPr>
        <w:pStyle w:val="NoSpacing"/>
        <w:ind w:left="709"/>
        <w:rPr>
          <w:lang w:eastAsia="en-GB"/>
        </w:rPr>
      </w:pPr>
      <w:r w:rsidRPr="001D7BD7">
        <w:rPr>
          <w:lang w:eastAsia="en-GB"/>
        </w:rPr>
        <w:t xml:space="preserve">Transactions between </w:t>
      </w:r>
      <w:r w:rsidR="00A1232B" w:rsidRPr="001D7BD7">
        <w:rPr>
          <w:lang w:eastAsia="en-GB"/>
        </w:rPr>
        <w:t>L</w:t>
      </w:r>
      <w:r w:rsidR="0037293D" w:rsidRPr="001D7BD7">
        <w:rPr>
          <w:lang w:eastAsia="en-GB"/>
        </w:rPr>
        <w:t xml:space="preserve">FRS and NW </w:t>
      </w:r>
      <w:proofErr w:type="spellStart"/>
      <w:r w:rsidR="0037293D" w:rsidRPr="001D7BD7">
        <w:rPr>
          <w:lang w:eastAsia="en-GB"/>
        </w:rPr>
        <w:t>Fire</w:t>
      </w:r>
      <w:r w:rsidRPr="001D7BD7">
        <w:rPr>
          <w:lang w:eastAsia="en-GB"/>
        </w:rPr>
        <w:t>Control</w:t>
      </w:r>
      <w:proofErr w:type="spellEnd"/>
      <w:r w:rsidRPr="001D7BD7">
        <w:rPr>
          <w:lang w:eastAsia="en-GB"/>
        </w:rPr>
        <w:t xml:space="preserve"> </w:t>
      </w:r>
      <w:r w:rsidR="002B520D" w:rsidRPr="001D7BD7">
        <w:rPr>
          <w:rFonts w:cs="Arial"/>
          <w:lang w:eastAsia="en-GB"/>
        </w:rPr>
        <w:t>Limited</w:t>
      </w:r>
      <w:r w:rsidR="002B520D" w:rsidRPr="001D7BD7">
        <w:rPr>
          <w:lang w:eastAsia="en-GB"/>
        </w:rPr>
        <w:t xml:space="preserve"> </w:t>
      </w:r>
      <w:r w:rsidRPr="001D7BD7">
        <w:rPr>
          <w:lang w:eastAsia="en-GB"/>
        </w:rPr>
        <w:t>inc</w:t>
      </w:r>
      <w:r w:rsidR="0037293D" w:rsidRPr="001D7BD7">
        <w:rPr>
          <w:lang w:eastAsia="en-GB"/>
        </w:rPr>
        <w:t xml:space="preserve">lude Invoices Raised by NW </w:t>
      </w:r>
      <w:proofErr w:type="spellStart"/>
      <w:r w:rsidR="0037293D" w:rsidRPr="001D7BD7">
        <w:rPr>
          <w:lang w:eastAsia="en-GB"/>
        </w:rPr>
        <w:t>Fire</w:t>
      </w:r>
      <w:r w:rsidRPr="001D7BD7">
        <w:rPr>
          <w:lang w:eastAsia="en-GB"/>
        </w:rPr>
        <w:t>Control</w:t>
      </w:r>
      <w:proofErr w:type="spellEnd"/>
      <w:r w:rsidRPr="001D7BD7">
        <w:rPr>
          <w:lang w:eastAsia="en-GB"/>
        </w:rPr>
        <w:t xml:space="preserve"> to </w:t>
      </w:r>
      <w:r w:rsidR="00A1232B" w:rsidRPr="001D7BD7">
        <w:rPr>
          <w:lang w:eastAsia="en-GB"/>
        </w:rPr>
        <w:t>L</w:t>
      </w:r>
      <w:r w:rsidRPr="001D7BD7">
        <w:rPr>
          <w:lang w:eastAsia="en-GB"/>
        </w:rPr>
        <w:t>FRS for t</w:t>
      </w:r>
      <w:r w:rsidR="00A1232B" w:rsidRPr="001D7BD7">
        <w:rPr>
          <w:lang w:eastAsia="en-GB"/>
        </w:rPr>
        <w:t xml:space="preserve">he Control Room service </w:t>
      </w:r>
      <w:r w:rsidRPr="001D7BD7">
        <w:rPr>
          <w:lang w:eastAsia="en-GB"/>
        </w:rPr>
        <w:t>and use of facilities in the building.</w:t>
      </w:r>
    </w:p>
    <w:p w14:paraId="1537710C" w14:textId="64737D77" w:rsidR="00D90216" w:rsidRPr="001D7BD7" w:rsidRDefault="009B6312" w:rsidP="001931F4">
      <w:pPr>
        <w:pStyle w:val="NoSpacing"/>
        <w:ind w:left="709"/>
        <w:rPr>
          <w:lang w:eastAsia="en-GB"/>
        </w:rPr>
      </w:pPr>
      <w:r w:rsidRPr="001D7BD7">
        <w:rPr>
          <w:lang w:eastAsia="en-GB"/>
        </w:rPr>
        <w:t xml:space="preserve">The </w:t>
      </w:r>
      <w:r w:rsidR="00680265" w:rsidRPr="001D7BD7">
        <w:rPr>
          <w:lang w:eastAsia="en-GB"/>
        </w:rPr>
        <w:t>Company’s</w:t>
      </w:r>
      <w:r w:rsidRPr="001D7BD7">
        <w:rPr>
          <w:lang w:eastAsia="en-GB"/>
        </w:rPr>
        <w:t xml:space="preserve"> Financial Statements can be obtained from Companies House with the deadline for submission as 31/12/20</w:t>
      </w:r>
      <w:r w:rsidR="003A7ED4" w:rsidRPr="001D7BD7">
        <w:rPr>
          <w:lang w:eastAsia="en-GB"/>
        </w:rPr>
        <w:t>2</w:t>
      </w:r>
      <w:r w:rsidR="717A7770" w:rsidRPr="001D7BD7">
        <w:rPr>
          <w:lang w:eastAsia="en-GB"/>
        </w:rPr>
        <w:t>5</w:t>
      </w:r>
      <w:r w:rsidR="002C0DE5" w:rsidRPr="001D7BD7">
        <w:rPr>
          <w:lang w:eastAsia="en-GB"/>
        </w:rPr>
        <w:t xml:space="preserve"> </w:t>
      </w:r>
      <w:r w:rsidRPr="001D7BD7">
        <w:rPr>
          <w:lang w:eastAsia="en-GB"/>
        </w:rPr>
        <w:t>for the final audited 20</w:t>
      </w:r>
      <w:r w:rsidR="00C52475" w:rsidRPr="001D7BD7">
        <w:rPr>
          <w:lang w:eastAsia="en-GB"/>
        </w:rPr>
        <w:t>2</w:t>
      </w:r>
      <w:r w:rsidR="3BCD14AD" w:rsidRPr="001D7BD7">
        <w:rPr>
          <w:lang w:eastAsia="en-GB"/>
        </w:rPr>
        <w:t>4</w:t>
      </w:r>
      <w:r w:rsidR="006B2155" w:rsidRPr="001D7BD7">
        <w:rPr>
          <w:lang w:eastAsia="en-GB"/>
        </w:rPr>
        <w:t>/2</w:t>
      </w:r>
      <w:r w:rsidR="0FD0DB96" w:rsidRPr="001D7BD7">
        <w:rPr>
          <w:lang w:eastAsia="en-GB"/>
        </w:rPr>
        <w:t>5</w:t>
      </w:r>
      <w:r w:rsidRPr="001D7BD7">
        <w:rPr>
          <w:lang w:eastAsia="en-GB"/>
        </w:rPr>
        <w:t xml:space="preserve"> accounts.</w:t>
      </w:r>
    </w:p>
    <w:bookmarkEnd w:id="79"/>
    <w:p w14:paraId="43DE6B4D" w14:textId="38E74E8B" w:rsidR="00885872" w:rsidRPr="00D948C1" w:rsidRDefault="00885872">
      <w:pPr>
        <w:rPr>
          <w:b/>
          <w:sz w:val="22"/>
        </w:rPr>
      </w:pPr>
    </w:p>
    <w:p w14:paraId="7FD1D649" w14:textId="74239130" w:rsidR="0083182E" w:rsidRPr="00D948C1" w:rsidRDefault="001C592E" w:rsidP="006563F1">
      <w:pPr>
        <w:pStyle w:val="Heading2"/>
        <w:jc w:val="left"/>
        <w:rPr>
          <w:sz w:val="24"/>
          <w:szCs w:val="24"/>
        </w:rPr>
      </w:pPr>
      <w:bookmarkStart w:id="81" w:name="_24_Adjust_Net"/>
      <w:bookmarkStart w:id="82" w:name="_Toc215593415"/>
      <w:bookmarkEnd w:id="81"/>
      <w:r w:rsidRPr="00D948C1">
        <w:rPr>
          <w:sz w:val="24"/>
          <w:szCs w:val="24"/>
        </w:rPr>
        <w:t>2</w:t>
      </w:r>
      <w:r w:rsidR="00B62A26">
        <w:rPr>
          <w:sz w:val="24"/>
          <w:szCs w:val="24"/>
        </w:rPr>
        <w:t>4</w:t>
      </w:r>
      <w:r w:rsidR="00D90216" w:rsidRPr="00D948C1">
        <w:rPr>
          <w:sz w:val="24"/>
          <w:szCs w:val="24"/>
        </w:rPr>
        <w:tab/>
      </w:r>
      <w:bookmarkStart w:id="83" w:name="N23"/>
      <w:bookmarkEnd w:id="83"/>
      <w:r w:rsidR="0083182E" w:rsidRPr="00D948C1">
        <w:rPr>
          <w:sz w:val="24"/>
          <w:szCs w:val="24"/>
        </w:rPr>
        <w:t xml:space="preserve">Adjust </w:t>
      </w:r>
      <w:r w:rsidR="00BD63EF">
        <w:rPr>
          <w:sz w:val="24"/>
          <w:szCs w:val="24"/>
        </w:rPr>
        <w:t>N</w:t>
      </w:r>
      <w:r w:rsidR="0083182E" w:rsidRPr="00D948C1">
        <w:rPr>
          <w:sz w:val="24"/>
          <w:szCs w:val="24"/>
        </w:rPr>
        <w:t xml:space="preserve">et </w:t>
      </w:r>
      <w:proofErr w:type="gramStart"/>
      <w:r w:rsidR="0083182E" w:rsidRPr="00D948C1">
        <w:rPr>
          <w:sz w:val="24"/>
          <w:szCs w:val="24"/>
        </w:rPr>
        <w:t>surplus</w:t>
      </w:r>
      <w:proofErr w:type="gramEnd"/>
      <w:r w:rsidR="0083182E" w:rsidRPr="00D948C1">
        <w:rPr>
          <w:sz w:val="24"/>
          <w:szCs w:val="24"/>
        </w:rPr>
        <w:t xml:space="preserve">/(deficit) on the provision of services for </w:t>
      </w:r>
      <w:r w:rsidR="00470E44" w:rsidRPr="00D948C1">
        <w:rPr>
          <w:sz w:val="24"/>
          <w:szCs w:val="24"/>
        </w:rPr>
        <w:t>non-cash</w:t>
      </w:r>
      <w:r w:rsidR="0083182E" w:rsidRPr="00D948C1">
        <w:rPr>
          <w:sz w:val="24"/>
          <w:szCs w:val="24"/>
        </w:rPr>
        <w:t xml:space="preserve"> movements</w:t>
      </w:r>
      <w:bookmarkEnd w:id="82"/>
    </w:p>
    <w:p w14:paraId="3016A821" w14:textId="77777777" w:rsidR="0083182E" w:rsidRPr="00D948C1" w:rsidRDefault="0083182E" w:rsidP="0083182E">
      <w:pPr>
        <w:ind w:left="709"/>
        <w:jc w:val="both"/>
        <w:rPr>
          <w:szCs w:val="24"/>
        </w:rPr>
      </w:pPr>
    </w:p>
    <w:tbl>
      <w:tblPr>
        <w:tblW w:w="84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867"/>
        <w:gridCol w:w="1867"/>
      </w:tblGrid>
      <w:tr w:rsidR="002823FC" w:rsidRPr="00D948C1" w14:paraId="4ACD6A35" w14:textId="77777777" w:rsidTr="00611673">
        <w:trPr>
          <w:trHeight w:hRule="exact" w:val="564"/>
          <w:tblHeader/>
        </w:trPr>
        <w:tc>
          <w:tcPr>
            <w:tcW w:w="4680" w:type="dxa"/>
            <w:shd w:val="clear" w:color="auto" w:fill="BD2716"/>
          </w:tcPr>
          <w:p w14:paraId="703CCC55" w14:textId="77777777" w:rsidR="002823FC" w:rsidRPr="00D948C1" w:rsidRDefault="002823FC" w:rsidP="002823FC">
            <w:pPr>
              <w:tabs>
                <w:tab w:val="left" w:pos="720"/>
                <w:tab w:val="center" w:pos="6930"/>
              </w:tabs>
              <w:rPr>
                <w:color w:val="FFFFFF" w:themeColor="background1"/>
                <w:szCs w:val="24"/>
              </w:rPr>
            </w:pPr>
          </w:p>
        </w:tc>
        <w:tc>
          <w:tcPr>
            <w:tcW w:w="1867" w:type="dxa"/>
            <w:shd w:val="clear" w:color="auto" w:fill="BD2716"/>
            <w:vAlign w:val="center"/>
          </w:tcPr>
          <w:p w14:paraId="0F673C9E" w14:textId="271AC300" w:rsidR="002823FC" w:rsidRPr="00D948C1" w:rsidRDefault="002823FC" w:rsidP="002823FC">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6777CA9E" w14:textId="068D42C2" w:rsidR="002823FC" w:rsidRPr="00D948C1" w:rsidRDefault="002823FC" w:rsidP="002823FC">
            <w:pPr>
              <w:jc w:val="right"/>
              <w:rPr>
                <w:color w:val="FFFFFF" w:themeColor="background1"/>
                <w:szCs w:val="24"/>
              </w:rPr>
            </w:pPr>
            <w:r w:rsidRPr="00D948C1">
              <w:rPr>
                <w:color w:val="FFFFFF" w:themeColor="background1"/>
                <w:szCs w:val="24"/>
              </w:rPr>
              <w:t>£000</w:t>
            </w:r>
          </w:p>
        </w:tc>
        <w:tc>
          <w:tcPr>
            <w:tcW w:w="1867" w:type="dxa"/>
            <w:shd w:val="clear" w:color="auto" w:fill="BD2716"/>
            <w:vAlign w:val="center"/>
          </w:tcPr>
          <w:p w14:paraId="583EF0D2" w14:textId="11479795" w:rsidR="002823FC" w:rsidRPr="00D948C1" w:rsidRDefault="002823FC" w:rsidP="002823FC">
            <w:pPr>
              <w:jc w:val="right"/>
              <w:rPr>
                <w:color w:val="FFFFFF" w:themeColor="background1"/>
                <w:szCs w:val="24"/>
              </w:rPr>
            </w:pPr>
            <w:r w:rsidRPr="00D948C1">
              <w:rPr>
                <w:color w:val="FFFFFF" w:themeColor="background1"/>
                <w:szCs w:val="24"/>
              </w:rPr>
              <w:t>202</w:t>
            </w:r>
            <w:r w:rsidR="005666C0">
              <w:rPr>
                <w:color w:val="FFFFFF" w:themeColor="background1"/>
                <w:szCs w:val="24"/>
              </w:rPr>
              <w:t>3</w:t>
            </w:r>
            <w:r w:rsidRPr="00D948C1">
              <w:rPr>
                <w:color w:val="FFFFFF" w:themeColor="background1"/>
                <w:szCs w:val="24"/>
              </w:rPr>
              <w:t>/2</w:t>
            </w:r>
            <w:r w:rsidR="005666C0">
              <w:rPr>
                <w:color w:val="FFFFFF" w:themeColor="background1"/>
                <w:szCs w:val="24"/>
              </w:rPr>
              <w:t>4</w:t>
            </w:r>
          </w:p>
          <w:p w14:paraId="19983810" w14:textId="01A99743" w:rsidR="002823FC" w:rsidRPr="00D948C1" w:rsidRDefault="002823FC" w:rsidP="002823FC">
            <w:pPr>
              <w:jc w:val="right"/>
              <w:rPr>
                <w:color w:val="FFFFFF" w:themeColor="background1"/>
                <w:szCs w:val="24"/>
              </w:rPr>
            </w:pPr>
            <w:r w:rsidRPr="00D948C1">
              <w:rPr>
                <w:color w:val="FFFFFF" w:themeColor="background1"/>
                <w:szCs w:val="24"/>
              </w:rPr>
              <w:t>£000</w:t>
            </w:r>
          </w:p>
        </w:tc>
      </w:tr>
      <w:tr w:rsidR="005666C0" w:rsidRPr="00D948C1" w14:paraId="4E13F36E" w14:textId="77777777" w:rsidTr="003572E5">
        <w:trPr>
          <w:trHeight w:val="278"/>
        </w:trPr>
        <w:tc>
          <w:tcPr>
            <w:tcW w:w="4680" w:type="dxa"/>
          </w:tcPr>
          <w:p w14:paraId="26DF27E4" w14:textId="77777777" w:rsidR="005666C0" w:rsidRPr="00D948C1" w:rsidRDefault="005666C0" w:rsidP="005666C0">
            <w:pPr>
              <w:tabs>
                <w:tab w:val="left" w:pos="720"/>
                <w:tab w:val="center" w:pos="6930"/>
              </w:tabs>
              <w:rPr>
                <w:szCs w:val="24"/>
              </w:rPr>
            </w:pPr>
            <w:r w:rsidRPr="00D948C1">
              <w:rPr>
                <w:szCs w:val="24"/>
              </w:rPr>
              <w:t>Depreciation</w:t>
            </w:r>
          </w:p>
        </w:tc>
        <w:tc>
          <w:tcPr>
            <w:tcW w:w="1867" w:type="dxa"/>
            <w:vAlign w:val="center"/>
          </w:tcPr>
          <w:p w14:paraId="5A0A0D33" w14:textId="7A3DB909" w:rsidR="005666C0" w:rsidRPr="00294859" w:rsidRDefault="001F7D66" w:rsidP="005666C0">
            <w:pPr>
              <w:tabs>
                <w:tab w:val="decimal" w:pos="1080"/>
              </w:tabs>
              <w:jc w:val="right"/>
              <w:rPr>
                <w:szCs w:val="24"/>
              </w:rPr>
            </w:pPr>
            <w:r w:rsidRPr="00294859">
              <w:rPr>
                <w:szCs w:val="24"/>
              </w:rPr>
              <w:t>6,648</w:t>
            </w:r>
          </w:p>
        </w:tc>
        <w:tc>
          <w:tcPr>
            <w:tcW w:w="1867" w:type="dxa"/>
            <w:vAlign w:val="center"/>
          </w:tcPr>
          <w:p w14:paraId="444952F8" w14:textId="0FAC8552" w:rsidR="005666C0" w:rsidRPr="00DF39E9" w:rsidRDefault="005666C0" w:rsidP="005666C0">
            <w:pPr>
              <w:tabs>
                <w:tab w:val="decimal" w:pos="1080"/>
              </w:tabs>
              <w:jc w:val="right"/>
              <w:rPr>
                <w:szCs w:val="24"/>
              </w:rPr>
            </w:pPr>
            <w:r w:rsidRPr="00DF39E9">
              <w:rPr>
                <w:szCs w:val="24"/>
              </w:rPr>
              <w:t>5,732</w:t>
            </w:r>
          </w:p>
        </w:tc>
      </w:tr>
      <w:tr w:rsidR="005666C0" w:rsidRPr="00D948C1" w14:paraId="1C1D38C5" w14:textId="77777777" w:rsidTr="003572E5">
        <w:trPr>
          <w:trHeight w:val="278"/>
        </w:trPr>
        <w:tc>
          <w:tcPr>
            <w:tcW w:w="4680" w:type="dxa"/>
          </w:tcPr>
          <w:p w14:paraId="6E6EA4AA" w14:textId="77777777" w:rsidR="005666C0" w:rsidRPr="00D948C1" w:rsidRDefault="005666C0" w:rsidP="005666C0">
            <w:pPr>
              <w:tabs>
                <w:tab w:val="left" w:pos="720"/>
                <w:tab w:val="center" w:pos="6930"/>
              </w:tabs>
              <w:rPr>
                <w:szCs w:val="24"/>
              </w:rPr>
            </w:pPr>
            <w:r w:rsidRPr="00D948C1">
              <w:rPr>
                <w:szCs w:val="24"/>
              </w:rPr>
              <w:t>Impairment &amp; downwards valuations</w:t>
            </w:r>
          </w:p>
        </w:tc>
        <w:tc>
          <w:tcPr>
            <w:tcW w:w="1867" w:type="dxa"/>
            <w:vAlign w:val="center"/>
          </w:tcPr>
          <w:p w14:paraId="25B00891" w14:textId="2BA0597C" w:rsidR="005666C0" w:rsidRPr="00294859" w:rsidRDefault="001F7D66" w:rsidP="005666C0">
            <w:pPr>
              <w:tabs>
                <w:tab w:val="decimal" w:pos="1080"/>
              </w:tabs>
              <w:jc w:val="right"/>
              <w:rPr>
                <w:szCs w:val="24"/>
              </w:rPr>
            </w:pPr>
            <w:r w:rsidRPr="00294859">
              <w:rPr>
                <w:szCs w:val="24"/>
              </w:rPr>
              <w:t>71</w:t>
            </w:r>
          </w:p>
        </w:tc>
        <w:tc>
          <w:tcPr>
            <w:tcW w:w="1867" w:type="dxa"/>
            <w:vAlign w:val="center"/>
          </w:tcPr>
          <w:p w14:paraId="553CA341" w14:textId="084013A6" w:rsidR="005666C0" w:rsidRPr="00DF39E9" w:rsidRDefault="005666C0" w:rsidP="005666C0">
            <w:pPr>
              <w:tabs>
                <w:tab w:val="decimal" w:pos="1080"/>
              </w:tabs>
              <w:jc w:val="right"/>
              <w:rPr>
                <w:szCs w:val="24"/>
              </w:rPr>
            </w:pPr>
            <w:r w:rsidRPr="00DF39E9">
              <w:rPr>
                <w:szCs w:val="24"/>
              </w:rPr>
              <w:t>133</w:t>
            </w:r>
          </w:p>
        </w:tc>
      </w:tr>
      <w:tr w:rsidR="005666C0" w:rsidRPr="00D948C1" w14:paraId="5F531D75" w14:textId="77777777" w:rsidTr="003572E5">
        <w:trPr>
          <w:trHeight w:val="278"/>
        </w:trPr>
        <w:tc>
          <w:tcPr>
            <w:tcW w:w="4680" w:type="dxa"/>
          </w:tcPr>
          <w:p w14:paraId="28178CD9" w14:textId="77777777" w:rsidR="005666C0" w:rsidRPr="00D948C1" w:rsidRDefault="005666C0" w:rsidP="005666C0">
            <w:pPr>
              <w:tabs>
                <w:tab w:val="left" w:pos="720"/>
                <w:tab w:val="center" w:pos="6930"/>
              </w:tabs>
              <w:rPr>
                <w:szCs w:val="24"/>
              </w:rPr>
            </w:pPr>
            <w:r w:rsidRPr="00D948C1">
              <w:rPr>
                <w:szCs w:val="24"/>
              </w:rPr>
              <w:t>Amortisation</w:t>
            </w:r>
          </w:p>
        </w:tc>
        <w:tc>
          <w:tcPr>
            <w:tcW w:w="1867" w:type="dxa"/>
            <w:vAlign w:val="center"/>
          </w:tcPr>
          <w:p w14:paraId="2A832BE9" w14:textId="048CC391" w:rsidR="005666C0" w:rsidRPr="00294859" w:rsidRDefault="001F7D66" w:rsidP="005666C0">
            <w:pPr>
              <w:tabs>
                <w:tab w:val="decimal" w:pos="1080"/>
              </w:tabs>
              <w:jc w:val="right"/>
              <w:rPr>
                <w:szCs w:val="24"/>
              </w:rPr>
            </w:pPr>
            <w:r w:rsidRPr="00294859">
              <w:rPr>
                <w:szCs w:val="24"/>
              </w:rPr>
              <w:t>219</w:t>
            </w:r>
          </w:p>
        </w:tc>
        <w:tc>
          <w:tcPr>
            <w:tcW w:w="1867" w:type="dxa"/>
            <w:vAlign w:val="center"/>
          </w:tcPr>
          <w:p w14:paraId="1D2E2D1B" w14:textId="0204704E" w:rsidR="005666C0" w:rsidRPr="00DF39E9" w:rsidRDefault="005666C0" w:rsidP="005666C0">
            <w:pPr>
              <w:tabs>
                <w:tab w:val="decimal" w:pos="1080"/>
              </w:tabs>
              <w:jc w:val="right"/>
              <w:rPr>
                <w:szCs w:val="24"/>
              </w:rPr>
            </w:pPr>
            <w:r w:rsidRPr="00DF39E9">
              <w:rPr>
                <w:szCs w:val="24"/>
              </w:rPr>
              <w:t>188</w:t>
            </w:r>
          </w:p>
        </w:tc>
      </w:tr>
      <w:tr w:rsidR="005666C0" w:rsidRPr="00D948C1" w14:paraId="46B3A49D" w14:textId="77777777" w:rsidTr="003572E5">
        <w:trPr>
          <w:trHeight w:val="278"/>
        </w:trPr>
        <w:tc>
          <w:tcPr>
            <w:tcW w:w="4680" w:type="dxa"/>
          </w:tcPr>
          <w:p w14:paraId="129E0905" w14:textId="77777777" w:rsidR="005666C0" w:rsidRPr="00D948C1" w:rsidRDefault="005666C0" w:rsidP="005666C0">
            <w:pPr>
              <w:tabs>
                <w:tab w:val="left" w:pos="720"/>
                <w:tab w:val="center" w:pos="6930"/>
              </w:tabs>
              <w:rPr>
                <w:szCs w:val="24"/>
              </w:rPr>
            </w:pPr>
            <w:r w:rsidRPr="00D948C1">
              <w:rPr>
                <w:szCs w:val="24"/>
              </w:rPr>
              <w:t>Increase/(decrease) in provisions</w:t>
            </w:r>
          </w:p>
        </w:tc>
        <w:tc>
          <w:tcPr>
            <w:tcW w:w="1867" w:type="dxa"/>
            <w:vAlign w:val="center"/>
          </w:tcPr>
          <w:p w14:paraId="53CCAD6D" w14:textId="1A770DE0" w:rsidR="005666C0" w:rsidRPr="00294859" w:rsidRDefault="001F7D66" w:rsidP="005666C0">
            <w:pPr>
              <w:tabs>
                <w:tab w:val="decimal" w:pos="1080"/>
              </w:tabs>
              <w:jc w:val="right"/>
              <w:rPr>
                <w:szCs w:val="24"/>
              </w:rPr>
            </w:pPr>
            <w:r w:rsidRPr="00294859">
              <w:rPr>
                <w:szCs w:val="24"/>
              </w:rPr>
              <w:t>17</w:t>
            </w:r>
          </w:p>
        </w:tc>
        <w:tc>
          <w:tcPr>
            <w:tcW w:w="1867" w:type="dxa"/>
            <w:vAlign w:val="center"/>
          </w:tcPr>
          <w:p w14:paraId="00D070E2" w14:textId="092B584D" w:rsidR="005666C0" w:rsidRPr="00DF39E9" w:rsidRDefault="005666C0" w:rsidP="005666C0">
            <w:pPr>
              <w:tabs>
                <w:tab w:val="decimal" w:pos="1080"/>
              </w:tabs>
              <w:jc w:val="right"/>
              <w:rPr>
                <w:szCs w:val="24"/>
              </w:rPr>
            </w:pPr>
            <w:r w:rsidRPr="00DF39E9">
              <w:rPr>
                <w:szCs w:val="24"/>
              </w:rPr>
              <w:t>(10)</w:t>
            </w:r>
          </w:p>
        </w:tc>
      </w:tr>
      <w:tr w:rsidR="005666C0" w:rsidRPr="00D948C1" w14:paraId="7CC9E0E9" w14:textId="77777777" w:rsidTr="003572E5">
        <w:trPr>
          <w:trHeight w:val="278"/>
        </w:trPr>
        <w:tc>
          <w:tcPr>
            <w:tcW w:w="4680" w:type="dxa"/>
          </w:tcPr>
          <w:p w14:paraId="74BEFFA9" w14:textId="77777777" w:rsidR="005666C0" w:rsidRPr="00D948C1" w:rsidRDefault="005666C0" w:rsidP="005666C0">
            <w:pPr>
              <w:tabs>
                <w:tab w:val="left" w:pos="720"/>
                <w:tab w:val="center" w:pos="6930"/>
              </w:tabs>
              <w:rPr>
                <w:szCs w:val="24"/>
              </w:rPr>
            </w:pPr>
            <w:r w:rsidRPr="00D948C1">
              <w:rPr>
                <w:szCs w:val="24"/>
              </w:rPr>
              <w:lastRenderedPageBreak/>
              <w:t>Increase/(decrease) in creditors</w:t>
            </w:r>
          </w:p>
        </w:tc>
        <w:tc>
          <w:tcPr>
            <w:tcW w:w="1867" w:type="dxa"/>
            <w:vAlign w:val="center"/>
          </w:tcPr>
          <w:p w14:paraId="5E62F46C" w14:textId="6EDA5AEF" w:rsidR="005666C0" w:rsidRPr="00294859" w:rsidRDefault="001F7D66" w:rsidP="005666C0">
            <w:pPr>
              <w:tabs>
                <w:tab w:val="decimal" w:pos="1080"/>
              </w:tabs>
              <w:jc w:val="right"/>
              <w:rPr>
                <w:szCs w:val="24"/>
              </w:rPr>
            </w:pPr>
            <w:r w:rsidRPr="00294859">
              <w:rPr>
                <w:szCs w:val="24"/>
              </w:rPr>
              <w:t>8,886</w:t>
            </w:r>
          </w:p>
        </w:tc>
        <w:tc>
          <w:tcPr>
            <w:tcW w:w="1867" w:type="dxa"/>
            <w:vAlign w:val="center"/>
          </w:tcPr>
          <w:p w14:paraId="7C614B9F" w14:textId="69953072" w:rsidR="005666C0" w:rsidRPr="00DF39E9" w:rsidRDefault="005666C0" w:rsidP="005666C0">
            <w:pPr>
              <w:tabs>
                <w:tab w:val="decimal" w:pos="1080"/>
              </w:tabs>
              <w:jc w:val="right"/>
              <w:rPr>
                <w:szCs w:val="24"/>
              </w:rPr>
            </w:pPr>
            <w:r w:rsidRPr="00DF39E9">
              <w:rPr>
                <w:szCs w:val="24"/>
              </w:rPr>
              <w:t>131</w:t>
            </w:r>
          </w:p>
        </w:tc>
      </w:tr>
      <w:tr w:rsidR="005666C0" w:rsidRPr="00D948C1" w14:paraId="630F9869" w14:textId="77777777" w:rsidTr="003572E5">
        <w:trPr>
          <w:trHeight w:val="278"/>
        </w:trPr>
        <w:tc>
          <w:tcPr>
            <w:tcW w:w="4680" w:type="dxa"/>
          </w:tcPr>
          <w:p w14:paraId="67C6527D" w14:textId="77777777" w:rsidR="005666C0" w:rsidRPr="00D948C1" w:rsidRDefault="005666C0" w:rsidP="005666C0">
            <w:pPr>
              <w:tabs>
                <w:tab w:val="left" w:pos="720"/>
                <w:tab w:val="center" w:pos="6930"/>
              </w:tabs>
              <w:rPr>
                <w:szCs w:val="24"/>
              </w:rPr>
            </w:pPr>
            <w:r w:rsidRPr="00D948C1">
              <w:rPr>
                <w:szCs w:val="24"/>
              </w:rPr>
              <w:t>(Increase)/decrease in debtors</w:t>
            </w:r>
          </w:p>
        </w:tc>
        <w:tc>
          <w:tcPr>
            <w:tcW w:w="1867" w:type="dxa"/>
            <w:vAlign w:val="center"/>
          </w:tcPr>
          <w:p w14:paraId="3E576B63" w14:textId="52B36697" w:rsidR="005666C0" w:rsidRPr="00294859" w:rsidRDefault="001F7D66" w:rsidP="005666C0">
            <w:pPr>
              <w:tabs>
                <w:tab w:val="decimal" w:pos="1080"/>
              </w:tabs>
              <w:jc w:val="right"/>
              <w:rPr>
                <w:szCs w:val="24"/>
              </w:rPr>
            </w:pPr>
            <w:r w:rsidRPr="00294859">
              <w:rPr>
                <w:szCs w:val="24"/>
              </w:rPr>
              <w:t>10,679</w:t>
            </w:r>
          </w:p>
        </w:tc>
        <w:tc>
          <w:tcPr>
            <w:tcW w:w="1867" w:type="dxa"/>
            <w:vAlign w:val="center"/>
          </w:tcPr>
          <w:p w14:paraId="6281AA10" w14:textId="4164CDE3" w:rsidR="005666C0" w:rsidRPr="00DF39E9" w:rsidRDefault="005666C0" w:rsidP="005666C0">
            <w:pPr>
              <w:tabs>
                <w:tab w:val="decimal" w:pos="1080"/>
              </w:tabs>
              <w:jc w:val="right"/>
              <w:rPr>
                <w:szCs w:val="24"/>
              </w:rPr>
            </w:pPr>
            <w:r w:rsidRPr="00DF39E9">
              <w:rPr>
                <w:szCs w:val="24"/>
              </w:rPr>
              <w:t>(1,840)</w:t>
            </w:r>
          </w:p>
        </w:tc>
      </w:tr>
      <w:tr w:rsidR="005666C0" w:rsidRPr="00D948C1" w14:paraId="1F20EE85" w14:textId="77777777" w:rsidTr="003572E5">
        <w:trPr>
          <w:trHeight w:val="278"/>
        </w:trPr>
        <w:tc>
          <w:tcPr>
            <w:tcW w:w="4680" w:type="dxa"/>
          </w:tcPr>
          <w:p w14:paraId="6856D8B2" w14:textId="77777777" w:rsidR="005666C0" w:rsidRPr="00D948C1" w:rsidRDefault="005666C0" w:rsidP="005666C0">
            <w:pPr>
              <w:tabs>
                <w:tab w:val="left" w:pos="720"/>
                <w:tab w:val="center" w:pos="6930"/>
              </w:tabs>
              <w:rPr>
                <w:szCs w:val="24"/>
              </w:rPr>
            </w:pPr>
            <w:r w:rsidRPr="00D948C1">
              <w:rPr>
                <w:szCs w:val="24"/>
              </w:rPr>
              <w:t>(Increase)/decrease in stock</w:t>
            </w:r>
          </w:p>
        </w:tc>
        <w:tc>
          <w:tcPr>
            <w:tcW w:w="1867" w:type="dxa"/>
            <w:vAlign w:val="center"/>
          </w:tcPr>
          <w:p w14:paraId="66C41BB9" w14:textId="2C90E783" w:rsidR="005666C0" w:rsidRPr="00294859" w:rsidRDefault="00101CF8" w:rsidP="005666C0">
            <w:pPr>
              <w:tabs>
                <w:tab w:val="decimal" w:pos="1080"/>
              </w:tabs>
              <w:jc w:val="right"/>
              <w:rPr>
                <w:szCs w:val="24"/>
              </w:rPr>
            </w:pPr>
            <w:r w:rsidRPr="00294859">
              <w:rPr>
                <w:szCs w:val="24"/>
              </w:rPr>
              <w:t>15</w:t>
            </w:r>
          </w:p>
        </w:tc>
        <w:tc>
          <w:tcPr>
            <w:tcW w:w="1867" w:type="dxa"/>
            <w:vAlign w:val="center"/>
          </w:tcPr>
          <w:p w14:paraId="1CDE43E2" w14:textId="22E210D1" w:rsidR="005666C0" w:rsidRPr="00DF39E9" w:rsidRDefault="005666C0" w:rsidP="005666C0">
            <w:pPr>
              <w:tabs>
                <w:tab w:val="decimal" w:pos="1080"/>
              </w:tabs>
              <w:jc w:val="right"/>
              <w:rPr>
                <w:szCs w:val="24"/>
              </w:rPr>
            </w:pPr>
            <w:r w:rsidRPr="00DF39E9">
              <w:rPr>
                <w:szCs w:val="24"/>
              </w:rPr>
              <w:t>(23)</w:t>
            </w:r>
          </w:p>
        </w:tc>
      </w:tr>
      <w:tr w:rsidR="005666C0" w:rsidRPr="00D948C1" w14:paraId="7A616F14" w14:textId="77777777" w:rsidTr="003572E5">
        <w:trPr>
          <w:trHeight w:val="278"/>
        </w:trPr>
        <w:tc>
          <w:tcPr>
            <w:tcW w:w="4680" w:type="dxa"/>
          </w:tcPr>
          <w:p w14:paraId="4D6B2B33" w14:textId="77777777" w:rsidR="005666C0" w:rsidRPr="00D948C1" w:rsidRDefault="005666C0" w:rsidP="005666C0">
            <w:pPr>
              <w:tabs>
                <w:tab w:val="left" w:pos="720"/>
                <w:tab w:val="center" w:pos="6930"/>
              </w:tabs>
              <w:rPr>
                <w:szCs w:val="24"/>
              </w:rPr>
            </w:pPr>
            <w:r w:rsidRPr="00D948C1">
              <w:rPr>
                <w:szCs w:val="24"/>
              </w:rPr>
              <w:t>Movement in pension liability</w:t>
            </w:r>
          </w:p>
        </w:tc>
        <w:tc>
          <w:tcPr>
            <w:tcW w:w="1867" w:type="dxa"/>
            <w:vAlign w:val="center"/>
          </w:tcPr>
          <w:p w14:paraId="236516ED" w14:textId="1E158941" w:rsidR="005666C0" w:rsidRPr="00294859" w:rsidRDefault="00101CF8" w:rsidP="005666C0">
            <w:pPr>
              <w:tabs>
                <w:tab w:val="decimal" w:pos="1080"/>
              </w:tabs>
              <w:jc w:val="right"/>
              <w:rPr>
                <w:szCs w:val="24"/>
              </w:rPr>
            </w:pPr>
            <w:r w:rsidRPr="00294859">
              <w:rPr>
                <w:szCs w:val="24"/>
              </w:rPr>
              <w:t>3,709</w:t>
            </w:r>
          </w:p>
        </w:tc>
        <w:tc>
          <w:tcPr>
            <w:tcW w:w="1867" w:type="dxa"/>
            <w:vAlign w:val="center"/>
          </w:tcPr>
          <w:p w14:paraId="407168FB" w14:textId="687D14EF" w:rsidR="005666C0" w:rsidRPr="00DF39E9" w:rsidRDefault="005666C0" w:rsidP="005666C0">
            <w:pPr>
              <w:tabs>
                <w:tab w:val="decimal" w:pos="1080"/>
              </w:tabs>
              <w:jc w:val="right"/>
              <w:rPr>
                <w:szCs w:val="24"/>
              </w:rPr>
            </w:pPr>
            <w:r w:rsidRPr="00DF39E9">
              <w:rPr>
                <w:szCs w:val="24"/>
              </w:rPr>
              <w:t>4,554</w:t>
            </w:r>
          </w:p>
        </w:tc>
      </w:tr>
      <w:tr w:rsidR="005666C0" w:rsidRPr="00D948C1" w14:paraId="5C8F41CE" w14:textId="77777777" w:rsidTr="003572E5">
        <w:trPr>
          <w:trHeight w:val="278"/>
        </w:trPr>
        <w:tc>
          <w:tcPr>
            <w:tcW w:w="4680" w:type="dxa"/>
          </w:tcPr>
          <w:p w14:paraId="175BAAD6" w14:textId="6C645894" w:rsidR="005666C0" w:rsidRPr="00D948C1" w:rsidRDefault="005666C0" w:rsidP="005666C0">
            <w:pPr>
              <w:tabs>
                <w:tab w:val="left" w:pos="720"/>
                <w:tab w:val="center" w:pos="6930"/>
              </w:tabs>
              <w:rPr>
                <w:szCs w:val="24"/>
              </w:rPr>
            </w:pPr>
            <w:r w:rsidRPr="00D948C1">
              <w:rPr>
                <w:szCs w:val="24"/>
              </w:rPr>
              <w:t xml:space="preserve">NWFC Capital Grants Unapplied </w:t>
            </w:r>
            <w:proofErr w:type="spellStart"/>
            <w:r w:rsidRPr="00D948C1">
              <w:rPr>
                <w:szCs w:val="24"/>
              </w:rPr>
              <w:t>Adj</w:t>
            </w:r>
            <w:proofErr w:type="spellEnd"/>
          </w:p>
        </w:tc>
        <w:tc>
          <w:tcPr>
            <w:tcW w:w="1867" w:type="dxa"/>
            <w:vAlign w:val="center"/>
          </w:tcPr>
          <w:p w14:paraId="32B59D2C" w14:textId="6F1AA675" w:rsidR="005666C0" w:rsidRPr="00294859" w:rsidRDefault="00101CF8" w:rsidP="005666C0">
            <w:pPr>
              <w:tabs>
                <w:tab w:val="decimal" w:pos="1080"/>
              </w:tabs>
              <w:jc w:val="right"/>
              <w:rPr>
                <w:szCs w:val="24"/>
              </w:rPr>
            </w:pPr>
            <w:r w:rsidRPr="00294859">
              <w:rPr>
                <w:szCs w:val="24"/>
              </w:rPr>
              <w:t>-</w:t>
            </w:r>
          </w:p>
        </w:tc>
        <w:tc>
          <w:tcPr>
            <w:tcW w:w="1867" w:type="dxa"/>
            <w:vAlign w:val="center"/>
          </w:tcPr>
          <w:p w14:paraId="7C5B7B1F" w14:textId="04A98EAE" w:rsidR="005666C0" w:rsidRPr="00DF39E9" w:rsidRDefault="005666C0" w:rsidP="005666C0">
            <w:pPr>
              <w:tabs>
                <w:tab w:val="decimal" w:pos="1080"/>
              </w:tabs>
              <w:jc w:val="right"/>
              <w:rPr>
                <w:szCs w:val="24"/>
              </w:rPr>
            </w:pPr>
            <w:r w:rsidRPr="00DF39E9">
              <w:rPr>
                <w:szCs w:val="24"/>
              </w:rPr>
              <w:t>-</w:t>
            </w:r>
          </w:p>
        </w:tc>
      </w:tr>
      <w:tr w:rsidR="005666C0" w:rsidRPr="00D948C1" w14:paraId="569ACD92" w14:textId="77777777" w:rsidTr="003572E5">
        <w:trPr>
          <w:trHeight w:val="278"/>
        </w:trPr>
        <w:tc>
          <w:tcPr>
            <w:tcW w:w="4680" w:type="dxa"/>
          </w:tcPr>
          <w:p w14:paraId="0DFF8239" w14:textId="7CCF713F" w:rsidR="005666C0" w:rsidRPr="00D948C1" w:rsidRDefault="005666C0" w:rsidP="005666C0">
            <w:pPr>
              <w:tabs>
                <w:tab w:val="left" w:pos="720"/>
                <w:tab w:val="center" w:pos="6930"/>
              </w:tabs>
              <w:rPr>
                <w:szCs w:val="24"/>
              </w:rPr>
            </w:pPr>
            <w:r w:rsidRPr="00D948C1">
              <w:rPr>
                <w:szCs w:val="24"/>
              </w:rPr>
              <w:t>NBV of fixed assets sold</w:t>
            </w:r>
          </w:p>
        </w:tc>
        <w:tc>
          <w:tcPr>
            <w:tcW w:w="1867" w:type="dxa"/>
            <w:vAlign w:val="center"/>
          </w:tcPr>
          <w:p w14:paraId="1E339050" w14:textId="065ECFDF" w:rsidR="005666C0" w:rsidRPr="00294859" w:rsidRDefault="001F7D66" w:rsidP="005666C0">
            <w:pPr>
              <w:tabs>
                <w:tab w:val="decimal" w:pos="1080"/>
              </w:tabs>
              <w:jc w:val="right"/>
              <w:rPr>
                <w:szCs w:val="24"/>
              </w:rPr>
            </w:pPr>
            <w:r w:rsidRPr="00294859">
              <w:rPr>
                <w:szCs w:val="24"/>
              </w:rPr>
              <w:t>7</w:t>
            </w:r>
          </w:p>
        </w:tc>
        <w:tc>
          <w:tcPr>
            <w:tcW w:w="1867" w:type="dxa"/>
            <w:vAlign w:val="center"/>
          </w:tcPr>
          <w:p w14:paraId="3B340B1B" w14:textId="04F62253" w:rsidR="005666C0" w:rsidRPr="00DF39E9" w:rsidRDefault="005666C0" w:rsidP="005666C0">
            <w:pPr>
              <w:tabs>
                <w:tab w:val="decimal" w:pos="1080"/>
              </w:tabs>
              <w:jc w:val="right"/>
              <w:rPr>
                <w:szCs w:val="24"/>
              </w:rPr>
            </w:pPr>
            <w:r w:rsidRPr="00DF39E9">
              <w:rPr>
                <w:szCs w:val="24"/>
              </w:rPr>
              <w:t>48</w:t>
            </w:r>
          </w:p>
        </w:tc>
      </w:tr>
      <w:tr w:rsidR="005666C0" w:rsidRPr="00D948C1" w14:paraId="0AFF733D" w14:textId="77777777" w:rsidTr="003572E5">
        <w:trPr>
          <w:trHeight w:val="278"/>
        </w:trPr>
        <w:tc>
          <w:tcPr>
            <w:tcW w:w="4680" w:type="dxa"/>
          </w:tcPr>
          <w:p w14:paraId="06EF4D14" w14:textId="669EBEB8" w:rsidR="005666C0" w:rsidRPr="00D948C1" w:rsidRDefault="005666C0" w:rsidP="005666C0">
            <w:pPr>
              <w:tabs>
                <w:tab w:val="left" w:pos="720"/>
                <w:tab w:val="center" w:pos="6930"/>
              </w:tabs>
              <w:rPr>
                <w:szCs w:val="24"/>
              </w:rPr>
            </w:pPr>
            <w:r w:rsidRPr="00D948C1">
              <w:rPr>
                <w:szCs w:val="24"/>
              </w:rPr>
              <w:t>Total</w:t>
            </w:r>
          </w:p>
        </w:tc>
        <w:tc>
          <w:tcPr>
            <w:tcW w:w="1867" w:type="dxa"/>
            <w:vAlign w:val="center"/>
          </w:tcPr>
          <w:p w14:paraId="256CA0A7" w14:textId="5F983058" w:rsidR="005666C0" w:rsidRPr="00294859" w:rsidRDefault="001F7D66" w:rsidP="005666C0">
            <w:pPr>
              <w:tabs>
                <w:tab w:val="decimal" w:pos="1080"/>
              </w:tabs>
              <w:jc w:val="right"/>
              <w:rPr>
                <w:szCs w:val="24"/>
              </w:rPr>
            </w:pPr>
            <w:r w:rsidRPr="00294859">
              <w:rPr>
                <w:szCs w:val="24"/>
              </w:rPr>
              <w:t>30,251</w:t>
            </w:r>
          </w:p>
        </w:tc>
        <w:tc>
          <w:tcPr>
            <w:tcW w:w="1867" w:type="dxa"/>
            <w:vAlign w:val="center"/>
          </w:tcPr>
          <w:p w14:paraId="639509B9" w14:textId="2AB085B2" w:rsidR="005666C0" w:rsidRPr="00DF39E9" w:rsidRDefault="005666C0" w:rsidP="005666C0">
            <w:pPr>
              <w:tabs>
                <w:tab w:val="decimal" w:pos="1080"/>
              </w:tabs>
              <w:jc w:val="right"/>
              <w:rPr>
                <w:szCs w:val="24"/>
              </w:rPr>
            </w:pPr>
            <w:r w:rsidRPr="00DF39E9">
              <w:rPr>
                <w:szCs w:val="24"/>
              </w:rPr>
              <w:t>8,914</w:t>
            </w:r>
          </w:p>
        </w:tc>
      </w:tr>
    </w:tbl>
    <w:p w14:paraId="04F4A84E" w14:textId="77777777" w:rsidR="0008007D" w:rsidRPr="00D948C1" w:rsidRDefault="0008007D">
      <w:pPr>
        <w:rPr>
          <w:b/>
          <w:sz w:val="22"/>
        </w:rPr>
      </w:pPr>
    </w:p>
    <w:p w14:paraId="38E97434" w14:textId="10C5D0AA" w:rsidR="0083182E" w:rsidRPr="00D948C1" w:rsidRDefault="001C592E" w:rsidP="000F38E6">
      <w:pPr>
        <w:pStyle w:val="Heading2"/>
        <w:ind w:left="720" w:hanging="720"/>
        <w:jc w:val="left"/>
        <w:rPr>
          <w:sz w:val="24"/>
          <w:szCs w:val="24"/>
        </w:rPr>
      </w:pPr>
      <w:bookmarkStart w:id="84" w:name="_25_Adjust_for"/>
      <w:bookmarkStart w:id="85" w:name="_Toc215593416"/>
      <w:bookmarkEnd w:id="84"/>
      <w:r w:rsidRPr="00D948C1">
        <w:rPr>
          <w:sz w:val="24"/>
          <w:szCs w:val="24"/>
        </w:rPr>
        <w:t>2</w:t>
      </w:r>
      <w:r w:rsidR="00B62A26">
        <w:rPr>
          <w:sz w:val="24"/>
          <w:szCs w:val="24"/>
        </w:rPr>
        <w:t>5</w:t>
      </w:r>
      <w:r w:rsidR="0083182E" w:rsidRPr="00D948C1">
        <w:rPr>
          <w:sz w:val="24"/>
          <w:szCs w:val="24"/>
        </w:rPr>
        <w:tab/>
      </w:r>
      <w:bookmarkStart w:id="86" w:name="N24"/>
      <w:bookmarkEnd w:id="86"/>
      <w:r w:rsidR="0083182E" w:rsidRPr="00D948C1">
        <w:rPr>
          <w:sz w:val="24"/>
          <w:szCs w:val="24"/>
        </w:rPr>
        <w:t>Adjust for items included in the net surplus/(deficit) on the provision of services that are investing and financing activities</w:t>
      </w:r>
      <w:bookmarkEnd w:id="85"/>
    </w:p>
    <w:p w14:paraId="6F1BCDBF" w14:textId="77777777" w:rsidR="00D90216" w:rsidRPr="00D948C1" w:rsidRDefault="00D90216" w:rsidP="00D90216">
      <w:pPr>
        <w:ind w:left="709"/>
        <w:jc w:val="both"/>
        <w:rPr>
          <w:szCs w:val="24"/>
        </w:rPr>
      </w:pPr>
    </w:p>
    <w:tbl>
      <w:tblPr>
        <w:tblW w:w="84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867"/>
        <w:gridCol w:w="1867"/>
      </w:tblGrid>
      <w:tr w:rsidR="002823FC" w:rsidRPr="00D948C1" w14:paraId="2B0533FB" w14:textId="77777777" w:rsidTr="00611673">
        <w:trPr>
          <w:trHeight w:hRule="exact" w:val="633"/>
          <w:tblHeader/>
        </w:trPr>
        <w:tc>
          <w:tcPr>
            <w:tcW w:w="4680" w:type="dxa"/>
            <w:shd w:val="clear" w:color="auto" w:fill="BD2716"/>
          </w:tcPr>
          <w:p w14:paraId="18B116F1" w14:textId="77777777" w:rsidR="002823FC" w:rsidRPr="00D948C1" w:rsidRDefault="002823FC" w:rsidP="002823FC">
            <w:pPr>
              <w:tabs>
                <w:tab w:val="left" w:pos="720"/>
                <w:tab w:val="center" w:pos="6930"/>
              </w:tabs>
              <w:rPr>
                <w:color w:val="FFFFFF" w:themeColor="background1"/>
                <w:szCs w:val="24"/>
              </w:rPr>
            </w:pPr>
          </w:p>
        </w:tc>
        <w:tc>
          <w:tcPr>
            <w:tcW w:w="1867" w:type="dxa"/>
            <w:shd w:val="clear" w:color="auto" w:fill="BD2716"/>
            <w:vAlign w:val="center"/>
          </w:tcPr>
          <w:p w14:paraId="4E318D16" w14:textId="1D9FEBA9" w:rsidR="002823FC" w:rsidRPr="00D948C1" w:rsidRDefault="002823FC" w:rsidP="002823FC">
            <w:pPr>
              <w:jc w:val="right"/>
              <w:rPr>
                <w:color w:val="FFFFFF" w:themeColor="background1"/>
                <w:szCs w:val="24"/>
              </w:rPr>
            </w:pPr>
            <w:r w:rsidRPr="00D948C1">
              <w:rPr>
                <w:color w:val="FFFFFF" w:themeColor="background1"/>
                <w:szCs w:val="24"/>
              </w:rPr>
              <w:t>202</w:t>
            </w:r>
            <w:r w:rsidR="005666C0">
              <w:rPr>
                <w:color w:val="FFFFFF" w:themeColor="background1"/>
                <w:szCs w:val="24"/>
              </w:rPr>
              <w:t>4</w:t>
            </w:r>
            <w:r w:rsidRPr="00D948C1">
              <w:rPr>
                <w:color w:val="FFFFFF" w:themeColor="background1"/>
                <w:szCs w:val="24"/>
              </w:rPr>
              <w:t>/2</w:t>
            </w:r>
            <w:r w:rsidR="005666C0">
              <w:rPr>
                <w:color w:val="FFFFFF" w:themeColor="background1"/>
                <w:szCs w:val="24"/>
              </w:rPr>
              <w:t>5</w:t>
            </w:r>
          </w:p>
          <w:p w14:paraId="5CC9ED72" w14:textId="5DFE6A38" w:rsidR="002823FC" w:rsidRPr="00D948C1" w:rsidRDefault="002823FC" w:rsidP="002823FC">
            <w:pPr>
              <w:jc w:val="right"/>
              <w:rPr>
                <w:color w:val="FFFFFF" w:themeColor="background1"/>
                <w:szCs w:val="24"/>
              </w:rPr>
            </w:pPr>
            <w:r w:rsidRPr="00D948C1">
              <w:rPr>
                <w:color w:val="FFFFFF" w:themeColor="background1"/>
                <w:szCs w:val="24"/>
              </w:rPr>
              <w:t>£000</w:t>
            </w:r>
          </w:p>
        </w:tc>
        <w:tc>
          <w:tcPr>
            <w:tcW w:w="1867" w:type="dxa"/>
            <w:shd w:val="clear" w:color="auto" w:fill="BD2716"/>
            <w:vAlign w:val="center"/>
          </w:tcPr>
          <w:p w14:paraId="524A227E" w14:textId="7C9B4B6B" w:rsidR="002823FC" w:rsidRPr="00D948C1" w:rsidRDefault="002823FC" w:rsidP="002823FC">
            <w:pPr>
              <w:jc w:val="right"/>
              <w:rPr>
                <w:color w:val="FFFFFF" w:themeColor="background1"/>
                <w:szCs w:val="24"/>
              </w:rPr>
            </w:pPr>
            <w:r w:rsidRPr="00D948C1">
              <w:rPr>
                <w:color w:val="FFFFFF" w:themeColor="background1"/>
                <w:szCs w:val="24"/>
              </w:rPr>
              <w:t>202</w:t>
            </w:r>
            <w:r w:rsidR="005666C0">
              <w:rPr>
                <w:color w:val="FFFFFF" w:themeColor="background1"/>
                <w:szCs w:val="24"/>
              </w:rPr>
              <w:t>3</w:t>
            </w:r>
            <w:r w:rsidRPr="00D948C1">
              <w:rPr>
                <w:color w:val="FFFFFF" w:themeColor="background1"/>
                <w:szCs w:val="24"/>
              </w:rPr>
              <w:t>/2</w:t>
            </w:r>
            <w:r w:rsidR="005666C0">
              <w:rPr>
                <w:color w:val="FFFFFF" w:themeColor="background1"/>
                <w:szCs w:val="24"/>
              </w:rPr>
              <w:t>4</w:t>
            </w:r>
          </w:p>
          <w:p w14:paraId="48CC5AD3" w14:textId="011A1C96" w:rsidR="002823FC" w:rsidRPr="00D948C1" w:rsidRDefault="002823FC" w:rsidP="002823FC">
            <w:pPr>
              <w:jc w:val="right"/>
              <w:rPr>
                <w:color w:val="FFFFFF" w:themeColor="background1"/>
                <w:szCs w:val="24"/>
              </w:rPr>
            </w:pPr>
            <w:r w:rsidRPr="00D948C1">
              <w:rPr>
                <w:color w:val="FFFFFF" w:themeColor="background1"/>
                <w:szCs w:val="24"/>
              </w:rPr>
              <w:t>£000</w:t>
            </w:r>
          </w:p>
        </w:tc>
      </w:tr>
      <w:tr w:rsidR="005666C0" w:rsidRPr="00D948C1" w14:paraId="4E9E2D50" w14:textId="77777777" w:rsidTr="003572E5">
        <w:trPr>
          <w:trHeight w:hRule="exact" w:val="278"/>
        </w:trPr>
        <w:tc>
          <w:tcPr>
            <w:tcW w:w="4680" w:type="dxa"/>
          </w:tcPr>
          <w:p w14:paraId="6C76CCF2" w14:textId="77777777" w:rsidR="005666C0" w:rsidRPr="00D948C1" w:rsidRDefault="005666C0" w:rsidP="005666C0">
            <w:pPr>
              <w:tabs>
                <w:tab w:val="left" w:pos="720"/>
                <w:tab w:val="center" w:pos="6930"/>
              </w:tabs>
              <w:rPr>
                <w:szCs w:val="24"/>
              </w:rPr>
            </w:pPr>
            <w:r w:rsidRPr="00D948C1">
              <w:rPr>
                <w:szCs w:val="24"/>
              </w:rPr>
              <w:t>Interest received</w:t>
            </w:r>
          </w:p>
        </w:tc>
        <w:tc>
          <w:tcPr>
            <w:tcW w:w="1867" w:type="dxa"/>
            <w:vAlign w:val="center"/>
          </w:tcPr>
          <w:p w14:paraId="24A13FE6" w14:textId="7D31F0BF" w:rsidR="005666C0" w:rsidRPr="00294859" w:rsidRDefault="001F7D66" w:rsidP="005666C0">
            <w:pPr>
              <w:tabs>
                <w:tab w:val="decimal" w:pos="1080"/>
              </w:tabs>
              <w:jc w:val="right"/>
              <w:rPr>
                <w:szCs w:val="24"/>
              </w:rPr>
            </w:pPr>
            <w:r w:rsidRPr="00294859">
              <w:rPr>
                <w:szCs w:val="24"/>
              </w:rPr>
              <w:t>(1,931)</w:t>
            </w:r>
          </w:p>
        </w:tc>
        <w:tc>
          <w:tcPr>
            <w:tcW w:w="1867" w:type="dxa"/>
            <w:vAlign w:val="center"/>
          </w:tcPr>
          <w:p w14:paraId="7B291C64" w14:textId="5B32584C" w:rsidR="005666C0" w:rsidRPr="00DF39E9" w:rsidRDefault="005666C0" w:rsidP="005666C0">
            <w:pPr>
              <w:tabs>
                <w:tab w:val="decimal" w:pos="1080"/>
              </w:tabs>
              <w:jc w:val="right"/>
              <w:rPr>
                <w:szCs w:val="24"/>
              </w:rPr>
            </w:pPr>
            <w:r w:rsidRPr="00DF39E9">
              <w:rPr>
                <w:szCs w:val="24"/>
              </w:rPr>
              <w:t>(763)</w:t>
            </w:r>
          </w:p>
        </w:tc>
      </w:tr>
      <w:tr w:rsidR="005666C0" w:rsidRPr="00D948C1" w14:paraId="40CF4BAA" w14:textId="77777777" w:rsidTr="003572E5">
        <w:trPr>
          <w:trHeight w:hRule="exact" w:val="278"/>
        </w:trPr>
        <w:tc>
          <w:tcPr>
            <w:tcW w:w="4680" w:type="dxa"/>
          </w:tcPr>
          <w:p w14:paraId="253D3EE4" w14:textId="77777777" w:rsidR="005666C0" w:rsidRPr="00D948C1" w:rsidRDefault="005666C0" w:rsidP="005666C0">
            <w:pPr>
              <w:tabs>
                <w:tab w:val="left" w:pos="720"/>
                <w:tab w:val="center" w:pos="6930"/>
              </w:tabs>
              <w:rPr>
                <w:szCs w:val="24"/>
              </w:rPr>
            </w:pPr>
            <w:r w:rsidRPr="00D948C1">
              <w:rPr>
                <w:szCs w:val="24"/>
              </w:rPr>
              <w:t>Interest paid</w:t>
            </w:r>
          </w:p>
        </w:tc>
        <w:tc>
          <w:tcPr>
            <w:tcW w:w="1867" w:type="dxa"/>
            <w:vAlign w:val="center"/>
          </w:tcPr>
          <w:p w14:paraId="39A268BA" w14:textId="4C8E99E3" w:rsidR="005666C0" w:rsidRPr="00294859" w:rsidRDefault="001F7D66" w:rsidP="005666C0">
            <w:pPr>
              <w:tabs>
                <w:tab w:val="decimal" w:pos="1080"/>
              </w:tabs>
              <w:jc w:val="right"/>
              <w:rPr>
                <w:szCs w:val="24"/>
              </w:rPr>
            </w:pPr>
            <w:r w:rsidRPr="00294859">
              <w:rPr>
                <w:szCs w:val="24"/>
              </w:rPr>
              <w:t>1,249</w:t>
            </w:r>
          </w:p>
        </w:tc>
        <w:tc>
          <w:tcPr>
            <w:tcW w:w="1867" w:type="dxa"/>
            <w:vAlign w:val="center"/>
          </w:tcPr>
          <w:p w14:paraId="09FD79E2" w14:textId="78991889" w:rsidR="005666C0" w:rsidRPr="00DF39E9" w:rsidRDefault="005666C0" w:rsidP="005666C0">
            <w:pPr>
              <w:tabs>
                <w:tab w:val="decimal" w:pos="1080"/>
              </w:tabs>
              <w:jc w:val="right"/>
              <w:rPr>
                <w:szCs w:val="24"/>
              </w:rPr>
            </w:pPr>
            <w:r w:rsidRPr="00DF39E9">
              <w:rPr>
                <w:szCs w:val="24"/>
              </w:rPr>
              <w:t xml:space="preserve">1,341 </w:t>
            </w:r>
          </w:p>
        </w:tc>
      </w:tr>
    </w:tbl>
    <w:p w14:paraId="6B969D16" w14:textId="77777777" w:rsidR="00D90216" w:rsidRPr="00D948C1" w:rsidRDefault="00D90216" w:rsidP="00D90216">
      <w:pPr>
        <w:tabs>
          <w:tab w:val="left" w:pos="720"/>
          <w:tab w:val="right" w:pos="5580"/>
          <w:tab w:val="right" w:pos="7740"/>
        </w:tabs>
        <w:rPr>
          <w:sz w:val="16"/>
          <w:szCs w:val="16"/>
        </w:rPr>
      </w:pPr>
    </w:p>
    <w:p w14:paraId="0C153727" w14:textId="7B7D7C03" w:rsidR="003B0AD2" w:rsidRPr="00D948C1" w:rsidRDefault="000B3A5D" w:rsidP="00787228">
      <w:pPr>
        <w:ind w:left="720"/>
        <w:rPr>
          <w:szCs w:val="24"/>
        </w:rPr>
      </w:pPr>
      <w:r w:rsidRPr="00D948C1">
        <w:rPr>
          <w:szCs w:val="24"/>
        </w:rPr>
        <w:t xml:space="preserve">Interest paid includes </w:t>
      </w:r>
      <w:r w:rsidR="0073567B" w:rsidRPr="00D948C1">
        <w:rPr>
          <w:szCs w:val="24"/>
        </w:rPr>
        <w:t xml:space="preserve">interest </w:t>
      </w:r>
      <w:r w:rsidRPr="00D948C1">
        <w:rPr>
          <w:szCs w:val="24"/>
        </w:rPr>
        <w:t xml:space="preserve">payments in respect of both finance leases and PFI schemes (see accounting policy </w:t>
      </w:r>
      <w:hyperlink w:anchor="_30_Accounting_Policies" w:history="1">
        <w:r w:rsidR="00DE1A4B">
          <w:rPr>
            <w:rStyle w:val="Hyperlink"/>
            <w:szCs w:val="24"/>
          </w:rPr>
          <w:t>Note 30</w:t>
        </w:r>
      </w:hyperlink>
      <w:r w:rsidRPr="00D948C1">
        <w:rPr>
          <w:szCs w:val="24"/>
        </w:rPr>
        <w:t>, sectio</w:t>
      </w:r>
      <w:r w:rsidR="006F6C1D" w:rsidRPr="00D948C1">
        <w:rPr>
          <w:szCs w:val="24"/>
        </w:rPr>
        <w:t>n j</w:t>
      </w:r>
      <w:r w:rsidRPr="00D948C1">
        <w:rPr>
          <w:szCs w:val="24"/>
        </w:rPr>
        <w:t>)</w:t>
      </w:r>
    </w:p>
    <w:p w14:paraId="60823CB7" w14:textId="0CD1F0DC" w:rsidR="00EC0C46" w:rsidRPr="00D948C1" w:rsidRDefault="00EC0C46">
      <w:pPr>
        <w:rPr>
          <w:b/>
          <w:sz w:val="22"/>
          <w:szCs w:val="22"/>
        </w:rPr>
      </w:pPr>
    </w:p>
    <w:p w14:paraId="7F60280C" w14:textId="0AB5DF20" w:rsidR="00925174" w:rsidRPr="00D948C1" w:rsidRDefault="001C592E" w:rsidP="006563F1">
      <w:pPr>
        <w:pStyle w:val="Heading2"/>
        <w:jc w:val="left"/>
        <w:rPr>
          <w:sz w:val="24"/>
          <w:szCs w:val="24"/>
        </w:rPr>
      </w:pPr>
      <w:bookmarkStart w:id="87" w:name="_Toc215593417"/>
      <w:r w:rsidRPr="00D948C1">
        <w:rPr>
          <w:sz w:val="24"/>
          <w:szCs w:val="24"/>
        </w:rPr>
        <w:t>2</w:t>
      </w:r>
      <w:r w:rsidR="00B62A26">
        <w:rPr>
          <w:sz w:val="24"/>
          <w:szCs w:val="24"/>
        </w:rPr>
        <w:t>6</w:t>
      </w:r>
      <w:r w:rsidR="0029602A" w:rsidRPr="00D948C1">
        <w:rPr>
          <w:sz w:val="24"/>
          <w:szCs w:val="24"/>
        </w:rPr>
        <w:tab/>
      </w:r>
      <w:r w:rsidR="00925174" w:rsidRPr="00D948C1">
        <w:rPr>
          <w:sz w:val="24"/>
          <w:szCs w:val="24"/>
        </w:rPr>
        <w:t>Reconciliation of liabilities arising from financing activities</w:t>
      </w:r>
      <w:bookmarkEnd w:id="87"/>
    </w:p>
    <w:p w14:paraId="26ED3FF5" w14:textId="77777777" w:rsidR="00925174" w:rsidRPr="00D948C1" w:rsidRDefault="00925174" w:rsidP="00F60A77">
      <w:pPr>
        <w:rPr>
          <w:szCs w:val="24"/>
        </w:rPr>
      </w:pPr>
    </w:p>
    <w:tbl>
      <w:tblPr>
        <w:tblStyle w:val="TableGrid"/>
        <w:tblW w:w="0" w:type="auto"/>
        <w:tblInd w:w="720" w:type="dxa"/>
        <w:tblLook w:val="04A0" w:firstRow="1" w:lastRow="0" w:firstColumn="1" w:lastColumn="0" w:noHBand="0" w:noVBand="1"/>
      </w:tblPr>
      <w:tblGrid>
        <w:gridCol w:w="2163"/>
        <w:gridCol w:w="1972"/>
        <w:gridCol w:w="1966"/>
        <w:gridCol w:w="1971"/>
        <w:gridCol w:w="1971"/>
      </w:tblGrid>
      <w:tr w:rsidR="0049343B" w:rsidRPr="00D948C1" w14:paraId="4BD3803D" w14:textId="77777777" w:rsidTr="00611673">
        <w:trPr>
          <w:tblHeader/>
        </w:trPr>
        <w:tc>
          <w:tcPr>
            <w:tcW w:w="2163" w:type="dxa"/>
            <w:shd w:val="clear" w:color="auto" w:fill="BD2716"/>
          </w:tcPr>
          <w:p w14:paraId="76BB6D8C" w14:textId="77777777" w:rsidR="0049343B" w:rsidRPr="00D948C1" w:rsidRDefault="0049343B" w:rsidP="00925174">
            <w:pPr>
              <w:rPr>
                <w:color w:val="FFFFFF" w:themeColor="background1"/>
                <w:szCs w:val="24"/>
              </w:rPr>
            </w:pPr>
          </w:p>
        </w:tc>
        <w:tc>
          <w:tcPr>
            <w:tcW w:w="1972" w:type="dxa"/>
            <w:shd w:val="clear" w:color="auto" w:fill="BD2716"/>
            <w:vAlign w:val="center"/>
          </w:tcPr>
          <w:p w14:paraId="0B49A580"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Long</w:t>
            </w:r>
            <w:r w:rsidR="00A16368" w:rsidRPr="00D948C1">
              <w:rPr>
                <w:rFonts w:cs="Arial"/>
                <w:color w:val="FFFFFF" w:themeColor="background1"/>
                <w:szCs w:val="24"/>
              </w:rPr>
              <w:t>-</w:t>
            </w:r>
            <w:r w:rsidRPr="00D948C1">
              <w:rPr>
                <w:rFonts w:cs="Arial"/>
                <w:color w:val="FFFFFF" w:themeColor="background1"/>
                <w:szCs w:val="24"/>
              </w:rPr>
              <w:t>Term borrowings</w:t>
            </w:r>
          </w:p>
          <w:p w14:paraId="0F668202" w14:textId="00A2C79C"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c>
          <w:tcPr>
            <w:tcW w:w="1966" w:type="dxa"/>
            <w:shd w:val="clear" w:color="auto" w:fill="BD2716"/>
            <w:vAlign w:val="center"/>
          </w:tcPr>
          <w:p w14:paraId="7A4BEA8A"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Short</w:t>
            </w:r>
            <w:r w:rsidR="00A16368" w:rsidRPr="00D948C1">
              <w:rPr>
                <w:rFonts w:cs="Arial"/>
                <w:color w:val="FFFFFF" w:themeColor="background1"/>
                <w:szCs w:val="24"/>
              </w:rPr>
              <w:t>-</w:t>
            </w:r>
            <w:r w:rsidRPr="00D948C1">
              <w:rPr>
                <w:rFonts w:cs="Arial"/>
                <w:color w:val="FFFFFF" w:themeColor="background1"/>
                <w:szCs w:val="24"/>
              </w:rPr>
              <w:t>Term borrowings</w:t>
            </w:r>
          </w:p>
          <w:p w14:paraId="6A963ACD" w14:textId="096F1019"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c>
          <w:tcPr>
            <w:tcW w:w="1971" w:type="dxa"/>
            <w:shd w:val="clear" w:color="auto" w:fill="BD2716"/>
            <w:vAlign w:val="center"/>
          </w:tcPr>
          <w:p w14:paraId="35C3B3E0"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Lease liabilities</w:t>
            </w:r>
          </w:p>
          <w:p w14:paraId="205AAD88" w14:textId="3BAA8962"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c>
          <w:tcPr>
            <w:tcW w:w="1971" w:type="dxa"/>
            <w:shd w:val="clear" w:color="auto" w:fill="BD2716"/>
            <w:vAlign w:val="center"/>
          </w:tcPr>
          <w:p w14:paraId="030EA4C0"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Total</w:t>
            </w:r>
          </w:p>
          <w:p w14:paraId="51BFF2D4" w14:textId="2D875BE9"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r>
      <w:tr w:rsidR="002823FC" w:rsidRPr="00D948C1" w14:paraId="2CE1AB02" w14:textId="77777777" w:rsidTr="00F7299E">
        <w:tc>
          <w:tcPr>
            <w:tcW w:w="2163" w:type="dxa"/>
          </w:tcPr>
          <w:p w14:paraId="21FB4E38" w14:textId="33B7E43D" w:rsidR="002823FC" w:rsidRPr="00D948C1" w:rsidRDefault="002823FC" w:rsidP="002823FC">
            <w:pPr>
              <w:rPr>
                <w:szCs w:val="24"/>
              </w:rPr>
            </w:pPr>
            <w:r w:rsidRPr="00D948C1">
              <w:rPr>
                <w:szCs w:val="24"/>
              </w:rPr>
              <w:t>1 April 202</w:t>
            </w:r>
            <w:r w:rsidR="005666C0">
              <w:rPr>
                <w:szCs w:val="24"/>
              </w:rPr>
              <w:t>4</w:t>
            </w:r>
          </w:p>
        </w:tc>
        <w:tc>
          <w:tcPr>
            <w:tcW w:w="1972" w:type="dxa"/>
          </w:tcPr>
          <w:p w14:paraId="40F47A68" w14:textId="5736E896" w:rsidR="006D3CE3" w:rsidRPr="00294859" w:rsidRDefault="0062098B" w:rsidP="001F23E6">
            <w:pPr>
              <w:tabs>
                <w:tab w:val="decimal" w:pos="1080"/>
              </w:tabs>
              <w:jc w:val="right"/>
              <w:rPr>
                <w:szCs w:val="24"/>
              </w:rPr>
            </w:pPr>
            <w:r w:rsidRPr="00294859">
              <w:rPr>
                <w:szCs w:val="24"/>
              </w:rPr>
              <w:t>13,</w:t>
            </w:r>
            <w:r w:rsidR="006D3CE3" w:rsidRPr="00456BDD">
              <w:rPr>
                <w:szCs w:val="24"/>
              </w:rPr>
              <w:t>339</w:t>
            </w:r>
          </w:p>
        </w:tc>
        <w:tc>
          <w:tcPr>
            <w:tcW w:w="1966" w:type="dxa"/>
          </w:tcPr>
          <w:p w14:paraId="7E08CD3B" w14:textId="7C1EE064" w:rsidR="002823FC" w:rsidRPr="00294859" w:rsidRDefault="006D3CE3" w:rsidP="002823FC">
            <w:pPr>
              <w:tabs>
                <w:tab w:val="decimal" w:pos="1080"/>
              </w:tabs>
              <w:jc w:val="right"/>
              <w:rPr>
                <w:szCs w:val="24"/>
              </w:rPr>
            </w:pPr>
            <w:r w:rsidRPr="00294859">
              <w:rPr>
                <w:szCs w:val="24"/>
              </w:rPr>
              <w:t>528</w:t>
            </w:r>
          </w:p>
        </w:tc>
        <w:tc>
          <w:tcPr>
            <w:tcW w:w="1971" w:type="dxa"/>
          </w:tcPr>
          <w:p w14:paraId="32B64E64" w14:textId="479351AA" w:rsidR="002823FC" w:rsidRPr="00294859" w:rsidRDefault="006D3CE3" w:rsidP="002823FC">
            <w:pPr>
              <w:tabs>
                <w:tab w:val="decimal" w:pos="1080"/>
              </w:tabs>
              <w:jc w:val="right"/>
              <w:rPr>
                <w:szCs w:val="24"/>
              </w:rPr>
            </w:pPr>
            <w:r w:rsidRPr="00294859">
              <w:rPr>
                <w:szCs w:val="24"/>
              </w:rPr>
              <w:t>-</w:t>
            </w:r>
          </w:p>
        </w:tc>
        <w:tc>
          <w:tcPr>
            <w:tcW w:w="1971" w:type="dxa"/>
          </w:tcPr>
          <w:p w14:paraId="16EA12D8" w14:textId="37B7A117" w:rsidR="002823FC" w:rsidRPr="00294859" w:rsidRDefault="006D3CE3" w:rsidP="002823FC">
            <w:pPr>
              <w:tabs>
                <w:tab w:val="decimal" w:pos="1080"/>
              </w:tabs>
              <w:jc w:val="right"/>
              <w:rPr>
                <w:szCs w:val="24"/>
              </w:rPr>
            </w:pPr>
            <w:r w:rsidRPr="00294859">
              <w:rPr>
                <w:szCs w:val="24"/>
              </w:rPr>
              <w:t>13,868</w:t>
            </w:r>
          </w:p>
        </w:tc>
      </w:tr>
      <w:tr w:rsidR="00BF446E" w:rsidRPr="00D948C1" w14:paraId="5A519221" w14:textId="77777777" w:rsidTr="0078602B">
        <w:tc>
          <w:tcPr>
            <w:tcW w:w="2163" w:type="dxa"/>
          </w:tcPr>
          <w:p w14:paraId="2152CEFD" w14:textId="5D43B83B" w:rsidR="00BF446E" w:rsidRPr="00D948C1" w:rsidRDefault="00BF446E" w:rsidP="002823FC">
            <w:pPr>
              <w:rPr>
                <w:szCs w:val="24"/>
              </w:rPr>
            </w:pPr>
            <w:r>
              <w:rPr>
                <w:szCs w:val="24"/>
              </w:rPr>
              <w:t>IFRS 16 transition &amp; indexation</w:t>
            </w:r>
          </w:p>
        </w:tc>
        <w:tc>
          <w:tcPr>
            <w:tcW w:w="1972" w:type="dxa"/>
            <w:vAlign w:val="center"/>
          </w:tcPr>
          <w:p w14:paraId="00DB8898" w14:textId="003314A2" w:rsidR="00BF446E" w:rsidRPr="00456BDD" w:rsidRDefault="00DB3A80" w:rsidP="001F23E6">
            <w:pPr>
              <w:tabs>
                <w:tab w:val="decimal" w:pos="1080"/>
              </w:tabs>
              <w:jc w:val="right"/>
              <w:rPr>
                <w:szCs w:val="24"/>
              </w:rPr>
            </w:pPr>
            <w:r w:rsidRPr="00294859">
              <w:rPr>
                <w:szCs w:val="24"/>
              </w:rPr>
              <w:t>1,105</w:t>
            </w:r>
          </w:p>
        </w:tc>
        <w:tc>
          <w:tcPr>
            <w:tcW w:w="1966" w:type="dxa"/>
            <w:vAlign w:val="center"/>
          </w:tcPr>
          <w:p w14:paraId="0113EA0B" w14:textId="3D902E4C" w:rsidR="00BF446E" w:rsidRPr="00456BDD" w:rsidRDefault="00000B3D" w:rsidP="001F23E6">
            <w:pPr>
              <w:tabs>
                <w:tab w:val="decimal" w:pos="1080"/>
              </w:tabs>
              <w:jc w:val="right"/>
              <w:rPr>
                <w:szCs w:val="24"/>
              </w:rPr>
            </w:pPr>
            <w:r w:rsidRPr="00456BDD">
              <w:rPr>
                <w:szCs w:val="24"/>
              </w:rPr>
              <w:t>73</w:t>
            </w:r>
          </w:p>
        </w:tc>
        <w:tc>
          <w:tcPr>
            <w:tcW w:w="1971" w:type="dxa"/>
            <w:vAlign w:val="center"/>
          </w:tcPr>
          <w:p w14:paraId="74064BA9" w14:textId="395B6E1F" w:rsidR="00BF446E" w:rsidRPr="00B87C7E" w:rsidRDefault="00000B3D" w:rsidP="001F23E6">
            <w:pPr>
              <w:tabs>
                <w:tab w:val="decimal" w:pos="1080"/>
              </w:tabs>
              <w:jc w:val="right"/>
              <w:rPr>
                <w:szCs w:val="24"/>
              </w:rPr>
            </w:pPr>
            <w:r w:rsidRPr="00B87C7E">
              <w:rPr>
                <w:szCs w:val="24"/>
              </w:rPr>
              <w:t>103</w:t>
            </w:r>
          </w:p>
        </w:tc>
        <w:tc>
          <w:tcPr>
            <w:tcW w:w="1971" w:type="dxa"/>
            <w:vAlign w:val="center"/>
          </w:tcPr>
          <w:p w14:paraId="3091896B" w14:textId="5F64055D" w:rsidR="00BF446E" w:rsidRPr="00294859" w:rsidRDefault="004713FC" w:rsidP="001F23E6">
            <w:pPr>
              <w:tabs>
                <w:tab w:val="decimal" w:pos="1080"/>
              </w:tabs>
              <w:jc w:val="right"/>
              <w:rPr>
                <w:szCs w:val="24"/>
              </w:rPr>
            </w:pPr>
            <w:r w:rsidRPr="00426AB8">
              <w:rPr>
                <w:szCs w:val="24"/>
              </w:rPr>
              <w:t>1,</w:t>
            </w:r>
            <w:r w:rsidRPr="00C6479D">
              <w:rPr>
                <w:szCs w:val="24"/>
              </w:rPr>
              <w:t>28</w:t>
            </w:r>
            <w:r w:rsidR="00EB0C40">
              <w:rPr>
                <w:szCs w:val="24"/>
              </w:rPr>
              <w:t>0</w:t>
            </w:r>
          </w:p>
        </w:tc>
      </w:tr>
    </w:tbl>
    <w:p w14:paraId="73FC0C18" w14:textId="77777777" w:rsidR="00EC3487" w:rsidRPr="00D948C1" w:rsidRDefault="00EC3487"/>
    <w:tbl>
      <w:tblPr>
        <w:tblStyle w:val="TableGrid"/>
        <w:tblW w:w="0" w:type="auto"/>
        <w:tblInd w:w="720" w:type="dxa"/>
        <w:tblLook w:val="04A0" w:firstRow="1" w:lastRow="0" w:firstColumn="1" w:lastColumn="0" w:noHBand="0" w:noVBand="1"/>
      </w:tblPr>
      <w:tblGrid>
        <w:gridCol w:w="2163"/>
        <w:gridCol w:w="1972"/>
        <w:gridCol w:w="1966"/>
        <w:gridCol w:w="1971"/>
        <w:gridCol w:w="1971"/>
      </w:tblGrid>
      <w:tr w:rsidR="00BA4CBD" w:rsidRPr="00D948C1" w14:paraId="5C94C1EC" w14:textId="77777777" w:rsidTr="00982FEC">
        <w:tc>
          <w:tcPr>
            <w:tcW w:w="10043" w:type="dxa"/>
            <w:gridSpan w:val="5"/>
            <w:shd w:val="clear" w:color="auto" w:fill="D9D9D9" w:themeFill="background1" w:themeFillShade="D9"/>
          </w:tcPr>
          <w:p w14:paraId="6185943D" w14:textId="7A2C2F00" w:rsidR="00BA4CBD" w:rsidRPr="00D948C1" w:rsidRDefault="00BA4CBD" w:rsidP="000F5BFB">
            <w:pPr>
              <w:tabs>
                <w:tab w:val="decimal" w:pos="1080"/>
              </w:tabs>
              <w:rPr>
                <w:b/>
                <w:bCs/>
                <w:szCs w:val="24"/>
              </w:rPr>
            </w:pPr>
            <w:r w:rsidRPr="00D948C1">
              <w:rPr>
                <w:b/>
                <w:bCs/>
                <w:szCs w:val="24"/>
              </w:rPr>
              <w:t>Cash flows:</w:t>
            </w:r>
          </w:p>
        </w:tc>
      </w:tr>
      <w:tr w:rsidR="0049343B" w:rsidRPr="00D948C1" w14:paraId="62E53A17" w14:textId="77777777" w:rsidTr="00746F3D">
        <w:tc>
          <w:tcPr>
            <w:tcW w:w="2163" w:type="dxa"/>
          </w:tcPr>
          <w:p w14:paraId="51E06BCD" w14:textId="77777777" w:rsidR="0049343B" w:rsidRPr="00D948C1" w:rsidRDefault="0049343B" w:rsidP="00EC3487">
            <w:pPr>
              <w:rPr>
                <w:szCs w:val="24"/>
              </w:rPr>
            </w:pPr>
            <w:r w:rsidRPr="00D948C1">
              <w:rPr>
                <w:szCs w:val="24"/>
              </w:rPr>
              <w:t>Repayment</w:t>
            </w:r>
          </w:p>
        </w:tc>
        <w:tc>
          <w:tcPr>
            <w:tcW w:w="1972" w:type="dxa"/>
            <w:vAlign w:val="center"/>
          </w:tcPr>
          <w:p w14:paraId="299474FC" w14:textId="4061D942" w:rsidR="0049343B" w:rsidRPr="00294859" w:rsidRDefault="00D07B15" w:rsidP="00746F3D">
            <w:pPr>
              <w:tabs>
                <w:tab w:val="decimal" w:pos="1080"/>
              </w:tabs>
              <w:jc w:val="right"/>
              <w:rPr>
                <w:szCs w:val="24"/>
              </w:rPr>
            </w:pPr>
            <w:r w:rsidRPr="00294859">
              <w:rPr>
                <w:szCs w:val="24"/>
              </w:rPr>
              <w:t>(661)</w:t>
            </w:r>
          </w:p>
        </w:tc>
        <w:tc>
          <w:tcPr>
            <w:tcW w:w="1966" w:type="dxa"/>
            <w:vAlign w:val="center"/>
          </w:tcPr>
          <w:p w14:paraId="3F58B566" w14:textId="53EA42ED" w:rsidR="0049343B" w:rsidRPr="00294859" w:rsidRDefault="005F71A0" w:rsidP="00746F3D">
            <w:pPr>
              <w:tabs>
                <w:tab w:val="decimal" w:pos="1080"/>
              </w:tabs>
              <w:jc w:val="right"/>
              <w:rPr>
                <w:szCs w:val="24"/>
              </w:rPr>
            </w:pPr>
            <w:r w:rsidRPr="00294859">
              <w:rPr>
                <w:szCs w:val="24"/>
              </w:rPr>
              <w:t>60</w:t>
            </w:r>
          </w:p>
        </w:tc>
        <w:tc>
          <w:tcPr>
            <w:tcW w:w="1971" w:type="dxa"/>
            <w:vAlign w:val="center"/>
          </w:tcPr>
          <w:p w14:paraId="4933D954" w14:textId="2386072A" w:rsidR="0049343B" w:rsidRPr="00294859" w:rsidRDefault="007371FA" w:rsidP="00746F3D">
            <w:pPr>
              <w:tabs>
                <w:tab w:val="decimal" w:pos="1080"/>
              </w:tabs>
              <w:jc w:val="right"/>
              <w:rPr>
                <w:szCs w:val="24"/>
              </w:rPr>
            </w:pPr>
            <w:r w:rsidRPr="00294859">
              <w:rPr>
                <w:szCs w:val="24"/>
              </w:rPr>
              <w:t>(5)</w:t>
            </w:r>
          </w:p>
        </w:tc>
        <w:tc>
          <w:tcPr>
            <w:tcW w:w="1971" w:type="dxa"/>
            <w:vAlign w:val="center"/>
          </w:tcPr>
          <w:p w14:paraId="65254C19" w14:textId="6B3CC41B" w:rsidR="0049343B" w:rsidRPr="00294859" w:rsidRDefault="007D5EEF" w:rsidP="00746F3D">
            <w:pPr>
              <w:tabs>
                <w:tab w:val="decimal" w:pos="1080"/>
              </w:tabs>
              <w:jc w:val="right"/>
              <w:rPr>
                <w:szCs w:val="24"/>
              </w:rPr>
            </w:pPr>
            <w:r w:rsidRPr="00DF39E9">
              <w:rPr>
                <w:szCs w:val="24"/>
              </w:rPr>
              <w:t>(</w:t>
            </w:r>
            <w:r w:rsidR="00A25A1B" w:rsidRPr="00294859">
              <w:rPr>
                <w:szCs w:val="24"/>
              </w:rPr>
              <w:t>606</w:t>
            </w:r>
            <w:r w:rsidRPr="00DF39E9">
              <w:rPr>
                <w:szCs w:val="24"/>
              </w:rPr>
              <w:t>)</w:t>
            </w:r>
          </w:p>
        </w:tc>
      </w:tr>
      <w:tr w:rsidR="0049343B" w:rsidRPr="00D948C1" w14:paraId="4A68BDF3" w14:textId="77777777" w:rsidTr="00280297">
        <w:trPr>
          <w:trHeight w:val="272"/>
        </w:trPr>
        <w:tc>
          <w:tcPr>
            <w:tcW w:w="2163" w:type="dxa"/>
          </w:tcPr>
          <w:p w14:paraId="0EF26A7C" w14:textId="77777777" w:rsidR="0049343B" w:rsidRPr="00D948C1" w:rsidRDefault="0049343B" w:rsidP="00EC3487">
            <w:pPr>
              <w:rPr>
                <w:szCs w:val="24"/>
              </w:rPr>
            </w:pPr>
            <w:r w:rsidRPr="00D948C1">
              <w:rPr>
                <w:szCs w:val="24"/>
              </w:rPr>
              <w:t>Proceeds</w:t>
            </w:r>
          </w:p>
        </w:tc>
        <w:tc>
          <w:tcPr>
            <w:tcW w:w="1972" w:type="dxa"/>
            <w:vAlign w:val="center"/>
          </w:tcPr>
          <w:p w14:paraId="04EBE0A1" w14:textId="649E90BF" w:rsidR="0049343B" w:rsidRPr="00294859" w:rsidRDefault="008763DA" w:rsidP="00746F3D">
            <w:pPr>
              <w:tabs>
                <w:tab w:val="decimal" w:pos="1080"/>
              </w:tabs>
              <w:jc w:val="right"/>
              <w:rPr>
                <w:szCs w:val="24"/>
              </w:rPr>
            </w:pPr>
            <w:r w:rsidRPr="00294859">
              <w:rPr>
                <w:szCs w:val="24"/>
              </w:rPr>
              <w:t>-</w:t>
            </w:r>
          </w:p>
        </w:tc>
        <w:tc>
          <w:tcPr>
            <w:tcW w:w="1966" w:type="dxa"/>
            <w:vAlign w:val="center"/>
          </w:tcPr>
          <w:p w14:paraId="68154233" w14:textId="3223D48B" w:rsidR="0049343B" w:rsidRPr="00294859" w:rsidRDefault="008763DA" w:rsidP="00746F3D">
            <w:pPr>
              <w:tabs>
                <w:tab w:val="decimal" w:pos="1080"/>
              </w:tabs>
              <w:jc w:val="right"/>
              <w:rPr>
                <w:szCs w:val="24"/>
              </w:rPr>
            </w:pPr>
            <w:r w:rsidRPr="00294859">
              <w:rPr>
                <w:szCs w:val="24"/>
              </w:rPr>
              <w:t>-</w:t>
            </w:r>
          </w:p>
        </w:tc>
        <w:tc>
          <w:tcPr>
            <w:tcW w:w="1971" w:type="dxa"/>
            <w:vAlign w:val="center"/>
          </w:tcPr>
          <w:p w14:paraId="129983D5" w14:textId="239D9437" w:rsidR="0049343B" w:rsidRPr="00294859" w:rsidRDefault="008763DA" w:rsidP="00746F3D">
            <w:pPr>
              <w:tabs>
                <w:tab w:val="decimal" w:pos="1080"/>
              </w:tabs>
              <w:jc w:val="right"/>
              <w:rPr>
                <w:szCs w:val="24"/>
              </w:rPr>
            </w:pPr>
            <w:r w:rsidRPr="00294859">
              <w:rPr>
                <w:szCs w:val="24"/>
              </w:rPr>
              <w:t>-</w:t>
            </w:r>
          </w:p>
        </w:tc>
        <w:tc>
          <w:tcPr>
            <w:tcW w:w="1971" w:type="dxa"/>
            <w:vAlign w:val="center"/>
          </w:tcPr>
          <w:p w14:paraId="26634C09" w14:textId="6F4BD2E7" w:rsidR="0049343B" w:rsidRPr="00294859" w:rsidRDefault="008763DA" w:rsidP="00746F3D">
            <w:pPr>
              <w:tabs>
                <w:tab w:val="decimal" w:pos="1080"/>
              </w:tabs>
              <w:jc w:val="right"/>
              <w:rPr>
                <w:szCs w:val="24"/>
              </w:rPr>
            </w:pPr>
            <w:r w:rsidRPr="00294859">
              <w:rPr>
                <w:szCs w:val="24"/>
              </w:rPr>
              <w:t>-</w:t>
            </w:r>
          </w:p>
        </w:tc>
      </w:tr>
    </w:tbl>
    <w:p w14:paraId="2768F346" w14:textId="77777777" w:rsidR="00EC3487" w:rsidRPr="00D948C1" w:rsidRDefault="00EC3487"/>
    <w:tbl>
      <w:tblPr>
        <w:tblStyle w:val="TableGrid"/>
        <w:tblW w:w="0" w:type="auto"/>
        <w:tblInd w:w="720" w:type="dxa"/>
        <w:tblLook w:val="04A0" w:firstRow="1" w:lastRow="0" w:firstColumn="1" w:lastColumn="0" w:noHBand="0" w:noVBand="1"/>
      </w:tblPr>
      <w:tblGrid>
        <w:gridCol w:w="2163"/>
        <w:gridCol w:w="1972"/>
        <w:gridCol w:w="1966"/>
        <w:gridCol w:w="1971"/>
        <w:gridCol w:w="1971"/>
      </w:tblGrid>
      <w:tr w:rsidR="00BA4CBD" w:rsidRPr="00D948C1" w14:paraId="68521E9B" w14:textId="77777777" w:rsidTr="00982FEC">
        <w:tc>
          <w:tcPr>
            <w:tcW w:w="10043" w:type="dxa"/>
            <w:gridSpan w:val="5"/>
            <w:shd w:val="clear" w:color="auto" w:fill="D9D9D9" w:themeFill="background1" w:themeFillShade="D9"/>
          </w:tcPr>
          <w:p w14:paraId="560A685A" w14:textId="51DB85E9" w:rsidR="00BA4CBD" w:rsidRPr="00D948C1" w:rsidRDefault="00BA4CBD" w:rsidP="000F5BFB">
            <w:pPr>
              <w:tabs>
                <w:tab w:val="decimal" w:pos="1080"/>
              </w:tabs>
              <w:rPr>
                <w:b/>
                <w:bCs/>
                <w:szCs w:val="24"/>
              </w:rPr>
            </w:pPr>
            <w:r w:rsidRPr="00D948C1">
              <w:rPr>
                <w:b/>
                <w:bCs/>
                <w:szCs w:val="24"/>
              </w:rPr>
              <w:t>Non-cash:</w:t>
            </w:r>
          </w:p>
        </w:tc>
      </w:tr>
      <w:tr w:rsidR="0049343B" w:rsidRPr="00D948C1" w14:paraId="18E913C8" w14:textId="77777777" w:rsidTr="00EC3487">
        <w:tc>
          <w:tcPr>
            <w:tcW w:w="2163" w:type="dxa"/>
          </w:tcPr>
          <w:p w14:paraId="316D1F50" w14:textId="77777777" w:rsidR="0049343B" w:rsidRPr="00D948C1" w:rsidRDefault="0049343B" w:rsidP="00EC3487">
            <w:pPr>
              <w:rPr>
                <w:szCs w:val="24"/>
              </w:rPr>
            </w:pPr>
            <w:r w:rsidRPr="00D948C1">
              <w:rPr>
                <w:szCs w:val="24"/>
              </w:rPr>
              <w:t>Acquisition</w:t>
            </w:r>
          </w:p>
        </w:tc>
        <w:tc>
          <w:tcPr>
            <w:tcW w:w="1972" w:type="dxa"/>
          </w:tcPr>
          <w:p w14:paraId="42571555" w14:textId="58349203" w:rsidR="0049343B" w:rsidRPr="00294859" w:rsidRDefault="002A0C05" w:rsidP="000F5BFB">
            <w:pPr>
              <w:tabs>
                <w:tab w:val="decimal" w:pos="1080"/>
              </w:tabs>
              <w:jc w:val="right"/>
              <w:rPr>
                <w:szCs w:val="24"/>
              </w:rPr>
            </w:pPr>
            <w:r w:rsidRPr="00294859">
              <w:rPr>
                <w:szCs w:val="24"/>
              </w:rPr>
              <w:t>-</w:t>
            </w:r>
          </w:p>
        </w:tc>
        <w:tc>
          <w:tcPr>
            <w:tcW w:w="1966" w:type="dxa"/>
          </w:tcPr>
          <w:p w14:paraId="21DA2C7B" w14:textId="73D269BC" w:rsidR="0049343B" w:rsidRPr="00294859" w:rsidRDefault="002A0C05" w:rsidP="000F5BFB">
            <w:pPr>
              <w:tabs>
                <w:tab w:val="decimal" w:pos="1080"/>
              </w:tabs>
              <w:jc w:val="right"/>
              <w:rPr>
                <w:szCs w:val="24"/>
              </w:rPr>
            </w:pPr>
            <w:r w:rsidRPr="00294859">
              <w:rPr>
                <w:szCs w:val="24"/>
              </w:rPr>
              <w:t>-</w:t>
            </w:r>
          </w:p>
        </w:tc>
        <w:tc>
          <w:tcPr>
            <w:tcW w:w="1971" w:type="dxa"/>
          </w:tcPr>
          <w:p w14:paraId="49E932EA" w14:textId="66A80E2C" w:rsidR="0049343B" w:rsidRPr="00294859" w:rsidRDefault="002A0C05" w:rsidP="000F5BFB">
            <w:pPr>
              <w:tabs>
                <w:tab w:val="decimal" w:pos="1080"/>
              </w:tabs>
              <w:jc w:val="right"/>
              <w:rPr>
                <w:szCs w:val="24"/>
              </w:rPr>
            </w:pPr>
            <w:r w:rsidRPr="00294859">
              <w:rPr>
                <w:szCs w:val="24"/>
              </w:rPr>
              <w:t>-</w:t>
            </w:r>
          </w:p>
        </w:tc>
        <w:tc>
          <w:tcPr>
            <w:tcW w:w="1971" w:type="dxa"/>
          </w:tcPr>
          <w:p w14:paraId="125318BF" w14:textId="6A2F39AB" w:rsidR="0049343B" w:rsidRPr="00294859" w:rsidRDefault="002A0C05" w:rsidP="000F5BFB">
            <w:pPr>
              <w:tabs>
                <w:tab w:val="decimal" w:pos="1080"/>
              </w:tabs>
              <w:jc w:val="right"/>
              <w:rPr>
                <w:szCs w:val="24"/>
              </w:rPr>
            </w:pPr>
            <w:r w:rsidRPr="00294859">
              <w:rPr>
                <w:szCs w:val="24"/>
              </w:rPr>
              <w:t>-</w:t>
            </w:r>
          </w:p>
        </w:tc>
      </w:tr>
      <w:tr w:rsidR="0049343B" w:rsidRPr="00D948C1" w14:paraId="6C2143FD" w14:textId="77777777" w:rsidTr="00EC3487">
        <w:tc>
          <w:tcPr>
            <w:tcW w:w="2163" w:type="dxa"/>
          </w:tcPr>
          <w:p w14:paraId="0731A663" w14:textId="2DE50DEB" w:rsidR="0049343B" w:rsidRPr="00D948C1" w:rsidRDefault="0049343B" w:rsidP="000F5BFB">
            <w:pPr>
              <w:rPr>
                <w:szCs w:val="24"/>
              </w:rPr>
            </w:pPr>
            <w:r w:rsidRPr="00D948C1">
              <w:rPr>
                <w:szCs w:val="24"/>
              </w:rPr>
              <w:t xml:space="preserve">31 March </w:t>
            </w:r>
            <w:r w:rsidR="00D01A7F" w:rsidRPr="00D948C1">
              <w:rPr>
                <w:szCs w:val="24"/>
              </w:rPr>
              <w:t>202</w:t>
            </w:r>
            <w:r w:rsidR="005666C0">
              <w:rPr>
                <w:szCs w:val="24"/>
              </w:rPr>
              <w:t>5</w:t>
            </w:r>
          </w:p>
        </w:tc>
        <w:tc>
          <w:tcPr>
            <w:tcW w:w="1972" w:type="dxa"/>
          </w:tcPr>
          <w:p w14:paraId="16C8E36F" w14:textId="0E20C696" w:rsidR="0049343B" w:rsidRPr="00294859" w:rsidRDefault="00A25A1B" w:rsidP="000F5BFB">
            <w:pPr>
              <w:tabs>
                <w:tab w:val="decimal" w:pos="1080"/>
              </w:tabs>
              <w:jc w:val="right"/>
              <w:rPr>
                <w:szCs w:val="24"/>
              </w:rPr>
            </w:pPr>
            <w:r w:rsidRPr="00294859">
              <w:rPr>
                <w:szCs w:val="24"/>
              </w:rPr>
              <w:t>13,783</w:t>
            </w:r>
          </w:p>
        </w:tc>
        <w:tc>
          <w:tcPr>
            <w:tcW w:w="1966" w:type="dxa"/>
          </w:tcPr>
          <w:p w14:paraId="33C9C708" w14:textId="4507BB0B" w:rsidR="0049343B" w:rsidRPr="00294859" w:rsidRDefault="005E011A" w:rsidP="000F5BFB">
            <w:pPr>
              <w:tabs>
                <w:tab w:val="decimal" w:pos="1080"/>
              </w:tabs>
              <w:jc w:val="right"/>
              <w:rPr>
                <w:szCs w:val="24"/>
              </w:rPr>
            </w:pPr>
            <w:r w:rsidRPr="00294859">
              <w:rPr>
                <w:szCs w:val="24"/>
              </w:rPr>
              <w:t>661</w:t>
            </w:r>
          </w:p>
        </w:tc>
        <w:tc>
          <w:tcPr>
            <w:tcW w:w="1971" w:type="dxa"/>
          </w:tcPr>
          <w:p w14:paraId="5EE5501A" w14:textId="0C8F0B10" w:rsidR="0049343B" w:rsidRPr="00294859" w:rsidRDefault="002A0C05" w:rsidP="000F5BFB">
            <w:pPr>
              <w:tabs>
                <w:tab w:val="decimal" w:pos="1080"/>
              </w:tabs>
              <w:jc w:val="right"/>
              <w:rPr>
                <w:szCs w:val="24"/>
              </w:rPr>
            </w:pPr>
            <w:r w:rsidRPr="00294859">
              <w:rPr>
                <w:szCs w:val="24"/>
              </w:rPr>
              <w:t>98</w:t>
            </w:r>
          </w:p>
        </w:tc>
        <w:tc>
          <w:tcPr>
            <w:tcW w:w="1971" w:type="dxa"/>
          </w:tcPr>
          <w:p w14:paraId="1E3ED941" w14:textId="03561D00" w:rsidR="0049343B" w:rsidRPr="00294859" w:rsidRDefault="0050359D" w:rsidP="000F5BFB">
            <w:pPr>
              <w:tabs>
                <w:tab w:val="decimal" w:pos="1080"/>
              </w:tabs>
              <w:jc w:val="right"/>
              <w:rPr>
                <w:szCs w:val="24"/>
              </w:rPr>
            </w:pPr>
            <w:r w:rsidRPr="00294859">
              <w:rPr>
                <w:szCs w:val="24"/>
              </w:rPr>
              <w:t>14,542</w:t>
            </w:r>
          </w:p>
        </w:tc>
      </w:tr>
    </w:tbl>
    <w:p w14:paraId="533A35A6" w14:textId="77777777" w:rsidR="00925174" w:rsidRPr="00D948C1" w:rsidRDefault="00925174" w:rsidP="00925174">
      <w:pPr>
        <w:ind w:left="720"/>
        <w:rPr>
          <w:sz w:val="22"/>
          <w:szCs w:val="22"/>
        </w:rPr>
      </w:pPr>
    </w:p>
    <w:p w14:paraId="7B28FB24" w14:textId="18533584" w:rsidR="00DF4B1E" w:rsidRPr="00D948C1" w:rsidRDefault="001C592E" w:rsidP="000F38E6">
      <w:pPr>
        <w:pStyle w:val="Heading2"/>
        <w:ind w:left="720" w:hanging="720"/>
        <w:jc w:val="left"/>
        <w:rPr>
          <w:sz w:val="24"/>
          <w:szCs w:val="24"/>
        </w:rPr>
      </w:pPr>
      <w:bookmarkStart w:id="88" w:name="_Toc215593418"/>
      <w:r w:rsidRPr="00D948C1">
        <w:rPr>
          <w:sz w:val="24"/>
          <w:szCs w:val="24"/>
        </w:rPr>
        <w:t>2</w:t>
      </w:r>
      <w:r w:rsidR="00B62A26">
        <w:rPr>
          <w:sz w:val="24"/>
          <w:szCs w:val="24"/>
        </w:rPr>
        <w:t>7</w:t>
      </w:r>
      <w:r w:rsidR="00925174" w:rsidRPr="00D948C1">
        <w:rPr>
          <w:sz w:val="24"/>
          <w:szCs w:val="24"/>
        </w:rPr>
        <w:tab/>
      </w:r>
      <w:bookmarkStart w:id="89" w:name="_Hlk156489206"/>
      <w:r w:rsidR="00DF4B1E" w:rsidRPr="00D948C1">
        <w:rPr>
          <w:sz w:val="24"/>
          <w:szCs w:val="24"/>
        </w:rPr>
        <w:t xml:space="preserve">Assumptions made about the future and other major sources of estimation </w:t>
      </w:r>
      <w:r w:rsidR="008E01C3" w:rsidRPr="00D948C1">
        <w:rPr>
          <w:sz w:val="24"/>
          <w:szCs w:val="24"/>
        </w:rPr>
        <w:t xml:space="preserve">and </w:t>
      </w:r>
      <w:r w:rsidR="00DF4B1E" w:rsidRPr="00D948C1">
        <w:rPr>
          <w:sz w:val="24"/>
          <w:szCs w:val="24"/>
        </w:rPr>
        <w:t>uncertainty</w:t>
      </w:r>
      <w:bookmarkEnd w:id="88"/>
      <w:bookmarkEnd w:id="89"/>
    </w:p>
    <w:p w14:paraId="6E378C1C" w14:textId="77777777" w:rsidR="00DF4B1E" w:rsidRPr="00D948C1" w:rsidRDefault="00DF4B1E" w:rsidP="000F5BFB">
      <w:pPr>
        <w:ind w:left="374" w:hanging="374"/>
        <w:rPr>
          <w:b/>
          <w:szCs w:val="24"/>
        </w:rPr>
      </w:pPr>
    </w:p>
    <w:p w14:paraId="64070E13" w14:textId="588290E8" w:rsidR="00DF4B1E" w:rsidRPr="001D7BD7" w:rsidRDefault="00DF4B1E" w:rsidP="000F5BFB">
      <w:pPr>
        <w:ind w:left="720"/>
      </w:pPr>
      <w:r w:rsidRPr="001D7BD7">
        <w:t xml:space="preserve">The Statement of Accounts contains estimated figures that are based on assumptions made by the Authority about the future or that are otherwise uncertain. Estimates are made </w:t>
      </w:r>
      <w:r w:rsidR="0094180B" w:rsidRPr="001D7BD7">
        <w:t>considering</w:t>
      </w:r>
      <w:r w:rsidRPr="001D7BD7">
        <w:t xml:space="preserve"> historical experience, current </w:t>
      </w:r>
      <w:r w:rsidR="00526A3B" w:rsidRPr="001D7BD7">
        <w:t>trends,</w:t>
      </w:r>
      <w:r w:rsidRPr="001D7BD7">
        <w:t xml:space="preserve"> and other relevant factors. However, because balances cannot be determined with certainty, actual results could be materially different from the assumptions and estimates.</w:t>
      </w:r>
    </w:p>
    <w:p w14:paraId="7DB3CB23" w14:textId="77777777" w:rsidR="00B71D39" w:rsidRPr="001D7BD7" w:rsidRDefault="00B71D39" w:rsidP="000F5BFB"/>
    <w:p w14:paraId="7584EE8E" w14:textId="09F92119" w:rsidR="00DF4B1E" w:rsidRPr="001D7BD7" w:rsidRDefault="00DF4B1E" w:rsidP="000F5BFB">
      <w:pPr>
        <w:ind w:left="720"/>
      </w:pPr>
      <w:r w:rsidRPr="001D7BD7">
        <w:t xml:space="preserve">The items in the Authority’s Balance Sheet </w:t>
      </w:r>
      <w:proofErr w:type="gramStart"/>
      <w:r w:rsidRPr="001D7BD7">
        <w:t>at</w:t>
      </w:r>
      <w:proofErr w:type="gramEnd"/>
      <w:r w:rsidRPr="001D7BD7">
        <w:t xml:space="preserve"> 31 March 20</w:t>
      </w:r>
      <w:r w:rsidR="003A7ED4" w:rsidRPr="001D7BD7">
        <w:t>2</w:t>
      </w:r>
      <w:r w:rsidR="7F6C1D31" w:rsidRPr="001D7BD7">
        <w:t>5</w:t>
      </w:r>
      <w:r w:rsidRPr="001D7BD7">
        <w:t xml:space="preserve"> for which there is a significant risk of material adjustment in the forthcoming financial year are as follows:</w:t>
      </w:r>
    </w:p>
    <w:p w14:paraId="07C0ACB5" w14:textId="77777777" w:rsidR="00DF4B1E" w:rsidRPr="00D948C1" w:rsidRDefault="00DF4B1E" w:rsidP="00DF4B1E">
      <w:pPr>
        <w:ind w:left="374"/>
        <w:jc w:val="both"/>
        <w:rPr>
          <w:sz w:val="22"/>
          <w:szCs w:val="22"/>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4084"/>
        <w:gridCol w:w="3969"/>
      </w:tblGrid>
      <w:tr w:rsidR="00DF4B1E" w:rsidRPr="00D948C1" w14:paraId="2B5806AF" w14:textId="77777777" w:rsidTr="00611673">
        <w:trPr>
          <w:tblHeader/>
        </w:trPr>
        <w:tc>
          <w:tcPr>
            <w:tcW w:w="1870" w:type="dxa"/>
            <w:shd w:val="clear" w:color="auto" w:fill="BD2716"/>
            <w:vAlign w:val="center"/>
          </w:tcPr>
          <w:p w14:paraId="05AE5D9F" w14:textId="77777777" w:rsidR="00DF4B1E" w:rsidRPr="00D948C1" w:rsidRDefault="00DF4B1E" w:rsidP="00611673">
            <w:pPr>
              <w:rPr>
                <w:color w:val="FFFFFF" w:themeColor="background1"/>
                <w:szCs w:val="24"/>
              </w:rPr>
            </w:pPr>
            <w:r w:rsidRPr="00D948C1">
              <w:rPr>
                <w:color w:val="FFFFFF" w:themeColor="background1"/>
                <w:szCs w:val="24"/>
              </w:rPr>
              <w:lastRenderedPageBreak/>
              <w:t>Item</w:t>
            </w:r>
          </w:p>
        </w:tc>
        <w:tc>
          <w:tcPr>
            <w:tcW w:w="4084" w:type="dxa"/>
            <w:shd w:val="clear" w:color="auto" w:fill="BD2716"/>
            <w:vAlign w:val="center"/>
          </w:tcPr>
          <w:p w14:paraId="0D4A4347" w14:textId="77777777" w:rsidR="00DF4B1E" w:rsidRPr="00D948C1" w:rsidRDefault="00DF4B1E" w:rsidP="00611673">
            <w:pPr>
              <w:rPr>
                <w:color w:val="FFFFFF" w:themeColor="background1"/>
                <w:szCs w:val="24"/>
              </w:rPr>
            </w:pPr>
            <w:r w:rsidRPr="00D948C1">
              <w:rPr>
                <w:color w:val="FFFFFF" w:themeColor="background1"/>
                <w:szCs w:val="24"/>
              </w:rPr>
              <w:t>Uncertainties</w:t>
            </w:r>
          </w:p>
        </w:tc>
        <w:tc>
          <w:tcPr>
            <w:tcW w:w="3969" w:type="dxa"/>
            <w:shd w:val="clear" w:color="auto" w:fill="BD2716"/>
            <w:vAlign w:val="center"/>
          </w:tcPr>
          <w:p w14:paraId="7503BC34" w14:textId="77777777" w:rsidR="00DF4B1E" w:rsidRPr="00D948C1" w:rsidRDefault="00DF4B1E" w:rsidP="00611673">
            <w:pPr>
              <w:rPr>
                <w:color w:val="FFFFFF" w:themeColor="background1"/>
                <w:szCs w:val="24"/>
              </w:rPr>
            </w:pPr>
            <w:r w:rsidRPr="00D948C1">
              <w:rPr>
                <w:color w:val="FFFFFF" w:themeColor="background1"/>
                <w:szCs w:val="24"/>
              </w:rPr>
              <w:t>Effect if actual results differ from assumptions</w:t>
            </w:r>
          </w:p>
        </w:tc>
      </w:tr>
      <w:tr w:rsidR="00F45BA0" w:rsidRPr="00D948C1" w14:paraId="7F342223" w14:textId="77777777" w:rsidTr="00397070">
        <w:tc>
          <w:tcPr>
            <w:tcW w:w="1870" w:type="dxa"/>
          </w:tcPr>
          <w:p w14:paraId="1A4DBFCB" w14:textId="77777777" w:rsidR="00F45BA0" w:rsidRPr="00DF39E9" w:rsidRDefault="00F45BA0" w:rsidP="00E949AD">
            <w:r w:rsidRPr="00DF39E9">
              <w:t>Property, Plant &amp; Equipment</w:t>
            </w:r>
          </w:p>
          <w:p w14:paraId="33C3988D" w14:textId="77777777" w:rsidR="00393CDF" w:rsidRPr="00DF39E9" w:rsidRDefault="00393CDF" w:rsidP="00E949AD"/>
          <w:p w14:paraId="71C02FD6" w14:textId="3189D095" w:rsidR="00393CDF" w:rsidRPr="00DF39E9" w:rsidRDefault="00716389" w:rsidP="00E949AD">
            <w:r w:rsidRPr="00DF39E9">
              <w:t>Carrying value £</w:t>
            </w:r>
            <w:r w:rsidR="00EF46AF" w:rsidRPr="00DF39E9">
              <w:t>1</w:t>
            </w:r>
            <w:r w:rsidR="00F30CB6" w:rsidRPr="00DF39E9">
              <w:t>30</w:t>
            </w:r>
            <w:r w:rsidR="00EF46AF" w:rsidRPr="00DF39E9">
              <w:t xml:space="preserve">m </w:t>
            </w:r>
            <w:r w:rsidRPr="00DF39E9">
              <w:t>(</w:t>
            </w:r>
            <w:r w:rsidR="00CF111B" w:rsidRPr="00DF39E9">
              <w:t>202</w:t>
            </w:r>
            <w:r w:rsidR="006559CA" w:rsidRPr="00DF39E9">
              <w:t>3</w:t>
            </w:r>
            <w:r w:rsidR="00CF111B" w:rsidRPr="00DF39E9">
              <w:t>/2</w:t>
            </w:r>
            <w:r w:rsidR="006559CA" w:rsidRPr="00DF39E9">
              <w:t>4</w:t>
            </w:r>
            <w:r w:rsidRPr="00DF39E9">
              <w:t>: £</w:t>
            </w:r>
            <w:r w:rsidR="00375C74" w:rsidRPr="00DF39E9">
              <w:t>12</w:t>
            </w:r>
            <w:r w:rsidR="006559CA" w:rsidRPr="00DF39E9">
              <w:t>7</w:t>
            </w:r>
            <w:r w:rsidR="00375C74" w:rsidRPr="00DF39E9">
              <w:t>m</w:t>
            </w:r>
            <w:r w:rsidRPr="00DF39E9">
              <w:t>)</w:t>
            </w:r>
          </w:p>
        </w:tc>
        <w:tc>
          <w:tcPr>
            <w:tcW w:w="4084" w:type="dxa"/>
          </w:tcPr>
          <w:p w14:paraId="74F8240B" w14:textId="7871EC75" w:rsidR="00F45BA0" w:rsidRPr="008F5BF1" w:rsidRDefault="005774B3" w:rsidP="008F5BF1">
            <w:pPr>
              <w:autoSpaceDE w:val="0"/>
              <w:autoSpaceDN w:val="0"/>
              <w:adjustRightInd w:val="0"/>
            </w:pPr>
            <w:r w:rsidRPr="008F5BF1">
              <w:t xml:space="preserve">Assets are valued in accordance with Royal Institute </w:t>
            </w:r>
            <w:r w:rsidR="005E69F1" w:rsidRPr="008F5BF1">
              <w:t>o</w:t>
            </w:r>
            <w:r w:rsidRPr="00B05BA0">
              <w:t xml:space="preserve">f Chartered Surveyors (RICS) valuation standards and involve the use of </w:t>
            </w:r>
            <w:proofErr w:type="gramStart"/>
            <w:r w:rsidRPr="00B05BA0">
              <w:t>a number of</w:t>
            </w:r>
            <w:proofErr w:type="gramEnd"/>
            <w:r w:rsidRPr="00B05BA0">
              <w:t xml:space="preserve"> estimation techniques including various property indices</w:t>
            </w:r>
            <w:r w:rsidRPr="008F5BF1">
              <w:t xml:space="preserve"> that fluctuat</w:t>
            </w:r>
            <w:r w:rsidR="00DA55C9" w:rsidRPr="008F5BF1">
              <w:t>e.</w:t>
            </w:r>
          </w:p>
        </w:tc>
        <w:tc>
          <w:tcPr>
            <w:tcW w:w="3969" w:type="dxa"/>
          </w:tcPr>
          <w:p w14:paraId="6E8BAB36" w14:textId="636DA159" w:rsidR="00F45BA0" w:rsidRPr="00D948C1" w:rsidRDefault="0094180B" w:rsidP="00E949AD">
            <w:pPr>
              <w:rPr>
                <w:highlight w:val="red"/>
              </w:rPr>
            </w:pPr>
            <w:r w:rsidRPr="00DF39E9">
              <w:t>Most of</w:t>
            </w:r>
            <w:r w:rsidR="00DC6C97" w:rsidRPr="00DF39E9">
              <w:t xml:space="preserve"> the Authorities Property assets are valued under the Depreciated Replacement Cost (DRC) method, as specialised assets. There is the possibility that DRC valuations will increase due to shortages of raw materials and labour. </w:t>
            </w:r>
            <w:r w:rsidR="00A77547" w:rsidRPr="00DF39E9">
              <w:t>It is estimated that a 1% increase in DRC valuations would increase the assets values by £</w:t>
            </w:r>
            <w:r w:rsidR="00A62775" w:rsidRPr="00DF39E9">
              <w:t>1</w:t>
            </w:r>
            <w:r w:rsidR="0041234B" w:rsidRPr="00DF39E9">
              <w:t>.</w:t>
            </w:r>
            <w:r w:rsidR="00EF46AF" w:rsidRPr="00DF39E9">
              <w:t>3</w:t>
            </w:r>
            <w:r w:rsidR="00A62775" w:rsidRPr="00DF39E9">
              <w:t>m</w:t>
            </w:r>
            <w:r w:rsidR="00A77547" w:rsidRPr="00DF39E9">
              <w:t>.</w:t>
            </w:r>
          </w:p>
        </w:tc>
      </w:tr>
      <w:tr w:rsidR="00DF4B1E" w:rsidRPr="00D948C1" w14:paraId="220EEBC5" w14:textId="77777777" w:rsidTr="00397070">
        <w:tc>
          <w:tcPr>
            <w:tcW w:w="1870" w:type="dxa"/>
          </w:tcPr>
          <w:p w14:paraId="4029A877" w14:textId="77777777" w:rsidR="00DF4B1E" w:rsidRPr="00DF39E9" w:rsidRDefault="00DF4B1E" w:rsidP="000F5BFB">
            <w:r w:rsidRPr="00DF39E9">
              <w:t>Pension Liability</w:t>
            </w:r>
          </w:p>
          <w:p w14:paraId="1930AD7B" w14:textId="77777777" w:rsidR="00393CDF" w:rsidRPr="00DF39E9" w:rsidRDefault="00393CDF" w:rsidP="000F5BFB"/>
          <w:p w14:paraId="7B7C0FC3" w14:textId="598DD06D" w:rsidR="00393CDF" w:rsidRPr="00DF39E9" w:rsidRDefault="00C417B4" w:rsidP="000F5BFB">
            <w:r w:rsidRPr="00DF39E9">
              <w:t>Carrying value £</w:t>
            </w:r>
            <w:r w:rsidR="001A645E" w:rsidRPr="00DF39E9">
              <w:t>556</w:t>
            </w:r>
            <w:r w:rsidRPr="00DF39E9">
              <w:t>m (202</w:t>
            </w:r>
            <w:r w:rsidR="00017A89" w:rsidRPr="00DF39E9">
              <w:t>3</w:t>
            </w:r>
            <w:r w:rsidRPr="00DF39E9">
              <w:t>/2</w:t>
            </w:r>
            <w:r w:rsidR="00017A89" w:rsidRPr="00DF39E9">
              <w:t>4</w:t>
            </w:r>
            <w:r w:rsidRPr="00DF39E9">
              <w:t>: £6</w:t>
            </w:r>
            <w:r w:rsidR="00017A89" w:rsidRPr="00DF39E9">
              <w:t>28</w:t>
            </w:r>
            <w:r w:rsidRPr="00DF39E9">
              <w:t>m)</w:t>
            </w:r>
          </w:p>
        </w:tc>
        <w:tc>
          <w:tcPr>
            <w:tcW w:w="4084" w:type="dxa"/>
          </w:tcPr>
          <w:p w14:paraId="6175A200" w14:textId="344B209F" w:rsidR="00DF4B1E" w:rsidRPr="00DF39E9" w:rsidRDefault="00DF4B1E" w:rsidP="000F5BFB">
            <w:r w:rsidRPr="00DF39E9">
              <w:t xml:space="preserve">Estimation of the </w:t>
            </w:r>
            <w:r w:rsidR="00C417B4" w:rsidRPr="00DF39E9">
              <w:t xml:space="preserve">gross </w:t>
            </w:r>
            <w:r w:rsidRPr="00DF39E9">
              <w:t xml:space="preserve">liability to pay pensions depends on </w:t>
            </w:r>
            <w:r w:rsidR="0094180B" w:rsidRPr="00DF39E9">
              <w:t>several</w:t>
            </w:r>
            <w:r w:rsidRPr="00DF39E9">
              <w:t xml:space="preserve"> complex judgements relating to the discount rate used, the rate at which salaries are projected to increase, changes in retirement ages, mortality rates and expected returns on pension fund assets. </w:t>
            </w:r>
            <w:r w:rsidR="008F6E00" w:rsidRPr="00DF39E9">
              <w:t>C</w:t>
            </w:r>
            <w:r w:rsidRPr="00DF39E9">
              <w:t xml:space="preserve">onsulting actuaries </w:t>
            </w:r>
            <w:r w:rsidR="008F6E00" w:rsidRPr="00DF39E9">
              <w:t>are</w:t>
            </w:r>
            <w:r w:rsidRPr="00DF39E9">
              <w:t xml:space="preserve"> engaged to provide the Authority with expert advice about the assumptions to be applied</w:t>
            </w:r>
            <w:r w:rsidR="008F6E00" w:rsidRPr="00DF39E9">
              <w:t xml:space="preserve"> to each scheme</w:t>
            </w:r>
            <w:r w:rsidRPr="00DF39E9">
              <w:t>.</w:t>
            </w:r>
          </w:p>
        </w:tc>
        <w:tc>
          <w:tcPr>
            <w:tcW w:w="3969" w:type="dxa"/>
          </w:tcPr>
          <w:p w14:paraId="4D5A7387" w14:textId="63A6EA70" w:rsidR="00DF4B1E" w:rsidRPr="00DF39E9" w:rsidRDefault="00C417B4" w:rsidP="000F5BFB">
            <w:r w:rsidRPr="00DF39E9">
              <w:t>It is estimated that, for both pension schemes combined, a 0.5% increase in the discount rate would decrease the liability by £4</w:t>
            </w:r>
            <w:r w:rsidR="00E96F49" w:rsidRPr="00DF39E9">
              <w:t>2</w:t>
            </w:r>
            <w:r w:rsidRPr="00DF39E9">
              <w:t>m (202</w:t>
            </w:r>
            <w:r w:rsidR="00634591" w:rsidRPr="00DF39E9">
              <w:t>3</w:t>
            </w:r>
            <w:r w:rsidRPr="00DF39E9">
              <w:t>/2</w:t>
            </w:r>
            <w:r w:rsidR="00634591" w:rsidRPr="00DF39E9">
              <w:t>4</w:t>
            </w:r>
            <w:r w:rsidRPr="00DF39E9">
              <w:t>: £4</w:t>
            </w:r>
            <w:r w:rsidR="00634591" w:rsidRPr="00DF39E9">
              <w:t>8</w:t>
            </w:r>
            <w:r w:rsidRPr="00DF39E9">
              <w:t>m), a 1% increase in pay growth would increase the liability by £1</w:t>
            </w:r>
            <w:r w:rsidR="00634591" w:rsidRPr="00DF39E9">
              <w:t>1</w:t>
            </w:r>
            <w:r w:rsidRPr="00DF39E9">
              <w:t>m (202</w:t>
            </w:r>
            <w:r w:rsidR="00634591" w:rsidRPr="00DF39E9">
              <w:t>3</w:t>
            </w:r>
            <w:r w:rsidRPr="00DF39E9">
              <w:t>/2</w:t>
            </w:r>
            <w:r w:rsidR="00634591" w:rsidRPr="00DF39E9">
              <w:t>4</w:t>
            </w:r>
            <w:r w:rsidRPr="00DF39E9">
              <w:t xml:space="preserve">: £13m). In addition, a 1-year </w:t>
            </w:r>
            <w:r w:rsidR="00E02D4F" w:rsidRPr="00DF39E9">
              <w:t xml:space="preserve">increase in the assumed life </w:t>
            </w:r>
            <w:r w:rsidRPr="00DF39E9">
              <w:t>expectancy</w:t>
            </w:r>
            <w:r w:rsidR="00515A4B" w:rsidRPr="00DF39E9">
              <w:t xml:space="preserve"> </w:t>
            </w:r>
            <w:r w:rsidRPr="00DF39E9">
              <w:t>would increase the liability by £1</w:t>
            </w:r>
            <w:r w:rsidR="00515A4B" w:rsidRPr="00DF39E9">
              <w:t>5</w:t>
            </w:r>
            <w:r w:rsidRPr="00DF39E9">
              <w:t>m (202</w:t>
            </w:r>
            <w:r w:rsidR="00515A4B" w:rsidRPr="00DF39E9">
              <w:t>3</w:t>
            </w:r>
            <w:r w:rsidRPr="00DF39E9">
              <w:t>/2</w:t>
            </w:r>
            <w:r w:rsidR="00632A43" w:rsidRPr="00DF39E9">
              <w:t>4</w:t>
            </w:r>
            <w:r w:rsidRPr="00DF39E9">
              <w:t xml:space="preserve">: £17m). </w:t>
            </w:r>
          </w:p>
        </w:tc>
      </w:tr>
      <w:tr w:rsidR="000F38E6" w:rsidRPr="00D948C1" w14:paraId="3720CCCA" w14:textId="77777777" w:rsidTr="00797087">
        <w:tc>
          <w:tcPr>
            <w:tcW w:w="1870" w:type="dxa"/>
            <w:vAlign w:val="center"/>
          </w:tcPr>
          <w:p w14:paraId="083CC251" w14:textId="77777777" w:rsidR="000F38E6" w:rsidRPr="00DF39E9" w:rsidRDefault="00B83AC7" w:rsidP="00797087">
            <w:bookmarkStart w:id="90" w:name="_Hlk156489282"/>
            <w:r w:rsidRPr="00DF39E9">
              <w:t>LGPS Asset Ceiling</w:t>
            </w:r>
          </w:p>
          <w:p w14:paraId="330D096B" w14:textId="77777777" w:rsidR="00B83AC7" w:rsidRPr="00DF39E9" w:rsidRDefault="00B83AC7" w:rsidP="00797087"/>
          <w:p w14:paraId="4488DA2C" w14:textId="5039706F" w:rsidR="00B83AC7" w:rsidRPr="00DF39E9" w:rsidRDefault="00B83AC7" w:rsidP="00797087">
            <w:r w:rsidRPr="00DF39E9">
              <w:t xml:space="preserve">Gross </w:t>
            </w:r>
            <w:r w:rsidR="005617F1" w:rsidRPr="00DF39E9">
              <w:t>defined benefit</w:t>
            </w:r>
            <w:r w:rsidRPr="00DF39E9">
              <w:t xml:space="preserve"> </w:t>
            </w:r>
            <w:r w:rsidR="005617F1" w:rsidRPr="00DF39E9">
              <w:t>asset</w:t>
            </w:r>
          </w:p>
          <w:p w14:paraId="3F1C8CE9" w14:textId="2434F676" w:rsidR="00B83AC7" w:rsidRPr="00DF39E9" w:rsidRDefault="00B83AC7" w:rsidP="00797087">
            <w:r w:rsidRPr="00DF39E9">
              <w:t>£</w:t>
            </w:r>
            <w:r w:rsidR="002228ED" w:rsidRPr="00DF39E9">
              <w:t>32.0</w:t>
            </w:r>
            <w:r w:rsidR="009410F0" w:rsidRPr="00DF39E9">
              <w:t>m</w:t>
            </w:r>
          </w:p>
          <w:p w14:paraId="67A07AD2" w14:textId="351499B5" w:rsidR="00B83AC7" w:rsidRPr="00DF39E9" w:rsidRDefault="00B83AC7" w:rsidP="00797087">
            <w:r w:rsidRPr="00DF39E9">
              <w:t>(202</w:t>
            </w:r>
            <w:r w:rsidR="002228ED" w:rsidRPr="00DF39E9">
              <w:t>3</w:t>
            </w:r>
            <w:r w:rsidRPr="00DF39E9">
              <w:t>/2</w:t>
            </w:r>
            <w:r w:rsidR="002228ED" w:rsidRPr="00DF39E9">
              <w:t>4</w:t>
            </w:r>
            <w:r w:rsidR="00DB72E6" w:rsidRPr="00DF39E9">
              <w:t xml:space="preserve">: </w:t>
            </w:r>
            <w:r w:rsidR="009410F0" w:rsidRPr="00DF39E9">
              <w:t>£</w:t>
            </w:r>
            <w:r w:rsidR="002228ED" w:rsidRPr="00DF39E9">
              <w:t>23.8</w:t>
            </w:r>
            <w:r w:rsidR="009410F0" w:rsidRPr="00DF39E9">
              <w:t>m</w:t>
            </w:r>
            <w:r w:rsidR="00DB72E6" w:rsidRPr="00DF39E9">
              <w:t>)</w:t>
            </w:r>
          </w:p>
          <w:p w14:paraId="6EB95182" w14:textId="77777777" w:rsidR="00DB72E6" w:rsidRPr="00DF39E9" w:rsidRDefault="00DB72E6" w:rsidP="00797087"/>
          <w:p w14:paraId="6D1124C5" w14:textId="45C68778" w:rsidR="00DB72E6" w:rsidRPr="00DF39E9" w:rsidRDefault="00DB72E6" w:rsidP="00797087">
            <w:r w:rsidRPr="00DF39E9">
              <w:t xml:space="preserve">Net </w:t>
            </w:r>
            <w:r w:rsidR="005617F1" w:rsidRPr="00DF39E9">
              <w:t>defined benefit asset</w:t>
            </w:r>
          </w:p>
          <w:p w14:paraId="2E57A351" w14:textId="77777777" w:rsidR="00DB72E6" w:rsidRPr="00DF39E9" w:rsidRDefault="00DB72E6" w:rsidP="00797087">
            <w:r w:rsidRPr="00DF39E9">
              <w:t>£-</w:t>
            </w:r>
          </w:p>
          <w:p w14:paraId="4A892F95" w14:textId="197E7F0A" w:rsidR="00DB72E6" w:rsidRPr="00DF39E9" w:rsidRDefault="00DB72E6" w:rsidP="00797087">
            <w:r w:rsidRPr="00DF39E9">
              <w:t>(202</w:t>
            </w:r>
            <w:r w:rsidR="00C95530" w:rsidRPr="00DF39E9">
              <w:t>3</w:t>
            </w:r>
            <w:r w:rsidRPr="00DF39E9">
              <w:t>/2</w:t>
            </w:r>
            <w:r w:rsidR="00C95530" w:rsidRPr="00DF39E9">
              <w:t>4</w:t>
            </w:r>
            <w:r w:rsidRPr="00DF39E9">
              <w:t xml:space="preserve">: </w:t>
            </w:r>
            <w:r w:rsidR="009410F0" w:rsidRPr="00DF39E9">
              <w:t>£-</w:t>
            </w:r>
            <w:r w:rsidRPr="00DF39E9">
              <w:t>)</w:t>
            </w:r>
          </w:p>
        </w:tc>
        <w:tc>
          <w:tcPr>
            <w:tcW w:w="4084" w:type="dxa"/>
          </w:tcPr>
          <w:p w14:paraId="0BF34DDC" w14:textId="679CF2ED" w:rsidR="00116F83" w:rsidRPr="00DF39E9" w:rsidRDefault="00116F83" w:rsidP="000F5BFB">
            <w:r w:rsidRPr="00DF39E9">
              <w:t>The assumptions used are like those used to calculate the pension liability and actuaries are consulted to provide expert advice on the assumptions to be used.</w:t>
            </w:r>
          </w:p>
        </w:tc>
        <w:tc>
          <w:tcPr>
            <w:tcW w:w="3969" w:type="dxa"/>
          </w:tcPr>
          <w:p w14:paraId="6AFD40FC" w14:textId="34470AE6" w:rsidR="000F38E6" w:rsidRPr="00DF39E9" w:rsidRDefault="00116F83" w:rsidP="000F5BFB">
            <w:r w:rsidRPr="00DF39E9">
              <w:t xml:space="preserve">The Authority </w:t>
            </w:r>
            <w:r w:rsidR="00C7682B" w:rsidRPr="00DF39E9">
              <w:t xml:space="preserve">has reduced the scheme’s </w:t>
            </w:r>
            <w:r w:rsidR="00DD3316" w:rsidRPr="00DF39E9">
              <w:t>net</w:t>
            </w:r>
            <w:r w:rsidR="00C7682B" w:rsidRPr="00DF39E9">
              <w:t xml:space="preserve"> asset to nil based on this assessment.</w:t>
            </w:r>
          </w:p>
          <w:p w14:paraId="3A879DD5" w14:textId="77777777" w:rsidR="00C7682B" w:rsidRPr="00DF39E9" w:rsidRDefault="00C7682B" w:rsidP="000F5BFB"/>
          <w:p w14:paraId="0FFEA586" w14:textId="01BDB904" w:rsidR="00C7682B" w:rsidRPr="00DF39E9" w:rsidRDefault="00C7682B" w:rsidP="000F5BFB">
            <w:r w:rsidRPr="00DF39E9">
              <w:t xml:space="preserve">It is estimated that a 1% increase in the future accounting service cost would </w:t>
            </w:r>
            <w:r w:rsidR="006A0EE8" w:rsidRPr="00DF39E9">
              <w:t>not</w:t>
            </w:r>
            <w:r w:rsidRPr="00DF39E9">
              <w:t xml:space="preserve"> le</w:t>
            </w:r>
            <w:r w:rsidR="006A0EE8" w:rsidRPr="00DF39E9">
              <w:t>a</w:t>
            </w:r>
            <w:r w:rsidRPr="00DF39E9">
              <w:t xml:space="preserve">d to the Authority having a pension asset </w:t>
            </w:r>
            <w:r w:rsidR="00704E87" w:rsidRPr="00DF39E9">
              <w:t xml:space="preserve">ceiling </w:t>
            </w:r>
            <w:r w:rsidR="006A0EE8" w:rsidRPr="00DF39E9">
              <w:t>above £0.</w:t>
            </w:r>
          </w:p>
        </w:tc>
      </w:tr>
    </w:tbl>
    <w:bookmarkEnd w:id="90"/>
    <w:p w14:paraId="52731361" w14:textId="77777777" w:rsidR="00DF4B1E" w:rsidRPr="00D948C1" w:rsidRDefault="00DF4B1E" w:rsidP="00DF4B1E">
      <w:pPr>
        <w:ind w:left="374"/>
        <w:jc w:val="both"/>
        <w:rPr>
          <w:sz w:val="22"/>
          <w:szCs w:val="22"/>
        </w:rPr>
      </w:pPr>
      <w:r w:rsidRPr="00D948C1">
        <w:rPr>
          <w:sz w:val="22"/>
          <w:szCs w:val="22"/>
        </w:rPr>
        <w:t xml:space="preserve"> </w:t>
      </w:r>
    </w:p>
    <w:p w14:paraId="52685EC2" w14:textId="65E9F235" w:rsidR="00D43423" w:rsidRDefault="00DF4B1E" w:rsidP="00D93871">
      <w:pPr>
        <w:ind w:left="709"/>
        <w:rPr>
          <w:szCs w:val="24"/>
        </w:rPr>
      </w:pPr>
      <w:r w:rsidRPr="00D948C1">
        <w:rPr>
          <w:szCs w:val="24"/>
        </w:rPr>
        <w:t>This list does not include assets and liabilities that are carried at fair value based on a recently observed market price.</w:t>
      </w:r>
    </w:p>
    <w:p w14:paraId="5AFDC7D3" w14:textId="77777777" w:rsidR="00D43423" w:rsidRDefault="00D43423">
      <w:pPr>
        <w:rPr>
          <w:szCs w:val="24"/>
        </w:rPr>
      </w:pPr>
      <w:r>
        <w:rPr>
          <w:szCs w:val="24"/>
        </w:rPr>
        <w:br w:type="page"/>
      </w:r>
    </w:p>
    <w:p w14:paraId="38105717" w14:textId="77777777" w:rsidR="006563F1" w:rsidRPr="00D948C1" w:rsidRDefault="006563F1" w:rsidP="00D93871">
      <w:pPr>
        <w:ind w:left="709"/>
        <w:rPr>
          <w:szCs w:val="24"/>
        </w:rPr>
      </w:pPr>
    </w:p>
    <w:p w14:paraId="6107AF67" w14:textId="5E506F36" w:rsidR="009B6F2A" w:rsidRPr="00D948C1" w:rsidRDefault="001C592E" w:rsidP="006563F1">
      <w:pPr>
        <w:pStyle w:val="Heading2"/>
        <w:jc w:val="left"/>
        <w:rPr>
          <w:sz w:val="24"/>
          <w:szCs w:val="24"/>
        </w:rPr>
      </w:pPr>
      <w:bookmarkStart w:id="91" w:name="_Toc215593419"/>
      <w:r w:rsidRPr="00D948C1">
        <w:rPr>
          <w:sz w:val="24"/>
          <w:szCs w:val="24"/>
        </w:rPr>
        <w:t>2</w:t>
      </w:r>
      <w:r w:rsidR="00B62A26">
        <w:rPr>
          <w:sz w:val="24"/>
          <w:szCs w:val="24"/>
        </w:rPr>
        <w:t>8</w:t>
      </w:r>
      <w:r w:rsidR="006626A8" w:rsidRPr="00D948C1">
        <w:rPr>
          <w:sz w:val="24"/>
          <w:szCs w:val="24"/>
        </w:rPr>
        <w:tab/>
      </w:r>
      <w:r w:rsidR="00792963" w:rsidRPr="00D948C1">
        <w:rPr>
          <w:sz w:val="24"/>
          <w:szCs w:val="24"/>
        </w:rPr>
        <w:t>Expenditure and Income Analysed by Nature</w:t>
      </w:r>
      <w:bookmarkEnd w:id="91"/>
      <w:r w:rsidR="00B669BB" w:rsidRPr="00D948C1">
        <w:rPr>
          <w:sz w:val="24"/>
          <w:szCs w:val="24"/>
        </w:rPr>
        <w:t xml:space="preserve"> </w:t>
      </w:r>
    </w:p>
    <w:p w14:paraId="7EE0F6EE" w14:textId="77777777" w:rsidR="00DF4B1E" w:rsidRPr="00D948C1" w:rsidRDefault="00DF4B1E" w:rsidP="000F5BFB">
      <w:pPr>
        <w:rPr>
          <w:szCs w:val="24"/>
        </w:rPr>
      </w:pPr>
    </w:p>
    <w:p w14:paraId="702777EB" w14:textId="65151043" w:rsidR="00B55DEC" w:rsidRPr="00D948C1" w:rsidRDefault="00B55DEC" w:rsidP="000F5BFB">
      <w:pPr>
        <w:ind w:left="720"/>
        <w:rPr>
          <w:szCs w:val="24"/>
        </w:rPr>
      </w:pPr>
      <w:r w:rsidRPr="00D948C1">
        <w:rPr>
          <w:szCs w:val="24"/>
        </w:rPr>
        <w:t>The Authority’s expenditure and income is analysed as follows:</w:t>
      </w:r>
    </w:p>
    <w:p w14:paraId="71C24F82" w14:textId="77777777" w:rsidR="00787228" w:rsidRPr="00D948C1" w:rsidRDefault="00787228" w:rsidP="007446B1">
      <w:pPr>
        <w:ind w:left="720"/>
        <w:jc w:val="both"/>
        <w:rPr>
          <w:szCs w:val="24"/>
        </w:rPr>
      </w:pPr>
    </w:p>
    <w:tbl>
      <w:tblPr>
        <w:tblStyle w:val="TableGrid"/>
        <w:tblW w:w="8610" w:type="dxa"/>
        <w:tblInd w:w="720" w:type="dxa"/>
        <w:tblLook w:val="04A0" w:firstRow="1" w:lastRow="0" w:firstColumn="1" w:lastColumn="0" w:noHBand="0" w:noVBand="1"/>
      </w:tblPr>
      <w:tblGrid>
        <w:gridCol w:w="5342"/>
        <w:gridCol w:w="1635"/>
        <w:gridCol w:w="1633"/>
      </w:tblGrid>
      <w:tr w:rsidR="00670DBF" w:rsidRPr="00D948C1" w14:paraId="5BB1E432" w14:textId="77777777" w:rsidTr="009255CA">
        <w:trPr>
          <w:tblHeader/>
        </w:trPr>
        <w:tc>
          <w:tcPr>
            <w:tcW w:w="5342" w:type="dxa"/>
            <w:shd w:val="clear" w:color="auto" w:fill="BD2716"/>
          </w:tcPr>
          <w:p w14:paraId="353060D1" w14:textId="77777777" w:rsidR="00670DBF" w:rsidRPr="00D948C1" w:rsidRDefault="00670DBF" w:rsidP="00670DBF">
            <w:pPr>
              <w:jc w:val="both"/>
              <w:rPr>
                <w:color w:val="FFFFFF" w:themeColor="background1"/>
                <w:szCs w:val="24"/>
              </w:rPr>
            </w:pPr>
          </w:p>
        </w:tc>
        <w:tc>
          <w:tcPr>
            <w:tcW w:w="1635" w:type="dxa"/>
            <w:shd w:val="clear" w:color="auto" w:fill="BD2716"/>
            <w:vAlign w:val="center"/>
          </w:tcPr>
          <w:p w14:paraId="24FB8E3D" w14:textId="372AF7E9" w:rsidR="00670DBF" w:rsidRPr="00D948C1" w:rsidRDefault="00670DBF" w:rsidP="00611673">
            <w:pPr>
              <w:jc w:val="right"/>
              <w:rPr>
                <w:color w:val="FFFFFF" w:themeColor="background1"/>
                <w:szCs w:val="24"/>
              </w:rPr>
            </w:pPr>
            <w:r w:rsidRPr="00D948C1">
              <w:rPr>
                <w:color w:val="FFFFFF" w:themeColor="background1"/>
                <w:szCs w:val="24"/>
              </w:rPr>
              <w:t>202</w:t>
            </w:r>
            <w:r w:rsidR="00613663">
              <w:rPr>
                <w:color w:val="FFFFFF" w:themeColor="background1"/>
                <w:szCs w:val="24"/>
              </w:rPr>
              <w:t>4</w:t>
            </w:r>
            <w:r w:rsidRPr="00D948C1">
              <w:rPr>
                <w:color w:val="FFFFFF" w:themeColor="background1"/>
                <w:szCs w:val="24"/>
              </w:rPr>
              <w:t>/2</w:t>
            </w:r>
            <w:r w:rsidR="00613663">
              <w:rPr>
                <w:color w:val="FFFFFF" w:themeColor="background1"/>
                <w:szCs w:val="24"/>
              </w:rPr>
              <w:t>5</w:t>
            </w:r>
          </w:p>
          <w:p w14:paraId="1BFF01E0" w14:textId="36B6C32D" w:rsidR="001431C3" w:rsidRPr="00D948C1" w:rsidRDefault="001431C3" w:rsidP="00611673">
            <w:pPr>
              <w:jc w:val="right"/>
              <w:rPr>
                <w:color w:val="FFFFFF" w:themeColor="background1"/>
                <w:szCs w:val="24"/>
              </w:rPr>
            </w:pPr>
            <w:r w:rsidRPr="00D948C1">
              <w:rPr>
                <w:color w:val="FFFFFF" w:themeColor="background1"/>
                <w:szCs w:val="24"/>
              </w:rPr>
              <w:t>£000</w:t>
            </w:r>
          </w:p>
        </w:tc>
        <w:tc>
          <w:tcPr>
            <w:tcW w:w="1633" w:type="dxa"/>
            <w:shd w:val="clear" w:color="auto" w:fill="BD2716"/>
            <w:vAlign w:val="center"/>
          </w:tcPr>
          <w:p w14:paraId="52C2598C" w14:textId="040EDA89" w:rsidR="009255CA" w:rsidRDefault="009255CA" w:rsidP="00613663">
            <w:pPr>
              <w:jc w:val="right"/>
              <w:rPr>
                <w:color w:val="FFFFFF" w:themeColor="background1"/>
                <w:szCs w:val="24"/>
              </w:rPr>
            </w:pPr>
            <w:r>
              <w:rPr>
                <w:color w:val="FFFFFF" w:themeColor="background1"/>
                <w:szCs w:val="24"/>
              </w:rPr>
              <w:t>Restated</w:t>
            </w:r>
            <w:r w:rsidR="00E91290">
              <w:rPr>
                <w:color w:val="FFFFFF" w:themeColor="background1"/>
                <w:szCs w:val="24"/>
              </w:rPr>
              <w:t>*</w:t>
            </w:r>
          </w:p>
          <w:p w14:paraId="34885468" w14:textId="5C20008F" w:rsidR="00613663" w:rsidRPr="00D948C1" w:rsidRDefault="00613663" w:rsidP="00613663">
            <w:pPr>
              <w:jc w:val="right"/>
              <w:rPr>
                <w:color w:val="FFFFFF" w:themeColor="background1"/>
                <w:szCs w:val="24"/>
              </w:rPr>
            </w:pPr>
            <w:r w:rsidRPr="00D948C1">
              <w:rPr>
                <w:color w:val="FFFFFF" w:themeColor="background1"/>
                <w:szCs w:val="24"/>
              </w:rPr>
              <w:t>2023/24</w:t>
            </w:r>
          </w:p>
          <w:p w14:paraId="459813D8" w14:textId="6D1AF7F7" w:rsidR="001431C3" w:rsidRPr="00D948C1" w:rsidRDefault="00613663" w:rsidP="00613663">
            <w:pPr>
              <w:jc w:val="right"/>
              <w:rPr>
                <w:color w:val="FFFFFF" w:themeColor="background1"/>
                <w:szCs w:val="24"/>
              </w:rPr>
            </w:pPr>
            <w:r w:rsidRPr="00D948C1">
              <w:rPr>
                <w:color w:val="FFFFFF" w:themeColor="background1"/>
                <w:szCs w:val="24"/>
              </w:rPr>
              <w:t>£000</w:t>
            </w:r>
          </w:p>
        </w:tc>
      </w:tr>
      <w:tr w:rsidR="006563F1" w:rsidRPr="00D948C1" w14:paraId="5253255C" w14:textId="77777777" w:rsidTr="009255CA">
        <w:tc>
          <w:tcPr>
            <w:tcW w:w="8610" w:type="dxa"/>
            <w:gridSpan w:val="3"/>
            <w:shd w:val="clear" w:color="auto" w:fill="D9D9D9" w:themeFill="background1" w:themeFillShade="D9"/>
          </w:tcPr>
          <w:p w14:paraId="60FA43F0" w14:textId="26CE5BEB" w:rsidR="006563F1" w:rsidRPr="00D948C1" w:rsidRDefault="006563F1" w:rsidP="006563F1">
            <w:pPr>
              <w:rPr>
                <w:b/>
                <w:bCs/>
                <w:szCs w:val="24"/>
              </w:rPr>
            </w:pPr>
            <w:r w:rsidRPr="00D948C1">
              <w:rPr>
                <w:b/>
                <w:bCs/>
                <w:szCs w:val="24"/>
              </w:rPr>
              <w:t>Expenditure</w:t>
            </w:r>
          </w:p>
        </w:tc>
      </w:tr>
      <w:tr w:rsidR="00613663" w:rsidRPr="00D948C1" w14:paraId="30DDF015" w14:textId="77777777" w:rsidTr="009255CA">
        <w:trPr>
          <w:trHeight w:val="278"/>
        </w:trPr>
        <w:tc>
          <w:tcPr>
            <w:tcW w:w="5342" w:type="dxa"/>
          </w:tcPr>
          <w:p w14:paraId="5ACD2E8F" w14:textId="77777777" w:rsidR="00613663" w:rsidRPr="00D948C1" w:rsidRDefault="00613663" w:rsidP="00613663">
            <w:pPr>
              <w:rPr>
                <w:szCs w:val="24"/>
              </w:rPr>
            </w:pPr>
            <w:r w:rsidRPr="00D948C1">
              <w:rPr>
                <w:szCs w:val="24"/>
              </w:rPr>
              <w:t>Employee benefits expenses</w:t>
            </w:r>
          </w:p>
        </w:tc>
        <w:tc>
          <w:tcPr>
            <w:tcW w:w="1635" w:type="dxa"/>
            <w:vAlign w:val="center"/>
          </w:tcPr>
          <w:p w14:paraId="0C80129F" w14:textId="189FB9F9" w:rsidR="00613663" w:rsidRPr="00294859" w:rsidRDefault="00754D4C" w:rsidP="00613663">
            <w:pPr>
              <w:tabs>
                <w:tab w:val="decimal" w:pos="1080"/>
              </w:tabs>
              <w:jc w:val="right"/>
              <w:rPr>
                <w:szCs w:val="24"/>
              </w:rPr>
            </w:pPr>
            <w:r w:rsidRPr="00294859">
              <w:rPr>
                <w:szCs w:val="24"/>
              </w:rPr>
              <w:t>32,614</w:t>
            </w:r>
          </w:p>
        </w:tc>
        <w:tc>
          <w:tcPr>
            <w:tcW w:w="1633" w:type="dxa"/>
            <w:vAlign w:val="center"/>
          </w:tcPr>
          <w:p w14:paraId="2379FB8A" w14:textId="0B7C73E2" w:rsidR="00613663" w:rsidRPr="00DF39E9" w:rsidRDefault="00613663" w:rsidP="00613663">
            <w:pPr>
              <w:tabs>
                <w:tab w:val="decimal" w:pos="1080"/>
              </w:tabs>
              <w:jc w:val="right"/>
              <w:rPr>
                <w:szCs w:val="24"/>
              </w:rPr>
            </w:pPr>
            <w:r w:rsidRPr="00DF39E9">
              <w:rPr>
                <w:szCs w:val="24"/>
              </w:rPr>
              <w:t xml:space="preserve">31,622 </w:t>
            </w:r>
          </w:p>
        </w:tc>
      </w:tr>
      <w:tr w:rsidR="00613663" w:rsidRPr="00D948C1" w14:paraId="5D019BE9" w14:textId="77777777" w:rsidTr="009255CA">
        <w:trPr>
          <w:trHeight w:val="278"/>
        </w:trPr>
        <w:tc>
          <w:tcPr>
            <w:tcW w:w="5342" w:type="dxa"/>
          </w:tcPr>
          <w:p w14:paraId="4D5018EA" w14:textId="77777777" w:rsidR="00613663" w:rsidRPr="00D948C1" w:rsidRDefault="00613663" w:rsidP="00613663">
            <w:pPr>
              <w:rPr>
                <w:szCs w:val="24"/>
              </w:rPr>
            </w:pPr>
            <w:r w:rsidRPr="00D948C1">
              <w:rPr>
                <w:szCs w:val="24"/>
              </w:rPr>
              <w:t>Other services expenses</w:t>
            </w:r>
          </w:p>
        </w:tc>
        <w:tc>
          <w:tcPr>
            <w:tcW w:w="1635" w:type="dxa"/>
            <w:vAlign w:val="center"/>
          </w:tcPr>
          <w:p w14:paraId="14D8A732" w14:textId="03D4C52C" w:rsidR="00613663" w:rsidRPr="00294859" w:rsidRDefault="00754D4C" w:rsidP="00613663">
            <w:pPr>
              <w:tabs>
                <w:tab w:val="decimal" w:pos="1080"/>
              </w:tabs>
              <w:jc w:val="right"/>
              <w:rPr>
                <w:szCs w:val="24"/>
              </w:rPr>
            </w:pPr>
            <w:r w:rsidRPr="00294859">
              <w:rPr>
                <w:szCs w:val="24"/>
              </w:rPr>
              <w:t>16,589</w:t>
            </w:r>
          </w:p>
        </w:tc>
        <w:tc>
          <w:tcPr>
            <w:tcW w:w="1633" w:type="dxa"/>
            <w:vAlign w:val="center"/>
          </w:tcPr>
          <w:p w14:paraId="1BD8DEA7" w14:textId="17DD6FAE" w:rsidR="00613663" w:rsidRPr="00DF39E9" w:rsidRDefault="00613663" w:rsidP="00613663">
            <w:pPr>
              <w:tabs>
                <w:tab w:val="decimal" w:pos="1080"/>
              </w:tabs>
              <w:jc w:val="right"/>
              <w:rPr>
                <w:szCs w:val="24"/>
              </w:rPr>
            </w:pPr>
            <w:r w:rsidRPr="00DF39E9">
              <w:rPr>
                <w:szCs w:val="24"/>
              </w:rPr>
              <w:t xml:space="preserve">16,720 </w:t>
            </w:r>
          </w:p>
        </w:tc>
      </w:tr>
      <w:tr w:rsidR="00613663" w:rsidRPr="00D948C1" w14:paraId="22BBC866" w14:textId="77777777" w:rsidTr="009255CA">
        <w:trPr>
          <w:trHeight w:val="278"/>
        </w:trPr>
        <w:tc>
          <w:tcPr>
            <w:tcW w:w="5342" w:type="dxa"/>
          </w:tcPr>
          <w:p w14:paraId="21C71D9A" w14:textId="77777777" w:rsidR="00613663" w:rsidRPr="00D948C1" w:rsidRDefault="00613663" w:rsidP="00613663">
            <w:pPr>
              <w:rPr>
                <w:szCs w:val="24"/>
              </w:rPr>
            </w:pPr>
            <w:r w:rsidRPr="00D948C1">
              <w:rPr>
                <w:szCs w:val="24"/>
              </w:rPr>
              <w:t>Support service recharges</w:t>
            </w:r>
          </w:p>
        </w:tc>
        <w:tc>
          <w:tcPr>
            <w:tcW w:w="1635" w:type="dxa"/>
            <w:vAlign w:val="center"/>
          </w:tcPr>
          <w:p w14:paraId="6EC75C42" w14:textId="7DCD5861" w:rsidR="00613663" w:rsidRPr="00294859" w:rsidRDefault="00E75C3E" w:rsidP="00613663">
            <w:pPr>
              <w:tabs>
                <w:tab w:val="decimal" w:pos="1080"/>
              </w:tabs>
              <w:jc w:val="right"/>
              <w:rPr>
                <w:szCs w:val="24"/>
              </w:rPr>
            </w:pPr>
            <w:r w:rsidRPr="00294859">
              <w:rPr>
                <w:szCs w:val="24"/>
              </w:rPr>
              <w:t>-</w:t>
            </w:r>
          </w:p>
        </w:tc>
        <w:tc>
          <w:tcPr>
            <w:tcW w:w="1633" w:type="dxa"/>
            <w:vAlign w:val="center"/>
          </w:tcPr>
          <w:p w14:paraId="2E83669D" w14:textId="304079FA" w:rsidR="00613663" w:rsidRPr="00DF39E9" w:rsidRDefault="00613663" w:rsidP="00613663">
            <w:pPr>
              <w:tabs>
                <w:tab w:val="decimal" w:pos="1080"/>
              </w:tabs>
              <w:jc w:val="right"/>
              <w:rPr>
                <w:szCs w:val="24"/>
              </w:rPr>
            </w:pPr>
            <w:r w:rsidRPr="00DF39E9">
              <w:rPr>
                <w:szCs w:val="24"/>
              </w:rPr>
              <w:t xml:space="preserve">- </w:t>
            </w:r>
          </w:p>
        </w:tc>
      </w:tr>
      <w:tr w:rsidR="00613663" w:rsidRPr="00D948C1" w14:paraId="40D88B66" w14:textId="77777777" w:rsidTr="009255CA">
        <w:trPr>
          <w:trHeight w:val="278"/>
        </w:trPr>
        <w:tc>
          <w:tcPr>
            <w:tcW w:w="5342" w:type="dxa"/>
          </w:tcPr>
          <w:p w14:paraId="1903ADD3" w14:textId="61463E78" w:rsidR="00613663" w:rsidRPr="00D948C1" w:rsidRDefault="00613663" w:rsidP="00613663">
            <w:pPr>
              <w:rPr>
                <w:szCs w:val="24"/>
              </w:rPr>
            </w:pPr>
            <w:r w:rsidRPr="00D948C1">
              <w:rPr>
                <w:szCs w:val="24"/>
              </w:rPr>
              <w:t xml:space="preserve">Depreciation, amortisation, and impairment </w:t>
            </w:r>
          </w:p>
        </w:tc>
        <w:tc>
          <w:tcPr>
            <w:tcW w:w="1635" w:type="dxa"/>
            <w:vAlign w:val="center"/>
          </w:tcPr>
          <w:p w14:paraId="3D30370B" w14:textId="29906F75" w:rsidR="00613663" w:rsidRPr="00294859" w:rsidRDefault="00E75C3E" w:rsidP="00613663">
            <w:pPr>
              <w:tabs>
                <w:tab w:val="decimal" w:pos="1080"/>
              </w:tabs>
              <w:jc w:val="right"/>
              <w:rPr>
                <w:szCs w:val="24"/>
              </w:rPr>
            </w:pPr>
            <w:r w:rsidRPr="00294859">
              <w:rPr>
                <w:szCs w:val="24"/>
              </w:rPr>
              <w:t>6,938</w:t>
            </w:r>
          </w:p>
        </w:tc>
        <w:tc>
          <w:tcPr>
            <w:tcW w:w="1633" w:type="dxa"/>
            <w:vAlign w:val="center"/>
          </w:tcPr>
          <w:p w14:paraId="7B13879A" w14:textId="379A520F" w:rsidR="00613663" w:rsidRPr="00DF39E9" w:rsidRDefault="00613663" w:rsidP="00613663">
            <w:pPr>
              <w:tabs>
                <w:tab w:val="decimal" w:pos="1080"/>
              </w:tabs>
              <w:jc w:val="right"/>
              <w:rPr>
                <w:szCs w:val="24"/>
              </w:rPr>
            </w:pPr>
            <w:r w:rsidRPr="00DF39E9">
              <w:rPr>
                <w:szCs w:val="24"/>
              </w:rPr>
              <w:t xml:space="preserve">6,053 </w:t>
            </w:r>
          </w:p>
        </w:tc>
      </w:tr>
      <w:tr w:rsidR="00613663" w:rsidRPr="00D948C1" w14:paraId="6E9A6706" w14:textId="77777777" w:rsidTr="009255CA">
        <w:trPr>
          <w:trHeight w:val="278"/>
        </w:trPr>
        <w:tc>
          <w:tcPr>
            <w:tcW w:w="5342" w:type="dxa"/>
          </w:tcPr>
          <w:p w14:paraId="4E68AB7C" w14:textId="77777777" w:rsidR="00613663" w:rsidRPr="00D948C1" w:rsidRDefault="00613663" w:rsidP="00613663">
            <w:pPr>
              <w:rPr>
                <w:szCs w:val="24"/>
              </w:rPr>
            </w:pPr>
            <w:r w:rsidRPr="00D948C1">
              <w:rPr>
                <w:szCs w:val="24"/>
              </w:rPr>
              <w:t>Interest payments</w:t>
            </w:r>
          </w:p>
        </w:tc>
        <w:tc>
          <w:tcPr>
            <w:tcW w:w="1635" w:type="dxa"/>
            <w:vAlign w:val="center"/>
          </w:tcPr>
          <w:p w14:paraId="20878F50" w14:textId="7B480F12" w:rsidR="00613663" w:rsidRPr="00294859" w:rsidRDefault="00E75C3E" w:rsidP="00613663">
            <w:pPr>
              <w:tabs>
                <w:tab w:val="decimal" w:pos="1080"/>
              </w:tabs>
              <w:jc w:val="right"/>
              <w:rPr>
                <w:szCs w:val="24"/>
              </w:rPr>
            </w:pPr>
            <w:r w:rsidRPr="00294859">
              <w:rPr>
                <w:szCs w:val="24"/>
              </w:rPr>
              <w:t>30,399</w:t>
            </w:r>
          </w:p>
        </w:tc>
        <w:tc>
          <w:tcPr>
            <w:tcW w:w="1633" w:type="dxa"/>
            <w:vAlign w:val="center"/>
          </w:tcPr>
          <w:p w14:paraId="1631B3FC" w14:textId="7007562F" w:rsidR="00613663" w:rsidRPr="00DF39E9" w:rsidRDefault="00613663" w:rsidP="00613663">
            <w:pPr>
              <w:tabs>
                <w:tab w:val="decimal" w:pos="1080"/>
              </w:tabs>
              <w:jc w:val="right"/>
              <w:rPr>
                <w:szCs w:val="24"/>
              </w:rPr>
            </w:pPr>
            <w:r w:rsidRPr="00DF39E9">
              <w:rPr>
                <w:szCs w:val="24"/>
              </w:rPr>
              <w:t xml:space="preserve">30,115 </w:t>
            </w:r>
          </w:p>
        </w:tc>
      </w:tr>
      <w:tr w:rsidR="00613663" w:rsidRPr="00D948C1" w14:paraId="2818003E" w14:textId="77777777" w:rsidTr="009255CA">
        <w:trPr>
          <w:trHeight w:val="278"/>
        </w:trPr>
        <w:tc>
          <w:tcPr>
            <w:tcW w:w="5342" w:type="dxa"/>
          </w:tcPr>
          <w:p w14:paraId="346F4CE3" w14:textId="356285ED" w:rsidR="00613663" w:rsidRPr="00D948C1" w:rsidRDefault="00613663" w:rsidP="00613663">
            <w:pPr>
              <w:rPr>
                <w:szCs w:val="24"/>
              </w:rPr>
            </w:pPr>
            <w:r w:rsidRPr="00D948C1">
              <w:rPr>
                <w:szCs w:val="24"/>
              </w:rPr>
              <w:t>(Gain)/loss on disposal of fixed assets</w:t>
            </w:r>
          </w:p>
        </w:tc>
        <w:tc>
          <w:tcPr>
            <w:tcW w:w="1635" w:type="dxa"/>
            <w:vAlign w:val="center"/>
          </w:tcPr>
          <w:p w14:paraId="2CE5761C" w14:textId="1494D5DB" w:rsidR="00613663" w:rsidRPr="00294859" w:rsidRDefault="00E75C3E" w:rsidP="00613663">
            <w:pPr>
              <w:tabs>
                <w:tab w:val="decimal" w:pos="1080"/>
              </w:tabs>
              <w:jc w:val="right"/>
              <w:rPr>
                <w:szCs w:val="24"/>
              </w:rPr>
            </w:pPr>
            <w:r w:rsidRPr="00294859">
              <w:rPr>
                <w:szCs w:val="24"/>
              </w:rPr>
              <w:t>(116)</w:t>
            </w:r>
          </w:p>
        </w:tc>
        <w:tc>
          <w:tcPr>
            <w:tcW w:w="1633" w:type="dxa"/>
            <w:vAlign w:val="center"/>
          </w:tcPr>
          <w:p w14:paraId="27C6007F" w14:textId="7408A8B5" w:rsidR="00613663" w:rsidRPr="00DF39E9" w:rsidRDefault="00613663" w:rsidP="00613663">
            <w:pPr>
              <w:tabs>
                <w:tab w:val="decimal" w:pos="1080"/>
              </w:tabs>
              <w:jc w:val="right"/>
              <w:rPr>
                <w:szCs w:val="24"/>
              </w:rPr>
            </w:pPr>
            <w:r w:rsidRPr="00DF39E9">
              <w:rPr>
                <w:szCs w:val="24"/>
              </w:rPr>
              <w:t>32</w:t>
            </w:r>
          </w:p>
        </w:tc>
      </w:tr>
      <w:tr w:rsidR="00613663" w:rsidRPr="00D948C1" w14:paraId="4AE3A16A" w14:textId="77777777" w:rsidTr="009255CA">
        <w:trPr>
          <w:trHeight w:val="278"/>
        </w:trPr>
        <w:tc>
          <w:tcPr>
            <w:tcW w:w="5342" w:type="dxa"/>
          </w:tcPr>
          <w:p w14:paraId="3BCE03D8" w14:textId="77777777" w:rsidR="00613663" w:rsidRPr="00D948C1" w:rsidRDefault="00613663" w:rsidP="00613663">
            <w:pPr>
              <w:rPr>
                <w:b/>
                <w:bCs/>
                <w:szCs w:val="24"/>
              </w:rPr>
            </w:pPr>
            <w:r w:rsidRPr="00D948C1">
              <w:rPr>
                <w:b/>
                <w:bCs/>
                <w:szCs w:val="24"/>
              </w:rPr>
              <w:t>Total expenditure</w:t>
            </w:r>
          </w:p>
        </w:tc>
        <w:tc>
          <w:tcPr>
            <w:tcW w:w="1635" w:type="dxa"/>
            <w:vAlign w:val="center"/>
          </w:tcPr>
          <w:p w14:paraId="69764D95" w14:textId="0AC3EA82" w:rsidR="00613663" w:rsidRPr="00294859" w:rsidRDefault="00E75C3E" w:rsidP="00613663">
            <w:pPr>
              <w:tabs>
                <w:tab w:val="decimal" w:pos="1080"/>
              </w:tabs>
              <w:jc w:val="right"/>
              <w:rPr>
                <w:b/>
                <w:szCs w:val="24"/>
              </w:rPr>
            </w:pPr>
            <w:r w:rsidRPr="00294859">
              <w:rPr>
                <w:b/>
                <w:szCs w:val="24"/>
              </w:rPr>
              <w:t>86,422</w:t>
            </w:r>
          </w:p>
        </w:tc>
        <w:tc>
          <w:tcPr>
            <w:tcW w:w="1633" w:type="dxa"/>
            <w:vAlign w:val="center"/>
          </w:tcPr>
          <w:p w14:paraId="175B7FC0" w14:textId="448BCFD1" w:rsidR="00613663" w:rsidRPr="00DF39E9" w:rsidRDefault="00613663" w:rsidP="00613663">
            <w:pPr>
              <w:tabs>
                <w:tab w:val="decimal" w:pos="1080"/>
              </w:tabs>
              <w:jc w:val="right"/>
              <w:rPr>
                <w:b/>
                <w:bCs/>
                <w:szCs w:val="24"/>
              </w:rPr>
            </w:pPr>
            <w:r w:rsidRPr="00DF39E9">
              <w:rPr>
                <w:b/>
                <w:bCs/>
                <w:szCs w:val="24"/>
              </w:rPr>
              <w:t xml:space="preserve">84,542 </w:t>
            </w:r>
          </w:p>
        </w:tc>
      </w:tr>
    </w:tbl>
    <w:p w14:paraId="00499655" w14:textId="77777777" w:rsidR="00EC3487" w:rsidRPr="00D948C1" w:rsidRDefault="00EC3487"/>
    <w:tbl>
      <w:tblPr>
        <w:tblStyle w:val="TableGrid"/>
        <w:tblW w:w="8637" w:type="dxa"/>
        <w:tblInd w:w="720" w:type="dxa"/>
        <w:tblLayout w:type="fixed"/>
        <w:tblLook w:val="04A0" w:firstRow="1" w:lastRow="0" w:firstColumn="1" w:lastColumn="0" w:noHBand="0" w:noVBand="1"/>
      </w:tblPr>
      <w:tblGrid>
        <w:gridCol w:w="5371"/>
        <w:gridCol w:w="1633"/>
        <w:gridCol w:w="1625"/>
        <w:gridCol w:w="8"/>
      </w:tblGrid>
      <w:tr w:rsidR="006563F1" w:rsidRPr="00D948C1" w14:paraId="0BDC29F3" w14:textId="77777777" w:rsidTr="00530212">
        <w:trPr>
          <w:gridAfter w:val="1"/>
          <w:wAfter w:w="8" w:type="dxa"/>
        </w:trPr>
        <w:tc>
          <w:tcPr>
            <w:tcW w:w="8629" w:type="dxa"/>
            <w:gridSpan w:val="3"/>
            <w:shd w:val="clear" w:color="auto" w:fill="D9D9D9" w:themeFill="background1" w:themeFillShade="D9"/>
          </w:tcPr>
          <w:p w14:paraId="524B03A5" w14:textId="4BCE9E2D" w:rsidR="006563F1" w:rsidRPr="00D948C1" w:rsidRDefault="006563F1" w:rsidP="006563F1">
            <w:pPr>
              <w:ind w:right="410"/>
              <w:rPr>
                <w:b/>
                <w:bCs/>
                <w:szCs w:val="24"/>
              </w:rPr>
            </w:pPr>
            <w:r w:rsidRPr="00D948C1">
              <w:rPr>
                <w:b/>
                <w:bCs/>
                <w:szCs w:val="24"/>
              </w:rPr>
              <w:t>Income</w:t>
            </w:r>
          </w:p>
        </w:tc>
      </w:tr>
      <w:tr w:rsidR="00613663" w:rsidRPr="00DF39E9" w14:paraId="2C43A9A1" w14:textId="77777777" w:rsidTr="00530212">
        <w:trPr>
          <w:trHeight w:val="278"/>
        </w:trPr>
        <w:tc>
          <w:tcPr>
            <w:tcW w:w="5371" w:type="dxa"/>
          </w:tcPr>
          <w:p w14:paraId="1841F412" w14:textId="6531D34F" w:rsidR="00613663" w:rsidRPr="00DF39E9" w:rsidRDefault="00613663" w:rsidP="00613663">
            <w:pPr>
              <w:rPr>
                <w:szCs w:val="24"/>
              </w:rPr>
            </w:pPr>
            <w:r w:rsidRPr="00DF39E9">
              <w:rPr>
                <w:szCs w:val="24"/>
              </w:rPr>
              <w:t>Fees, charges, and other service income</w:t>
            </w:r>
          </w:p>
        </w:tc>
        <w:tc>
          <w:tcPr>
            <w:tcW w:w="1633" w:type="dxa"/>
          </w:tcPr>
          <w:p w14:paraId="353D1122" w14:textId="10764DCA" w:rsidR="00613663" w:rsidRPr="00294859" w:rsidRDefault="003A0F63" w:rsidP="00613663">
            <w:pPr>
              <w:tabs>
                <w:tab w:val="decimal" w:pos="1080"/>
              </w:tabs>
              <w:jc w:val="right"/>
              <w:rPr>
                <w:szCs w:val="24"/>
              </w:rPr>
            </w:pPr>
            <w:r w:rsidRPr="00294859">
              <w:rPr>
                <w:szCs w:val="24"/>
              </w:rPr>
              <w:t>(</w:t>
            </w:r>
            <w:r w:rsidR="00FD4E64">
              <w:rPr>
                <w:szCs w:val="24"/>
              </w:rPr>
              <w:t>2</w:t>
            </w:r>
            <w:r w:rsidRPr="00294859">
              <w:rPr>
                <w:szCs w:val="24"/>
              </w:rPr>
              <w:t>,</w:t>
            </w:r>
            <w:r w:rsidR="00FD4E64">
              <w:rPr>
                <w:szCs w:val="24"/>
              </w:rPr>
              <w:t>291</w:t>
            </w:r>
            <w:r w:rsidRPr="00294859">
              <w:rPr>
                <w:szCs w:val="24"/>
              </w:rPr>
              <w:t>)</w:t>
            </w:r>
          </w:p>
        </w:tc>
        <w:tc>
          <w:tcPr>
            <w:tcW w:w="1633" w:type="dxa"/>
            <w:gridSpan w:val="2"/>
          </w:tcPr>
          <w:p w14:paraId="47C8006E" w14:textId="29FD6C03" w:rsidR="00613663" w:rsidRPr="00DF39E9" w:rsidRDefault="00613663" w:rsidP="00613663">
            <w:pPr>
              <w:tabs>
                <w:tab w:val="decimal" w:pos="1080"/>
              </w:tabs>
              <w:jc w:val="right"/>
              <w:rPr>
                <w:szCs w:val="24"/>
              </w:rPr>
            </w:pPr>
            <w:r w:rsidRPr="00DF39E9">
              <w:rPr>
                <w:szCs w:val="24"/>
              </w:rPr>
              <w:t>(</w:t>
            </w:r>
            <w:r w:rsidR="00D1580B">
              <w:rPr>
                <w:szCs w:val="24"/>
              </w:rPr>
              <w:t>2</w:t>
            </w:r>
            <w:r w:rsidRPr="00DF39E9">
              <w:rPr>
                <w:szCs w:val="24"/>
              </w:rPr>
              <w:t>,</w:t>
            </w:r>
            <w:r w:rsidR="00D1580B">
              <w:rPr>
                <w:szCs w:val="24"/>
              </w:rPr>
              <w:t>257</w:t>
            </w:r>
            <w:r w:rsidRPr="00DF39E9">
              <w:rPr>
                <w:szCs w:val="24"/>
              </w:rPr>
              <w:t>)</w:t>
            </w:r>
          </w:p>
        </w:tc>
      </w:tr>
      <w:tr w:rsidR="00613663" w:rsidRPr="00DF39E9" w14:paraId="46248DBE" w14:textId="77777777" w:rsidTr="00530212">
        <w:trPr>
          <w:trHeight w:val="278"/>
        </w:trPr>
        <w:tc>
          <w:tcPr>
            <w:tcW w:w="5371" w:type="dxa"/>
          </w:tcPr>
          <w:p w14:paraId="3ACF50F2" w14:textId="77777777" w:rsidR="00613663" w:rsidRPr="00DF39E9" w:rsidRDefault="00613663" w:rsidP="00613663">
            <w:pPr>
              <w:rPr>
                <w:szCs w:val="24"/>
              </w:rPr>
            </w:pPr>
            <w:r w:rsidRPr="00DF39E9">
              <w:rPr>
                <w:szCs w:val="24"/>
              </w:rPr>
              <w:t>Interest and investment income</w:t>
            </w:r>
          </w:p>
        </w:tc>
        <w:tc>
          <w:tcPr>
            <w:tcW w:w="1633" w:type="dxa"/>
          </w:tcPr>
          <w:p w14:paraId="3E611B05" w14:textId="01F0FF1F" w:rsidR="00613663" w:rsidRPr="00294859" w:rsidRDefault="000E34AD" w:rsidP="00613663">
            <w:pPr>
              <w:tabs>
                <w:tab w:val="decimal" w:pos="1080"/>
              </w:tabs>
              <w:jc w:val="right"/>
              <w:rPr>
                <w:szCs w:val="24"/>
              </w:rPr>
            </w:pPr>
            <w:r>
              <w:rPr>
                <w:szCs w:val="24"/>
              </w:rPr>
              <w:t>(</w:t>
            </w:r>
            <w:r w:rsidR="00FD4E64">
              <w:rPr>
                <w:szCs w:val="24"/>
              </w:rPr>
              <w:t>2,291)</w:t>
            </w:r>
          </w:p>
        </w:tc>
        <w:tc>
          <w:tcPr>
            <w:tcW w:w="1633" w:type="dxa"/>
            <w:gridSpan w:val="2"/>
          </w:tcPr>
          <w:p w14:paraId="5414A429" w14:textId="171C9788" w:rsidR="00613663" w:rsidRPr="00DF39E9" w:rsidRDefault="00D1580B" w:rsidP="00613663">
            <w:pPr>
              <w:tabs>
                <w:tab w:val="decimal" w:pos="1080"/>
              </w:tabs>
              <w:jc w:val="right"/>
              <w:rPr>
                <w:szCs w:val="24"/>
              </w:rPr>
            </w:pPr>
            <w:r>
              <w:rPr>
                <w:szCs w:val="24"/>
              </w:rPr>
              <w:t>(1</w:t>
            </w:r>
            <w:r w:rsidR="003F72E6">
              <w:rPr>
                <w:szCs w:val="24"/>
              </w:rPr>
              <w:t>,</w:t>
            </w:r>
            <w:r>
              <w:rPr>
                <w:szCs w:val="24"/>
              </w:rPr>
              <w:t>574)</w:t>
            </w:r>
          </w:p>
        </w:tc>
      </w:tr>
      <w:tr w:rsidR="00613663" w:rsidRPr="00DF39E9" w14:paraId="177EA97B" w14:textId="77777777" w:rsidTr="00530212">
        <w:tc>
          <w:tcPr>
            <w:tcW w:w="5371" w:type="dxa"/>
          </w:tcPr>
          <w:p w14:paraId="035E95AF" w14:textId="541BB0CE" w:rsidR="00613663" w:rsidRPr="00DF39E9" w:rsidRDefault="00613663" w:rsidP="00613663">
            <w:pPr>
              <w:rPr>
                <w:szCs w:val="24"/>
              </w:rPr>
            </w:pPr>
            <w:r w:rsidRPr="00DF39E9">
              <w:rPr>
                <w:szCs w:val="24"/>
              </w:rPr>
              <w:t>Income from council tax, business rates and revenue support grant</w:t>
            </w:r>
          </w:p>
        </w:tc>
        <w:tc>
          <w:tcPr>
            <w:tcW w:w="1633" w:type="dxa"/>
            <w:vAlign w:val="center"/>
          </w:tcPr>
          <w:p w14:paraId="5EA0FE04" w14:textId="2AB6D0C3" w:rsidR="00613663" w:rsidRPr="00294859" w:rsidRDefault="003A0F63" w:rsidP="00613663">
            <w:pPr>
              <w:tabs>
                <w:tab w:val="decimal" w:pos="1080"/>
              </w:tabs>
              <w:jc w:val="right"/>
              <w:rPr>
                <w:szCs w:val="24"/>
              </w:rPr>
            </w:pPr>
            <w:r w:rsidRPr="00294859">
              <w:rPr>
                <w:szCs w:val="24"/>
              </w:rPr>
              <w:t>(70,122)</w:t>
            </w:r>
          </w:p>
        </w:tc>
        <w:tc>
          <w:tcPr>
            <w:tcW w:w="1633" w:type="dxa"/>
            <w:gridSpan w:val="2"/>
            <w:vAlign w:val="center"/>
          </w:tcPr>
          <w:p w14:paraId="611FFB8D" w14:textId="7692FBDC" w:rsidR="00613663" w:rsidRPr="00DF39E9" w:rsidRDefault="00613663" w:rsidP="00613663">
            <w:pPr>
              <w:tabs>
                <w:tab w:val="decimal" w:pos="1080"/>
              </w:tabs>
              <w:jc w:val="right"/>
              <w:rPr>
                <w:szCs w:val="24"/>
              </w:rPr>
            </w:pPr>
            <w:r w:rsidRPr="00DF39E9">
              <w:rPr>
                <w:szCs w:val="24"/>
              </w:rPr>
              <w:t>(63,910)</w:t>
            </w:r>
          </w:p>
        </w:tc>
      </w:tr>
      <w:tr w:rsidR="00613663" w:rsidRPr="00DF39E9" w14:paraId="0A633656" w14:textId="77777777" w:rsidTr="00530212">
        <w:trPr>
          <w:trHeight w:val="278"/>
        </w:trPr>
        <w:tc>
          <w:tcPr>
            <w:tcW w:w="5371" w:type="dxa"/>
          </w:tcPr>
          <w:p w14:paraId="71389E76" w14:textId="77777777" w:rsidR="00613663" w:rsidRPr="00DF39E9" w:rsidRDefault="00613663" w:rsidP="00613663">
            <w:pPr>
              <w:rPr>
                <w:szCs w:val="24"/>
              </w:rPr>
            </w:pPr>
            <w:r w:rsidRPr="00DF39E9">
              <w:rPr>
                <w:szCs w:val="24"/>
              </w:rPr>
              <w:t>Government grants and contributions</w:t>
            </w:r>
          </w:p>
        </w:tc>
        <w:tc>
          <w:tcPr>
            <w:tcW w:w="1633" w:type="dxa"/>
          </w:tcPr>
          <w:p w14:paraId="2423F959" w14:textId="46EC6AC5" w:rsidR="00613663" w:rsidRPr="00294859" w:rsidRDefault="003A0F63" w:rsidP="00613663">
            <w:pPr>
              <w:tabs>
                <w:tab w:val="decimal" w:pos="1080"/>
              </w:tabs>
              <w:jc w:val="right"/>
              <w:rPr>
                <w:szCs w:val="24"/>
              </w:rPr>
            </w:pPr>
            <w:r w:rsidRPr="00294859">
              <w:rPr>
                <w:szCs w:val="24"/>
              </w:rPr>
              <w:t>(8,665)</w:t>
            </w:r>
          </w:p>
        </w:tc>
        <w:tc>
          <w:tcPr>
            <w:tcW w:w="1633" w:type="dxa"/>
            <w:gridSpan w:val="2"/>
          </w:tcPr>
          <w:p w14:paraId="28F70CBD" w14:textId="2E287583" w:rsidR="00613663" w:rsidRPr="00DF39E9" w:rsidRDefault="00613663" w:rsidP="00613663">
            <w:pPr>
              <w:tabs>
                <w:tab w:val="decimal" w:pos="1080"/>
              </w:tabs>
              <w:jc w:val="right"/>
              <w:rPr>
                <w:szCs w:val="24"/>
              </w:rPr>
            </w:pPr>
            <w:r w:rsidRPr="00DF39E9">
              <w:rPr>
                <w:szCs w:val="24"/>
              </w:rPr>
              <w:t>(10,963)</w:t>
            </w:r>
          </w:p>
        </w:tc>
      </w:tr>
      <w:tr w:rsidR="00613663" w:rsidRPr="00DF39E9" w14:paraId="333A40D6" w14:textId="77777777" w:rsidTr="00530212">
        <w:trPr>
          <w:trHeight w:val="278"/>
        </w:trPr>
        <w:tc>
          <w:tcPr>
            <w:tcW w:w="5371" w:type="dxa"/>
          </w:tcPr>
          <w:p w14:paraId="1B2833D2" w14:textId="77777777" w:rsidR="00613663" w:rsidRPr="00DF39E9" w:rsidRDefault="00613663" w:rsidP="00613663">
            <w:pPr>
              <w:rPr>
                <w:b/>
                <w:bCs/>
                <w:szCs w:val="24"/>
              </w:rPr>
            </w:pPr>
            <w:r w:rsidRPr="00DF39E9">
              <w:rPr>
                <w:b/>
                <w:bCs/>
                <w:szCs w:val="24"/>
              </w:rPr>
              <w:t>Total Income</w:t>
            </w:r>
          </w:p>
        </w:tc>
        <w:tc>
          <w:tcPr>
            <w:tcW w:w="1633" w:type="dxa"/>
          </w:tcPr>
          <w:p w14:paraId="7058CA11" w14:textId="06E84DEE" w:rsidR="00613663" w:rsidRPr="00294859" w:rsidRDefault="003A0F63" w:rsidP="00613663">
            <w:pPr>
              <w:tabs>
                <w:tab w:val="decimal" w:pos="1080"/>
              </w:tabs>
              <w:jc w:val="right"/>
              <w:rPr>
                <w:b/>
                <w:szCs w:val="24"/>
              </w:rPr>
            </w:pPr>
            <w:r w:rsidRPr="00294859">
              <w:rPr>
                <w:b/>
                <w:szCs w:val="24"/>
              </w:rPr>
              <w:t>(83,369)</w:t>
            </w:r>
          </w:p>
        </w:tc>
        <w:tc>
          <w:tcPr>
            <w:tcW w:w="1633" w:type="dxa"/>
            <w:gridSpan w:val="2"/>
          </w:tcPr>
          <w:p w14:paraId="1668F413" w14:textId="2ABC0E66" w:rsidR="00613663" w:rsidRPr="00DF39E9" w:rsidRDefault="00613663" w:rsidP="00613663">
            <w:pPr>
              <w:tabs>
                <w:tab w:val="decimal" w:pos="1080"/>
              </w:tabs>
              <w:jc w:val="right"/>
              <w:rPr>
                <w:b/>
                <w:bCs/>
                <w:szCs w:val="24"/>
              </w:rPr>
            </w:pPr>
            <w:r w:rsidRPr="00DF39E9">
              <w:rPr>
                <w:b/>
                <w:bCs/>
                <w:szCs w:val="24"/>
              </w:rPr>
              <w:t>(78,705)</w:t>
            </w:r>
          </w:p>
        </w:tc>
      </w:tr>
    </w:tbl>
    <w:p w14:paraId="0C40016D" w14:textId="77777777" w:rsidR="00746F3D" w:rsidRPr="00DF39E9" w:rsidRDefault="00746F3D"/>
    <w:tbl>
      <w:tblPr>
        <w:tblStyle w:val="TableGrid"/>
        <w:tblW w:w="8642" w:type="dxa"/>
        <w:tblInd w:w="720" w:type="dxa"/>
        <w:tblLook w:val="04A0" w:firstRow="1" w:lastRow="0" w:firstColumn="1" w:lastColumn="0" w:noHBand="0" w:noVBand="1"/>
      </w:tblPr>
      <w:tblGrid>
        <w:gridCol w:w="5374"/>
        <w:gridCol w:w="1635"/>
        <w:gridCol w:w="1633"/>
      </w:tblGrid>
      <w:tr w:rsidR="002C390E" w:rsidRPr="00D948C1" w14:paraId="1AD2AFF0" w14:textId="77777777" w:rsidTr="00C4656D">
        <w:trPr>
          <w:trHeight w:val="278"/>
        </w:trPr>
        <w:tc>
          <w:tcPr>
            <w:tcW w:w="5374" w:type="dxa"/>
          </w:tcPr>
          <w:p w14:paraId="2ED2A97A" w14:textId="0CD63025" w:rsidR="002C390E" w:rsidRPr="00DF39E9" w:rsidRDefault="000F6495" w:rsidP="000F5BFB">
            <w:pPr>
              <w:rPr>
                <w:b/>
                <w:bCs/>
                <w:szCs w:val="24"/>
              </w:rPr>
            </w:pPr>
            <w:r>
              <w:rPr>
                <w:b/>
                <w:bCs/>
                <w:szCs w:val="24"/>
              </w:rPr>
              <w:t>(S</w:t>
            </w:r>
            <w:r w:rsidR="002C390E" w:rsidRPr="00DF39E9">
              <w:rPr>
                <w:b/>
                <w:bCs/>
                <w:szCs w:val="24"/>
              </w:rPr>
              <w:t>urplus</w:t>
            </w:r>
            <w:r>
              <w:rPr>
                <w:b/>
                <w:bCs/>
                <w:szCs w:val="24"/>
              </w:rPr>
              <w:t>)</w:t>
            </w:r>
            <w:r w:rsidR="00CE3033">
              <w:rPr>
                <w:b/>
                <w:bCs/>
                <w:szCs w:val="24"/>
              </w:rPr>
              <w:t>/Deficit</w:t>
            </w:r>
            <w:r w:rsidR="002C390E" w:rsidRPr="00DF39E9">
              <w:rPr>
                <w:b/>
                <w:bCs/>
                <w:szCs w:val="24"/>
              </w:rPr>
              <w:t xml:space="preserve"> on the provision of services</w:t>
            </w:r>
          </w:p>
        </w:tc>
        <w:tc>
          <w:tcPr>
            <w:tcW w:w="1635" w:type="dxa"/>
            <w:vAlign w:val="center"/>
          </w:tcPr>
          <w:p w14:paraId="62BC7CF8" w14:textId="1C932FD5" w:rsidR="002C390E" w:rsidRPr="00294859" w:rsidRDefault="00295B58" w:rsidP="006F5D07">
            <w:pPr>
              <w:tabs>
                <w:tab w:val="decimal" w:pos="1080"/>
              </w:tabs>
              <w:rPr>
                <w:b/>
                <w:szCs w:val="24"/>
              </w:rPr>
            </w:pPr>
            <w:r w:rsidRPr="00294859">
              <w:rPr>
                <w:b/>
                <w:szCs w:val="24"/>
              </w:rPr>
              <w:t>3,054</w:t>
            </w:r>
          </w:p>
        </w:tc>
        <w:tc>
          <w:tcPr>
            <w:tcW w:w="1633" w:type="dxa"/>
            <w:vAlign w:val="center"/>
          </w:tcPr>
          <w:p w14:paraId="6F48481C" w14:textId="6EDFCD16" w:rsidR="002C390E" w:rsidRPr="00D948C1" w:rsidRDefault="00613663" w:rsidP="00C4656D">
            <w:pPr>
              <w:tabs>
                <w:tab w:val="decimal" w:pos="1080"/>
              </w:tabs>
              <w:jc w:val="right"/>
              <w:rPr>
                <w:b/>
                <w:bCs/>
                <w:szCs w:val="24"/>
              </w:rPr>
            </w:pPr>
            <w:r w:rsidRPr="00DF39E9">
              <w:rPr>
                <w:b/>
                <w:bCs/>
                <w:szCs w:val="24"/>
              </w:rPr>
              <w:t>5,838</w:t>
            </w:r>
          </w:p>
        </w:tc>
      </w:tr>
    </w:tbl>
    <w:p w14:paraId="3BB37986" w14:textId="77777777" w:rsidR="00514629" w:rsidRDefault="00514629" w:rsidP="00514629">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0053A330" w14:textId="77777777" w:rsidR="00D43423" w:rsidRPr="0062713E" w:rsidRDefault="00D43423" w:rsidP="00D43423"/>
    <w:p w14:paraId="77F81093" w14:textId="51EF9C41" w:rsidR="00920F2A" w:rsidRPr="00D948C1" w:rsidRDefault="00C52475" w:rsidP="006563F1">
      <w:pPr>
        <w:pStyle w:val="Heading2"/>
        <w:jc w:val="left"/>
        <w:rPr>
          <w:sz w:val="24"/>
          <w:szCs w:val="24"/>
        </w:rPr>
      </w:pPr>
      <w:bookmarkStart w:id="92" w:name="_29_Significant_Judgements"/>
      <w:bookmarkStart w:id="93" w:name="_Toc215593420"/>
      <w:bookmarkEnd w:id="92"/>
      <w:r w:rsidRPr="77119DA7">
        <w:rPr>
          <w:sz w:val="24"/>
          <w:szCs w:val="24"/>
        </w:rPr>
        <w:t>2</w:t>
      </w:r>
      <w:r w:rsidR="00B62A26">
        <w:rPr>
          <w:sz w:val="24"/>
          <w:szCs w:val="24"/>
        </w:rPr>
        <w:t>9</w:t>
      </w:r>
      <w:r>
        <w:tab/>
      </w:r>
      <w:bookmarkStart w:id="94" w:name="N28"/>
      <w:bookmarkEnd w:id="94"/>
      <w:r w:rsidR="00BA769B" w:rsidRPr="77119DA7">
        <w:rPr>
          <w:sz w:val="24"/>
          <w:szCs w:val="24"/>
        </w:rPr>
        <w:t xml:space="preserve">Significant </w:t>
      </w:r>
      <w:r w:rsidR="00920F2A" w:rsidRPr="77119DA7">
        <w:rPr>
          <w:sz w:val="24"/>
          <w:szCs w:val="24"/>
        </w:rPr>
        <w:t>Judgements</w:t>
      </w:r>
      <w:bookmarkEnd w:id="93"/>
    </w:p>
    <w:p w14:paraId="02A0C673" w14:textId="77777777" w:rsidR="00920F2A" w:rsidRPr="00D948C1" w:rsidRDefault="00920F2A" w:rsidP="007446B1">
      <w:pPr>
        <w:tabs>
          <w:tab w:val="decimal" w:pos="709"/>
        </w:tabs>
        <w:ind w:left="709"/>
        <w:rPr>
          <w:szCs w:val="24"/>
        </w:rPr>
      </w:pPr>
    </w:p>
    <w:p w14:paraId="6F7F8BE9" w14:textId="6ED2D7B7" w:rsidR="005E1E00" w:rsidRPr="0002177D" w:rsidRDefault="005E1E00" w:rsidP="007446B1">
      <w:pPr>
        <w:ind w:left="720"/>
        <w:rPr>
          <w:u w:val="single"/>
        </w:rPr>
      </w:pPr>
      <w:r w:rsidRPr="0002177D">
        <w:rPr>
          <w:u w:val="single"/>
        </w:rPr>
        <w:t xml:space="preserve">Joint Operation – </w:t>
      </w:r>
      <w:proofErr w:type="gramStart"/>
      <w:r w:rsidRPr="0002177D">
        <w:rPr>
          <w:u w:val="single"/>
        </w:rPr>
        <w:t>North West</w:t>
      </w:r>
      <w:proofErr w:type="gramEnd"/>
      <w:r w:rsidRPr="0002177D">
        <w:rPr>
          <w:u w:val="single"/>
        </w:rPr>
        <w:t xml:space="preserve"> </w:t>
      </w:r>
      <w:proofErr w:type="spellStart"/>
      <w:r w:rsidRPr="0002177D">
        <w:rPr>
          <w:u w:val="single"/>
        </w:rPr>
        <w:t>FireControl</w:t>
      </w:r>
      <w:proofErr w:type="spellEnd"/>
    </w:p>
    <w:p w14:paraId="5DF5D385" w14:textId="7590C40F" w:rsidR="005E1E00" w:rsidRPr="0002177D" w:rsidRDefault="005E1E00" w:rsidP="007446B1">
      <w:pPr>
        <w:spacing w:after="240"/>
        <w:ind w:left="720"/>
        <w:rPr>
          <w:rFonts w:cs="Arial"/>
          <w:lang w:eastAsia="en-GB"/>
        </w:rPr>
      </w:pPr>
      <w:r w:rsidRPr="0002177D">
        <w:rPr>
          <w:rFonts w:cs="Arial"/>
          <w:lang w:eastAsia="en-GB"/>
        </w:rPr>
        <w:t>An assessment for Group Accounting requirements has taken place during 202</w:t>
      </w:r>
      <w:r w:rsidR="631660E4" w:rsidRPr="0002177D">
        <w:rPr>
          <w:rFonts w:cs="Arial"/>
          <w:lang w:eastAsia="en-GB"/>
        </w:rPr>
        <w:t>4</w:t>
      </w:r>
      <w:r w:rsidR="00CF111B" w:rsidRPr="0002177D">
        <w:rPr>
          <w:rFonts w:cs="Arial"/>
          <w:lang w:eastAsia="en-GB"/>
        </w:rPr>
        <w:t>/2</w:t>
      </w:r>
      <w:r w:rsidR="4230FE38" w:rsidRPr="0002177D">
        <w:rPr>
          <w:rFonts w:cs="Arial"/>
          <w:lang w:eastAsia="en-GB"/>
        </w:rPr>
        <w:t>5</w:t>
      </w:r>
      <w:r w:rsidRPr="0002177D">
        <w:rPr>
          <w:rFonts w:cs="Arial"/>
          <w:lang w:eastAsia="en-GB"/>
        </w:rPr>
        <w:t xml:space="preserve"> in respect of NW </w:t>
      </w:r>
      <w:proofErr w:type="spellStart"/>
      <w:r w:rsidRPr="0002177D">
        <w:rPr>
          <w:rFonts w:cs="Arial"/>
          <w:lang w:eastAsia="en-GB"/>
        </w:rPr>
        <w:t>FireControl</w:t>
      </w:r>
      <w:proofErr w:type="spellEnd"/>
      <w:r w:rsidRPr="0002177D">
        <w:rPr>
          <w:rFonts w:cs="Arial"/>
          <w:lang w:eastAsia="en-GB"/>
        </w:rPr>
        <w:t xml:space="preserve"> Limited. This is in accordance with the Code of Practice on Local Authority Accounting in the United Kingdom Based on International Financial Reporting Standards (IFRS 10, 11 &amp; 12).</w:t>
      </w:r>
    </w:p>
    <w:p w14:paraId="3AC06EC8" w14:textId="305F3A0A" w:rsidR="005E1E00" w:rsidRPr="00D948C1" w:rsidRDefault="005E1E00" w:rsidP="007446B1">
      <w:pPr>
        <w:spacing w:after="240"/>
        <w:ind w:left="720"/>
        <w:rPr>
          <w:rFonts w:cs="Arial"/>
          <w:lang w:eastAsia="en-GB"/>
        </w:rPr>
      </w:pPr>
      <w:r w:rsidRPr="0002177D">
        <w:rPr>
          <w:rFonts w:cs="Arial"/>
          <w:lang w:eastAsia="en-GB"/>
        </w:rPr>
        <w:t xml:space="preserve">It has been determined that the company is governed by Joint Control </w:t>
      </w:r>
      <w:r w:rsidR="000F5BFB" w:rsidRPr="0002177D">
        <w:rPr>
          <w:rFonts w:cs="Arial"/>
          <w:lang w:eastAsia="en-GB"/>
        </w:rPr>
        <w:t>since</w:t>
      </w:r>
      <w:r w:rsidRPr="0002177D">
        <w:rPr>
          <w:rFonts w:cs="Arial"/>
          <w:lang w:eastAsia="en-GB"/>
        </w:rPr>
        <w:t xml:space="preserve"> unanimous consent exists for key decisions and that each Authority has equal voting rights. This joint arrangement has been deemed to be a Joint Operation as the parties have rights to the assets, and obligations for the liabilities relating to the arrangement, and on this basis, the Authority’s 25% share of the transactions and balances of NW </w:t>
      </w:r>
      <w:proofErr w:type="spellStart"/>
      <w:r w:rsidRPr="0002177D">
        <w:rPr>
          <w:rFonts w:cs="Arial"/>
          <w:lang w:eastAsia="en-GB"/>
        </w:rPr>
        <w:t>FireControl</w:t>
      </w:r>
      <w:proofErr w:type="spellEnd"/>
      <w:r w:rsidRPr="0002177D">
        <w:rPr>
          <w:rFonts w:cs="Arial"/>
          <w:lang w:eastAsia="en-GB"/>
        </w:rPr>
        <w:t xml:space="preserve"> Limited have been recognised within the acc</w:t>
      </w:r>
      <w:r w:rsidRPr="2DDE738B">
        <w:rPr>
          <w:rFonts w:cs="Arial"/>
          <w:lang w:eastAsia="en-GB"/>
        </w:rPr>
        <w:t>ounts.</w:t>
      </w:r>
    </w:p>
    <w:p w14:paraId="1ED1A0B1" w14:textId="08D8E307" w:rsidR="009B6F2A" w:rsidRPr="00D948C1" w:rsidRDefault="00B62A26" w:rsidP="006563F1">
      <w:pPr>
        <w:pStyle w:val="Heading2"/>
        <w:jc w:val="left"/>
        <w:rPr>
          <w:sz w:val="24"/>
          <w:szCs w:val="24"/>
        </w:rPr>
      </w:pPr>
      <w:bookmarkStart w:id="95" w:name="_30_Accounting_Policies"/>
      <w:bookmarkStart w:id="96" w:name="_Toc215593421"/>
      <w:bookmarkStart w:id="97" w:name="_Hlk170823081"/>
      <w:bookmarkEnd w:id="95"/>
      <w:r>
        <w:rPr>
          <w:sz w:val="24"/>
          <w:szCs w:val="24"/>
        </w:rPr>
        <w:t>30</w:t>
      </w:r>
      <w:r w:rsidR="00920F2A" w:rsidRPr="00D948C1">
        <w:rPr>
          <w:sz w:val="24"/>
          <w:szCs w:val="24"/>
        </w:rPr>
        <w:tab/>
      </w:r>
      <w:bookmarkStart w:id="98" w:name="N29"/>
      <w:bookmarkEnd w:id="98"/>
      <w:r w:rsidR="009B6F2A" w:rsidRPr="00D948C1">
        <w:rPr>
          <w:sz w:val="24"/>
          <w:szCs w:val="24"/>
        </w:rPr>
        <w:t>Accounting Policies</w:t>
      </w:r>
      <w:bookmarkEnd w:id="96"/>
    </w:p>
    <w:p w14:paraId="6B0E6E3B" w14:textId="77777777" w:rsidR="009B6F2A" w:rsidRPr="00D948C1" w:rsidRDefault="009B6F2A" w:rsidP="007446B1">
      <w:pPr>
        <w:rPr>
          <w:b/>
          <w:szCs w:val="24"/>
        </w:rPr>
      </w:pPr>
    </w:p>
    <w:p w14:paraId="23A7B5A9" w14:textId="77777777" w:rsidR="00FB3503" w:rsidRPr="00DA34EC" w:rsidRDefault="00FB3503" w:rsidP="007446B1">
      <w:pPr>
        <w:ind w:left="720"/>
        <w:rPr>
          <w:b/>
        </w:rPr>
      </w:pPr>
      <w:r w:rsidRPr="2DDE738B">
        <w:rPr>
          <w:b/>
        </w:rPr>
        <w:t>a</w:t>
      </w:r>
      <w:r>
        <w:tab/>
      </w:r>
      <w:r w:rsidRPr="00DA34EC">
        <w:rPr>
          <w:b/>
        </w:rPr>
        <w:t>General Principles</w:t>
      </w:r>
    </w:p>
    <w:p w14:paraId="73F0E158" w14:textId="77777777" w:rsidR="00FB3503" w:rsidRPr="00DA34EC" w:rsidRDefault="00FB3503" w:rsidP="007446B1">
      <w:pPr>
        <w:pStyle w:val="Footer"/>
        <w:tabs>
          <w:tab w:val="clear" w:pos="4153"/>
          <w:tab w:val="clear" w:pos="8306"/>
        </w:tabs>
        <w:ind w:left="720"/>
      </w:pPr>
    </w:p>
    <w:p w14:paraId="0BDB833E" w14:textId="272F4FBB" w:rsidR="00FB3503" w:rsidRPr="00DA34EC" w:rsidRDefault="00BB513F" w:rsidP="77119DA7">
      <w:pPr>
        <w:pStyle w:val="BodyTextIndent2"/>
        <w:ind w:left="1440" w:firstLine="0"/>
      </w:pPr>
      <w:r w:rsidRPr="00DA34EC">
        <w:t>The Statement of Accounts summarises the Authority’s transactions for the 20</w:t>
      </w:r>
      <w:r w:rsidR="00C52475" w:rsidRPr="00DA34EC">
        <w:t>2</w:t>
      </w:r>
      <w:r w:rsidR="676E9418" w:rsidRPr="00DA34EC">
        <w:t>4</w:t>
      </w:r>
      <w:r w:rsidR="00CF111B" w:rsidRPr="00DA34EC">
        <w:t>/2</w:t>
      </w:r>
      <w:r w:rsidR="01F8D7DE" w:rsidRPr="00DA34EC">
        <w:t>5</w:t>
      </w:r>
      <w:r w:rsidRPr="00DA34EC">
        <w:t xml:space="preserve"> financial year and its position at the year end of 31 March 202</w:t>
      </w:r>
      <w:r w:rsidR="22A8723D" w:rsidRPr="00DA34EC">
        <w:t>5</w:t>
      </w:r>
      <w:r w:rsidRPr="00DA34EC">
        <w:t>.</w:t>
      </w:r>
      <w:r w:rsidR="00365CAA">
        <w:t xml:space="preserve"> </w:t>
      </w:r>
    </w:p>
    <w:p w14:paraId="087118A5" w14:textId="770F6F25" w:rsidR="00FB3503" w:rsidRPr="00DA34EC" w:rsidRDefault="00FB3503" w:rsidP="77119DA7">
      <w:pPr>
        <w:pStyle w:val="BodyTextIndent2"/>
        <w:ind w:left="1440" w:firstLine="0"/>
      </w:pPr>
    </w:p>
    <w:p w14:paraId="7B01DBB6" w14:textId="7ED7003C" w:rsidR="00FB3503" w:rsidRPr="00DA34EC" w:rsidRDefault="00BB513F" w:rsidP="007446B1">
      <w:pPr>
        <w:pStyle w:val="BodyTextIndent2"/>
        <w:ind w:left="1440" w:firstLine="0"/>
      </w:pPr>
      <w:r w:rsidRPr="00DA34EC">
        <w:lastRenderedPageBreak/>
        <w:t>The Authority is required to prepare an annual Statement of Accounts by the Accounts and Audit Regulations 2015</w:t>
      </w:r>
      <w:r w:rsidR="00C52475" w:rsidRPr="00DA34EC">
        <w:t xml:space="preserve">, </w:t>
      </w:r>
      <w:r w:rsidR="00D01A7F" w:rsidRPr="00DA34EC">
        <w:t>as amended by the Accounts and Audit (Coronavirus)(Amendment) Regulations 202</w:t>
      </w:r>
      <w:r w:rsidR="00D63CF1" w:rsidRPr="00DA34EC">
        <w:t>1</w:t>
      </w:r>
      <w:r w:rsidRPr="00DA34EC">
        <w:t>, which those regulations require to be prepared in accordance with proper accounting practices. These practices primarily comprise the Code of Practice on Local Authority Accounting in the United Kingdom – 20</w:t>
      </w:r>
      <w:r w:rsidR="00C52475" w:rsidRPr="00DA34EC">
        <w:t>2</w:t>
      </w:r>
      <w:r w:rsidR="4DF9027D" w:rsidRPr="00DA34EC">
        <w:t>4</w:t>
      </w:r>
      <w:r w:rsidR="00CF111B" w:rsidRPr="00DA34EC">
        <w:t>/2</w:t>
      </w:r>
      <w:r w:rsidR="372ACD3F" w:rsidRPr="00DA34EC">
        <w:t>5</w:t>
      </w:r>
      <w:r w:rsidRPr="00DA34EC">
        <w:t>, supported by International Financial Reporting Standards (IFRS).</w:t>
      </w:r>
    </w:p>
    <w:p w14:paraId="1156C0F1" w14:textId="77777777" w:rsidR="00FB3503" w:rsidRPr="00DA34EC" w:rsidRDefault="00FB3503" w:rsidP="007446B1">
      <w:pPr>
        <w:pStyle w:val="BodyTextIndent2"/>
        <w:ind w:left="1440" w:firstLine="0"/>
      </w:pPr>
    </w:p>
    <w:p w14:paraId="48349FB6" w14:textId="450D33BB" w:rsidR="00FB3503" w:rsidRPr="00DA34EC" w:rsidRDefault="00FB3503" w:rsidP="007446B1">
      <w:pPr>
        <w:pStyle w:val="BodyTextIndent2"/>
        <w:ind w:left="1440" w:firstLine="0"/>
      </w:pPr>
      <w:r w:rsidRPr="00DA34EC">
        <w:t>The accounting convention adopted in the Statement of Accounts is principally historical cost, modified by the revaluation of certain categories of non-current assets and financial instruments.</w:t>
      </w:r>
    </w:p>
    <w:p w14:paraId="25DFF1DE" w14:textId="77777777" w:rsidR="00FB3503" w:rsidRPr="00DA34EC" w:rsidRDefault="00FB3503" w:rsidP="007446B1">
      <w:pPr>
        <w:ind w:left="720"/>
      </w:pPr>
    </w:p>
    <w:p w14:paraId="1B4EA8F1" w14:textId="77777777" w:rsidR="00FB3503" w:rsidRPr="00DA34EC" w:rsidRDefault="00FB3503" w:rsidP="007446B1">
      <w:pPr>
        <w:ind w:left="720"/>
        <w:rPr>
          <w:b/>
        </w:rPr>
      </w:pPr>
      <w:r w:rsidRPr="00DA34EC">
        <w:rPr>
          <w:b/>
        </w:rPr>
        <w:t>b</w:t>
      </w:r>
      <w:r>
        <w:tab/>
      </w:r>
      <w:r w:rsidRPr="00DA34EC">
        <w:rPr>
          <w:b/>
        </w:rPr>
        <w:t>Accruals of income and expenditure</w:t>
      </w:r>
    </w:p>
    <w:p w14:paraId="33B3F07B" w14:textId="77777777" w:rsidR="00FB3503" w:rsidRPr="00DA34EC" w:rsidRDefault="00FB3503" w:rsidP="007446B1">
      <w:pPr>
        <w:ind w:left="720"/>
      </w:pPr>
    </w:p>
    <w:p w14:paraId="191D6ABD" w14:textId="68BA4C44" w:rsidR="00FB3503" w:rsidRPr="00DA34EC" w:rsidRDefault="00FB3503" w:rsidP="007446B1">
      <w:pPr>
        <w:pStyle w:val="BodyTextIndent"/>
        <w:ind w:left="1440"/>
        <w:rPr>
          <w:lang w:val="en-GB"/>
        </w:rPr>
      </w:pPr>
      <w:r w:rsidRPr="00DA34EC">
        <w:rPr>
          <w:lang w:val="en-GB"/>
        </w:rPr>
        <w:t>Activity is accounted for in the year that it takes place, not simply when cash payments are made or received</w:t>
      </w:r>
      <w:r w:rsidR="2FA79221" w:rsidRPr="00DA34EC">
        <w:rPr>
          <w:lang w:val="en-GB"/>
        </w:rPr>
        <w:t xml:space="preserve"> in accordance with section 2.7 of IFRS 15.</w:t>
      </w:r>
      <w:r w:rsidRPr="00DA34EC">
        <w:rPr>
          <w:lang w:val="en-GB"/>
        </w:rPr>
        <w:t xml:space="preserve"> In particular:</w:t>
      </w:r>
    </w:p>
    <w:p w14:paraId="6696749A" w14:textId="2B251D7C" w:rsidR="2E0ABF7F" w:rsidRPr="00DA34EC" w:rsidRDefault="2E0ABF7F" w:rsidP="00DA34EC">
      <w:pPr>
        <w:pStyle w:val="BodyTextIndent"/>
        <w:numPr>
          <w:ilvl w:val="0"/>
          <w:numId w:val="10"/>
        </w:numPr>
        <w:rPr>
          <w:lang w:val="en-GB"/>
        </w:rPr>
      </w:pPr>
      <w:r w:rsidRPr="00DA34EC">
        <w:rPr>
          <w:lang w:val="en-GB"/>
        </w:rPr>
        <w:t>Revenue from provision of services is recognised when the Authority can measure reliability of the transaction.</w:t>
      </w:r>
    </w:p>
    <w:p w14:paraId="18949626" w14:textId="77777777" w:rsidR="00FB3503" w:rsidRPr="00DA34EC" w:rsidRDefault="00FB3503" w:rsidP="007446B1">
      <w:pPr>
        <w:pStyle w:val="BodyTextIndent"/>
        <w:numPr>
          <w:ilvl w:val="0"/>
          <w:numId w:val="10"/>
        </w:numPr>
        <w:rPr>
          <w:lang w:val="en-GB"/>
        </w:rPr>
      </w:pPr>
      <w:r w:rsidRPr="00DA34EC">
        <w:rPr>
          <w:lang w:val="en-GB"/>
        </w:rPr>
        <w:t>Supplies are recorded as expenditure when they are consumed – where there is a gap between the date supplies are received and their consumption, they are carried as inventories on the Balance Sheet.</w:t>
      </w:r>
    </w:p>
    <w:p w14:paraId="17510035" w14:textId="77777777" w:rsidR="00FB3503" w:rsidRPr="00DA34EC" w:rsidRDefault="00FB3503" w:rsidP="007446B1">
      <w:pPr>
        <w:pStyle w:val="BodyTextIndent"/>
        <w:numPr>
          <w:ilvl w:val="0"/>
          <w:numId w:val="10"/>
        </w:numPr>
        <w:rPr>
          <w:lang w:val="en-GB"/>
        </w:rPr>
      </w:pPr>
      <w:r w:rsidRPr="00DA34EC">
        <w:rPr>
          <w:lang w:val="en-GB"/>
        </w:rPr>
        <w:t>Expenses in relation to services received (including services provided by employees) are recorded as expenditure when the services are received rather than when payments are made.</w:t>
      </w:r>
    </w:p>
    <w:p w14:paraId="1981A0E9" w14:textId="70FDDCC6" w:rsidR="00FB3503" w:rsidRPr="00DA34EC" w:rsidRDefault="00FB3503" w:rsidP="007446B1">
      <w:pPr>
        <w:pStyle w:val="BodyTextIndent"/>
        <w:numPr>
          <w:ilvl w:val="0"/>
          <w:numId w:val="10"/>
        </w:numPr>
        <w:rPr>
          <w:lang w:val="en-GB"/>
        </w:rPr>
      </w:pPr>
      <w:r w:rsidRPr="00DA34EC">
        <w:rPr>
          <w:lang w:val="en-GB"/>
        </w:rPr>
        <w:t xml:space="preserve">Interest receivable on investments and payable on borrowings is accounted for respectively as income and expenditure </w:t>
      </w:r>
      <w:r w:rsidR="0094180B" w:rsidRPr="00DA34EC">
        <w:rPr>
          <w:lang w:val="en-GB"/>
        </w:rPr>
        <w:t>based on</w:t>
      </w:r>
      <w:r w:rsidRPr="00DA34EC">
        <w:rPr>
          <w:lang w:val="en-GB"/>
        </w:rPr>
        <w:t xml:space="preserve"> the effective interest rate for the relevant financial instrument rather than the cash flows fixed or determined by the contract.</w:t>
      </w:r>
      <w:r w:rsidRPr="2DDE738B">
        <w:rPr>
          <w:lang w:val="en-GB"/>
        </w:rPr>
        <w:t xml:space="preserve"> </w:t>
      </w:r>
    </w:p>
    <w:p w14:paraId="1D06D234" w14:textId="42C20D82" w:rsidR="00FB3503" w:rsidRPr="00DA34EC" w:rsidRDefault="00FB3503" w:rsidP="007446B1">
      <w:pPr>
        <w:pStyle w:val="BodyTextIndent"/>
        <w:numPr>
          <w:ilvl w:val="0"/>
          <w:numId w:val="10"/>
        </w:numPr>
        <w:rPr>
          <w:lang w:val="en-GB"/>
        </w:rPr>
      </w:pPr>
      <w:r w:rsidRPr="00DA34EC">
        <w:rPr>
          <w:lang w:val="en-GB"/>
        </w:rPr>
        <w:t>Where income and expenditure have been recognised but cash has not been received or paid, a debtor or a creditor for the relevant amount is recorded in the Balance Sheet. Where debts may not be settled, the balance of debtors is written down and a charge made to revenue for the income that might not be collected.</w:t>
      </w:r>
    </w:p>
    <w:p w14:paraId="29BADA47" w14:textId="77777777" w:rsidR="00703D67" w:rsidRPr="00DA34EC" w:rsidRDefault="00703D67" w:rsidP="007446B1">
      <w:pPr>
        <w:rPr>
          <w:b/>
        </w:rPr>
      </w:pPr>
    </w:p>
    <w:p w14:paraId="005490EA" w14:textId="77777777" w:rsidR="00FB3503" w:rsidRPr="00DA34EC" w:rsidRDefault="00FB3503" w:rsidP="007446B1">
      <w:pPr>
        <w:ind w:left="720"/>
        <w:rPr>
          <w:b/>
        </w:rPr>
      </w:pPr>
      <w:r w:rsidRPr="00DA34EC">
        <w:rPr>
          <w:b/>
        </w:rPr>
        <w:t>c</w:t>
      </w:r>
      <w:r>
        <w:tab/>
      </w:r>
      <w:r w:rsidRPr="00DA34EC">
        <w:rPr>
          <w:b/>
        </w:rPr>
        <w:t>Cash &amp; cash equivalents</w:t>
      </w:r>
    </w:p>
    <w:p w14:paraId="4748208C" w14:textId="77777777" w:rsidR="00FB3503" w:rsidRPr="00DA34EC" w:rsidRDefault="00FB3503" w:rsidP="007446B1">
      <w:pPr>
        <w:ind w:left="720"/>
        <w:rPr>
          <w:b/>
        </w:rPr>
      </w:pPr>
    </w:p>
    <w:p w14:paraId="351575E6" w14:textId="298D0C7E" w:rsidR="00FB3503" w:rsidRPr="00DA34EC" w:rsidRDefault="00FB3503" w:rsidP="007446B1">
      <w:pPr>
        <w:pStyle w:val="BodyTextIndent"/>
        <w:ind w:left="1440"/>
      </w:pPr>
      <w:r w:rsidRPr="00DA34EC">
        <w:t>Cash is represented by cash in hand and deposits repayable without penalty on notice of not more than 24 hours. Cash equivalents are investments that mature in three months or less from the date of acquisition and that are readily convertible to known amounts of cash with insignificant risk of change in value.</w:t>
      </w:r>
    </w:p>
    <w:p w14:paraId="1358D505" w14:textId="77777777" w:rsidR="00FB3503" w:rsidRPr="00DA34EC" w:rsidRDefault="00FB3503" w:rsidP="007446B1">
      <w:pPr>
        <w:pStyle w:val="BodyTextIndent"/>
        <w:ind w:left="1440"/>
      </w:pPr>
    </w:p>
    <w:p w14:paraId="51F0D9D6" w14:textId="77777777" w:rsidR="00FB3503" w:rsidRPr="00DA34EC" w:rsidRDefault="00FB3503" w:rsidP="007446B1">
      <w:pPr>
        <w:pStyle w:val="BodyTextIndent"/>
        <w:ind w:left="1440"/>
      </w:pPr>
      <w:r w:rsidRPr="00DA34EC">
        <w:t>In the Cash Flow Statement, cash and cash equivalents are shown net of bank overdrafts that are repayable on demand and form an integral part of the Authority’s cash management.</w:t>
      </w:r>
    </w:p>
    <w:p w14:paraId="33F636AC" w14:textId="761687A4" w:rsidR="00FB3503" w:rsidRPr="00DA34EC" w:rsidRDefault="00FB3503" w:rsidP="007446B1">
      <w:pPr>
        <w:rPr>
          <w:b/>
        </w:rPr>
      </w:pPr>
      <w:r w:rsidRPr="00D948C1">
        <w:rPr>
          <w:b/>
          <w:szCs w:val="24"/>
        </w:rPr>
        <w:tab/>
      </w:r>
    </w:p>
    <w:p w14:paraId="079C2813" w14:textId="77777777" w:rsidR="00FB3503" w:rsidRPr="00DA34EC" w:rsidRDefault="00FB3503" w:rsidP="007446B1">
      <w:pPr>
        <w:ind w:left="720"/>
        <w:rPr>
          <w:b/>
        </w:rPr>
      </w:pPr>
      <w:r w:rsidRPr="00DA34EC">
        <w:rPr>
          <w:b/>
        </w:rPr>
        <w:t>d</w:t>
      </w:r>
      <w:r>
        <w:tab/>
      </w:r>
      <w:r w:rsidRPr="00DA34EC">
        <w:rPr>
          <w:b/>
        </w:rPr>
        <w:t>Charges to Revenue for Non-Current Assets</w:t>
      </w:r>
    </w:p>
    <w:p w14:paraId="0CBA0E3D" w14:textId="77777777" w:rsidR="00FB3503" w:rsidRPr="00DA34EC" w:rsidRDefault="00FB3503" w:rsidP="007446B1">
      <w:pPr>
        <w:ind w:left="720"/>
      </w:pPr>
    </w:p>
    <w:p w14:paraId="58C0E983" w14:textId="77777777" w:rsidR="00FB3503" w:rsidRPr="00DA34EC" w:rsidRDefault="00FB3503" w:rsidP="007446B1">
      <w:pPr>
        <w:pStyle w:val="BodyTextIndent"/>
        <w:ind w:left="1440"/>
        <w:rPr>
          <w:lang w:val="en-GB"/>
        </w:rPr>
      </w:pPr>
      <w:r w:rsidRPr="00DA34EC">
        <w:rPr>
          <w:lang w:val="en-GB"/>
        </w:rPr>
        <w:t>Services, support services and trading accounts are debited with the following amounts to record the cost of holding fixed assets during the year:</w:t>
      </w:r>
    </w:p>
    <w:p w14:paraId="7BCB3EFF" w14:textId="560B93A3" w:rsidR="00FB3503" w:rsidRPr="00DA34EC" w:rsidRDefault="00FB3503" w:rsidP="007446B1">
      <w:pPr>
        <w:pStyle w:val="BodyTextIndent"/>
        <w:numPr>
          <w:ilvl w:val="0"/>
          <w:numId w:val="11"/>
        </w:numPr>
        <w:rPr>
          <w:lang w:val="en-GB"/>
        </w:rPr>
      </w:pPr>
      <w:r w:rsidRPr="00DA34EC">
        <w:rPr>
          <w:lang w:val="en-GB"/>
        </w:rPr>
        <w:t>Depreciation attributable to the assets used by the relevant service</w:t>
      </w:r>
      <w:r w:rsidR="0094180B" w:rsidRPr="00DA34EC">
        <w:rPr>
          <w:lang w:val="en-GB"/>
        </w:rPr>
        <w:t>.</w:t>
      </w:r>
    </w:p>
    <w:p w14:paraId="3F3CB8DE" w14:textId="42BEC9E3" w:rsidR="00FB3503" w:rsidRPr="00DA34EC" w:rsidRDefault="00FB3503" w:rsidP="007446B1">
      <w:pPr>
        <w:pStyle w:val="BodyTextIndent"/>
        <w:numPr>
          <w:ilvl w:val="0"/>
          <w:numId w:val="11"/>
        </w:numPr>
        <w:rPr>
          <w:lang w:val="en-GB"/>
        </w:rPr>
      </w:pPr>
      <w:r w:rsidRPr="00DA34EC">
        <w:rPr>
          <w:lang w:val="en-GB"/>
        </w:rPr>
        <w:t>Revaluation and impairment losses on assets used by the service where there are no accumulated gains in the Revaluation Reserve against which the losses can be written off</w:t>
      </w:r>
    </w:p>
    <w:p w14:paraId="178CFCC9" w14:textId="77777777" w:rsidR="00FB3503" w:rsidRPr="00DA34EC" w:rsidRDefault="00FB3503" w:rsidP="007446B1">
      <w:pPr>
        <w:pStyle w:val="BodyTextIndent"/>
        <w:numPr>
          <w:ilvl w:val="0"/>
          <w:numId w:val="11"/>
        </w:numPr>
        <w:rPr>
          <w:lang w:val="en-GB"/>
        </w:rPr>
      </w:pPr>
      <w:r w:rsidRPr="00DA34EC">
        <w:rPr>
          <w:lang w:val="en-GB"/>
        </w:rPr>
        <w:lastRenderedPageBreak/>
        <w:t>Amortisation of intangible fixed assets attributable to the service.</w:t>
      </w:r>
    </w:p>
    <w:p w14:paraId="16CA6039" w14:textId="77777777" w:rsidR="00FB3503" w:rsidRPr="00DA34EC" w:rsidRDefault="00FB3503" w:rsidP="007446B1"/>
    <w:p w14:paraId="6CDA1CD5" w14:textId="77AC35AC" w:rsidR="00FB3503" w:rsidRPr="00DA34EC" w:rsidRDefault="00FB3503" w:rsidP="007446B1">
      <w:pPr>
        <w:pStyle w:val="BodyTextIndent"/>
        <w:ind w:left="1440"/>
        <w:rPr>
          <w:lang w:val="en-GB"/>
        </w:rPr>
      </w:pPr>
      <w:r w:rsidRPr="00DA34EC">
        <w:rPr>
          <w:lang w:val="en-GB"/>
        </w:rPr>
        <w:t>The Authority is not required to raise council tax to cover these charges. However, it is required to make an annual contribution from revenue (Minimum Revenue Provision (MRP)) towards the reduction in its overall borrowing requirement equal to either an amount calculated on a prudent basis determined by the Authority in accordance with statutory guidance, or a minimum of 4%</w:t>
      </w:r>
      <w:r w:rsidR="00F16F33" w:rsidRPr="00DA34EC">
        <w:rPr>
          <w:lang w:val="en-GB"/>
        </w:rPr>
        <w:t xml:space="preserve"> of the previous years’ Capital Financing Requirement balance</w:t>
      </w:r>
      <w:r w:rsidRPr="00DA34EC">
        <w:rPr>
          <w:lang w:val="en-GB"/>
        </w:rPr>
        <w:t>. In addition to the statutory MRP calculated, the Authority may also make voluntary MRP contributions in line with approved budgets and to reduce the ongoing borrowing requirement. Depreciation, impairment and impairment losses and amortisations are therefore replaced by the contribution in the General Fund Balance, by way of an adjusting transaction with the Capital Adjustment Account in the Movement in Reserves Statement for the difference between the two.</w:t>
      </w:r>
      <w:r w:rsidRPr="2DDE738B">
        <w:rPr>
          <w:lang w:val="en-GB"/>
        </w:rPr>
        <w:t xml:space="preserve"> </w:t>
      </w:r>
    </w:p>
    <w:p w14:paraId="047C80C0" w14:textId="595E8B4C" w:rsidR="00D45CFC" w:rsidRPr="00DA34EC" w:rsidRDefault="00D45CFC" w:rsidP="007446B1">
      <w:pPr>
        <w:rPr>
          <w:b/>
        </w:rPr>
      </w:pPr>
    </w:p>
    <w:p w14:paraId="3763E6DF" w14:textId="77777777" w:rsidR="00FB3503" w:rsidRPr="00DA34EC" w:rsidRDefault="00FB3503" w:rsidP="007446B1">
      <w:pPr>
        <w:ind w:left="720"/>
        <w:rPr>
          <w:b/>
        </w:rPr>
      </w:pPr>
      <w:r w:rsidRPr="00DA34EC">
        <w:rPr>
          <w:b/>
        </w:rPr>
        <w:t>e</w:t>
      </w:r>
      <w:r>
        <w:tab/>
      </w:r>
      <w:r w:rsidRPr="00DA34EC">
        <w:rPr>
          <w:b/>
        </w:rPr>
        <w:t>Employee Benefits</w:t>
      </w:r>
    </w:p>
    <w:p w14:paraId="0E9CB76E" w14:textId="77777777" w:rsidR="00FB3503" w:rsidRPr="00DA34EC" w:rsidRDefault="00FB3503" w:rsidP="007446B1">
      <w:pPr>
        <w:ind w:left="720"/>
        <w:rPr>
          <w:b/>
        </w:rPr>
      </w:pPr>
    </w:p>
    <w:p w14:paraId="2D35B634" w14:textId="77777777" w:rsidR="00FB3503" w:rsidRPr="00DA34EC" w:rsidRDefault="00FB3503" w:rsidP="007446B1">
      <w:pPr>
        <w:pStyle w:val="BodyTextIndent"/>
        <w:ind w:left="1440"/>
        <w:rPr>
          <w:b/>
        </w:rPr>
      </w:pPr>
      <w:r w:rsidRPr="00DA34EC">
        <w:rPr>
          <w:b/>
        </w:rPr>
        <w:t>Benefits Payable During Employment</w:t>
      </w:r>
    </w:p>
    <w:p w14:paraId="009BA80F" w14:textId="77777777" w:rsidR="00FB3503" w:rsidRPr="00DA34EC" w:rsidRDefault="00FB3503" w:rsidP="007446B1">
      <w:pPr>
        <w:pStyle w:val="BodyTextIndent"/>
        <w:ind w:left="1440"/>
        <w:rPr>
          <w:b/>
        </w:rPr>
      </w:pPr>
    </w:p>
    <w:p w14:paraId="6E8AFFA5" w14:textId="497C9388" w:rsidR="00FB3503" w:rsidRPr="00DA34EC" w:rsidRDefault="00FB3503" w:rsidP="007446B1">
      <w:pPr>
        <w:pStyle w:val="BodyTextIndent"/>
        <w:ind w:left="1440"/>
        <w:rPr>
          <w:lang w:val="en-GB"/>
        </w:rPr>
      </w:pPr>
      <w:r w:rsidRPr="00DA34EC">
        <w:t>Short-term employee benefits are those due to be settled within 12 months of the year end. They include such benefits as wages and salaries, paid annual leave and paid sick leave and non-monetary benefits (</w:t>
      </w:r>
      <w:r w:rsidR="00AA3FF8" w:rsidRPr="00DA34EC">
        <w:t>for example</w:t>
      </w:r>
      <w:r w:rsidRPr="00DA34EC">
        <w:t xml:space="preserve"> cars) for current employees and are </w:t>
      </w:r>
      <w:proofErr w:type="spellStart"/>
      <w:r w:rsidRPr="00DA34EC">
        <w:t>recognised</w:t>
      </w:r>
      <w:proofErr w:type="spellEnd"/>
      <w:r w:rsidRPr="00DA34EC">
        <w:t xml:space="preserve"> as an expense for services in the year in which employees render service to the Authority. An accrual is made for the cost of holiday entitlements (or any form of leave, </w:t>
      </w:r>
      <w:r w:rsidR="00AA3FF8" w:rsidRPr="00DA34EC">
        <w:rPr>
          <w:lang w:val="en-GB"/>
        </w:rPr>
        <w:t>for example</w:t>
      </w:r>
      <w:r w:rsidRPr="00DA34EC">
        <w:t xml:space="preserve"> time off in lieu) earned by employees but not taken before the year end which employees can carry forward into the next financial year. The accrual is made at the wage and salary rates applicable in the current financial year (the best estimate of future rates at the time of the accounts). The accrual is charged to the surplus or deficit on provision of </w:t>
      </w:r>
      <w:proofErr w:type="gramStart"/>
      <w:r w:rsidRPr="00DA34EC">
        <w:t>services, but</w:t>
      </w:r>
      <w:proofErr w:type="gramEnd"/>
      <w:r w:rsidRPr="00DA34EC">
        <w:t xml:space="preserve"> then reversed out through the </w:t>
      </w:r>
      <w:r w:rsidRPr="00DA34EC">
        <w:rPr>
          <w:lang w:val="en-GB"/>
        </w:rPr>
        <w:t>Movement in Reserves Statement so that holiday benefits are charged to revenue in the financial year in which the holiday absence occurs.</w:t>
      </w:r>
    </w:p>
    <w:p w14:paraId="657E3F9F" w14:textId="77777777" w:rsidR="00FB3503" w:rsidRPr="00D948C1" w:rsidRDefault="00FB3503" w:rsidP="007446B1">
      <w:pPr>
        <w:pStyle w:val="BodyTextIndent"/>
        <w:ind w:left="1440"/>
        <w:rPr>
          <w:szCs w:val="24"/>
          <w:lang w:val="en-GB"/>
        </w:rPr>
      </w:pPr>
    </w:p>
    <w:p w14:paraId="375BA4AF" w14:textId="58495F8B" w:rsidR="00FB3503" w:rsidRPr="00DA34EC" w:rsidRDefault="00FB3503" w:rsidP="007446B1">
      <w:pPr>
        <w:pStyle w:val="BodyTextIndent"/>
        <w:ind w:left="1440"/>
        <w:rPr>
          <w:b/>
          <w:lang w:val="en-GB"/>
        </w:rPr>
      </w:pPr>
      <w:r w:rsidRPr="00DA34EC">
        <w:rPr>
          <w:b/>
          <w:lang w:val="en-GB"/>
        </w:rPr>
        <w:t>Post Employment Benefits</w:t>
      </w:r>
    </w:p>
    <w:p w14:paraId="51C992F5" w14:textId="77777777" w:rsidR="00FB3503" w:rsidRPr="00DA34EC" w:rsidRDefault="00FB3503" w:rsidP="007446B1">
      <w:pPr>
        <w:pStyle w:val="BodyTextIndent"/>
        <w:ind w:left="1440"/>
        <w:rPr>
          <w:b/>
          <w:lang w:val="en-GB"/>
        </w:rPr>
      </w:pPr>
    </w:p>
    <w:p w14:paraId="3D17A27C" w14:textId="77777777" w:rsidR="00FB3503" w:rsidRPr="00DA34EC" w:rsidRDefault="00FB3503" w:rsidP="007446B1">
      <w:pPr>
        <w:pStyle w:val="BodyTextIndent"/>
        <w:ind w:left="1440"/>
        <w:rPr>
          <w:lang w:val="en-GB"/>
        </w:rPr>
      </w:pPr>
      <w:r w:rsidRPr="00DA34EC">
        <w:rPr>
          <w:lang w:val="en-GB"/>
        </w:rPr>
        <w:t>Employees of the Authority are members of two separate pension schemes:</w:t>
      </w:r>
    </w:p>
    <w:p w14:paraId="4EC154F3" w14:textId="765FA40F" w:rsidR="00FB3503" w:rsidRPr="00DA34EC" w:rsidRDefault="00FB3503" w:rsidP="007446B1">
      <w:pPr>
        <w:pStyle w:val="BodyTextIndent"/>
        <w:numPr>
          <w:ilvl w:val="0"/>
          <w:numId w:val="12"/>
        </w:numPr>
        <w:rPr>
          <w:lang w:val="en-GB"/>
        </w:rPr>
      </w:pPr>
      <w:r w:rsidRPr="00DA34EC">
        <w:rPr>
          <w:lang w:val="en-GB"/>
        </w:rPr>
        <w:t>The Firefighters Pension Scheme, administered by Lancashire County Council</w:t>
      </w:r>
      <w:r w:rsidR="000A40E3" w:rsidRPr="00DA34EC">
        <w:rPr>
          <w:lang w:val="en-GB"/>
        </w:rPr>
        <w:t>.</w:t>
      </w:r>
    </w:p>
    <w:p w14:paraId="69E4C950" w14:textId="4E25D85F" w:rsidR="00FB3503" w:rsidRPr="00DA34EC" w:rsidRDefault="00FB3503" w:rsidP="007446B1">
      <w:pPr>
        <w:pStyle w:val="BodyTextIndent"/>
        <w:numPr>
          <w:ilvl w:val="0"/>
          <w:numId w:val="12"/>
        </w:numPr>
        <w:rPr>
          <w:lang w:val="en-GB"/>
        </w:rPr>
      </w:pPr>
      <w:r w:rsidRPr="00DA34EC">
        <w:rPr>
          <w:lang w:val="en-GB"/>
        </w:rPr>
        <w:t>The Local Government Pension Scheme, administered by Lancashire County Council</w:t>
      </w:r>
      <w:r w:rsidR="000A40E3" w:rsidRPr="00DA34EC">
        <w:rPr>
          <w:lang w:val="en-GB"/>
        </w:rPr>
        <w:t>.</w:t>
      </w:r>
    </w:p>
    <w:p w14:paraId="090BF681" w14:textId="77777777" w:rsidR="00FB3503" w:rsidRPr="00DA34EC" w:rsidRDefault="00FB3503" w:rsidP="007446B1">
      <w:pPr>
        <w:pStyle w:val="BodyTextIndent"/>
        <w:ind w:left="1440"/>
        <w:rPr>
          <w:lang w:val="en-GB"/>
        </w:rPr>
      </w:pPr>
      <w:r w:rsidRPr="00DA34EC">
        <w:rPr>
          <w:lang w:val="en-GB"/>
        </w:rPr>
        <w:t>Both schemes provided defined benefits to members (retirement lump sums and pensions), earned as employees worked for the Authority.</w:t>
      </w:r>
    </w:p>
    <w:p w14:paraId="2AFC70AE" w14:textId="77777777" w:rsidR="00703D67" w:rsidRPr="00DA34EC" w:rsidRDefault="00703D67" w:rsidP="007446B1">
      <w:pPr>
        <w:rPr>
          <w:u w:val="single"/>
        </w:rPr>
      </w:pPr>
    </w:p>
    <w:p w14:paraId="317B976E" w14:textId="77777777" w:rsidR="00FB3503" w:rsidRPr="00DA34EC" w:rsidRDefault="00FB3503" w:rsidP="007446B1">
      <w:pPr>
        <w:pStyle w:val="BodyTextIndent"/>
        <w:ind w:left="2160"/>
        <w:rPr>
          <w:u w:val="single"/>
          <w:lang w:val="en-GB"/>
        </w:rPr>
      </w:pPr>
      <w:r w:rsidRPr="00DA34EC">
        <w:rPr>
          <w:u w:val="single"/>
          <w:lang w:val="en-GB"/>
        </w:rPr>
        <w:t>The Firefighters’ Scheme</w:t>
      </w:r>
    </w:p>
    <w:p w14:paraId="6D6D3717" w14:textId="77777777" w:rsidR="00FB3503" w:rsidRPr="00DA34EC" w:rsidRDefault="00FB3503" w:rsidP="007446B1">
      <w:pPr>
        <w:ind w:left="720"/>
      </w:pPr>
    </w:p>
    <w:p w14:paraId="11E76F49" w14:textId="0DD6A375" w:rsidR="00FB3503" w:rsidRPr="00DA34EC" w:rsidRDefault="00FB3503" w:rsidP="007446B1">
      <w:pPr>
        <w:pStyle w:val="BodyTextIndent"/>
        <w:ind w:left="2160"/>
        <w:rPr>
          <w:lang w:val="en-GB"/>
        </w:rPr>
      </w:pPr>
      <w:r w:rsidRPr="00DA34EC">
        <w:rPr>
          <w:lang w:val="en-GB"/>
        </w:rPr>
        <w:t xml:space="preserve">Under IAS19 the future costs of retirement benefits </w:t>
      </w:r>
      <w:r w:rsidR="005431D6" w:rsidRPr="00DA34EC">
        <w:rPr>
          <w:lang w:val="en-GB"/>
        </w:rPr>
        <w:t>must</w:t>
      </w:r>
      <w:r w:rsidRPr="00DA34EC">
        <w:rPr>
          <w:lang w:val="en-GB"/>
        </w:rPr>
        <w:t xml:space="preserve"> be recognised in the accounts at the point at which the Authority becomes committed to paying them (the point when the benefits have been earned by the employee), even if the actual payment of benefits will be many years in the future.</w:t>
      </w:r>
    </w:p>
    <w:p w14:paraId="76A4F5CB" w14:textId="77777777" w:rsidR="00FB3503" w:rsidRPr="00DA34EC" w:rsidRDefault="00FB3503" w:rsidP="007446B1">
      <w:pPr>
        <w:pStyle w:val="BodyTextIndent"/>
        <w:ind w:left="1440"/>
        <w:rPr>
          <w:lang w:val="en-GB"/>
        </w:rPr>
      </w:pPr>
    </w:p>
    <w:p w14:paraId="31766861" w14:textId="11D59402" w:rsidR="00FB3503" w:rsidRPr="00DA34EC" w:rsidRDefault="00FB3503" w:rsidP="007446B1">
      <w:pPr>
        <w:ind w:left="2160"/>
      </w:pPr>
      <w:r w:rsidRPr="00DA34EC">
        <w:t xml:space="preserve">This obligation to pay pensions benefits in the future is recognised as a liability in the Authority’s Balance Sheet. In the service costs part of the Comprehensive Income and Expenditure Statement, transactions are recorded that indicate the change over the year in the pension liability. These are principally the future </w:t>
      </w:r>
      <w:r w:rsidRPr="00DA34EC">
        <w:lastRenderedPageBreak/>
        <w:t>costs of pensions earned by Firefighters in service during the year. The transactions are not cash-</w:t>
      </w:r>
      <w:r w:rsidR="0094180B" w:rsidRPr="00DA34EC">
        <w:t>based but,</w:t>
      </w:r>
      <w:r w:rsidRPr="00DA34EC">
        <w:t xml:space="preserve"> are </w:t>
      </w:r>
      <w:proofErr w:type="gramStart"/>
      <w:r w:rsidR="0094180B" w:rsidRPr="00DA34EC">
        <w:t>actuarially-calculated</w:t>
      </w:r>
      <w:proofErr w:type="gramEnd"/>
      <w:r w:rsidRPr="00DA34EC">
        <w:t xml:space="preserve"> amounts that reflect more closely the true changes in the scheme’s long-term liabilities.</w:t>
      </w:r>
    </w:p>
    <w:p w14:paraId="268F1FFD" w14:textId="77777777" w:rsidR="00FB3503" w:rsidRPr="00DA34EC" w:rsidRDefault="00FB3503" w:rsidP="007446B1">
      <w:pPr>
        <w:ind w:left="2160"/>
      </w:pPr>
    </w:p>
    <w:p w14:paraId="5BCB0314" w14:textId="58E87C97" w:rsidR="00FB3503" w:rsidRPr="00DA34EC" w:rsidRDefault="00FB3503" w:rsidP="007446B1">
      <w:pPr>
        <w:pStyle w:val="BodyTextIndent"/>
        <w:ind w:left="2160"/>
      </w:pPr>
      <w:r w:rsidRPr="00DA34EC">
        <w:t xml:space="preserve">In calculating the liability for </w:t>
      </w:r>
      <w:r w:rsidR="00BB513F" w:rsidRPr="00DA34EC">
        <w:t>20</w:t>
      </w:r>
      <w:r w:rsidR="005C14FB" w:rsidRPr="00DA34EC">
        <w:t>2</w:t>
      </w:r>
      <w:r w:rsidR="162C428D" w:rsidRPr="00DA34EC">
        <w:t>4</w:t>
      </w:r>
      <w:r w:rsidR="00CF111B" w:rsidRPr="00DA34EC">
        <w:t>/2</w:t>
      </w:r>
      <w:r w:rsidR="72688A4A" w:rsidRPr="00DA34EC">
        <w:t>5</w:t>
      </w:r>
      <w:r w:rsidRPr="00DA34EC">
        <w:t>, the actuary based the valuation on a roll forwards approach.</w:t>
      </w:r>
    </w:p>
    <w:p w14:paraId="1641EBC3" w14:textId="77777777" w:rsidR="00FB3503" w:rsidRPr="00DA34EC" w:rsidRDefault="00FB3503" w:rsidP="007446B1">
      <w:pPr>
        <w:pStyle w:val="BodyTextIndent"/>
        <w:ind w:left="2160"/>
      </w:pPr>
    </w:p>
    <w:p w14:paraId="79FE54FA" w14:textId="77777777" w:rsidR="00FB3503" w:rsidRPr="00DA34EC" w:rsidRDefault="00FB3503" w:rsidP="007446B1">
      <w:pPr>
        <w:pStyle w:val="BodyTextIndent"/>
        <w:ind w:left="2160"/>
      </w:pPr>
      <w:r w:rsidRPr="00DA34EC">
        <w:t>Top up grant received during the year from the Home Office to cover the pension costs of the above scheme are recognized in the Comprehensive Income and Expenditure Statement via adjustments in respect of the actuarial valuation.</w:t>
      </w:r>
      <w:r>
        <w:t xml:space="preserve"> </w:t>
      </w:r>
    </w:p>
    <w:p w14:paraId="60D951ED" w14:textId="77777777" w:rsidR="003D76C3" w:rsidRPr="00DA34EC" w:rsidRDefault="003D76C3" w:rsidP="007446B1">
      <w:pPr>
        <w:rPr>
          <w:u w:val="single"/>
        </w:rPr>
      </w:pPr>
    </w:p>
    <w:p w14:paraId="3402D871" w14:textId="46A27117" w:rsidR="00FB3503" w:rsidRPr="00DA34EC" w:rsidRDefault="00FB3503" w:rsidP="007446B1">
      <w:pPr>
        <w:pStyle w:val="BodyTextIndent"/>
        <w:ind w:left="2160"/>
        <w:rPr>
          <w:u w:val="single"/>
          <w:lang w:val="en-GB"/>
        </w:rPr>
      </w:pPr>
      <w:r w:rsidRPr="00DA34EC">
        <w:rPr>
          <w:u w:val="single"/>
          <w:lang w:val="en-GB"/>
        </w:rPr>
        <w:t>The Local Government Pension Scheme</w:t>
      </w:r>
    </w:p>
    <w:p w14:paraId="6C364635" w14:textId="77777777" w:rsidR="00FB3503" w:rsidRPr="00DA34EC" w:rsidRDefault="00FB3503" w:rsidP="007446B1">
      <w:pPr>
        <w:pStyle w:val="BodyTextIndent"/>
        <w:ind w:left="2160"/>
        <w:rPr>
          <w:lang w:val="en-GB"/>
        </w:rPr>
      </w:pPr>
    </w:p>
    <w:p w14:paraId="79305351" w14:textId="552FA967" w:rsidR="00FB3503" w:rsidRPr="00DA34EC" w:rsidRDefault="00FB3503" w:rsidP="007446B1">
      <w:pPr>
        <w:pStyle w:val="BodyTextIndent"/>
        <w:ind w:left="2160"/>
        <w:rPr>
          <w:lang w:val="en-GB"/>
        </w:rPr>
      </w:pPr>
      <w:r w:rsidRPr="00DA34EC">
        <w:rPr>
          <w:lang w:val="en-GB"/>
        </w:rPr>
        <w:t>The same basic principles apply to the local government scheme with the difference being that, because this is a funded scheme (</w:t>
      </w:r>
      <w:r w:rsidR="00AA3FF8" w:rsidRPr="00DA34EC">
        <w:rPr>
          <w:lang w:val="en-GB"/>
        </w:rPr>
        <w:t>it</w:t>
      </w:r>
      <w:r w:rsidRPr="00DA34EC">
        <w:rPr>
          <w:lang w:val="en-GB"/>
        </w:rPr>
        <w:t xml:space="preserve"> is backed by a portfolio of investments in equities, property etc), there are transactions recorded in the revenue account to reflect changes in the expected return on these assets.</w:t>
      </w:r>
      <w:r w:rsidR="00365CAA" w:rsidRPr="00DA34EC">
        <w:rPr>
          <w:lang w:val="en-GB"/>
        </w:rPr>
        <w:t xml:space="preserve"> </w:t>
      </w:r>
      <w:r w:rsidRPr="00DA34EC">
        <w:rPr>
          <w:lang w:val="en-GB"/>
        </w:rPr>
        <w:t xml:space="preserve">Like the transactions referred to above, these too, are </w:t>
      </w:r>
      <w:proofErr w:type="gramStart"/>
      <w:r w:rsidRPr="00DA34EC">
        <w:rPr>
          <w:lang w:val="en-GB"/>
        </w:rPr>
        <w:t>actuarially-calculated</w:t>
      </w:r>
      <w:proofErr w:type="gramEnd"/>
      <w:r w:rsidRPr="00DA34EC">
        <w:rPr>
          <w:lang w:val="en-GB"/>
        </w:rPr>
        <w:t xml:space="preserve"> figures.</w:t>
      </w:r>
    </w:p>
    <w:p w14:paraId="4DF93233" w14:textId="77777777" w:rsidR="00FB3503" w:rsidRPr="00DA34EC" w:rsidRDefault="00FB3503" w:rsidP="007446B1">
      <w:pPr>
        <w:pStyle w:val="BodyTextIndent"/>
        <w:ind w:left="1440"/>
        <w:rPr>
          <w:lang w:val="en-GB"/>
        </w:rPr>
      </w:pPr>
    </w:p>
    <w:p w14:paraId="6C07BE65" w14:textId="2E1EB390" w:rsidR="00FB3503" w:rsidRPr="00DA34EC" w:rsidRDefault="00FB3503" w:rsidP="007446B1">
      <w:pPr>
        <w:pStyle w:val="BodyTextIndent"/>
        <w:ind w:left="2160"/>
        <w:rPr>
          <w:lang w:val="en-GB"/>
        </w:rPr>
      </w:pPr>
      <w:r w:rsidRPr="00DA34EC">
        <w:rPr>
          <w:lang w:val="en-GB"/>
        </w:rPr>
        <w:t>On the Balance Sheet, the liability to pay future pensions is balanced by the fund’s investment assets.</w:t>
      </w:r>
    </w:p>
    <w:p w14:paraId="002009CD" w14:textId="77777777" w:rsidR="00FB3503" w:rsidRPr="00DA34EC" w:rsidRDefault="00FB3503" w:rsidP="007446B1"/>
    <w:p w14:paraId="6824C088" w14:textId="53DEBA07" w:rsidR="00FB3503" w:rsidRPr="00DA34EC" w:rsidRDefault="00FB3503" w:rsidP="007446B1">
      <w:pPr>
        <w:pStyle w:val="BodyTextIndent"/>
        <w:ind w:left="2160"/>
      </w:pPr>
      <w:r w:rsidRPr="00DA34EC">
        <w:t xml:space="preserve">In calculating the liability for </w:t>
      </w:r>
      <w:r w:rsidR="005C14FB" w:rsidRPr="00DA34EC">
        <w:t>202</w:t>
      </w:r>
      <w:r w:rsidR="27FD5757" w:rsidRPr="00DA34EC">
        <w:t>4</w:t>
      </w:r>
      <w:r w:rsidR="00CF111B" w:rsidRPr="00DA34EC">
        <w:t>/2</w:t>
      </w:r>
      <w:r w:rsidR="0BC0F368" w:rsidRPr="00DA34EC">
        <w:t>5</w:t>
      </w:r>
      <w:r w:rsidRPr="00DA34EC">
        <w:t>, the actuary based the valuation on a roll forwards approach.</w:t>
      </w:r>
    </w:p>
    <w:p w14:paraId="64FB110D" w14:textId="77777777" w:rsidR="00FB3503" w:rsidRPr="00DA34EC" w:rsidRDefault="00FB3503" w:rsidP="007446B1">
      <w:pPr>
        <w:pStyle w:val="BodyTextIndent"/>
        <w:ind w:left="2160"/>
      </w:pPr>
    </w:p>
    <w:p w14:paraId="0EC9FA50" w14:textId="07779E96" w:rsidR="00FB3503" w:rsidRPr="00DA34EC" w:rsidRDefault="00FB3503" w:rsidP="007446B1">
      <w:pPr>
        <w:ind w:left="1440"/>
      </w:pPr>
      <w:r w:rsidRPr="00DA34EC">
        <w:t xml:space="preserve">In valuing the pension scheme assets for </w:t>
      </w:r>
      <w:r w:rsidR="005C14FB" w:rsidRPr="00DA34EC">
        <w:t>202</w:t>
      </w:r>
      <w:r w:rsidR="3406221A" w:rsidRPr="00DA34EC">
        <w:t>4</w:t>
      </w:r>
      <w:r w:rsidR="00CF111B" w:rsidRPr="00DA34EC">
        <w:t>/2</w:t>
      </w:r>
      <w:r w:rsidR="0E7CC21F" w:rsidRPr="00DA34EC">
        <w:t>5</w:t>
      </w:r>
      <w:r w:rsidRPr="00DA34EC">
        <w:t>, the actuaries used fair value basis for both derivatives and investments.</w:t>
      </w:r>
    </w:p>
    <w:p w14:paraId="759499B0" w14:textId="77777777" w:rsidR="00FB3503" w:rsidRPr="00D948C1" w:rsidRDefault="00FB3503" w:rsidP="007446B1">
      <w:pPr>
        <w:ind w:left="720"/>
        <w:rPr>
          <w:b/>
          <w:szCs w:val="24"/>
        </w:rPr>
      </w:pPr>
    </w:p>
    <w:p w14:paraId="60D8F1D7" w14:textId="77777777" w:rsidR="00FB3503" w:rsidRPr="00DA34EC" w:rsidRDefault="00FB3503" w:rsidP="007446B1">
      <w:pPr>
        <w:keepLines/>
        <w:widowControl w:val="0"/>
        <w:ind w:left="720"/>
        <w:rPr>
          <w:b/>
        </w:rPr>
      </w:pPr>
      <w:r w:rsidRPr="2DDE738B">
        <w:rPr>
          <w:b/>
        </w:rPr>
        <w:t>f</w:t>
      </w:r>
      <w:r>
        <w:tab/>
      </w:r>
      <w:r w:rsidRPr="00DA34EC">
        <w:rPr>
          <w:b/>
        </w:rPr>
        <w:t>Financial Liabilities</w:t>
      </w:r>
    </w:p>
    <w:p w14:paraId="7DC2BD83" w14:textId="77777777" w:rsidR="00FB3503" w:rsidRPr="00DA34EC" w:rsidRDefault="00FB3503" w:rsidP="2DDE738B">
      <w:pPr>
        <w:keepLines/>
        <w:widowControl w:val="0"/>
        <w:tabs>
          <w:tab w:val="right" w:pos="9072"/>
        </w:tabs>
        <w:ind w:left="720"/>
        <w:rPr>
          <w:b/>
        </w:rPr>
      </w:pPr>
    </w:p>
    <w:p w14:paraId="32ED46D2" w14:textId="235E6FF5" w:rsidR="009408FE" w:rsidRPr="00DA34EC" w:rsidRDefault="00FB3503" w:rsidP="007446B1">
      <w:pPr>
        <w:keepLines/>
        <w:widowControl w:val="0"/>
        <w:ind w:left="1429"/>
      </w:pPr>
      <w:r w:rsidRPr="00DA34EC">
        <w:t xml:space="preserve">Financial liabilities are initially measured at fair value and carried at their amortised cost. For </w:t>
      </w:r>
      <w:r w:rsidR="007446B1" w:rsidRPr="00DA34EC">
        <w:t>all</w:t>
      </w:r>
      <w:r w:rsidRPr="00DA34EC">
        <w:t xml:space="preserve"> the borrowings the Authority has, this means that the amount presented in the Balance Sheet is the outstanding principle repayable plus accrued interest and the interest charged to the Comprehensive Income and Expenditure Statement is the amount payable for the year in the loan agreement.</w:t>
      </w:r>
    </w:p>
    <w:p w14:paraId="53C2C66C" w14:textId="77777777" w:rsidR="00D45CFC" w:rsidRPr="00DA34EC" w:rsidRDefault="00D45CFC" w:rsidP="007446B1">
      <w:pPr>
        <w:keepLines/>
        <w:widowControl w:val="0"/>
        <w:ind w:left="1429"/>
        <w:rPr>
          <w:b/>
        </w:rPr>
      </w:pPr>
    </w:p>
    <w:p w14:paraId="7242F8CB" w14:textId="53AC24A1" w:rsidR="00FB3503" w:rsidRPr="00DA34EC" w:rsidRDefault="00FB3503" w:rsidP="007446B1">
      <w:pPr>
        <w:keepLines/>
        <w:widowControl w:val="0"/>
        <w:ind w:left="720"/>
        <w:rPr>
          <w:b/>
        </w:rPr>
      </w:pPr>
      <w:r w:rsidRPr="00DA34EC">
        <w:rPr>
          <w:b/>
        </w:rPr>
        <w:t>g</w:t>
      </w:r>
      <w:r>
        <w:tab/>
      </w:r>
      <w:r w:rsidRPr="00DA34EC">
        <w:rPr>
          <w:b/>
        </w:rPr>
        <w:t>Financial Assets</w:t>
      </w:r>
      <w:r w:rsidR="00CA61E9" w:rsidRPr="00DA34EC">
        <w:rPr>
          <w:b/>
        </w:rPr>
        <w:t xml:space="preserve"> measured at amortised cost</w:t>
      </w:r>
    </w:p>
    <w:p w14:paraId="0E4F829A" w14:textId="77777777" w:rsidR="00FB3503" w:rsidRPr="00DA34EC" w:rsidRDefault="00FB3503" w:rsidP="2DDE738B">
      <w:pPr>
        <w:keepLines/>
        <w:widowControl w:val="0"/>
        <w:tabs>
          <w:tab w:val="right" w:pos="9072"/>
        </w:tabs>
        <w:ind w:left="720"/>
        <w:rPr>
          <w:b/>
        </w:rPr>
      </w:pPr>
    </w:p>
    <w:p w14:paraId="1B52155B" w14:textId="78F9C438" w:rsidR="00FB3503" w:rsidRPr="00DA34EC" w:rsidRDefault="00FB3503" w:rsidP="007446B1">
      <w:pPr>
        <w:keepLines/>
        <w:widowControl w:val="0"/>
        <w:tabs>
          <w:tab w:val="right" w:pos="9072"/>
        </w:tabs>
        <w:ind w:left="1429"/>
      </w:pPr>
      <w:r w:rsidRPr="00DA34EC">
        <w:t xml:space="preserve">The Authority holds only one type of financial asset, </w:t>
      </w:r>
      <w:r w:rsidR="0094180B" w:rsidRPr="00DA34EC">
        <w:t>loans,</w:t>
      </w:r>
      <w:r w:rsidRPr="00DA34EC">
        <w:t xml:space="preserve"> and receivables. These are its cash investments and debtors - assets that have fixed or determinable payments but are not quoted in an active market.</w:t>
      </w:r>
    </w:p>
    <w:p w14:paraId="3709FB82" w14:textId="77777777" w:rsidR="00FB3503" w:rsidRPr="00DA34EC" w:rsidRDefault="00FB3503" w:rsidP="007446B1">
      <w:pPr>
        <w:keepLines/>
        <w:widowControl w:val="0"/>
        <w:ind w:left="1429" w:hanging="709"/>
        <w:rPr>
          <w:b/>
        </w:rPr>
      </w:pPr>
    </w:p>
    <w:p w14:paraId="15026D97" w14:textId="3D545B9C" w:rsidR="00FB3503" w:rsidRPr="00DA34EC" w:rsidRDefault="00DF770E" w:rsidP="007446B1">
      <w:pPr>
        <w:ind w:left="1429"/>
      </w:pPr>
      <w:r w:rsidRPr="00DA34EC">
        <w:t>Investments</w:t>
      </w:r>
      <w:r w:rsidR="00FB3503" w:rsidRPr="00DA34EC">
        <w:t xml:space="preserve"> are initially measured at fair value and carried at their amortised cost. For </w:t>
      </w:r>
      <w:r w:rsidR="0094180B" w:rsidRPr="00DA34EC">
        <w:t>all</w:t>
      </w:r>
      <w:r w:rsidR="00FB3503" w:rsidRPr="00DA34EC">
        <w:t xml:space="preserve"> the investments that the Authority has made, this means that the amount presented in the Balance Sheet is the outstanding principal receivable. The interest credited to the Comprehensive Income and Expenditure Statement is the amount receivable for the year under the terms of the deposit agreement.</w:t>
      </w:r>
    </w:p>
    <w:p w14:paraId="0597D55A" w14:textId="77777777" w:rsidR="007B2B60" w:rsidRDefault="007B2B60">
      <w:pPr>
        <w:rPr>
          <w:b/>
        </w:rPr>
      </w:pPr>
      <w:r>
        <w:rPr>
          <w:b/>
        </w:rPr>
        <w:br w:type="page"/>
      </w:r>
    </w:p>
    <w:p w14:paraId="5379B406" w14:textId="77777777" w:rsidR="00FB3503" w:rsidRPr="00DA34EC" w:rsidRDefault="00FB3503" w:rsidP="007446B1">
      <w:pPr>
        <w:ind w:left="720"/>
        <w:rPr>
          <w:b/>
        </w:rPr>
      </w:pPr>
      <w:r w:rsidRPr="00DA34EC">
        <w:rPr>
          <w:b/>
        </w:rPr>
        <w:lastRenderedPageBreak/>
        <w:t>h</w:t>
      </w:r>
      <w:r>
        <w:tab/>
      </w:r>
      <w:r w:rsidRPr="00DA34EC">
        <w:rPr>
          <w:b/>
        </w:rPr>
        <w:t>Government Grants &amp; Contributions</w:t>
      </w:r>
    </w:p>
    <w:p w14:paraId="7EFC1B19" w14:textId="27BCC318" w:rsidR="00FB3503" w:rsidRPr="00DA34EC" w:rsidRDefault="00FB3503" w:rsidP="007446B1">
      <w:pPr>
        <w:ind w:left="720"/>
        <w:rPr>
          <w:b/>
        </w:rPr>
      </w:pPr>
    </w:p>
    <w:p w14:paraId="28A894E1" w14:textId="77777777" w:rsidR="00FB3503" w:rsidRPr="00DA34EC" w:rsidRDefault="00FB3503" w:rsidP="007446B1">
      <w:pPr>
        <w:ind w:left="1429"/>
      </w:pPr>
      <w:r w:rsidRPr="00DA34EC">
        <w:t>Government grants and donations are recognised as due to the Authority when there is reasonable assurance that:</w:t>
      </w:r>
    </w:p>
    <w:p w14:paraId="66644CE2" w14:textId="77777777" w:rsidR="00FB3503" w:rsidRPr="00DA34EC" w:rsidRDefault="00FB3503" w:rsidP="007446B1">
      <w:pPr>
        <w:ind w:left="1429"/>
      </w:pPr>
    </w:p>
    <w:p w14:paraId="30E66F71" w14:textId="77777777" w:rsidR="00FB3503" w:rsidRPr="00DA34EC" w:rsidRDefault="00FB3503" w:rsidP="007446B1">
      <w:pPr>
        <w:numPr>
          <w:ilvl w:val="0"/>
          <w:numId w:val="13"/>
        </w:numPr>
      </w:pPr>
      <w:r w:rsidRPr="00DA34EC">
        <w:t>The Authority will comply with the conditions attached to the payments, and</w:t>
      </w:r>
    </w:p>
    <w:p w14:paraId="134E06C3" w14:textId="77777777" w:rsidR="00FB3503" w:rsidRPr="00DA34EC" w:rsidRDefault="00FB3503" w:rsidP="007446B1">
      <w:pPr>
        <w:numPr>
          <w:ilvl w:val="0"/>
          <w:numId w:val="13"/>
        </w:numPr>
      </w:pPr>
      <w:r w:rsidRPr="00DA34EC">
        <w:t>The grants or contributions will be received.</w:t>
      </w:r>
    </w:p>
    <w:p w14:paraId="33662FF9" w14:textId="77777777" w:rsidR="00FB3503" w:rsidRPr="00DA34EC" w:rsidRDefault="00FB3503" w:rsidP="007446B1">
      <w:pPr>
        <w:ind w:left="1429"/>
      </w:pPr>
    </w:p>
    <w:p w14:paraId="724B21B8" w14:textId="65111FF6" w:rsidR="00FB3503" w:rsidRPr="00DA34EC" w:rsidRDefault="00FB3503" w:rsidP="007446B1">
      <w:pPr>
        <w:ind w:left="1429"/>
      </w:pPr>
      <w:r w:rsidRPr="00DA34EC">
        <w:t xml:space="preserve">Amounts recognised as due to the Authority are </w:t>
      </w:r>
      <w:r w:rsidR="00F73C58">
        <w:t xml:space="preserve">carried </w:t>
      </w:r>
      <w:r w:rsidR="00B62A26">
        <w:t>on the</w:t>
      </w:r>
      <w:r w:rsidR="00F73C58">
        <w:t xml:space="preserve"> </w:t>
      </w:r>
      <w:r w:rsidR="00B62A26">
        <w:t>B</w:t>
      </w:r>
      <w:r w:rsidR="00F73C58">
        <w:t xml:space="preserve">alance </w:t>
      </w:r>
      <w:r w:rsidR="00B62A26">
        <w:t>S</w:t>
      </w:r>
      <w:r w:rsidR="00F73C58">
        <w:t xml:space="preserve">heet </w:t>
      </w:r>
      <w:r w:rsidRPr="00DA34EC">
        <w:t>until conditions attached have been satisfied. When conditions have been satisfied, the grant is credited to the non-specific grant income line in the Comprehensive Income and Expenditure Statement.</w:t>
      </w:r>
    </w:p>
    <w:p w14:paraId="47598DDF" w14:textId="77777777" w:rsidR="00FB3503" w:rsidRPr="00DA34EC" w:rsidRDefault="00FB3503" w:rsidP="007446B1">
      <w:pPr>
        <w:ind w:left="1429"/>
      </w:pPr>
    </w:p>
    <w:p w14:paraId="51A491EE" w14:textId="3988E4D1" w:rsidR="00FB3503" w:rsidRPr="00DA34EC" w:rsidRDefault="00FB3503" w:rsidP="007446B1">
      <w:pPr>
        <w:ind w:left="1429"/>
      </w:pPr>
      <w:r w:rsidRPr="00DA34EC">
        <w:t>Where capital grants are credited to the Comprehensive Income and Expenditure Statement, they are reversed out of the General Fund Balance in the Movement in Reserves Statement.</w:t>
      </w:r>
    </w:p>
    <w:p w14:paraId="53BF07EE" w14:textId="77777777" w:rsidR="003D76C3" w:rsidRPr="00DA34EC" w:rsidRDefault="003D76C3" w:rsidP="007446B1">
      <w:pPr>
        <w:ind w:left="1429"/>
      </w:pPr>
    </w:p>
    <w:p w14:paraId="7A4229BB" w14:textId="6F91C7F1" w:rsidR="00FB3503" w:rsidRPr="00DA34EC" w:rsidRDefault="00FB3503" w:rsidP="007446B1">
      <w:pPr>
        <w:ind w:left="720"/>
        <w:rPr>
          <w:b/>
        </w:rPr>
      </w:pPr>
      <w:proofErr w:type="spellStart"/>
      <w:r w:rsidRPr="00DA34EC">
        <w:rPr>
          <w:b/>
        </w:rPr>
        <w:t>i</w:t>
      </w:r>
      <w:proofErr w:type="spellEnd"/>
      <w:r>
        <w:tab/>
      </w:r>
      <w:r w:rsidRPr="00DA34EC">
        <w:rPr>
          <w:b/>
        </w:rPr>
        <w:t>Non</w:t>
      </w:r>
      <w:r w:rsidR="0094180B" w:rsidRPr="00DA34EC">
        <w:rPr>
          <w:b/>
        </w:rPr>
        <w:t>-</w:t>
      </w:r>
      <w:r w:rsidRPr="00DA34EC">
        <w:rPr>
          <w:b/>
        </w:rPr>
        <w:t>Current Assets</w:t>
      </w:r>
    </w:p>
    <w:p w14:paraId="5747F733" w14:textId="77777777" w:rsidR="00FB3503" w:rsidRPr="00DA34EC" w:rsidRDefault="00FB3503" w:rsidP="007446B1">
      <w:pPr>
        <w:ind w:left="720"/>
      </w:pPr>
    </w:p>
    <w:p w14:paraId="7EE33A90" w14:textId="28E03454" w:rsidR="00FB3503" w:rsidRPr="00DA34EC" w:rsidRDefault="00FB3503" w:rsidP="007446B1">
      <w:pPr>
        <w:ind w:left="1440"/>
      </w:pPr>
      <w:r w:rsidRPr="00DA34EC">
        <w:t>Non</w:t>
      </w:r>
      <w:r w:rsidR="0094180B" w:rsidRPr="00DA34EC">
        <w:t>-</w:t>
      </w:r>
      <w:r w:rsidRPr="00DA34EC">
        <w:t>current assets are included in the Balance Sheet at the estimated current value of the asset. They comprise:</w:t>
      </w:r>
    </w:p>
    <w:p w14:paraId="6E4A9AC0" w14:textId="77777777" w:rsidR="00FB3503" w:rsidRPr="00DA34EC" w:rsidRDefault="00FB3503" w:rsidP="007446B1">
      <w:pPr>
        <w:ind w:left="1440"/>
      </w:pPr>
    </w:p>
    <w:p w14:paraId="3F1F9C14" w14:textId="77777777" w:rsidR="00FB3503" w:rsidRPr="00DA34EC" w:rsidRDefault="00FB3503" w:rsidP="007446B1">
      <w:pPr>
        <w:pStyle w:val="BodyTextIndent"/>
        <w:numPr>
          <w:ilvl w:val="0"/>
          <w:numId w:val="20"/>
        </w:numPr>
        <w:rPr>
          <w:i/>
        </w:rPr>
      </w:pPr>
      <w:r w:rsidRPr="00DA34EC">
        <w:t>Property, plant &amp; equipment - These are assets that have a physical substance which are used continuously to provide services or for administrative purposes.</w:t>
      </w:r>
    </w:p>
    <w:p w14:paraId="3AB38D7F" w14:textId="77777777" w:rsidR="00FB3503" w:rsidRPr="00DA34EC" w:rsidRDefault="00FB3503" w:rsidP="007446B1">
      <w:pPr>
        <w:pStyle w:val="BodyTextIndent"/>
        <w:numPr>
          <w:ilvl w:val="0"/>
          <w:numId w:val="9"/>
        </w:numPr>
        <w:ind w:left="2160"/>
      </w:pPr>
      <w:r w:rsidRPr="00DA34EC">
        <w:t xml:space="preserve">Intangible assets – Assets that do not have a physical substance but can be separately identified and controlled by the Authority (for example, software licenses). Spending on these assets is </w:t>
      </w:r>
      <w:proofErr w:type="spellStart"/>
      <w:r w:rsidRPr="00DA34EC">
        <w:t>capitalised</w:t>
      </w:r>
      <w:proofErr w:type="spellEnd"/>
      <w:r w:rsidRPr="00DA34EC">
        <w:t xml:space="preserve"> if the asset will bring benefit to the Authority for more than one financial year.</w:t>
      </w:r>
    </w:p>
    <w:p w14:paraId="0B0051D5" w14:textId="1B12D208" w:rsidR="00D45CFC" w:rsidRPr="00DA34EC" w:rsidRDefault="00D45CFC" w:rsidP="007446B1"/>
    <w:p w14:paraId="265003D7" w14:textId="77777777" w:rsidR="00FB3503" w:rsidRPr="00DA34EC" w:rsidRDefault="00FB3503" w:rsidP="007446B1">
      <w:pPr>
        <w:ind w:left="2160" w:hanging="720"/>
        <w:rPr>
          <w:u w:val="single"/>
        </w:rPr>
      </w:pPr>
      <w:proofErr w:type="spellStart"/>
      <w:r w:rsidRPr="00DA34EC">
        <w:t>i</w:t>
      </w:r>
      <w:proofErr w:type="spellEnd"/>
      <w:r w:rsidRPr="00DA34EC">
        <w:t>)</w:t>
      </w:r>
      <w:r>
        <w:tab/>
      </w:r>
      <w:r w:rsidRPr="00DA34EC">
        <w:rPr>
          <w:u w:val="single"/>
        </w:rPr>
        <w:t>Recognition</w:t>
      </w:r>
    </w:p>
    <w:p w14:paraId="66B01011" w14:textId="77777777" w:rsidR="00FB3503" w:rsidRPr="00DA34EC" w:rsidRDefault="00FB3503" w:rsidP="007446B1">
      <w:pPr>
        <w:pStyle w:val="BodyTextIndent3"/>
        <w:spacing w:after="0"/>
        <w:ind w:left="720"/>
      </w:pPr>
    </w:p>
    <w:p w14:paraId="0B654887" w14:textId="670B1484" w:rsidR="00FB3503" w:rsidRPr="00DA34EC" w:rsidRDefault="00FB3503" w:rsidP="007446B1">
      <w:pPr>
        <w:pStyle w:val="BodyTextIndent3"/>
        <w:spacing w:after="0"/>
        <w:ind w:left="2160"/>
        <w:rPr>
          <w:strike/>
        </w:rPr>
      </w:pPr>
      <w:r w:rsidRPr="00DA34EC">
        <w:t>All capital expenditure over the value of £10,000 on the acquisition or enhancement of non</w:t>
      </w:r>
      <w:r w:rsidR="0094180B" w:rsidRPr="00DA34EC">
        <w:t>-</w:t>
      </w:r>
      <w:r w:rsidRPr="00DA34EC">
        <w:t xml:space="preserve">current assets is capitalised in the accounts on an </w:t>
      </w:r>
      <w:proofErr w:type="gramStart"/>
      <w:r w:rsidRPr="00DA34EC">
        <w:t>accruals</w:t>
      </w:r>
      <w:proofErr w:type="gramEnd"/>
      <w:r w:rsidRPr="00DA34EC">
        <w:t xml:space="preserve"> basis, in accordance with the relevant statute, </w:t>
      </w:r>
      <w:proofErr w:type="gramStart"/>
      <w:r w:rsidRPr="00DA34EC">
        <w:t>with the exception of</w:t>
      </w:r>
      <w:proofErr w:type="gramEnd"/>
      <w:r w:rsidRPr="00DA34EC">
        <w:t xml:space="preserve"> fleet vehicles, which are capitalised providing the cost is over £5,000 and the asset life is </w:t>
      </w:r>
      <w:r w:rsidR="004F695D">
        <w:t>4</w:t>
      </w:r>
      <w:r w:rsidRPr="00DA34EC">
        <w:t xml:space="preserve"> years</w:t>
      </w:r>
      <w:r w:rsidR="00DC40FB">
        <w:t xml:space="preserve"> or more</w:t>
      </w:r>
      <w:r w:rsidRPr="00DA34EC">
        <w:t>.</w:t>
      </w:r>
    </w:p>
    <w:p w14:paraId="479C092E" w14:textId="77777777" w:rsidR="00FB3503" w:rsidRPr="00D948C1" w:rsidRDefault="00FB3503" w:rsidP="007446B1">
      <w:pPr>
        <w:pStyle w:val="BodyTextIndent3"/>
        <w:spacing w:after="0"/>
        <w:ind w:left="720"/>
        <w:rPr>
          <w:szCs w:val="24"/>
        </w:rPr>
      </w:pPr>
    </w:p>
    <w:p w14:paraId="48191502" w14:textId="77777777" w:rsidR="00FB3503" w:rsidRPr="00DA34EC" w:rsidRDefault="00FB3503" w:rsidP="007446B1">
      <w:pPr>
        <w:ind w:left="2160" w:hanging="720"/>
        <w:rPr>
          <w:u w:val="single"/>
        </w:rPr>
      </w:pPr>
      <w:r>
        <w:t>ii)</w:t>
      </w:r>
      <w:r>
        <w:tab/>
      </w:r>
      <w:r w:rsidRPr="00DA34EC">
        <w:rPr>
          <w:u w:val="single"/>
        </w:rPr>
        <w:t>Measurement</w:t>
      </w:r>
    </w:p>
    <w:p w14:paraId="0547CBC4" w14:textId="77777777" w:rsidR="00FB3503" w:rsidRPr="00DA34EC" w:rsidRDefault="00FB3503" w:rsidP="007446B1">
      <w:pPr>
        <w:pStyle w:val="BodyTextIndent3"/>
        <w:spacing w:after="0"/>
        <w:ind w:left="720"/>
      </w:pPr>
    </w:p>
    <w:p w14:paraId="2E60D01B" w14:textId="12A8B6FD" w:rsidR="00FB3503" w:rsidRPr="00DA34EC" w:rsidRDefault="00FB3503" w:rsidP="007446B1">
      <w:pPr>
        <w:pStyle w:val="BodyTextIndent3"/>
        <w:spacing w:after="0"/>
        <w:ind w:left="2160"/>
      </w:pPr>
      <w:r w:rsidRPr="00DA34EC">
        <w:t xml:space="preserve">Land and buildings are revalued on a rolling </w:t>
      </w:r>
      <w:r w:rsidR="0094180B" w:rsidRPr="00DA34EC">
        <w:t>five-year</w:t>
      </w:r>
      <w:r w:rsidRPr="00DA34EC">
        <w:t xml:space="preserve"> basis by a suitably qualified surveyor. As </w:t>
      </w:r>
      <w:proofErr w:type="gramStart"/>
      <w:r w:rsidRPr="00DA34EC">
        <w:t>at</w:t>
      </w:r>
      <w:proofErr w:type="gramEnd"/>
      <w:r w:rsidRPr="00DA34EC">
        <w:t xml:space="preserve"> 31 March </w:t>
      </w:r>
      <w:r w:rsidR="009F7288" w:rsidRPr="00DA34EC">
        <w:t>202</w:t>
      </w:r>
      <w:r w:rsidR="566A38F1" w:rsidRPr="00DA34EC">
        <w:t>5</w:t>
      </w:r>
      <w:r w:rsidRPr="00DA34EC">
        <w:t xml:space="preserve">, </w:t>
      </w:r>
      <w:proofErr w:type="spellStart"/>
      <w:r w:rsidRPr="00DA34EC">
        <w:t>Amcat</w:t>
      </w:r>
      <w:proofErr w:type="spellEnd"/>
      <w:r w:rsidRPr="00DA34EC">
        <w:t xml:space="preserve"> Limited, an external organisation, using surveyors qualified by the Royal Institution of Chartered Surveyors, carried out revaluations on the identified properties. All valuations are </w:t>
      </w:r>
      <w:r w:rsidR="0094180B" w:rsidRPr="00DA34EC">
        <w:t>based on</w:t>
      </w:r>
      <w:r w:rsidRPr="00DA34EC">
        <w:t xml:space="preserve"> depreciated replacement cost, </w:t>
      </w:r>
      <w:r w:rsidR="0094180B" w:rsidRPr="00DA34EC">
        <w:t>except for</w:t>
      </w:r>
      <w:r w:rsidRPr="00DA34EC">
        <w:t xml:space="preserve"> one property used as offices, valued at Existing Use Value.</w:t>
      </w:r>
      <w:r>
        <w:t xml:space="preserve"> </w:t>
      </w:r>
    </w:p>
    <w:p w14:paraId="531C7499" w14:textId="77777777" w:rsidR="00FB3503" w:rsidRPr="00DA34EC" w:rsidRDefault="00FB3503" w:rsidP="007446B1">
      <w:pPr>
        <w:pStyle w:val="BodyTextIndent3"/>
        <w:spacing w:after="0"/>
        <w:ind w:left="2160"/>
      </w:pPr>
    </w:p>
    <w:p w14:paraId="05B1F4CA" w14:textId="7BE74585" w:rsidR="00FB3503" w:rsidRPr="00DA34EC" w:rsidRDefault="00FB3503" w:rsidP="007446B1">
      <w:pPr>
        <w:pStyle w:val="BodyTextIndent3"/>
        <w:spacing w:after="0"/>
        <w:ind w:left="2160"/>
      </w:pPr>
      <w:r w:rsidRPr="00DA34EC">
        <w:t xml:space="preserve">All other </w:t>
      </w:r>
      <w:r w:rsidR="0094180B" w:rsidRPr="00DA34EC">
        <w:t>non-current</w:t>
      </w:r>
      <w:r w:rsidRPr="00DA34EC">
        <w:t xml:space="preserve"> assets are valued at historic cost.</w:t>
      </w:r>
    </w:p>
    <w:p w14:paraId="1708AFBE" w14:textId="77777777" w:rsidR="00FB3503" w:rsidRPr="00DA34EC" w:rsidRDefault="00FB3503" w:rsidP="007446B1">
      <w:pPr>
        <w:pStyle w:val="BodyTextIndent3"/>
        <w:spacing w:after="0"/>
        <w:ind w:left="720"/>
      </w:pPr>
    </w:p>
    <w:p w14:paraId="434AD501" w14:textId="3C443975" w:rsidR="00FB3503" w:rsidRPr="00DA34EC" w:rsidRDefault="00FB3503" w:rsidP="007446B1">
      <w:pPr>
        <w:pStyle w:val="BodyTextIndent3"/>
        <w:spacing w:after="0"/>
        <w:ind w:left="2160"/>
      </w:pPr>
      <w:r w:rsidRPr="00DA34EC">
        <w:t>The Revaluation Reserve contains revaluation gains recognised since 1 April 2007, the date of its formal implementation. The Revaluation Reserve was created with effect from 31 March 2007 with a zero</w:t>
      </w:r>
      <w:r w:rsidR="0094180B" w:rsidRPr="00DA34EC">
        <w:t>-</w:t>
      </w:r>
      <w:r w:rsidRPr="00DA34EC">
        <w:t xml:space="preserve">opening balance. Gains </w:t>
      </w:r>
      <w:r w:rsidRPr="00DA34EC">
        <w:lastRenderedPageBreak/>
        <w:t>arising before 1 April 2007 have been consolidated into the Capital Adjustment Account.</w:t>
      </w:r>
    </w:p>
    <w:p w14:paraId="28DA5E0F" w14:textId="77777777" w:rsidR="00703D67" w:rsidRPr="00DA34EC" w:rsidRDefault="00703D67" w:rsidP="007446B1"/>
    <w:p w14:paraId="5C571EFE" w14:textId="77777777" w:rsidR="00FB3503" w:rsidRPr="00DA34EC" w:rsidRDefault="00FB3503" w:rsidP="007446B1">
      <w:pPr>
        <w:pStyle w:val="BodyTextIndent3"/>
        <w:spacing w:after="0"/>
        <w:rPr>
          <w:u w:val="single"/>
        </w:rPr>
      </w:pPr>
      <w:r w:rsidRPr="00DA34EC">
        <w:t>iii)</w:t>
      </w:r>
      <w:r>
        <w:tab/>
      </w:r>
      <w:r w:rsidRPr="00DA34EC">
        <w:rPr>
          <w:u w:val="single"/>
        </w:rPr>
        <w:t>Impairment</w:t>
      </w:r>
    </w:p>
    <w:p w14:paraId="154CE34C" w14:textId="77777777" w:rsidR="00FB3503" w:rsidRPr="00DA34EC" w:rsidRDefault="00FB3503" w:rsidP="007446B1">
      <w:pPr>
        <w:pStyle w:val="BodyTextIndent3"/>
        <w:spacing w:after="0"/>
        <w:ind w:left="720"/>
      </w:pPr>
    </w:p>
    <w:p w14:paraId="41B8991A" w14:textId="538F30B1" w:rsidR="00FB3503" w:rsidRPr="00DA34EC" w:rsidRDefault="00FB3503" w:rsidP="007446B1">
      <w:pPr>
        <w:pStyle w:val="BodyTextIndent3"/>
        <w:spacing w:after="0"/>
        <w:ind w:left="2160"/>
      </w:pPr>
      <w:r w:rsidRPr="00DA34EC">
        <w:t>The Combined Fire Authority's non</w:t>
      </w:r>
      <w:r w:rsidR="0094180B" w:rsidRPr="00DA34EC">
        <w:t>-</w:t>
      </w:r>
      <w:r w:rsidRPr="00DA34EC">
        <w:t>current assets are considered for impairment at the end of each year by appropriately qualified Property Consultants.</w:t>
      </w:r>
    </w:p>
    <w:p w14:paraId="61D640A7" w14:textId="77777777" w:rsidR="00FB3503" w:rsidRPr="00DA34EC" w:rsidRDefault="00FB3503" w:rsidP="007446B1">
      <w:pPr>
        <w:pStyle w:val="BodyTextIndent3"/>
        <w:spacing w:after="0"/>
        <w:ind w:left="2160"/>
      </w:pPr>
    </w:p>
    <w:p w14:paraId="737B2812" w14:textId="77777777" w:rsidR="00FB3503" w:rsidRPr="00DA34EC" w:rsidRDefault="00FB3503" w:rsidP="007446B1">
      <w:pPr>
        <w:numPr>
          <w:ilvl w:val="0"/>
          <w:numId w:val="21"/>
        </w:numPr>
        <w:rPr>
          <w:u w:val="single"/>
        </w:rPr>
      </w:pPr>
      <w:r w:rsidRPr="00DA34EC">
        <w:rPr>
          <w:u w:val="single"/>
        </w:rPr>
        <w:t>Disposals</w:t>
      </w:r>
    </w:p>
    <w:p w14:paraId="56BD3FD6" w14:textId="77777777" w:rsidR="00FB3503" w:rsidRPr="00DA34EC" w:rsidRDefault="00FB3503" w:rsidP="007446B1">
      <w:pPr>
        <w:ind w:left="720"/>
        <w:rPr>
          <w:u w:val="single"/>
        </w:rPr>
      </w:pPr>
    </w:p>
    <w:p w14:paraId="793EF27C" w14:textId="475FC485" w:rsidR="00FB3503" w:rsidRPr="00DA34EC" w:rsidRDefault="005C14FB" w:rsidP="00AC5949">
      <w:pPr>
        <w:pStyle w:val="BodyTextIndent3"/>
        <w:spacing w:after="0"/>
        <w:ind w:left="2160"/>
      </w:pPr>
      <w:r w:rsidRPr="00DA34EC">
        <w:t xml:space="preserve">When an asset is disposed of the value of asset in the balance sheet is written off to the Comprehensive Income and Expenditure Statement (CIES) as part of the gain or loss on disposal. </w:t>
      </w:r>
      <w:r w:rsidR="00426412" w:rsidRPr="00DA34EC">
        <w:t>R</w:t>
      </w:r>
      <w:r w:rsidRPr="00DA34EC">
        <w:t xml:space="preserve">eceipts from disposals are credited to capital receipts, with the sale proceeds being recognised in the CIES. This treatment results in the netting </w:t>
      </w:r>
      <w:r w:rsidR="005431D6" w:rsidRPr="00DA34EC">
        <w:t>off</w:t>
      </w:r>
      <w:r w:rsidRPr="00DA34EC">
        <w:t xml:space="preserve"> receipts against the carrying value of the asset.</w:t>
      </w:r>
    </w:p>
    <w:p w14:paraId="40CD23CF" w14:textId="77777777" w:rsidR="003D76C3" w:rsidRPr="00DA34EC" w:rsidRDefault="003D76C3" w:rsidP="007446B1">
      <w:pPr>
        <w:pStyle w:val="BodyTextIndent3"/>
        <w:spacing w:after="0"/>
        <w:ind w:left="2160"/>
      </w:pPr>
    </w:p>
    <w:p w14:paraId="7EE988FD" w14:textId="77777777" w:rsidR="00FB3503" w:rsidRPr="00DA34EC" w:rsidRDefault="00FB3503" w:rsidP="007446B1">
      <w:pPr>
        <w:numPr>
          <w:ilvl w:val="0"/>
          <w:numId w:val="21"/>
        </w:numPr>
        <w:rPr>
          <w:u w:val="single"/>
        </w:rPr>
      </w:pPr>
      <w:r w:rsidRPr="00DA34EC">
        <w:rPr>
          <w:u w:val="single"/>
        </w:rPr>
        <w:t>Depreciation</w:t>
      </w:r>
    </w:p>
    <w:p w14:paraId="0E2C855F" w14:textId="77777777" w:rsidR="00B620F4" w:rsidRPr="00DA34EC" w:rsidRDefault="00B620F4" w:rsidP="00B620F4">
      <w:pPr>
        <w:ind w:left="2160"/>
        <w:rPr>
          <w:u w:val="single"/>
        </w:rPr>
      </w:pPr>
    </w:p>
    <w:p w14:paraId="4A2A12BF" w14:textId="08DAB550" w:rsidR="00B620F4" w:rsidRPr="00DA34EC" w:rsidRDefault="00B620F4" w:rsidP="00B620F4">
      <w:pPr>
        <w:ind w:left="2160"/>
      </w:pPr>
      <w:bookmarkStart w:id="99" w:name="_Hlk170815608"/>
      <w:r w:rsidRPr="00DA34EC">
        <w:t xml:space="preserve">Depreciation is charged </w:t>
      </w:r>
      <w:r w:rsidR="00F02059" w:rsidRPr="00DA34EC">
        <w:t xml:space="preserve">on all assets with a finite useful life by the systematic allocation of the depreciable amounts over </w:t>
      </w:r>
      <w:r w:rsidR="002D6620" w:rsidRPr="00DA34EC">
        <w:t xml:space="preserve">the period for which </w:t>
      </w:r>
      <w:r w:rsidR="00572249" w:rsidRPr="00DA34EC">
        <w:t xml:space="preserve">the asset </w:t>
      </w:r>
      <w:r w:rsidR="002D6620" w:rsidRPr="00DA34EC">
        <w:t>is</w:t>
      </w:r>
      <w:r w:rsidR="00572249" w:rsidRPr="00DA34EC">
        <w:t xml:space="preserve"> </w:t>
      </w:r>
      <w:r w:rsidR="002D6620" w:rsidRPr="00DA34EC">
        <w:t>available for use by the authority</w:t>
      </w:r>
      <w:r w:rsidR="00F02059" w:rsidRPr="00DA34EC">
        <w:t>.</w:t>
      </w:r>
      <w:r w:rsidR="00F02059">
        <w:t xml:space="preserve"> </w:t>
      </w:r>
    </w:p>
    <w:p w14:paraId="60393B2F" w14:textId="77777777" w:rsidR="00FB3503" w:rsidRPr="00DA34EC" w:rsidRDefault="00FB3503" w:rsidP="007446B1">
      <w:pPr>
        <w:ind w:left="720"/>
        <w:rPr>
          <w:u w:val="single"/>
        </w:rPr>
      </w:pPr>
    </w:p>
    <w:p w14:paraId="06680A04" w14:textId="77777777" w:rsidR="00FB3503" w:rsidRPr="00DA34EC" w:rsidRDefault="00FB3503" w:rsidP="007446B1">
      <w:pPr>
        <w:pStyle w:val="BodyTextIndent3"/>
        <w:numPr>
          <w:ilvl w:val="0"/>
          <w:numId w:val="8"/>
        </w:numPr>
        <w:tabs>
          <w:tab w:val="clear" w:pos="1800"/>
          <w:tab w:val="num" w:pos="2847"/>
        </w:tabs>
        <w:spacing w:after="0"/>
        <w:ind w:left="2847" w:hanging="709"/>
      </w:pPr>
      <w:r w:rsidRPr="00DA34EC">
        <w:t>Intangible assets are assessed over their estimated useful life, 5 years.</w:t>
      </w:r>
    </w:p>
    <w:p w14:paraId="6054E4A9" w14:textId="77777777" w:rsidR="00FB3503" w:rsidRPr="00DA34EC" w:rsidRDefault="00FB3503" w:rsidP="007446B1">
      <w:pPr>
        <w:pStyle w:val="BodyTextIndent3"/>
        <w:numPr>
          <w:ilvl w:val="0"/>
          <w:numId w:val="6"/>
        </w:numPr>
        <w:tabs>
          <w:tab w:val="clear" w:pos="720"/>
          <w:tab w:val="num" w:pos="2880"/>
        </w:tabs>
        <w:spacing w:after="0"/>
        <w:ind w:left="2880"/>
      </w:pPr>
      <w:r w:rsidRPr="00DA34EC">
        <w:t xml:space="preserve">Land is assessed as having an infinite </w:t>
      </w:r>
      <w:proofErr w:type="gramStart"/>
      <w:r w:rsidRPr="00DA34EC">
        <w:t>life, and</w:t>
      </w:r>
      <w:proofErr w:type="gramEnd"/>
      <w:r w:rsidRPr="00DA34EC">
        <w:t xml:space="preserve"> therefore is not depreciated.</w:t>
      </w:r>
    </w:p>
    <w:p w14:paraId="33D523DA" w14:textId="77777777" w:rsidR="00FB3503" w:rsidRPr="00DA34EC" w:rsidRDefault="00FB3503" w:rsidP="007446B1">
      <w:pPr>
        <w:pStyle w:val="BodyTextIndent3"/>
        <w:numPr>
          <w:ilvl w:val="0"/>
          <w:numId w:val="6"/>
        </w:numPr>
        <w:tabs>
          <w:tab w:val="clear" w:pos="720"/>
          <w:tab w:val="num" w:pos="2880"/>
        </w:tabs>
        <w:spacing w:after="0"/>
        <w:ind w:left="2880"/>
      </w:pPr>
      <w:r w:rsidRPr="00DA34EC">
        <w:t>Building assets are assessed for an appropriate property life by property professionals, in 10-year bands up to a maximum of 50 years.</w:t>
      </w:r>
    </w:p>
    <w:p w14:paraId="12CD30B9" w14:textId="77777777" w:rsidR="00FB3503" w:rsidRPr="00DA34EC" w:rsidRDefault="00FB3503" w:rsidP="007446B1">
      <w:pPr>
        <w:pStyle w:val="BodyTextIndent3"/>
        <w:numPr>
          <w:ilvl w:val="0"/>
          <w:numId w:val="7"/>
        </w:numPr>
        <w:tabs>
          <w:tab w:val="clear" w:pos="720"/>
          <w:tab w:val="num" w:pos="2880"/>
        </w:tabs>
        <w:spacing w:after="0"/>
        <w:ind w:left="2880"/>
      </w:pPr>
      <w:r w:rsidRPr="00DA34EC">
        <w:t>Equipment is depreciated over their estimated useful life, ranging from 5 to 20 years.</w:t>
      </w:r>
    </w:p>
    <w:p w14:paraId="64D2EA78" w14:textId="5036BDAE" w:rsidR="00FB3503" w:rsidRPr="00DA34EC" w:rsidRDefault="00FB3503" w:rsidP="007446B1">
      <w:pPr>
        <w:pStyle w:val="BodyTextIndent3"/>
        <w:numPr>
          <w:ilvl w:val="0"/>
          <w:numId w:val="7"/>
        </w:numPr>
        <w:tabs>
          <w:tab w:val="clear" w:pos="720"/>
          <w:tab w:val="num" w:pos="2880"/>
        </w:tabs>
        <w:spacing w:after="0"/>
        <w:ind w:left="2880"/>
      </w:pPr>
      <w:r w:rsidRPr="00DA34EC">
        <w:t>Vehicles are depreciated over their estimated useful life, ranging from 5 to 15 years.</w:t>
      </w:r>
    </w:p>
    <w:bookmarkEnd w:id="99"/>
    <w:p w14:paraId="0A79DF74" w14:textId="77777777" w:rsidR="00FB3503" w:rsidRPr="00DA34EC" w:rsidRDefault="00FB3503" w:rsidP="007446B1">
      <w:pPr>
        <w:pStyle w:val="BodyTextIndent3"/>
        <w:spacing w:after="0"/>
        <w:ind w:left="720"/>
      </w:pPr>
    </w:p>
    <w:p w14:paraId="603FAE77" w14:textId="3C103434" w:rsidR="00D45CFC" w:rsidRPr="00DA34EC" w:rsidRDefault="00D45CFC" w:rsidP="007446B1"/>
    <w:p w14:paraId="0614E94E" w14:textId="77777777" w:rsidR="00FB3503" w:rsidRPr="00DA34EC" w:rsidRDefault="00FB3503" w:rsidP="007446B1">
      <w:pPr>
        <w:pStyle w:val="BodyTextIndent3"/>
        <w:spacing w:after="0"/>
        <w:rPr>
          <w:u w:val="single"/>
        </w:rPr>
      </w:pPr>
      <w:r w:rsidRPr="00DA34EC">
        <w:t>vi)</w:t>
      </w:r>
      <w:r>
        <w:tab/>
      </w:r>
      <w:r w:rsidRPr="00DA34EC">
        <w:rPr>
          <w:u w:val="single"/>
        </w:rPr>
        <w:t>Componentisation</w:t>
      </w:r>
    </w:p>
    <w:p w14:paraId="6B4706F0" w14:textId="77777777" w:rsidR="00FB3503" w:rsidRPr="00DA34EC" w:rsidRDefault="00FB3503" w:rsidP="007446B1">
      <w:pPr>
        <w:pStyle w:val="BodyTextIndent3"/>
        <w:spacing w:after="0"/>
        <w:rPr>
          <w:u w:val="single"/>
        </w:rPr>
      </w:pPr>
    </w:p>
    <w:p w14:paraId="1EE20878" w14:textId="2A8D583C" w:rsidR="00FB3503" w:rsidRPr="00DA34EC" w:rsidRDefault="00FB3503" w:rsidP="007446B1">
      <w:pPr>
        <w:pStyle w:val="BodyTextIndent3"/>
        <w:spacing w:after="0"/>
        <w:ind w:left="2160"/>
      </w:pPr>
      <w:r w:rsidRPr="00DA34EC">
        <w:t>From 1 April 2010, the Authority is required to separately recognise, depreciate and de-recognise significant components of assets, where the significant component has a different useful life to the remainder of the asset. Assets with a carrying value of less than £</w:t>
      </w:r>
      <w:r w:rsidR="009A53AD" w:rsidRPr="00DA34EC">
        <w:t>1.0m</w:t>
      </w:r>
      <w:r w:rsidRPr="00DA34EC">
        <w:t xml:space="preserve"> will not be subject to componentisation rules, and a significant component is one of over 25% of the asset carrying value. Components will only be recognised on assets valued after 1 April 2010.</w:t>
      </w:r>
    </w:p>
    <w:p w14:paraId="606BB0FE" w14:textId="77777777" w:rsidR="00FB3503" w:rsidRPr="00DA34EC" w:rsidRDefault="00FB3503" w:rsidP="007446B1">
      <w:pPr>
        <w:pStyle w:val="BodyTextIndent3"/>
        <w:spacing w:after="0"/>
        <w:ind w:left="2160"/>
      </w:pPr>
    </w:p>
    <w:p w14:paraId="1E71F277" w14:textId="77777777" w:rsidR="00FB3503" w:rsidRPr="00BF7A43" w:rsidRDefault="00FB3503" w:rsidP="007446B1">
      <w:pPr>
        <w:pStyle w:val="BodyTextIndent3"/>
        <w:spacing w:after="0"/>
        <w:rPr>
          <w:u w:val="single"/>
        </w:rPr>
      </w:pPr>
      <w:r w:rsidRPr="00DA34EC">
        <w:t>vii)</w:t>
      </w:r>
      <w:r>
        <w:tab/>
      </w:r>
      <w:r w:rsidRPr="00BF7A43">
        <w:rPr>
          <w:u w:val="single"/>
        </w:rPr>
        <w:t>Derecognition</w:t>
      </w:r>
    </w:p>
    <w:p w14:paraId="146F922E" w14:textId="77777777" w:rsidR="00FB3503" w:rsidRPr="00BF7A43" w:rsidRDefault="00FB3503" w:rsidP="007446B1">
      <w:pPr>
        <w:pStyle w:val="BodyTextIndent3"/>
        <w:spacing w:after="0"/>
      </w:pPr>
    </w:p>
    <w:p w14:paraId="3295F811" w14:textId="125C4860" w:rsidR="00FB3503" w:rsidRDefault="00FB3503" w:rsidP="007446B1">
      <w:pPr>
        <w:pStyle w:val="BodyTextIndent3"/>
        <w:spacing w:after="0"/>
        <w:ind w:left="2160"/>
      </w:pPr>
      <w:r w:rsidRPr="00BF7A43">
        <w:t>Assets will be derecognised when no further economic benefits are expected from the asset’s use or disposal – when the economic benefits inherent in the asset have been used up.</w:t>
      </w:r>
      <w:r>
        <w:t xml:space="preserve"> </w:t>
      </w:r>
    </w:p>
    <w:p w14:paraId="16240536" w14:textId="77777777" w:rsidR="007B2B60" w:rsidRDefault="007B2B60">
      <w:pPr>
        <w:rPr>
          <w:b/>
          <w:highlight w:val="yellow"/>
        </w:rPr>
      </w:pPr>
      <w:r>
        <w:rPr>
          <w:b/>
          <w:highlight w:val="yellow"/>
        </w:rPr>
        <w:br w:type="page"/>
      </w:r>
    </w:p>
    <w:p w14:paraId="6A155B9C" w14:textId="4E2BE13E" w:rsidR="001D2D4D" w:rsidRPr="00CD6EFF" w:rsidRDefault="00FB3503" w:rsidP="00C6479D">
      <w:pPr>
        <w:ind w:firstLine="720"/>
      </w:pPr>
      <w:r w:rsidRPr="00CD6EFF">
        <w:rPr>
          <w:b/>
        </w:rPr>
        <w:lastRenderedPageBreak/>
        <w:t>j</w:t>
      </w:r>
      <w:r w:rsidRPr="00CD6EFF">
        <w:tab/>
      </w:r>
      <w:r w:rsidR="001D2D4D" w:rsidRPr="00CD6EFF">
        <w:rPr>
          <w:b/>
          <w:bCs/>
        </w:rPr>
        <w:t>O</w:t>
      </w:r>
      <w:r w:rsidR="0077327A" w:rsidRPr="00CD6EFF">
        <w:rPr>
          <w:b/>
          <w:bCs/>
        </w:rPr>
        <w:t>perating Leases</w:t>
      </w:r>
      <w:r w:rsidR="001D2D4D" w:rsidRPr="00CD6EFF">
        <w:rPr>
          <w:b/>
          <w:bCs/>
        </w:rPr>
        <w:t xml:space="preserve"> (IFRS</w:t>
      </w:r>
      <w:r w:rsidR="001D2D4D" w:rsidRPr="00CD6EFF">
        <w:rPr>
          <w:b/>
        </w:rPr>
        <w:t xml:space="preserve"> 16)</w:t>
      </w:r>
    </w:p>
    <w:p w14:paraId="64847C43" w14:textId="77777777" w:rsidR="00426AB8" w:rsidRPr="00CD6EFF" w:rsidRDefault="00426AB8" w:rsidP="001D2D4D"/>
    <w:p w14:paraId="50685A85" w14:textId="77777777" w:rsidR="001D2D4D" w:rsidRPr="00CD6EFF" w:rsidRDefault="001D2D4D" w:rsidP="00C6479D">
      <w:pPr>
        <w:ind w:left="1440"/>
      </w:pPr>
      <w:r w:rsidRPr="00CD6EFF">
        <w:t>In 2024-25, the Authority applied IFRS 16 Leases as required by the Code of Practice for Local Authority Accounting. A right of use asset and a lease liability are now included on the balance sheet from 1</w:t>
      </w:r>
      <w:r w:rsidRPr="00CD6EFF">
        <w:rPr>
          <w:vertAlign w:val="superscript"/>
        </w:rPr>
        <w:t>st</w:t>
      </w:r>
      <w:r w:rsidRPr="00CD6EFF">
        <w:t xml:space="preserve"> April 2024. Recognition exemptions have been elected to be applied to low value assets and to short term leases i.e. existing leases that expire on or before 31 March 2025 and new leases with the duration of less than 12 months.</w:t>
      </w:r>
    </w:p>
    <w:p w14:paraId="341AAE48" w14:textId="77777777" w:rsidR="00C6479D" w:rsidRPr="00CD6EFF" w:rsidRDefault="00C6479D" w:rsidP="00C6479D">
      <w:pPr>
        <w:ind w:left="1440"/>
      </w:pPr>
    </w:p>
    <w:p w14:paraId="4E657AE7" w14:textId="77777777" w:rsidR="001D2D4D" w:rsidRPr="00CD6EFF" w:rsidRDefault="001D2D4D" w:rsidP="00246684">
      <w:pPr>
        <w:ind w:left="1440"/>
      </w:pPr>
      <w:r w:rsidRPr="00CD6EFF">
        <w:t xml:space="preserve">The Authority classifies contracts as leases based on their substance. Contracts and parts of contracts, including those described as contracts for services, are analysed to determine whether they convey the right to control the use of an identified asset, through rights both to obtain substantially all the economic benefits or service potential from that asset and to direct its use. </w:t>
      </w:r>
    </w:p>
    <w:p w14:paraId="1D5CAB6D" w14:textId="09492131" w:rsidR="00460D60" w:rsidRDefault="00460D60" w:rsidP="007446B1">
      <w:pPr>
        <w:ind w:left="720"/>
      </w:pPr>
    </w:p>
    <w:p w14:paraId="68B224F4" w14:textId="10E0B171" w:rsidR="00FB3503" w:rsidRPr="00A278E6" w:rsidRDefault="00246684" w:rsidP="00246684">
      <w:pPr>
        <w:ind w:firstLine="720"/>
        <w:rPr>
          <w:b/>
        </w:rPr>
      </w:pPr>
      <w:r w:rsidRPr="00A278E6">
        <w:rPr>
          <w:b/>
        </w:rPr>
        <w:t>k</w:t>
      </w:r>
      <w:r w:rsidRPr="00A278E6">
        <w:rPr>
          <w:b/>
        </w:rPr>
        <w:tab/>
      </w:r>
      <w:r w:rsidR="00FB3503" w:rsidRPr="00A278E6">
        <w:rPr>
          <w:b/>
        </w:rPr>
        <w:t>Private Finance Initiative (PFI) and similar contracts</w:t>
      </w:r>
    </w:p>
    <w:p w14:paraId="1540A359" w14:textId="77777777" w:rsidR="00FB3503" w:rsidRPr="00A278E6" w:rsidRDefault="00FB3503" w:rsidP="007446B1">
      <w:pPr>
        <w:pStyle w:val="BodyTextIndent"/>
        <w:ind w:left="1440"/>
        <w:rPr>
          <w:u w:val="single"/>
          <w:lang w:val="en-GB"/>
        </w:rPr>
      </w:pPr>
    </w:p>
    <w:p w14:paraId="6BC746BA" w14:textId="6047D202" w:rsidR="00FB3503" w:rsidRPr="00A278E6" w:rsidRDefault="00FB3503" w:rsidP="007446B1">
      <w:pPr>
        <w:pStyle w:val="BodyTextIndent"/>
        <w:ind w:left="1440"/>
        <w:rPr>
          <w:u w:val="single"/>
          <w:lang w:val="en-GB"/>
        </w:rPr>
      </w:pPr>
      <w:r w:rsidRPr="00A278E6">
        <w:rPr>
          <w:u w:val="single"/>
          <w:lang w:val="en-GB"/>
        </w:rPr>
        <w:t xml:space="preserve">Current </w:t>
      </w:r>
      <w:r w:rsidR="0094180B" w:rsidRPr="00A278E6">
        <w:rPr>
          <w:u w:val="single"/>
          <w:lang w:val="en-GB"/>
        </w:rPr>
        <w:t>S</w:t>
      </w:r>
      <w:r w:rsidRPr="00A278E6">
        <w:rPr>
          <w:u w:val="single"/>
          <w:lang w:val="en-GB"/>
        </w:rPr>
        <w:t>tatus</w:t>
      </w:r>
    </w:p>
    <w:p w14:paraId="56F12CA7" w14:textId="77777777" w:rsidR="00FB3503" w:rsidRPr="00A278E6" w:rsidRDefault="00FB3503" w:rsidP="007446B1">
      <w:pPr>
        <w:pStyle w:val="BodyTextIndent"/>
        <w:ind w:left="1440"/>
        <w:rPr>
          <w:lang w:val="en-GB"/>
        </w:rPr>
      </w:pPr>
    </w:p>
    <w:p w14:paraId="7D4AEFD6" w14:textId="77777777" w:rsidR="00FB3503" w:rsidRPr="00A278E6" w:rsidRDefault="00FB3503" w:rsidP="007446B1">
      <w:pPr>
        <w:pStyle w:val="BodyTextIndent"/>
        <w:ind w:left="1440"/>
        <w:rPr>
          <w:lang w:val="en-GB"/>
        </w:rPr>
      </w:pPr>
      <w:r w:rsidRPr="00A278E6">
        <w:rPr>
          <w:lang w:val="en-GB"/>
        </w:rPr>
        <w:t>The Authority has two existing PFI arrangements:</w:t>
      </w:r>
    </w:p>
    <w:p w14:paraId="3EDFD788" w14:textId="77777777" w:rsidR="00FB3503" w:rsidRPr="00A278E6" w:rsidRDefault="00FB3503" w:rsidP="007446B1">
      <w:pPr>
        <w:pStyle w:val="BodyTextIndent"/>
        <w:numPr>
          <w:ilvl w:val="0"/>
          <w:numId w:val="22"/>
        </w:numPr>
        <w:rPr>
          <w:lang w:val="en-GB"/>
        </w:rPr>
      </w:pPr>
      <w:r w:rsidRPr="00A278E6">
        <w:rPr>
          <w:lang w:val="en-GB"/>
        </w:rPr>
        <w:t>With PFF Lancashire for Hyndburn and Morecambe fire stations, which is a continuing commitment for 30 years from May 2003; and</w:t>
      </w:r>
      <w:r w:rsidRPr="2DDE738B">
        <w:rPr>
          <w:lang w:val="en-GB"/>
        </w:rPr>
        <w:t xml:space="preserve"> </w:t>
      </w:r>
    </w:p>
    <w:p w14:paraId="2C5C60BD" w14:textId="7EDF501B" w:rsidR="00FB3503" w:rsidRPr="00A278E6" w:rsidRDefault="00FB3503" w:rsidP="007446B1">
      <w:pPr>
        <w:pStyle w:val="BodyTextIndent"/>
        <w:numPr>
          <w:ilvl w:val="0"/>
          <w:numId w:val="22"/>
        </w:numPr>
        <w:rPr>
          <w:lang w:val="en-GB"/>
        </w:rPr>
      </w:pPr>
      <w:r w:rsidRPr="00A278E6">
        <w:rPr>
          <w:lang w:val="en-GB"/>
        </w:rPr>
        <w:t>With Fire and Rescue NW Limited to replace four fire stations in Lancashire as part of a wider scheme to replace 16 in total in conjunction with Merseyside Fire and Rescue Authority and Cumbria County Council. The contract will run for 25 years from the date of the final station being handed over during 2013/14.</w:t>
      </w:r>
    </w:p>
    <w:p w14:paraId="6EF7EE73" w14:textId="77777777" w:rsidR="00FB3503" w:rsidRPr="00A278E6" w:rsidRDefault="00FB3503" w:rsidP="007446B1">
      <w:pPr>
        <w:pStyle w:val="BodyTextIndent"/>
        <w:ind w:left="1136"/>
        <w:rPr>
          <w:lang w:val="en-GB"/>
        </w:rPr>
      </w:pPr>
    </w:p>
    <w:p w14:paraId="3883B008" w14:textId="41A6EEB6" w:rsidR="00FB3503" w:rsidRPr="00A278E6" w:rsidRDefault="00FB3503" w:rsidP="007446B1">
      <w:pPr>
        <w:pStyle w:val="BodyTextIndent"/>
        <w:ind w:left="1496"/>
        <w:rPr>
          <w:lang w:val="en-GB"/>
        </w:rPr>
      </w:pPr>
      <w:r w:rsidRPr="00A278E6">
        <w:rPr>
          <w:lang w:val="en-GB"/>
        </w:rPr>
        <w:t xml:space="preserve">Revenue transactions relating to the above schemes are explained in </w:t>
      </w:r>
      <w:hyperlink w:anchor="_15_PFI_Schemes">
        <w:r w:rsidR="00643D60">
          <w:rPr>
            <w:rStyle w:val="Hyperlink"/>
            <w:lang w:val="en-GB"/>
          </w:rPr>
          <w:t>Note 15</w:t>
        </w:r>
      </w:hyperlink>
      <w:r w:rsidRPr="00A278E6">
        <w:rPr>
          <w:lang w:val="en-GB"/>
        </w:rPr>
        <w:t>.</w:t>
      </w:r>
    </w:p>
    <w:p w14:paraId="2F04FF4B" w14:textId="77777777" w:rsidR="00FB3503" w:rsidRPr="00D948C1" w:rsidRDefault="00FB3503" w:rsidP="007446B1">
      <w:pPr>
        <w:pStyle w:val="BodyTextIndent"/>
        <w:ind w:left="1496"/>
        <w:rPr>
          <w:szCs w:val="24"/>
          <w:lang w:val="en-GB"/>
        </w:rPr>
      </w:pPr>
    </w:p>
    <w:p w14:paraId="6DC2B8A9" w14:textId="77777777" w:rsidR="00FB3503" w:rsidRPr="00054E6A" w:rsidRDefault="00FB3503" w:rsidP="007446B1">
      <w:pPr>
        <w:pStyle w:val="BodyTextIndent"/>
        <w:ind w:left="1440"/>
        <w:rPr>
          <w:szCs w:val="24"/>
          <w:u w:val="single"/>
          <w:lang w:val="en-GB"/>
        </w:rPr>
      </w:pPr>
      <w:r w:rsidRPr="00054E6A">
        <w:rPr>
          <w:szCs w:val="24"/>
          <w:u w:val="single"/>
          <w:lang w:val="en-GB"/>
        </w:rPr>
        <w:t>Accounting for PFI</w:t>
      </w:r>
    </w:p>
    <w:p w14:paraId="6233121F" w14:textId="77777777" w:rsidR="00FB3503" w:rsidRPr="00054E6A" w:rsidRDefault="00FB3503" w:rsidP="007446B1">
      <w:pPr>
        <w:pStyle w:val="BodyTextIndent"/>
        <w:ind w:left="1440"/>
        <w:rPr>
          <w:szCs w:val="24"/>
          <w:lang w:val="en-GB"/>
        </w:rPr>
      </w:pPr>
    </w:p>
    <w:p w14:paraId="5C4B0A4C" w14:textId="6B15BF13" w:rsidR="00FB3503" w:rsidRPr="00054E6A" w:rsidRDefault="00FB3503" w:rsidP="007446B1">
      <w:pPr>
        <w:pStyle w:val="BodyTextIndent"/>
        <w:ind w:left="1440"/>
        <w:rPr>
          <w:szCs w:val="24"/>
          <w:lang w:val="en-GB"/>
        </w:rPr>
      </w:pPr>
      <w:r w:rsidRPr="00054E6A">
        <w:rPr>
          <w:szCs w:val="24"/>
          <w:lang w:val="en-GB"/>
        </w:rPr>
        <w:t>PFI contracts are agreements to receive services, where responsibility for making available the non</w:t>
      </w:r>
      <w:r w:rsidR="0094180B" w:rsidRPr="00054E6A">
        <w:rPr>
          <w:szCs w:val="24"/>
          <w:lang w:val="en-GB"/>
        </w:rPr>
        <w:t>-</w:t>
      </w:r>
      <w:r w:rsidRPr="00054E6A">
        <w:rPr>
          <w:szCs w:val="24"/>
          <w:lang w:val="en-GB"/>
        </w:rPr>
        <w:t>current assets to provide services passes to the PFI contractor.</w:t>
      </w:r>
      <w:r w:rsidR="0094180B" w:rsidRPr="00054E6A">
        <w:rPr>
          <w:szCs w:val="24"/>
          <w:lang w:val="en-GB"/>
        </w:rPr>
        <w:t xml:space="preserve"> </w:t>
      </w:r>
      <w:r w:rsidRPr="00054E6A">
        <w:rPr>
          <w:szCs w:val="24"/>
          <w:lang w:val="en-GB"/>
        </w:rPr>
        <w:t>The PFI scheme is accounted for on a consistent basis to IFRIC 12</w:t>
      </w:r>
      <w:r w:rsidR="00101C38" w:rsidRPr="00054E6A">
        <w:rPr>
          <w:szCs w:val="24"/>
          <w:lang w:val="en-GB"/>
        </w:rPr>
        <w:t xml:space="preserve"> and IFRS 16</w:t>
      </w:r>
    </w:p>
    <w:p w14:paraId="6F97FCF0" w14:textId="77777777" w:rsidR="003D76C3" w:rsidRPr="00BA6037" w:rsidRDefault="003D76C3" w:rsidP="007446B1">
      <w:pPr>
        <w:pStyle w:val="BodyTextIndent"/>
        <w:ind w:left="0"/>
        <w:rPr>
          <w:szCs w:val="24"/>
          <w:highlight w:val="yellow"/>
          <w:u w:val="single"/>
          <w:lang w:val="en-GB"/>
        </w:rPr>
      </w:pPr>
    </w:p>
    <w:p w14:paraId="63438289" w14:textId="18E3A0AE" w:rsidR="00FB3503" w:rsidRPr="00507310" w:rsidRDefault="00FB3503" w:rsidP="007446B1">
      <w:pPr>
        <w:pStyle w:val="BodyTextIndent"/>
        <w:ind w:left="1440"/>
        <w:rPr>
          <w:szCs w:val="24"/>
          <w:u w:val="single"/>
          <w:lang w:val="en-GB"/>
        </w:rPr>
      </w:pPr>
      <w:r w:rsidRPr="00507310">
        <w:rPr>
          <w:szCs w:val="24"/>
          <w:u w:val="single"/>
          <w:lang w:val="en-GB"/>
        </w:rPr>
        <w:t>Recognition of assets and liabilities</w:t>
      </w:r>
    </w:p>
    <w:p w14:paraId="2FF3BC5B" w14:textId="77777777" w:rsidR="00FB3503" w:rsidRPr="00507310" w:rsidRDefault="00FB3503" w:rsidP="007446B1">
      <w:pPr>
        <w:pStyle w:val="BodyTextIndent"/>
        <w:ind w:left="1440"/>
        <w:rPr>
          <w:szCs w:val="24"/>
          <w:lang w:val="en-GB"/>
        </w:rPr>
      </w:pPr>
    </w:p>
    <w:p w14:paraId="348DA8D4" w14:textId="5811060E" w:rsidR="00FB3503" w:rsidRPr="00507310" w:rsidRDefault="00FB3503" w:rsidP="007446B1">
      <w:pPr>
        <w:pStyle w:val="BodyTextIndent"/>
        <w:ind w:left="1440"/>
        <w:rPr>
          <w:szCs w:val="24"/>
          <w:lang w:val="en-GB"/>
        </w:rPr>
      </w:pPr>
      <w:r w:rsidRPr="00507310">
        <w:rPr>
          <w:szCs w:val="24"/>
          <w:lang w:val="en-GB"/>
        </w:rPr>
        <w:t>Fire stations provided under PFI contracts are recognised as non</w:t>
      </w:r>
      <w:r w:rsidR="0094180B" w:rsidRPr="00507310">
        <w:rPr>
          <w:szCs w:val="24"/>
          <w:lang w:val="en-GB"/>
        </w:rPr>
        <w:t>-</w:t>
      </w:r>
      <w:r w:rsidRPr="00507310">
        <w:rPr>
          <w:szCs w:val="24"/>
          <w:lang w:val="en-GB"/>
        </w:rPr>
        <w:t>current assets of the Authority. A related liability is also recognised. The asset and liability are recognised when the asset is made available for use. The related liability is initially measured at the value of the related asset and subsequently calculated using the same actuarial method used for finance leases.</w:t>
      </w:r>
    </w:p>
    <w:p w14:paraId="3992A894" w14:textId="77777777" w:rsidR="00FB3503" w:rsidRPr="00507310" w:rsidRDefault="00FB3503" w:rsidP="007446B1">
      <w:pPr>
        <w:pStyle w:val="BodyTextIndent"/>
        <w:ind w:left="1440"/>
        <w:rPr>
          <w:szCs w:val="24"/>
          <w:lang w:val="en-GB"/>
        </w:rPr>
      </w:pPr>
    </w:p>
    <w:p w14:paraId="4A5A0E41" w14:textId="08E0C7DC" w:rsidR="00FB3503" w:rsidRPr="00D948C1" w:rsidRDefault="00FB3503" w:rsidP="007446B1">
      <w:pPr>
        <w:pStyle w:val="BodyTextIndent"/>
        <w:ind w:left="1440"/>
        <w:rPr>
          <w:szCs w:val="24"/>
          <w:lang w:val="en-GB"/>
        </w:rPr>
      </w:pPr>
      <w:r w:rsidRPr="00507310">
        <w:rPr>
          <w:szCs w:val="24"/>
          <w:lang w:val="en-GB"/>
        </w:rPr>
        <w:t>Once on the balance sheet the PFI assets will be treated in the same way as all other non</w:t>
      </w:r>
      <w:r w:rsidR="0094180B" w:rsidRPr="00507310">
        <w:rPr>
          <w:szCs w:val="24"/>
          <w:lang w:val="en-GB"/>
        </w:rPr>
        <w:t>-</w:t>
      </w:r>
      <w:r w:rsidRPr="00507310">
        <w:rPr>
          <w:szCs w:val="24"/>
          <w:lang w:val="en-GB"/>
        </w:rPr>
        <w:t xml:space="preserve">current assets of the same type including depreciation, </w:t>
      </w:r>
      <w:r w:rsidR="0094180B" w:rsidRPr="00507310">
        <w:rPr>
          <w:szCs w:val="24"/>
          <w:lang w:val="en-GB"/>
        </w:rPr>
        <w:t>impairment,</w:t>
      </w:r>
      <w:r w:rsidRPr="00507310">
        <w:rPr>
          <w:szCs w:val="24"/>
          <w:lang w:val="en-GB"/>
        </w:rPr>
        <w:t xml:space="preserve"> and revaluation.</w:t>
      </w:r>
    </w:p>
    <w:p w14:paraId="166976AB" w14:textId="77777777" w:rsidR="003D76C3" w:rsidRPr="00D948C1" w:rsidRDefault="003D76C3" w:rsidP="007446B1">
      <w:pPr>
        <w:pStyle w:val="BodyTextIndent"/>
        <w:ind w:left="1440"/>
        <w:rPr>
          <w:szCs w:val="24"/>
          <w:lang w:val="en-GB"/>
        </w:rPr>
      </w:pPr>
    </w:p>
    <w:p w14:paraId="1EC1CA8B" w14:textId="77777777" w:rsidR="00FB3503" w:rsidRPr="007936C2" w:rsidRDefault="00FB3503" w:rsidP="007446B1">
      <w:pPr>
        <w:pStyle w:val="BodyTextIndent"/>
        <w:ind w:left="1440"/>
        <w:rPr>
          <w:szCs w:val="24"/>
          <w:u w:val="single"/>
          <w:lang w:val="en-GB"/>
        </w:rPr>
      </w:pPr>
      <w:r w:rsidRPr="007936C2">
        <w:rPr>
          <w:szCs w:val="24"/>
          <w:u w:val="single"/>
          <w:lang w:val="en-GB"/>
        </w:rPr>
        <w:t>Minimum Revenue Provision (MRP)</w:t>
      </w:r>
    </w:p>
    <w:p w14:paraId="0B83FE0E" w14:textId="77777777" w:rsidR="00FB3503" w:rsidRPr="007936C2" w:rsidRDefault="00FB3503" w:rsidP="007446B1">
      <w:pPr>
        <w:pStyle w:val="BodyTextIndent"/>
        <w:ind w:left="1440"/>
        <w:rPr>
          <w:szCs w:val="24"/>
          <w:lang w:val="en-GB"/>
        </w:rPr>
      </w:pPr>
    </w:p>
    <w:p w14:paraId="61B62478" w14:textId="4D509D98" w:rsidR="00FB3503" w:rsidRPr="007936C2" w:rsidRDefault="00FB3503" w:rsidP="007446B1">
      <w:pPr>
        <w:pStyle w:val="BodyTextIndent"/>
        <w:ind w:left="1440"/>
        <w:rPr>
          <w:szCs w:val="24"/>
          <w:lang w:val="en-GB"/>
        </w:rPr>
      </w:pPr>
      <w:r w:rsidRPr="007936C2">
        <w:rPr>
          <w:szCs w:val="24"/>
          <w:lang w:val="en-GB"/>
        </w:rPr>
        <w:t>Assets acquired under a PFI that are recognised on the balance sheet are subject to MRP in the same way as assets acquired using other forms of borrowing. The amounts</w:t>
      </w:r>
      <w:r w:rsidRPr="00D948C1">
        <w:rPr>
          <w:szCs w:val="24"/>
          <w:lang w:val="en-GB"/>
        </w:rPr>
        <w:t xml:space="preserve"> </w:t>
      </w:r>
      <w:r w:rsidRPr="007936C2">
        <w:rPr>
          <w:szCs w:val="24"/>
          <w:lang w:val="en-GB"/>
        </w:rPr>
        <w:lastRenderedPageBreak/>
        <w:t>of MRP are calculated in accordance with the appropriate regulations and statutory guidance. MRP is equal to that element of the unitary charge which is applied to repay the outstanding liability.</w:t>
      </w:r>
    </w:p>
    <w:p w14:paraId="23A1F114" w14:textId="77777777" w:rsidR="00FB3503" w:rsidRPr="007936C2" w:rsidRDefault="00FB3503" w:rsidP="007446B1">
      <w:pPr>
        <w:pStyle w:val="BodyTextIndent"/>
        <w:ind w:left="1440"/>
        <w:rPr>
          <w:szCs w:val="24"/>
          <w:u w:val="single"/>
          <w:lang w:val="en-GB"/>
        </w:rPr>
      </w:pPr>
    </w:p>
    <w:p w14:paraId="16AA4BCF" w14:textId="77777777" w:rsidR="00FB3503" w:rsidRPr="007936C2" w:rsidRDefault="00FB3503" w:rsidP="007446B1">
      <w:pPr>
        <w:pStyle w:val="BodyTextIndent"/>
        <w:ind w:left="1440"/>
        <w:rPr>
          <w:szCs w:val="24"/>
          <w:u w:val="single"/>
          <w:lang w:val="en-GB"/>
        </w:rPr>
      </w:pPr>
      <w:r w:rsidRPr="007936C2">
        <w:rPr>
          <w:szCs w:val="24"/>
          <w:u w:val="single"/>
          <w:lang w:val="en-GB"/>
        </w:rPr>
        <w:t>Unitary Payment</w:t>
      </w:r>
    </w:p>
    <w:p w14:paraId="1E2AF8E0" w14:textId="77777777" w:rsidR="00FB3503" w:rsidRPr="007936C2" w:rsidRDefault="00FB3503" w:rsidP="007446B1">
      <w:pPr>
        <w:pStyle w:val="BodyTextIndent"/>
        <w:ind w:left="1440"/>
        <w:rPr>
          <w:szCs w:val="24"/>
          <w:lang w:val="en-GB"/>
        </w:rPr>
      </w:pPr>
    </w:p>
    <w:p w14:paraId="719A7773" w14:textId="202236CE" w:rsidR="00FB3503" w:rsidRPr="00D948C1" w:rsidRDefault="00FB3503" w:rsidP="007446B1">
      <w:pPr>
        <w:pStyle w:val="BodyTextIndent"/>
        <w:ind w:left="1440"/>
        <w:rPr>
          <w:szCs w:val="24"/>
          <w:lang w:val="en-GB"/>
        </w:rPr>
      </w:pPr>
      <w:r w:rsidRPr="007936C2">
        <w:rPr>
          <w:szCs w:val="24"/>
          <w:lang w:val="en-GB"/>
        </w:rPr>
        <w:t>The unitary payment is a monthly charge payable to the PFI contractor in return for the services provided. This payment is analysed into elements for the fair value of services, capital and revenue lifecycle (planned maintenance), contingent lease rentals, the repayment of the outstanding liability and interest payable on the outstanding liability. The fair value of the services and the revenue lifecycle element are charged to the revenue account. The capital lifecycle element is charged to the non</w:t>
      </w:r>
      <w:r w:rsidR="0094180B" w:rsidRPr="007936C2">
        <w:rPr>
          <w:szCs w:val="24"/>
          <w:lang w:val="en-GB"/>
        </w:rPr>
        <w:t>-</w:t>
      </w:r>
      <w:r w:rsidRPr="007936C2">
        <w:rPr>
          <w:szCs w:val="24"/>
          <w:lang w:val="en-GB"/>
        </w:rPr>
        <w:t>current assets and funded by a revenue contribution. The contingent lease rentals and interest payable are recorded in the “interest payable and similar charges” account outside the net cost of services but within net operating expenditure in the income and expenditure account.</w:t>
      </w:r>
    </w:p>
    <w:p w14:paraId="4DE55AF5" w14:textId="77777777" w:rsidR="00FB3503" w:rsidRPr="00D948C1" w:rsidRDefault="00FB3503" w:rsidP="007446B1">
      <w:pPr>
        <w:pStyle w:val="BodyTextIndent"/>
        <w:ind w:left="1440"/>
        <w:rPr>
          <w:szCs w:val="24"/>
          <w:lang w:val="en-GB"/>
        </w:rPr>
      </w:pPr>
    </w:p>
    <w:p w14:paraId="72DF3D4C" w14:textId="77777777" w:rsidR="00FB3503" w:rsidRPr="007936C2" w:rsidRDefault="00FB3503" w:rsidP="007446B1">
      <w:pPr>
        <w:pStyle w:val="BodyTextIndent"/>
        <w:ind w:left="1440"/>
        <w:rPr>
          <w:szCs w:val="24"/>
          <w:u w:val="single"/>
          <w:lang w:val="en-GB"/>
        </w:rPr>
      </w:pPr>
      <w:r w:rsidRPr="007936C2">
        <w:rPr>
          <w:szCs w:val="24"/>
          <w:u w:val="single"/>
          <w:lang w:val="en-GB"/>
        </w:rPr>
        <w:t>Deductions from the Unitary Payment</w:t>
      </w:r>
    </w:p>
    <w:p w14:paraId="793F73B5" w14:textId="77777777" w:rsidR="00FB3503" w:rsidRPr="007936C2" w:rsidRDefault="00FB3503" w:rsidP="007446B1">
      <w:pPr>
        <w:pStyle w:val="BodyTextIndent"/>
        <w:ind w:left="1440"/>
        <w:rPr>
          <w:szCs w:val="24"/>
          <w:lang w:val="en-GB"/>
        </w:rPr>
      </w:pPr>
    </w:p>
    <w:p w14:paraId="1246E490" w14:textId="4B265549" w:rsidR="00FB3503" w:rsidRPr="007936C2" w:rsidRDefault="00FB3503" w:rsidP="007446B1">
      <w:pPr>
        <w:pStyle w:val="BodyTextIndent"/>
        <w:ind w:left="1440"/>
        <w:rPr>
          <w:szCs w:val="24"/>
          <w:lang w:val="en-GB"/>
        </w:rPr>
      </w:pPr>
      <w:r w:rsidRPr="007936C2">
        <w:rPr>
          <w:szCs w:val="24"/>
          <w:lang w:val="en-GB"/>
        </w:rPr>
        <w:t xml:space="preserve">The PFI contracts provide for deductions from the unitary payment in the case of </w:t>
      </w:r>
      <w:r w:rsidR="0094180B" w:rsidRPr="007936C2">
        <w:rPr>
          <w:szCs w:val="24"/>
          <w:lang w:val="en-GB"/>
        </w:rPr>
        <w:t>substandard</w:t>
      </w:r>
      <w:r w:rsidRPr="007936C2">
        <w:rPr>
          <w:szCs w:val="24"/>
          <w:lang w:val="en-GB"/>
        </w:rPr>
        <w:t xml:space="preserve"> performance or when the facilities are unavailable. Deductions for </w:t>
      </w:r>
      <w:r w:rsidR="0094180B" w:rsidRPr="007936C2">
        <w:rPr>
          <w:szCs w:val="24"/>
          <w:lang w:val="en-GB"/>
        </w:rPr>
        <w:t>substandard</w:t>
      </w:r>
      <w:r w:rsidRPr="007936C2">
        <w:rPr>
          <w:szCs w:val="24"/>
          <w:lang w:val="en-GB"/>
        </w:rPr>
        <w:t xml:space="preserve"> performance are accounted for as a reduction in the amount paid for the affected services. Deductions arising from the unavailability of the property are apportioned pro rata to the proportions of the service and property elements of the unitary payment:</w:t>
      </w:r>
    </w:p>
    <w:p w14:paraId="44BB1AE4" w14:textId="59E09263" w:rsidR="00FB3503" w:rsidRPr="007936C2" w:rsidRDefault="00FB3503" w:rsidP="007446B1">
      <w:pPr>
        <w:pStyle w:val="BodyTextIndent"/>
        <w:numPr>
          <w:ilvl w:val="0"/>
          <w:numId w:val="8"/>
        </w:numPr>
        <w:tabs>
          <w:tab w:val="clear" w:pos="1800"/>
          <w:tab w:val="num" w:pos="2520"/>
        </w:tabs>
        <w:ind w:left="2520"/>
        <w:rPr>
          <w:szCs w:val="24"/>
          <w:lang w:val="en-GB"/>
        </w:rPr>
      </w:pPr>
      <w:r w:rsidRPr="007936C2">
        <w:rPr>
          <w:szCs w:val="24"/>
          <w:lang w:val="en-GB"/>
        </w:rPr>
        <w:t xml:space="preserve">A reduction for part or </w:t>
      </w:r>
      <w:r w:rsidR="0094180B" w:rsidRPr="007936C2">
        <w:rPr>
          <w:szCs w:val="24"/>
          <w:lang w:val="en-GB"/>
        </w:rPr>
        <w:t>all</w:t>
      </w:r>
      <w:r w:rsidRPr="007936C2">
        <w:rPr>
          <w:szCs w:val="24"/>
          <w:lang w:val="en-GB"/>
        </w:rPr>
        <w:t xml:space="preserve"> the property being unavailable for use – this will first be accounted for as an abatement of the contingent lease rentals, then finance costs if contingent rents are insufficient; and </w:t>
      </w:r>
    </w:p>
    <w:p w14:paraId="5903679B" w14:textId="77777777" w:rsidR="00FB3503" w:rsidRPr="007936C2" w:rsidRDefault="00FB3503" w:rsidP="007446B1">
      <w:pPr>
        <w:pStyle w:val="BodyTextIndent"/>
        <w:numPr>
          <w:ilvl w:val="0"/>
          <w:numId w:val="8"/>
        </w:numPr>
        <w:tabs>
          <w:tab w:val="clear" w:pos="1800"/>
          <w:tab w:val="num" w:pos="2520"/>
        </w:tabs>
        <w:ind w:left="2520"/>
        <w:rPr>
          <w:szCs w:val="24"/>
          <w:lang w:val="en-GB"/>
        </w:rPr>
      </w:pPr>
      <w:r w:rsidRPr="007936C2">
        <w:rPr>
          <w:szCs w:val="24"/>
          <w:lang w:val="en-GB"/>
        </w:rPr>
        <w:t>A reduction in the price paid for services whilst services are not being provided accounted for as a reduction in the amount paid for the affected services.</w:t>
      </w:r>
    </w:p>
    <w:p w14:paraId="72AA89C9" w14:textId="77777777" w:rsidR="00FB3503" w:rsidRPr="007936C2" w:rsidRDefault="00FB3503" w:rsidP="007446B1">
      <w:pPr>
        <w:pStyle w:val="BodyTextIndent"/>
        <w:ind w:left="1440"/>
        <w:rPr>
          <w:szCs w:val="24"/>
          <w:lang w:val="en-GB"/>
        </w:rPr>
      </w:pPr>
    </w:p>
    <w:p w14:paraId="1374D41E" w14:textId="77777777" w:rsidR="00FB3503" w:rsidRPr="00D948C1" w:rsidRDefault="00FB3503" w:rsidP="007446B1">
      <w:pPr>
        <w:pStyle w:val="BodyTextIndent"/>
        <w:ind w:left="1440"/>
        <w:rPr>
          <w:szCs w:val="24"/>
          <w:lang w:val="en-GB"/>
        </w:rPr>
      </w:pPr>
      <w:r w:rsidRPr="007936C2">
        <w:rPr>
          <w:szCs w:val="24"/>
          <w:lang w:val="en-GB"/>
        </w:rPr>
        <w:t xml:space="preserve">Deductions of either type are accounted for when the Authority’s entitlement has been </w:t>
      </w:r>
      <w:proofErr w:type="gramStart"/>
      <w:r w:rsidRPr="007936C2">
        <w:rPr>
          <w:szCs w:val="24"/>
          <w:lang w:val="en-GB"/>
        </w:rPr>
        <w:t>established</w:t>
      </w:r>
      <w:proofErr w:type="gramEnd"/>
      <w:r w:rsidRPr="007936C2">
        <w:rPr>
          <w:szCs w:val="24"/>
          <w:lang w:val="en-GB"/>
        </w:rPr>
        <w:t xml:space="preserve"> and it is probable that the Authority will be able to make the deduction.</w:t>
      </w:r>
    </w:p>
    <w:p w14:paraId="03FA2C30" w14:textId="77777777" w:rsidR="00FB3503" w:rsidRPr="00D948C1" w:rsidRDefault="00FB3503" w:rsidP="007446B1">
      <w:pPr>
        <w:pStyle w:val="BodyTextIndent"/>
        <w:ind w:left="1440"/>
        <w:rPr>
          <w:szCs w:val="24"/>
          <w:lang w:val="en-GB"/>
        </w:rPr>
      </w:pPr>
    </w:p>
    <w:p w14:paraId="2F7DE423" w14:textId="13BD8B3B" w:rsidR="00FB3503" w:rsidRPr="007936C2" w:rsidRDefault="00682D0D" w:rsidP="007446B1">
      <w:pPr>
        <w:ind w:firstLine="720"/>
        <w:rPr>
          <w:b/>
          <w:szCs w:val="24"/>
        </w:rPr>
      </w:pPr>
      <w:r>
        <w:rPr>
          <w:b/>
          <w:szCs w:val="24"/>
        </w:rPr>
        <w:t>l</w:t>
      </w:r>
      <w:r w:rsidR="00FB3503" w:rsidRPr="00D948C1">
        <w:rPr>
          <w:b/>
          <w:szCs w:val="24"/>
        </w:rPr>
        <w:tab/>
      </w:r>
      <w:r w:rsidR="00FB3503" w:rsidRPr="007936C2">
        <w:rPr>
          <w:b/>
          <w:szCs w:val="24"/>
        </w:rPr>
        <w:t>PFI Equalisation Reserve</w:t>
      </w:r>
    </w:p>
    <w:p w14:paraId="0BA5DD1F" w14:textId="77777777" w:rsidR="00FB3503" w:rsidRPr="007936C2" w:rsidRDefault="00FB3503" w:rsidP="007446B1">
      <w:pPr>
        <w:ind w:left="720"/>
        <w:rPr>
          <w:szCs w:val="24"/>
        </w:rPr>
      </w:pPr>
    </w:p>
    <w:p w14:paraId="7520AFE5" w14:textId="77777777" w:rsidR="00FB3503" w:rsidRPr="007936C2" w:rsidRDefault="00FB3503" w:rsidP="007446B1">
      <w:pPr>
        <w:pStyle w:val="BodyTextIndent"/>
        <w:ind w:left="1440"/>
        <w:rPr>
          <w:szCs w:val="24"/>
          <w:lang w:val="en-GB"/>
        </w:rPr>
      </w:pPr>
      <w:r w:rsidRPr="007936C2">
        <w:rPr>
          <w:szCs w:val="24"/>
          <w:lang w:val="en-GB"/>
        </w:rPr>
        <w:t>The Authority holds two PFI equalisation reserves for the purpose of smoothing out, within the revenue account, the annual net cost to the Authority of payments under PFI contracts:</w:t>
      </w:r>
    </w:p>
    <w:p w14:paraId="0208E8E5" w14:textId="77777777" w:rsidR="00FB3503" w:rsidRPr="007936C2" w:rsidRDefault="00FB3503" w:rsidP="007446B1">
      <w:pPr>
        <w:pStyle w:val="BodyTextIndent"/>
        <w:ind w:left="1440"/>
        <w:rPr>
          <w:szCs w:val="24"/>
          <w:lang w:val="en-GB"/>
        </w:rPr>
      </w:pPr>
    </w:p>
    <w:p w14:paraId="2ADB40AE" w14:textId="330DABA3" w:rsidR="00FB3503" w:rsidRPr="007936C2" w:rsidRDefault="00FB3503" w:rsidP="007446B1">
      <w:pPr>
        <w:pStyle w:val="BodyTextIndent"/>
        <w:numPr>
          <w:ilvl w:val="0"/>
          <w:numId w:val="23"/>
        </w:numPr>
        <w:rPr>
          <w:szCs w:val="24"/>
          <w:lang w:val="en-GB"/>
        </w:rPr>
      </w:pPr>
      <w:r w:rsidRPr="007936C2">
        <w:rPr>
          <w:szCs w:val="24"/>
          <w:lang w:val="en-GB"/>
        </w:rPr>
        <w:t xml:space="preserve">In </w:t>
      </w:r>
      <w:r w:rsidRPr="007936C2">
        <w:rPr>
          <w:caps/>
          <w:szCs w:val="24"/>
        </w:rPr>
        <w:t xml:space="preserve">2003/04 </w:t>
      </w:r>
      <w:r w:rsidRPr="007936C2">
        <w:rPr>
          <w:szCs w:val="24"/>
          <w:lang w:val="en-GB"/>
        </w:rPr>
        <w:t xml:space="preserve">the Authority established a PFI equalisation reserve for the PFI contract with PFF Lancashire </w:t>
      </w:r>
      <w:r w:rsidRPr="007936C2">
        <w:rPr>
          <w:rFonts w:cs="Arial"/>
          <w:szCs w:val="24"/>
          <w:lang w:eastAsia="en-GB"/>
        </w:rPr>
        <w:t>Limited</w:t>
      </w:r>
      <w:r w:rsidRPr="007936C2">
        <w:rPr>
          <w:szCs w:val="24"/>
          <w:lang w:val="en-GB"/>
        </w:rPr>
        <w:t xml:space="preserve">. The contract relates to the provision and maintenance by PFF Lancashire Limited of two fire stations at Morecambe and Hyndburn; and </w:t>
      </w:r>
    </w:p>
    <w:p w14:paraId="384D227D" w14:textId="41210424" w:rsidR="00FB3503" w:rsidRPr="007936C2" w:rsidRDefault="00FB3503" w:rsidP="007446B1">
      <w:pPr>
        <w:pStyle w:val="BodyTextIndent"/>
        <w:numPr>
          <w:ilvl w:val="0"/>
          <w:numId w:val="23"/>
        </w:numPr>
        <w:rPr>
          <w:szCs w:val="24"/>
          <w:lang w:val="en-GB"/>
        </w:rPr>
      </w:pPr>
      <w:r w:rsidRPr="007936C2">
        <w:rPr>
          <w:szCs w:val="24"/>
          <w:lang w:val="en-GB"/>
        </w:rPr>
        <w:t>In 2011/12 the Authority created a new PFI equalisation reserve in relation to the Authority’s share of the PFI contract with Fire and Rescue NW Limited. The contract relates to the provision and maintenance of Blackburn, Burnley, Chorley, and Fleetwood fire stations.</w:t>
      </w:r>
    </w:p>
    <w:p w14:paraId="0230E6A3" w14:textId="77777777" w:rsidR="00FB3503" w:rsidRPr="007936C2" w:rsidRDefault="00FB3503" w:rsidP="007446B1">
      <w:pPr>
        <w:pStyle w:val="BodyTextIndent"/>
        <w:ind w:left="1080"/>
        <w:rPr>
          <w:szCs w:val="24"/>
          <w:lang w:val="en-GB"/>
        </w:rPr>
      </w:pPr>
    </w:p>
    <w:p w14:paraId="660114B3" w14:textId="001B95AA" w:rsidR="00FB3503" w:rsidRPr="00D948C1" w:rsidRDefault="00FB3503" w:rsidP="007446B1">
      <w:pPr>
        <w:pStyle w:val="BodyTextIndent"/>
        <w:ind w:left="1440"/>
        <w:rPr>
          <w:szCs w:val="24"/>
          <w:lang w:val="en-GB"/>
        </w:rPr>
      </w:pPr>
      <w:r w:rsidRPr="007936C2">
        <w:rPr>
          <w:szCs w:val="24"/>
          <w:lang w:val="en-GB"/>
        </w:rPr>
        <w:lastRenderedPageBreak/>
        <w:t>An annual revenue contribution in lieu of interest will be made to the reserve. The reserve balance will be reviewed each year at which time the amount of any revenue contribution to or from the reserve will be determined</w:t>
      </w:r>
      <w:r w:rsidRPr="00D948C1">
        <w:rPr>
          <w:szCs w:val="24"/>
          <w:lang w:val="en-GB"/>
        </w:rPr>
        <w:t>.</w:t>
      </w:r>
    </w:p>
    <w:p w14:paraId="241D877C" w14:textId="155A1154" w:rsidR="007B2B60" w:rsidRDefault="007B2B60">
      <w:pPr>
        <w:rPr>
          <w:b/>
          <w:szCs w:val="24"/>
        </w:rPr>
      </w:pPr>
    </w:p>
    <w:p w14:paraId="5283F789" w14:textId="4C87D7EF" w:rsidR="00FB3503" w:rsidRPr="007936C2" w:rsidRDefault="00682D0D" w:rsidP="007446B1">
      <w:pPr>
        <w:ind w:left="720"/>
        <w:rPr>
          <w:szCs w:val="24"/>
        </w:rPr>
      </w:pPr>
      <w:r>
        <w:rPr>
          <w:b/>
          <w:szCs w:val="24"/>
        </w:rPr>
        <w:t>m</w:t>
      </w:r>
      <w:r w:rsidR="00FB3503" w:rsidRPr="00D948C1">
        <w:rPr>
          <w:b/>
          <w:szCs w:val="24"/>
        </w:rPr>
        <w:tab/>
      </w:r>
      <w:r w:rsidR="00FB3503" w:rsidRPr="007936C2">
        <w:rPr>
          <w:b/>
          <w:szCs w:val="24"/>
        </w:rPr>
        <w:t>Provisions</w:t>
      </w:r>
    </w:p>
    <w:p w14:paraId="2BBC1AD0" w14:textId="77777777" w:rsidR="00FB3503" w:rsidRPr="007936C2" w:rsidRDefault="00FB3503" w:rsidP="007446B1">
      <w:pPr>
        <w:ind w:left="720"/>
        <w:rPr>
          <w:szCs w:val="24"/>
        </w:rPr>
      </w:pPr>
    </w:p>
    <w:p w14:paraId="57C86422" w14:textId="3D132808" w:rsidR="000C2384" w:rsidRPr="007936C2" w:rsidRDefault="000C2384" w:rsidP="007446B1">
      <w:pPr>
        <w:pStyle w:val="BodyTextIndent"/>
        <w:ind w:left="1440"/>
        <w:rPr>
          <w:szCs w:val="24"/>
          <w:lang w:val="en-GB"/>
        </w:rPr>
      </w:pPr>
      <w:r w:rsidRPr="007936C2">
        <w:rPr>
          <w:szCs w:val="24"/>
          <w:lang w:val="en-GB"/>
        </w:rPr>
        <w:t xml:space="preserve">Provisions are made where an event has taken place that gives the Authority a legal or constructive obligation that probably requires settlement by a transfer of economic benefits, and a reliable estimate can be made of the amount of the obligation. Provisions are charged as an expense to the appropriate service line in the Comprehensive Income and Expenditure Statement when the Authority has an obligation and are measured at the best estimate at the balance sheet date of the expenditure required to settle the obligation, </w:t>
      </w:r>
      <w:r w:rsidR="0094180B" w:rsidRPr="007936C2">
        <w:rPr>
          <w:szCs w:val="24"/>
          <w:lang w:val="en-GB"/>
        </w:rPr>
        <w:t>considering</w:t>
      </w:r>
      <w:r w:rsidRPr="007936C2">
        <w:rPr>
          <w:szCs w:val="24"/>
          <w:lang w:val="en-GB"/>
        </w:rPr>
        <w:t xml:space="preserve"> relevant risks and uncertainties.</w:t>
      </w:r>
    </w:p>
    <w:p w14:paraId="49FC2B5F" w14:textId="6A18ADEE" w:rsidR="000C2384" w:rsidRPr="007936C2" w:rsidRDefault="000C2384" w:rsidP="007446B1">
      <w:pPr>
        <w:pStyle w:val="BodyTextIndent"/>
        <w:ind w:left="1440"/>
        <w:rPr>
          <w:szCs w:val="24"/>
          <w:lang w:val="en-GB"/>
        </w:rPr>
      </w:pPr>
    </w:p>
    <w:p w14:paraId="4FD57C2B" w14:textId="43AFB833" w:rsidR="000C2384" w:rsidRPr="007936C2" w:rsidRDefault="000C2384" w:rsidP="007446B1">
      <w:pPr>
        <w:pStyle w:val="BodyTextIndent"/>
        <w:ind w:left="1440"/>
        <w:rPr>
          <w:szCs w:val="24"/>
          <w:lang w:val="en-GB"/>
        </w:rPr>
      </w:pPr>
      <w:r w:rsidRPr="007936C2">
        <w:rPr>
          <w:szCs w:val="24"/>
          <w:lang w:val="en-GB"/>
        </w:rPr>
        <w:t>When payments are eventually made, they are charged to the provision carried in the balance sheet. Estimated settlements are reviewed at the end of each financial year, and where it becomes less probable that a transfer of economic benefits will now be required (or a lower settlement than anticipated is made), the provision is reversed and credited back to the relevant service line.</w:t>
      </w:r>
    </w:p>
    <w:p w14:paraId="1858AD51" w14:textId="77777777" w:rsidR="000C2384" w:rsidRPr="007936C2" w:rsidRDefault="000C2384" w:rsidP="007446B1">
      <w:pPr>
        <w:pStyle w:val="BodyTextIndent"/>
        <w:ind w:left="1440"/>
        <w:rPr>
          <w:szCs w:val="24"/>
          <w:lang w:val="en-GB"/>
        </w:rPr>
      </w:pPr>
    </w:p>
    <w:p w14:paraId="6A5D6172" w14:textId="27A4B44B" w:rsidR="00FB3503" w:rsidRPr="00D948C1" w:rsidRDefault="00FB3503" w:rsidP="007446B1">
      <w:pPr>
        <w:pStyle w:val="BodyTextIndent"/>
        <w:ind w:left="1440"/>
        <w:rPr>
          <w:szCs w:val="24"/>
          <w:lang w:val="en-GB"/>
        </w:rPr>
      </w:pPr>
      <w:r w:rsidRPr="007936C2">
        <w:rPr>
          <w:szCs w:val="24"/>
          <w:lang w:val="en-GB"/>
        </w:rPr>
        <w:t xml:space="preserve">Details of the Authority’s provisions are given in </w:t>
      </w:r>
      <w:hyperlink w:anchor="_13_Provisions" w:history="1">
        <w:r w:rsidR="00643D60">
          <w:rPr>
            <w:rStyle w:val="Hyperlink"/>
            <w:szCs w:val="24"/>
            <w:lang w:val="en-GB"/>
          </w:rPr>
          <w:t>Note 13</w:t>
        </w:r>
      </w:hyperlink>
      <w:r w:rsidR="00ED35A7" w:rsidRPr="007936C2">
        <w:rPr>
          <w:szCs w:val="24"/>
          <w:lang w:val="en-GB"/>
        </w:rPr>
        <w:t xml:space="preserve"> </w:t>
      </w:r>
      <w:r w:rsidRPr="007936C2">
        <w:rPr>
          <w:szCs w:val="24"/>
          <w:lang w:val="en-GB"/>
        </w:rPr>
        <w:t xml:space="preserve">to the </w:t>
      </w:r>
      <w:proofErr w:type="gramStart"/>
      <w:r w:rsidRPr="007936C2">
        <w:rPr>
          <w:szCs w:val="24"/>
          <w:lang w:val="en-GB"/>
        </w:rPr>
        <w:t>Balance Sheet</w:t>
      </w:r>
      <w:r w:rsidR="000C2384" w:rsidRPr="007936C2">
        <w:rPr>
          <w:szCs w:val="24"/>
          <w:lang w:val="en-GB"/>
        </w:rPr>
        <w:t>, and</w:t>
      </w:r>
      <w:proofErr w:type="gramEnd"/>
      <w:r w:rsidR="000C2384" w:rsidRPr="007936C2">
        <w:rPr>
          <w:szCs w:val="24"/>
          <w:lang w:val="en-GB"/>
        </w:rPr>
        <w:t xml:space="preserve"> currently comprise insurance liabilities and business rates appeals</w:t>
      </w:r>
      <w:r w:rsidRPr="007936C2">
        <w:rPr>
          <w:szCs w:val="24"/>
          <w:lang w:val="en-GB"/>
        </w:rPr>
        <w:t>.</w:t>
      </w:r>
    </w:p>
    <w:p w14:paraId="3CA025C8" w14:textId="54AF8AAD" w:rsidR="00D45CFC" w:rsidRPr="00D948C1" w:rsidRDefault="00D45CFC" w:rsidP="007446B1">
      <w:pPr>
        <w:rPr>
          <w:b/>
          <w:szCs w:val="24"/>
        </w:rPr>
      </w:pPr>
    </w:p>
    <w:p w14:paraId="66D63D33" w14:textId="7C39B608" w:rsidR="00FB3503" w:rsidRPr="007936C2" w:rsidRDefault="00682D0D" w:rsidP="007446B1">
      <w:pPr>
        <w:keepLines/>
        <w:widowControl w:val="0"/>
        <w:ind w:left="720"/>
        <w:rPr>
          <w:b/>
          <w:szCs w:val="24"/>
        </w:rPr>
      </w:pPr>
      <w:r>
        <w:rPr>
          <w:b/>
          <w:szCs w:val="24"/>
        </w:rPr>
        <w:t>n</w:t>
      </w:r>
      <w:r w:rsidR="00FB3503" w:rsidRPr="00D948C1">
        <w:rPr>
          <w:b/>
          <w:szCs w:val="24"/>
        </w:rPr>
        <w:tab/>
      </w:r>
      <w:r w:rsidR="00FB3503" w:rsidRPr="007936C2">
        <w:rPr>
          <w:b/>
          <w:szCs w:val="24"/>
        </w:rPr>
        <w:t>Reserves</w:t>
      </w:r>
    </w:p>
    <w:p w14:paraId="43F6BBAC" w14:textId="77777777" w:rsidR="00FB3503" w:rsidRPr="007936C2" w:rsidRDefault="00FB3503" w:rsidP="007446B1">
      <w:pPr>
        <w:ind w:left="720"/>
        <w:rPr>
          <w:szCs w:val="24"/>
        </w:rPr>
      </w:pPr>
    </w:p>
    <w:p w14:paraId="6B8A8FC5" w14:textId="5B9D5001" w:rsidR="00FB3503" w:rsidRPr="007936C2" w:rsidRDefault="00FB3503" w:rsidP="007446B1">
      <w:pPr>
        <w:pStyle w:val="BodyTextIndent"/>
        <w:ind w:left="1440"/>
        <w:rPr>
          <w:szCs w:val="24"/>
          <w:lang w:val="en-GB"/>
        </w:rPr>
      </w:pPr>
      <w:r w:rsidRPr="007936C2">
        <w:rPr>
          <w:szCs w:val="24"/>
          <w:lang w:val="en-GB"/>
        </w:rPr>
        <w:t>The Authority sets aside specific amounts as reserves for future policy purposes or to cover contingencies. Reserves are created by appropriating amounts out of the General Fund Balance in the Movement in Reserves Statement. When expenditure to be financed from a reserve is incurred, it is charged against the net cost of services in that year in the Comprehensive Income and Expenditure Statement. The reserve is then appropriated back into the General Fund Balance in the Movement in Reserves Statement so that there is no net charge against council tax for the expenditure.</w:t>
      </w:r>
    </w:p>
    <w:p w14:paraId="3DBA740C" w14:textId="77777777" w:rsidR="00FB3503" w:rsidRPr="007936C2" w:rsidRDefault="00FB3503" w:rsidP="007446B1">
      <w:pPr>
        <w:pStyle w:val="BodyTextIndent"/>
        <w:ind w:left="1440"/>
        <w:rPr>
          <w:szCs w:val="24"/>
          <w:lang w:val="en-GB"/>
        </w:rPr>
      </w:pPr>
    </w:p>
    <w:p w14:paraId="3502D763" w14:textId="77777777" w:rsidR="00FB3503" w:rsidRPr="00D948C1" w:rsidRDefault="00FB3503" w:rsidP="007446B1">
      <w:pPr>
        <w:pStyle w:val="BodyTextIndent"/>
        <w:ind w:left="1440"/>
        <w:rPr>
          <w:szCs w:val="24"/>
          <w:lang w:val="en-GB"/>
        </w:rPr>
      </w:pPr>
      <w:r w:rsidRPr="007936C2">
        <w:rPr>
          <w:szCs w:val="24"/>
          <w:lang w:val="en-GB"/>
        </w:rPr>
        <w:t xml:space="preserve">Certain reserves are kept </w:t>
      </w:r>
      <w:proofErr w:type="gramStart"/>
      <w:r w:rsidRPr="007936C2">
        <w:rPr>
          <w:szCs w:val="24"/>
          <w:lang w:val="en-GB"/>
        </w:rPr>
        <w:t>to manage</w:t>
      </w:r>
      <w:proofErr w:type="gramEnd"/>
      <w:r w:rsidRPr="007936C2">
        <w:rPr>
          <w:szCs w:val="24"/>
          <w:lang w:val="en-GB"/>
        </w:rPr>
        <w:t xml:space="preserve"> the accounting processes for non-current assets, financial instruments, retirements and employee benefits and do not represent usable resources for the Authority.</w:t>
      </w:r>
    </w:p>
    <w:p w14:paraId="490DC170" w14:textId="77777777" w:rsidR="00FB3503" w:rsidRPr="007936C2" w:rsidRDefault="00FB3503" w:rsidP="77119DA7">
      <w:pPr>
        <w:pStyle w:val="BodyTextIndent"/>
        <w:ind w:left="1440"/>
        <w:rPr>
          <w:lang w:val="en-GB"/>
        </w:rPr>
      </w:pPr>
    </w:p>
    <w:p w14:paraId="2FC2C2AD" w14:textId="6A6D75F3" w:rsidR="00FB3503" w:rsidRPr="00507310" w:rsidRDefault="00682D0D" w:rsidP="77119DA7">
      <w:pPr>
        <w:ind w:left="720"/>
        <w:rPr>
          <w:b/>
        </w:rPr>
      </w:pPr>
      <w:r>
        <w:rPr>
          <w:b/>
          <w:bCs/>
        </w:rPr>
        <w:t>o</w:t>
      </w:r>
      <w:r w:rsidR="00FB3503">
        <w:tab/>
      </w:r>
      <w:r w:rsidR="00FB3503" w:rsidRPr="00507310">
        <w:rPr>
          <w:b/>
        </w:rPr>
        <w:t>Contingent liabilities</w:t>
      </w:r>
    </w:p>
    <w:p w14:paraId="5DB32A48" w14:textId="77777777" w:rsidR="00FB3503" w:rsidRPr="00507310" w:rsidRDefault="00FB3503" w:rsidP="77119DA7">
      <w:pPr>
        <w:pStyle w:val="BodyTextIndent"/>
        <w:ind w:left="1440"/>
        <w:rPr>
          <w:b/>
        </w:rPr>
      </w:pPr>
    </w:p>
    <w:p w14:paraId="3D69F847" w14:textId="22F38370" w:rsidR="00FB3503" w:rsidRPr="007936C2" w:rsidRDefault="00FB3503" w:rsidP="77119DA7">
      <w:pPr>
        <w:pStyle w:val="BodyTextIndent"/>
        <w:ind w:left="1440"/>
      </w:pPr>
      <w:r w:rsidRPr="00507310">
        <w:t xml:space="preserve">A contingent liability arises where an event has taken place that gives the Authority a possible obligation whose existence will only be confirmed by the occurrence or otherwise of uncertain future events not wholly within the control of the Authority. Contingent liabilities are not </w:t>
      </w:r>
      <w:proofErr w:type="spellStart"/>
      <w:r w:rsidRPr="00507310">
        <w:t>recognised</w:t>
      </w:r>
      <w:proofErr w:type="spellEnd"/>
      <w:r w:rsidRPr="00507310">
        <w:t xml:space="preserve"> in the Balance </w:t>
      </w:r>
      <w:r w:rsidR="00245686" w:rsidRPr="00507310">
        <w:t>Sheet but</w:t>
      </w:r>
      <w:r w:rsidRPr="00507310">
        <w:t xml:space="preserve"> disclosed in a note to the accounts.</w:t>
      </w:r>
      <w:r>
        <w:t xml:space="preserve"> </w:t>
      </w:r>
    </w:p>
    <w:p w14:paraId="6743F055" w14:textId="77777777" w:rsidR="007B2B60" w:rsidRDefault="007B2B60">
      <w:pPr>
        <w:rPr>
          <w:b/>
          <w:szCs w:val="24"/>
        </w:rPr>
      </w:pPr>
      <w:r>
        <w:rPr>
          <w:b/>
          <w:szCs w:val="24"/>
        </w:rPr>
        <w:br w:type="page"/>
      </w:r>
    </w:p>
    <w:p w14:paraId="6C255268" w14:textId="7B7CC6B9" w:rsidR="007528AB" w:rsidRPr="007936C2" w:rsidRDefault="00682D0D" w:rsidP="007446B1">
      <w:pPr>
        <w:ind w:left="720"/>
        <w:rPr>
          <w:b/>
          <w:szCs w:val="24"/>
        </w:rPr>
      </w:pPr>
      <w:r>
        <w:rPr>
          <w:b/>
          <w:szCs w:val="24"/>
        </w:rPr>
        <w:lastRenderedPageBreak/>
        <w:t>p</w:t>
      </w:r>
      <w:r w:rsidR="007528AB" w:rsidRPr="007936C2">
        <w:rPr>
          <w:b/>
          <w:szCs w:val="24"/>
        </w:rPr>
        <w:tab/>
        <w:t>Going Concern</w:t>
      </w:r>
    </w:p>
    <w:p w14:paraId="6ED7630E" w14:textId="77777777" w:rsidR="007528AB" w:rsidRPr="007936C2" w:rsidRDefault="007528AB" w:rsidP="007446B1">
      <w:pPr>
        <w:ind w:left="720"/>
        <w:rPr>
          <w:szCs w:val="24"/>
        </w:rPr>
      </w:pPr>
    </w:p>
    <w:p w14:paraId="1116EB54" w14:textId="71680EEE" w:rsidR="00D573A1" w:rsidRPr="00D948C1" w:rsidRDefault="00EF26ED" w:rsidP="001C113F">
      <w:pPr>
        <w:pStyle w:val="BodyTextIndent"/>
        <w:ind w:left="1440"/>
        <w:rPr>
          <w:szCs w:val="24"/>
        </w:rPr>
      </w:pPr>
      <w:r w:rsidRPr="007936C2">
        <w:rPr>
          <w:szCs w:val="24"/>
        </w:rPr>
        <w:t xml:space="preserve">These accounts are prepared on a going </w:t>
      </w:r>
      <w:proofErr w:type="gramStart"/>
      <w:r w:rsidRPr="007936C2">
        <w:rPr>
          <w:szCs w:val="24"/>
        </w:rPr>
        <w:t>concern</w:t>
      </w:r>
      <w:proofErr w:type="gramEnd"/>
      <w:r w:rsidRPr="007936C2">
        <w:rPr>
          <w:szCs w:val="24"/>
        </w:rPr>
        <w:t xml:space="preserve"> basis, on the assumption that the Authority’s functions will continue in operational existence for the foreseeable future. </w:t>
      </w:r>
      <w:r w:rsidR="00865F1A" w:rsidRPr="007936C2">
        <w:rPr>
          <w:szCs w:val="24"/>
        </w:rPr>
        <w:t xml:space="preserve">Our current Medium Term Financial Strategy (MTFS) shows a healthy reserves position, </w:t>
      </w:r>
      <w:r w:rsidR="00CF111B" w:rsidRPr="007936C2">
        <w:rPr>
          <w:szCs w:val="24"/>
        </w:rPr>
        <w:t>and a balanced</w:t>
      </w:r>
      <w:r w:rsidR="00865F1A" w:rsidRPr="007936C2">
        <w:rPr>
          <w:szCs w:val="24"/>
        </w:rPr>
        <w:t xml:space="preserve"> budget in the short and medium term. We await the outcome of </w:t>
      </w:r>
      <w:r w:rsidR="009566C1" w:rsidRPr="007936C2">
        <w:rPr>
          <w:szCs w:val="24"/>
        </w:rPr>
        <w:t xml:space="preserve">the </w:t>
      </w:r>
      <w:r w:rsidR="00CF111B" w:rsidRPr="007936C2">
        <w:rPr>
          <w:szCs w:val="24"/>
        </w:rPr>
        <w:t xml:space="preserve">multi-year settlement </w:t>
      </w:r>
      <w:r w:rsidR="00865F1A" w:rsidRPr="007936C2">
        <w:rPr>
          <w:szCs w:val="24"/>
        </w:rPr>
        <w:t>to clarify our estimates within our MTFS.</w:t>
      </w:r>
    </w:p>
    <w:p w14:paraId="2A19FF1C" w14:textId="651E1AFE" w:rsidR="007B2B60" w:rsidRDefault="007B2B60">
      <w:pPr>
        <w:rPr>
          <w:b/>
          <w:szCs w:val="24"/>
        </w:rPr>
      </w:pPr>
      <w:bookmarkStart w:id="100" w:name="_Hlk56594024"/>
    </w:p>
    <w:p w14:paraId="374EB3B5" w14:textId="52271172" w:rsidR="00D573A1" w:rsidRPr="007936C2" w:rsidRDefault="00682D0D" w:rsidP="007446B1">
      <w:pPr>
        <w:ind w:left="1418" w:hanging="709"/>
        <w:rPr>
          <w:b/>
          <w:szCs w:val="24"/>
        </w:rPr>
      </w:pPr>
      <w:r>
        <w:rPr>
          <w:b/>
          <w:szCs w:val="24"/>
        </w:rPr>
        <w:t>q</w:t>
      </w:r>
      <w:r w:rsidR="00D573A1" w:rsidRPr="00D948C1">
        <w:rPr>
          <w:b/>
          <w:szCs w:val="24"/>
        </w:rPr>
        <w:tab/>
      </w:r>
      <w:r w:rsidR="00D573A1" w:rsidRPr="007936C2">
        <w:rPr>
          <w:b/>
          <w:szCs w:val="24"/>
        </w:rPr>
        <w:t>Prior Period Adjustments, Changes in Accounting Policies and Estimates and Errors</w:t>
      </w:r>
    </w:p>
    <w:p w14:paraId="6150F773" w14:textId="77777777" w:rsidR="00D573A1" w:rsidRPr="007936C2" w:rsidRDefault="00D573A1" w:rsidP="007446B1">
      <w:pPr>
        <w:ind w:left="720"/>
        <w:rPr>
          <w:b/>
          <w:szCs w:val="24"/>
        </w:rPr>
      </w:pPr>
    </w:p>
    <w:p w14:paraId="7A31E8AA" w14:textId="2D7FFD00" w:rsidR="00D573A1" w:rsidRPr="007936C2" w:rsidRDefault="00D573A1" w:rsidP="007446B1">
      <w:pPr>
        <w:pStyle w:val="BodyTextIndent"/>
        <w:ind w:left="1440"/>
        <w:rPr>
          <w:szCs w:val="24"/>
        </w:rPr>
      </w:pPr>
      <w:r w:rsidRPr="007936C2">
        <w:rPr>
          <w:szCs w:val="24"/>
        </w:rPr>
        <w:t xml:space="preserve">Prior period adjustments may arise </w:t>
      </w:r>
      <w:r w:rsidR="0094180B" w:rsidRPr="007936C2">
        <w:rPr>
          <w:szCs w:val="24"/>
        </w:rPr>
        <w:t>due to</w:t>
      </w:r>
      <w:r w:rsidRPr="007936C2">
        <w:rPr>
          <w:szCs w:val="24"/>
        </w:rPr>
        <w:t xml:space="preserve"> </w:t>
      </w:r>
      <w:r w:rsidR="0094180B" w:rsidRPr="007936C2">
        <w:rPr>
          <w:szCs w:val="24"/>
        </w:rPr>
        <w:t xml:space="preserve">a </w:t>
      </w:r>
      <w:r w:rsidRPr="007936C2">
        <w:rPr>
          <w:szCs w:val="24"/>
        </w:rPr>
        <w:t xml:space="preserve">change in accounting policies or to </w:t>
      </w:r>
      <w:proofErr w:type="gramStart"/>
      <w:r w:rsidRPr="007936C2">
        <w:rPr>
          <w:szCs w:val="24"/>
        </w:rPr>
        <w:t>correct</w:t>
      </w:r>
      <w:proofErr w:type="gramEnd"/>
      <w:r w:rsidRPr="007936C2">
        <w:rPr>
          <w:szCs w:val="24"/>
        </w:rPr>
        <w:t xml:space="preserve"> a material error. Changes in accounting estimates are accounted for prospectively, in the current and future years affected by the change and do not give rise to a prior period adjustment.</w:t>
      </w:r>
    </w:p>
    <w:p w14:paraId="67B7C58E" w14:textId="77777777" w:rsidR="00D573A1" w:rsidRPr="007936C2" w:rsidRDefault="00D573A1" w:rsidP="007446B1">
      <w:pPr>
        <w:pStyle w:val="BodyTextIndent"/>
        <w:ind w:left="1440"/>
        <w:rPr>
          <w:szCs w:val="24"/>
        </w:rPr>
      </w:pPr>
    </w:p>
    <w:p w14:paraId="1022C5E9" w14:textId="6AD44E77" w:rsidR="00276650" w:rsidRPr="00D948C1" w:rsidRDefault="00D573A1" w:rsidP="007446B1">
      <w:pPr>
        <w:pStyle w:val="BodyTextIndent"/>
        <w:ind w:left="1440"/>
        <w:rPr>
          <w:rFonts w:ascii="Calibri" w:hAnsi="Calibri"/>
          <w:szCs w:val="24"/>
        </w:rPr>
      </w:pPr>
      <w:r w:rsidRPr="007936C2">
        <w:rPr>
          <w:szCs w:val="24"/>
        </w:rPr>
        <w:t>Changes in accounting policies are only made when required by proper accounting practices or the change provides more reliable or relevant information about the effect of transactions, other events and conditions on the Authority’s financial position or financial performance. Where a change is made, it is applied retrospectively (unless stated otherwise) by adjusting opening balances and comparative amounts for the prior period as if the new policy had always been applied.</w:t>
      </w:r>
      <w:bookmarkEnd w:id="100"/>
      <w:r w:rsidR="00276650" w:rsidRPr="007936C2">
        <w:rPr>
          <w:szCs w:val="24"/>
        </w:rPr>
        <w:t xml:space="preserve"> </w:t>
      </w:r>
      <w:r w:rsidR="00276650" w:rsidRPr="007936C2">
        <w:rPr>
          <w:color w:val="000000"/>
          <w:szCs w:val="24"/>
        </w:rPr>
        <w:t>Material errors discovered in prior period figures are corrected retrospectively by amending opening balances and comparative amounts for the prior period.</w:t>
      </w:r>
    </w:p>
    <w:bookmarkEnd w:id="97"/>
    <w:p w14:paraId="123E266A" w14:textId="77777777" w:rsidR="00555960" w:rsidRPr="00D948C1" w:rsidRDefault="00555960" w:rsidP="003E43E5">
      <w:pPr>
        <w:pStyle w:val="BodyTextIndent"/>
        <w:ind w:left="0"/>
        <w:rPr>
          <w:szCs w:val="24"/>
        </w:rPr>
      </w:pPr>
    </w:p>
    <w:p w14:paraId="75545F43" w14:textId="6CE64414" w:rsidR="00555960" w:rsidRPr="00D948C1" w:rsidRDefault="00682D0D" w:rsidP="007446B1">
      <w:pPr>
        <w:ind w:firstLine="720"/>
        <w:rPr>
          <w:b/>
          <w:szCs w:val="24"/>
        </w:rPr>
      </w:pPr>
      <w:r>
        <w:rPr>
          <w:b/>
          <w:szCs w:val="24"/>
        </w:rPr>
        <w:t>r</w:t>
      </w:r>
      <w:r w:rsidR="00555960" w:rsidRPr="00D948C1">
        <w:rPr>
          <w:b/>
          <w:szCs w:val="24"/>
        </w:rPr>
        <w:tab/>
      </w:r>
      <w:bookmarkStart w:id="101" w:name="_Hlk170821542"/>
      <w:r w:rsidR="00555960" w:rsidRPr="00D948C1">
        <w:rPr>
          <w:b/>
          <w:szCs w:val="24"/>
        </w:rPr>
        <w:t>Accounting Standards issued but not yet adopted</w:t>
      </w:r>
    </w:p>
    <w:p w14:paraId="40D7745E" w14:textId="77777777" w:rsidR="00555960" w:rsidRPr="00D948C1" w:rsidRDefault="00555960" w:rsidP="007446B1">
      <w:pPr>
        <w:ind w:left="720"/>
        <w:rPr>
          <w:szCs w:val="24"/>
        </w:rPr>
      </w:pPr>
    </w:p>
    <w:p w14:paraId="35A68AC7" w14:textId="450CF669" w:rsidR="00FD3E57" w:rsidRPr="00D948C1" w:rsidRDefault="00FD3E57" w:rsidP="007446B1">
      <w:pPr>
        <w:ind w:left="1440"/>
      </w:pPr>
      <w:bookmarkStart w:id="102" w:name="_Hlk80358184"/>
      <w:r>
        <w:t xml:space="preserve">The Authority is required to disclose the impact of an accounting change required by a new accounting standard that has been issued on or before 1 January but not yet adopted by the Code of Practice on Local Authority Accounting in the United Kingdom (the Code). </w:t>
      </w:r>
    </w:p>
    <w:p w14:paraId="2D02001B" w14:textId="6FCABAF5" w:rsidR="00FD3E57" w:rsidRPr="00D948C1" w:rsidRDefault="00FD3E57" w:rsidP="77119DA7">
      <w:pPr>
        <w:ind w:left="1440"/>
        <w:rPr>
          <w:highlight w:val="red"/>
        </w:rPr>
      </w:pPr>
    </w:p>
    <w:p w14:paraId="26482F0F" w14:textId="6768F2AC" w:rsidR="00FD3E57" w:rsidRPr="00557B97" w:rsidRDefault="38B493A7" w:rsidP="00557B97">
      <w:pPr>
        <w:shd w:val="clear" w:color="auto" w:fill="FFFFFF" w:themeFill="background1"/>
        <w:ind w:left="1440"/>
      </w:pPr>
      <w:r w:rsidRPr="00557B97">
        <w:t xml:space="preserve">The Code also requires that changes in accounting policy are to be applied retrospectively unless </w:t>
      </w:r>
      <w:r w:rsidR="345AEDD5" w:rsidRPr="00557B97">
        <w:t>transitional arrangements are specified, this would result in an impact on disclosures spanning two financial years.</w:t>
      </w:r>
    </w:p>
    <w:p w14:paraId="416DCAB6" w14:textId="6A49F11F" w:rsidR="00FD3E57" w:rsidRPr="00557B97" w:rsidRDefault="00FD3E57" w:rsidP="00557B97">
      <w:pPr>
        <w:shd w:val="clear" w:color="auto" w:fill="FFFFFF" w:themeFill="background1"/>
        <w:ind w:left="1440"/>
      </w:pPr>
    </w:p>
    <w:p w14:paraId="75ED70BC" w14:textId="63ECCE27" w:rsidR="00FD3E57" w:rsidRPr="00557B97" w:rsidRDefault="345AEDD5" w:rsidP="00557B97">
      <w:pPr>
        <w:shd w:val="clear" w:color="auto" w:fill="FFFFFF" w:themeFill="background1"/>
        <w:ind w:left="1440"/>
      </w:pPr>
      <w:r w:rsidRPr="00557B97">
        <w:t>Accounting changes to introduce by the 2025/26 code are:</w:t>
      </w:r>
    </w:p>
    <w:p w14:paraId="08AC3496" w14:textId="6DB7C321" w:rsidR="00FD3E57" w:rsidRPr="00557B97" w:rsidRDefault="00FD3E57" w:rsidP="00557B97">
      <w:pPr>
        <w:shd w:val="clear" w:color="auto" w:fill="FFFFFF" w:themeFill="background1"/>
        <w:ind w:left="1440"/>
      </w:pPr>
    </w:p>
    <w:p w14:paraId="5AAB525D" w14:textId="7722BAD6" w:rsidR="00FD3E57" w:rsidRPr="00557B97" w:rsidRDefault="229D2212" w:rsidP="00557B97">
      <w:pPr>
        <w:pStyle w:val="ListParagraph"/>
        <w:numPr>
          <w:ilvl w:val="0"/>
          <w:numId w:val="1"/>
        </w:numPr>
        <w:shd w:val="clear" w:color="auto" w:fill="FFFFFF" w:themeFill="background1"/>
        <w:rPr>
          <w:szCs w:val="24"/>
          <w:u w:val="single"/>
        </w:rPr>
      </w:pPr>
      <w:r w:rsidRPr="00557B97">
        <w:rPr>
          <w:szCs w:val="24"/>
          <w:u w:val="single"/>
        </w:rPr>
        <w:t xml:space="preserve">IAS21 </w:t>
      </w:r>
      <w:r w:rsidR="345AEDD5" w:rsidRPr="00557B97">
        <w:rPr>
          <w:szCs w:val="24"/>
          <w:u w:val="single"/>
        </w:rPr>
        <w:t xml:space="preserve">The Effects of Charges in foreign Exchange Rate </w:t>
      </w:r>
      <w:r w:rsidR="49586E4A" w:rsidRPr="00557B97">
        <w:rPr>
          <w:szCs w:val="24"/>
          <w:u w:val="single"/>
        </w:rPr>
        <w:t>(Lack of Exchangeability</w:t>
      </w:r>
      <w:r w:rsidR="345AEDD5" w:rsidRPr="00557B97">
        <w:rPr>
          <w:szCs w:val="24"/>
          <w:u w:val="single"/>
        </w:rPr>
        <w:t>)</w:t>
      </w:r>
    </w:p>
    <w:p w14:paraId="2C8D8F49" w14:textId="6CBEE027" w:rsidR="00FD3E57" w:rsidRPr="00557B97" w:rsidRDefault="34ABC75A" w:rsidP="00557B97">
      <w:pPr>
        <w:pStyle w:val="ListParagraph"/>
        <w:shd w:val="clear" w:color="auto" w:fill="FFFFFF" w:themeFill="background1"/>
        <w:ind w:left="1800"/>
        <w:rPr>
          <w:szCs w:val="24"/>
        </w:rPr>
      </w:pPr>
      <w:r w:rsidRPr="00557B97">
        <w:rPr>
          <w:szCs w:val="24"/>
        </w:rPr>
        <w:t>The amendments clarify how an entity should assess whether a currency is exchangeable and how it should determine a spot exchan</w:t>
      </w:r>
      <w:r w:rsidR="5FD6E4C8" w:rsidRPr="00557B97">
        <w:rPr>
          <w:szCs w:val="24"/>
        </w:rPr>
        <w:t xml:space="preserve">ge rate when exchangeability is lacking, as well as require the disclosure of information that enables users </w:t>
      </w:r>
      <w:r w:rsidR="2EFCD686" w:rsidRPr="00557B97">
        <w:rPr>
          <w:szCs w:val="24"/>
        </w:rPr>
        <w:t xml:space="preserve">of the financial statements to understand the impact of a currency not being exchangeable. </w:t>
      </w:r>
    </w:p>
    <w:p w14:paraId="3513633E" w14:textId="00BF706C" w:rsidR="00FD3E57" w:rsidRPr="00557B97" w:rsidRDefault="60D63803" w:rsidP="00557B97">
      <w:pPr>
        <w:pStyle w:val="ListParagraph"/>
        <w:shd w:val="clear" w:color="auto" w:fill="FFFFFF" w:themeFill="background1"/>
        <w:ind w:left="1800"/>
        <w:rPr>
          <w:szCs w:val="24"/>
        </w:rPr>
      </w:pPr>
      <w:r w:rsidRPr="00557B97">
        <w:rPr>
          <w:szCs w:val="24"/>
        </w:rPr>
        <w:t>No significant impact is expected on the Authority</w:t>
      </w:r>
      <w:r w:rsidR="5A15A0CC" w:rsidRPr="00557B97">
        <w:rPr>
          <w:szCs w:val="24"/>
        </w:rPr>
        <w:t>’s</w:t>
      </w:r>
      <w:r w:rsidRPr="00557B97">
        <w:rPr>
          <w:szCs w:val="24"/>
        </w:rPr>
        <w:t xml:space="preserve"> accounts.</w:t>
      </w:r>
    </w:p>
    <w:p w14:paraId="3F2EC6CE" w14:textId="3F857AF2" w:rsidR="00FD3E57" w:rsidRPr="00557B97" w:rsidRDefault="00FD3E57" w:rsidP="00557B97">
      <w:pPr>
        <w:pStyle w:val="ListParagraph"/>
        <w:shd w:val="clear" w:color="auto" w:fill="FFFFFF" w:themeFill="background1"/>
        <w:ind w:left="1800"/>
        <w:rPr>
          <w:szCs w:val="24"/>
          <w:u w:val="single"/>
        </w:rPr>
      </w:pPr>
    </w:p>
    <w:p w14:paraId="122B0532" w14:textId="31C9CF50" w:rsidR="00FD3E57" w:rsidRPr="00557B97" w:rsidRDefault="345AEDD5" w:rsidP="00557B97">
      <w:pPr>
        <w:pStyle w:val="ListParagraph"/>
        <w:numPr>
          <w:ilvl w:val="0"/>
          <w:numId w:val="1"/>
        </w:numPr>
        <w:shd w:val="clear" w:color="auto" w:fill="FFFFFF" w:themeFill="background1"/>
        <w:rPr>
          <w:szCs w:val="24"/>
        </w:rPr>
      </w:pPr>
      <w:r w:rsidRPr="00557B97">
        <w:rPr>
          <w:szCs w:val="24"/>
        </w:rPr>
        <w:t>Insurance Contracts (IFRS 17 replaces IFRS4</w:t>
      </w:r>
      <w:r w:rsidR="7A17B3BD" w:rsidRPr="00557B97">
        <w:rPr>
          <w:szCs w:val="24"/>
        </w:rPr>
        <w:t>)</w:t>
      </w:r>
    </w:p>
    <w:p w14:paraId="48E134B1" w14:textId="3C3233E3" w:rsidR="00FD3E57" w:rsidRPr="00557B97" w:rsidRDefault="7A17B3BD" w:rsidP="00557B97">
      <w:pPr>
        <w:pStyle w:val="ListParagraph"/>
        <w:shd w:val="clear" w:color="auto" w:fill="FFFFFF" w:themeFill="background1"/>
        <w:ind w:left="1800"/>
        <w:rPr>
          <w:szCs w:val="24"/>
        </w:rPr>
      </w:pPr>
      <w:r w:rsidRPr="00557B97">
        <w:rPr>
          <w:szCs w:val="24"/>
        </w:rPr>
        <w:t>IFRS 17 sets out principles for recognition, measurement, presentation and disclosure of insurance contracts.</w:t>
      </w:r>
    </w:p>
    <w:p w14:paraId="7AE7100C" w14:textId="693D826D" w:rsidR="00FD3E57" w:rsidRPr="00557B97" w:rsidRDefault="0022CB23" w:rsidP="00557B97">
      <w:pPr>
        <w:pStyle w:val="ListParagraph"/>
        <w:shd w:val="clear" w:color="auto" w:fill="FFFFFF" w:themeFill="background1"/>
        <w:ind w:left="1800"/>
        <w:rPr>
          <w:szCs w:val="24"/>
        </w:rPr>
      </w:pPr>
      <w:r w:rsidRPr="00557B97">
        <w:rPr>
          <w:szCs w:val="24"/>
        </w:rPr>
        <w:t>No significant impact is expected on the Authority’s accounts.</w:t>
      </w:r>
    </w:p>
    <w:bookmarkEnd w:id="101"/>
    <w:bookmarkEnd w:id="102"/>
    <w:p w14:paraId="590C1288" w14:textId="77777777" w:rsidR="005C4093" w:rsidRPr="00D948C1" w:rsidRDefault="005C4093" w:rsidP="007446B1">
      <w:pPr>
        <w:rPr>
          <w:szCs w:val="24"/>
        </w:rPr>
      </w:pPr>
    </w:p>
    <w:p w14:paraId="0335938F" w14:textId="08B74329" w:rsidR="005C4093" w:rsidRPr="00D948C1" w:rsidRDefault="00682D0D" w:rsidP="007446B1">
      <w:pPr>
        <w:ind w:left="720"/>
        <w:rPr>
          <w:b/>
          <w:szCs w:val="24"/>
        </w:rPr>
      </w:pPr>
      <w:r>
        <w:rPr>
          <w:b/>
          <w:szCs w:val="24"/>
        </w:rPr>
        <w:lastRenderedPageBreak/>
        <w:t>s</w:t>
      </w:r>
      <w:r w:rsidR="005C4093" w:rsidRPr="00D948C1">
        <w:rPr>
          <w:b/>
          <w:szCs w:val="24"/>
        </w:rPr>
        <w:tab/>
        <w:t>Joint Operations</w:t>
      </w:r>
    </w:p>
    <w:p w14:paraId="484280CA" w14:textId="77777777" w:rsidR="005C4093" w:rsidRPr="00D948C1" w:rsidRDefault="005C4093" w:rsidP="007446B1">
      <w:pPr>
        <w:ind w:left="720"/>
        <w:rPr>
          <w:szCs w:val="24"/>
        </w:rPr>
      </w:pPr>
    </w:p>
    <w:p w14:paraId="44934166" w14:textId="1DBEFC0E" w:rsidR="00CB4FDF" w:rsidRPr="00D948C1" w:rsidRDefault="00CB4FDF" w:rsidP="007446B1">
      <w:pPr>
        <w:ind w:left="1440"/>
        <w:rPr>
          <w:szCs w:val="24"/>
        </w:rPr>
      </w:pPr>
      <w:r w:rsidRPr="00D948C1">
        <w:rPr>
          <w:szCs w:val="24"/>
        </w:rPr>
        <w:t xml:space="preserve">Joint operations are arrangements where the parties that have joint control of the arrangement have rights to the assets and obligations for the liabilities relating to the arrangement. The activities undertaken by the Authority in conjunction with other joint operators involve the use of the assets and resources of those joint operators. The Authority has one joint operation, </w:t>
      </w:r>
      <w:proofErr w:type="gramStart"/>
      <w:r w:rsidRPr="00D948C1">
        <w:rPr>
          <w:szCs w:val="24"/>
        </w:rPr>
        <w:t>North West</w:t>
      </w:r>
      <w:proofErr w:type="gramEnd"/>
      <w:r w:rsidRPr="00D948C1">
        <w:rPr>
          <w:szCs w:val="24"/>
        </w:rPr>
        <w:t xml:space="preserve"> Fire</w:t>
      </w:r>
      <w:r w:rsidR="00442A3D">
        <w:rPr>
          <w:szCs w:val="24"/>
        </w:rPr>
        <w:t xml:space="preserve"> </w:t>
      </w:r>
      <w:r w:rsidRPr="00D948C1">
        <w:rPr>
          <w:szCs w:val="24"/>
        </w:rPr>
        <w:t xml:space="preserve">Control Ltd (see </w:t>
      </w:r>
      <w:hyperlink w:anchor="_23_Local_Authority" w:history="1">
        <w:r w:rsidR="00BA04F9">
          <w:rPr>
            <w:rStyle w:val="Hyperlink"/>
            <w:szCs w:val="24"/>
          </w:rPr>
          <w:t>Note 23</w:t>
        </w:r>
      </w:hyperlink>
      <w:r w:rsidRPr="00D948C1">
        <w:rPr>
          <w:szCs w:val="24"/>
        </w:rPr>
        <w:t xml:space="preserve"> for details), and recognises:</w:t>
      </w:r>
    </w:p>
    <w:p w14:paraId="635F1F63" w14:textId="77777777" w:rsidR="00555960" w:rsidRPr="00D948C1" w:rsidRDefault="00555960" w:rsidP="007446B1">
      <w:pPr>
        <w:rPr>
          <w:szCs w:val="24"/>
        </w:rPr>
      </w:pPr>
    </w:p>
    <w:p w14:paraId="5C313E24" w14:textId="1CEA9758" w:rsidR="00CB4FDF" w:rsidRPr="00D948C1" w:rsidRDefault="0024304C" w:rsidP="002A04B9">
      <w:pPr>
        <w:pStyle w:val="ListParagraph"/>
        <w:numPr>
          <w:ilvl w:val="0"/>
          <w:numId w:val="38"/>
        </w:numPr>
        <w:rPr>
          <w:szCs w:val="24"/>
        </w:rPr>
      </w:pPr>
      <w:r w:rsidRPr="00D948C1">
        <w:rPr>
          <w:szCs w:val="24"/>
        </w:rPr>
        <w:t>its assets, including its share of any assets held jointly</w:t>
      </w:r>
      <w:r w:rsidR="000A40E3" w:rsidRPr="00D948C1">
        <w:rPr>
          <w:szCs w:val="24"/>
        </w:rPr>
        <w:t>.</w:t>
      </w:r>
    </w:p>
    <w:p w14:paraId="34E444C4" w14:textId="6EBCD4D8" w:rsidR="0024304C" w:rsidRPr="00D948C1" w:rsidRDefault="0024304C" w:rsidP="002A04B9">
      <w:pPr>
        <w:pStyle w:val="ListParagraph"/>
        <w:numPr>
          <w:ilvl w:val="0"/>
          <w:numId w:val="38"/>
        </w:numPr>
        <w:rPr>
          <w:szCs w:val="24"/>
        </w:rPr>
      </w:pPr>
      <w:r w:rsidRPr="00D948C1">
        <w:rPr>
          <w:szCs w:val="24"/>
        </w:rPr>
        <w:t>its liabilities, including its share of any liabilities held jointly</w:t>
      </w:r>
      <w:r w:rsidR="000A40E3" w:rsidRPr="00D948C1">
        <w:rPr>
          <w:szCs w:val="24"/>
        </w:rPr>
        <w:t>.</w:t>
      </w:r>
    </w:p>
    <w:p w14:paraId="2AB18726" w14:textId="5D3E666B" w:rsidR="0024304C" w:rsidRPr="00D948C1" w:rsidRDefault="0024304C" w:rsidP="002A04B9">
      <w:pPr>
        <w:pStyle w:val="ListParagraph"/>
        <w:numPr>
          <w:ilvl w:val="0"/>
          <w:numId w:val="38"/>
        </w:numPr>
        <w:rPr>
          <w:szCs w:val="24"/>
        </w:rPr>
      </w:pPr>
      <w:r w:rsidRPr="00D948C1">
        <w:rPr>
          <w:szCs w:val="24"/>
        </w:rPr>
        <w:t>its revenue from the sale of its share of the output arising from the joint operation</w:t>
      </w:r>
      <w:r w:rsidR="000A40E3" w:rsidRPr="00D948C1">
        <w:rPr>
          <w:szCs w:val="24"/>
        </w:rPr>
        <w:t>.</w:t>
      </w:r>
    </w:p>
    <w:p w14:paraId="20740E16" w14:textId="3DEBEBC4" w:rsidR="0024304C" w:rsidRPr="00D948C1" w:rsidRDefault="0024304C" w:rsidP="002A04B9">
      <w:pPr>
        <w:pStyle w:val="ListParagraph"/>
        <w:numPr>
          <w:ilvl w:val="0"/>
          <w:numId w:val="38"/>
        </w:numPr>
        <w:rPr>
          <w:szCs w:val="24"/>
        </w:rPr>
      </w:pPr>
      <w:r w:rsidRPr="00D948C1">
        <w:rPr>
          <w:szCs w:val="24"/>
        </w:rPr>
        <w:t>its share of the revenue from the sale of the output by the joint operation</w:t>
      </w:r>
      <w:r w:rsidR="000A40E3" w:rsidRPr="00D948C1">
        <w:rPr>
          <w:szCs w:val="24"/>
        </w:rPr>
        <w:t>.</w:t>
      </w:r>
    </w:p>
    <w:p w14:paraId="4EB2DE14" w14:textId="6FA96023" w:rsidR="00E216EE" w:rsidRPr="00D948C1" w:rsidRDefault="007446B1" w:rsidP="002A04B9">
      <w:pPr>
        <w:pStyle w:val="ListParagraph"/>
        <w:numPr>
          <w:ilvl w:val="0"/>
          <w:numId w:val="38"/>
        </w:numPr>
        <w:rPr>
          <w:szCs w:val="24"/>
        </w:rPr>
      </w:pPr>
      <w:r w:rsidRPr="00D948C1">
        <w:rPr>
          <w:szCs w:val="24"/>
        </w:rPr>
        <w:t>its expenses, including its share of any expenses incurred jointly.</w:t>
      </w:r>
    </w:p>
    <w:p w14:paraId="7ADD9874" w14:textId="77777777" w:rsidR="003116D8" w:rsidRDefault="003116D8">
      <w:pPr>
        <w:rPr>
          <w:szCs w:val="24"/>
        </w:rPr>
      </w:pPr>
      <w:bookmarkStart w:id="103" w:name="FF_Pension"/>
      <w:bookmarkEnd w:id="103"/>
    </w:p>
    <w:p w14:paraId="222E90C1" w14:textId="351016A9" w:rsidR="003116D8" w:rsidRDefault="003116D8" w:rsidP="003116D8">
      <w:pPr>
        <w:pStyle w:val="Heading2"/>
        <w:jc w:val="left"/>
        <w:rPr>
          <w:sz w:val="24"/>
          <w:szCs w:val="24"/>
        </w:rPr>
      </w:pPr>
      <w:bookmarkStart w:id="104" w:name="_31_Prior_Period"/>
      <w:bookmarkEnd w:id="104"/>
      <w:r>
        <w:rPr>
          <w:sz w:val="24"/>
          <w:szCs w:val="24"/>
        </w:rPr>
        <w:t>31</w:t>
      </w:r>
      <w:r w:rsidRPr="00D948C1">
        <w:rPr>
          <w:sz w:val="24"/>
          <w:szCs w:val="24"/>
        </w:rPr>
        <w:tab/>
      </w:r>
      <w:r w:rsidR="005361CB">
        <w:rPr>
          <w:sz w:val="24"/>
          <w:szCs w:val="24"/>
        </w:rPr>
        <w:t>Prior Period Adjustments</w:t>
      </w:r>
    </w:p>
    <w:p w14:paraId="131A75A8" w14:textId="026B932A" w:rsidR="005361CB" w:rsidRDefault="005361CB" w:rsidP="005361CB"/>
    <w:p w14:paraId="4A24AD0D" w14:textId="3E69158A" w:rsidR="005361CB" w:rsidRDefault="005361CB" w:rsidP="004C03A3">
      <w:pPr>
        <w:ind w:left="720"/>
      </w:pPr>
      <w:r>
        <w:t xml:space="preserve">The </w:t>
      </w:r>
      <w:r w:rsidR="00360FB2">
        <w:t xml:space="preserve">following changes </w:t>
      </w:r>
      <w:r w:rsidR="003C2E1A">
        <w:t>have been made to 2023/24 (see</w:t>
      </w:r>
      <w:r w:rsidR="004C03A3">
        <w:t xml:space="preserve"> accounting policy</w:t>
      </w:r>
      <w:r w:rsidR="003C2E1A">
        <w:t xml:space="preserve"> </w:t>
      </w:r>
      <w:hyperlink w:anchor="_30_Accounting_Policies" w:history="1">
        <w:r w:rsidR="003C2E1A" w:rsidRPr="004C03A3">
          <w:rPr>
            <w:rStyle w:val="Hyperlink"/>
          </w:rPr>
          <w:t>Note 30</w:t>
        </w:r>
      </w:hyperlink>
      <w:r w:rsidR="004C03A3">
        <w:t>, section q)</w:t>
      </w:r>
      <w:r w:rsidR="003C2E1A">
        <w:t>:</w:t>
      </w:r>
    </w:p>
    <w:p w14:paraId="741D5EBF" w14:textId="77777777" w:rsidR="003C2E1A" w:rsidRDefault="003C2E1A" w:rsidP="005361CB"/>
    <w:p w14:paraId="53A3807B" w14:textId="6F4168B8" w:rsidR="00514629" w:rsidRDefault="00514629" w:rsidP="00914034">
      <w:pPr>
        <w:ind w:left="720"/>
        <w:rPr>
          <w:u w:val="single"/>
        </w:rPr>
      </w:pPr>
      <w:r>
        <w:rPr>
          <w:u w:val="single"/>
        </w:rPr>
        <w:t>Movement in Reserves Statement</w:t>
      </w:r>
    </w:p>
    <w:p w14:paraId="4E77131B" w14:textId="77777777" w:rsidR="00247AD3" w:rsidRPr="00247AD3" w:rsidRDefault="00247AD3" w:rsidP="00914034">
      <w:pPr>
        <w:ind w:left="720"/>
      </w:pPr>
    </w:p>
    <w:p w14:paraId="7E97059C" w14:textId="45290DFA" w:rsidR="00514629" w:rsidRDefault="009C40BA" w:rsidP="00914034">
      <w:pPr>
        <w:ind w:left="720"/>
      </w:pPr>
      <w:r>
        <w:t>The Capital Funding Reserve is now included within Earmarked Reserves</w:t>
      </w:r>
      <w:r w:rsidR="00E53DEE">
        <w:t>. The opening balance</w:t>
      </w:r>
      <w:r w:rsidR="004C6057">
        <w:t>s</w:t>
      </w:r>
      <w:r w:rsidR="00E53DEE">
        <w:t xml:space="preserve"> w</w:t>
      </w:r>
      <w:r w:rsidR="004C6057">
        <w:t>ere</w:t>
      </w:r>
      <w:r w:rsidR="00E53DEE">
        <w:t xml:space="preserve"> £</w:t>
      </w:r>
      <w:r w:rsidR="00133C07">
        <w:t>20</w:t>
      </w:r>
      <w:r w:rsidR="004C6057">
        <w:t>.</w:t>
      </w:r>
      <w:r w:rsidR="00133C07">
        <w:t>344</w:t>
      </w:r>
      <w:r w:rsidR="004C6057">
        <w:t>m and £</w:t>
      </w:r>
      <w:r w:rsidR="00625F91">
        <w:t>9</w:t>
      </w:r>
      <w:r w:rsidR="004C6057">
        <w:t>.</w:t>
      </w:r>
      <w:r w:rsidR="00625F91">
        <w:t>258</w:t>
      </w:r>
      <w:r w:rsidR="004C6057">
        <w:t>m respectively</w:t>
      </w:r>
      <w:r w:rsidR="00696FE9">
        <w:t xml:space="preserve"> and</w:t>
      </w:r>
      <w:r w:rsidR="004C6057">
        <w:t xml:space="preserve"> </w:t>
      </w:r>
      <w:r w:rsidR="00696FE9">
        <w:t>t</w:t>
      </w:r>
      <w:r w:rsidR="004C6057">
        <w:t xml:space="preserve">he closing </w:t>
      </w:r>
      <w:r w:rsidR="00696FE9">
        <w:t>balances were £19.593m and £8.442m.</w:t>
      </w:r>
      <w:r w:rsidR="00625F91">
        <w:t xml:space="preserve"> The impact of accumulated absences £0.</w:t>
      </w:r>
      <w:r w:rsidR="00C21D60">
        <w:t xml:space="preserve">003m has been moved from the transfers to reserves section to </w:t>
      </w:r>
      <w:r w:rsidR="00C611E5">
        <w:t>adjustments between accounting and funding bases.</w:t>
      </w:r>
    </w:p>
    <w:p w14:paraId="26DC8AAC" w14:textId="77777777" w:rsidR="00247AD3" w:rsidRPr="00247AD3" w:rsidRDefault="00247AD3" w:rsidP="00914034">
      <w:pPr>
        <w:ind w:left="720"/>
      </w:pPr>
    </w:p>
    <w:p w14:paraId="2B32F2E8" w14:textId="4284E020" w:rsidR="00914034" w:rsidRDefault="003C2E1A" w:rsidP="00914034">
      <w:pPr>
        <w:ind w:left="720"/>
        <w:rPr>
          <w:u w:val="single"/>
        </w:rPr>
      </w:pPr>
      <w:r w:rsidRPr="00CA5652">
        <w:rPr>
          <w:u w:val="single"/>
        </w:rPr>
        <w:t>Balance Sheet</w:t>
      </w:r>
    </w:p>
    <w:p w14:paraId="20C76B37" w14:textId="77777777" w:rsidR="00914034" w:rsidRDefault="00914034" w:rsidP="00914034">
      <w:pPr>
        <w:ind w:left="720"/>
      </w:pPr>
    </w:p>
    <w:p w14:paraId="59FD9F92" w14:textId="55A71495" w:rsidR="00914034" w:rsidRDefault="00BF319C" w:rsidP="00914034">
      <w:pPr>
        <w:ind w:left="720"/>
      </w:pPr>
      <w:r>
        <w:t xml:space="preserve">Revenue </w:t>
      </w:r>
      <w:r w:rsidR="004C2EC2">
        <w:t>R</w:t>
      </w:r>
      <w:r>
        <w:t xml:space="preserve">eserves </w:t>
      </w:r>
      <w:r w:rsidR="00BC628C">
        <w:t>£</w:t>
      </w:r>
      <w:r w:rsidR="005F3F2D">
        <w:t>1</w:t>
      </w:r>
      <w:r w:rsidR="00B964E0">
        <w:t>4</w:t>
      </w:r>
      <w:r w:rsidR="005F3F2D">
        <w:t>.</w:t>
      </w:r>
      <w:r w:rsidR="00B964E0">
        <w:t>104</w:t>
      </w:r>
      <w:r w:rsidR="005F3F2D">
        <w:t xml:space="preserve">m </w:t>
      </w:r>
      <w:r w:rsidR="00A60D77">
        <w:t xml:space="preserve">and the </w:t>
      </w:r>
      <w:r w:rsidR="004C2EC2">
        <w:t>C</w:t>
      </w:r>
      <w:r w:rsidR="00A60D77">
        <w:t xml:space="preserve">apital </w:t>
      </w:r>
      <w:r w:rsidR="004C2EC2">
        <w:t>F</w:t>
      </w:r>
      <w:r w:rsidR="00A60D77">
        <w:t xml:space="preserve">unding </w:t>
      </w:r>
      <w:r w:rsidR="004C2EC2">
        <w:t>R</w:t>
      </w:r>
      <w:r w:rsidR="00A60D77">
        <w:t>eserve</w:t>
      </w:r>
      <w:r w:rsidR="005F3F2D">
        <w:t xml:space="preserve"> </w:t>
      </w:r>
      <w:r w:rsidR="00BC628C">
        <w:t>£</w:t>
      </w:r>
      <w:r w:rsidR="005F3F2D">
        <w:t>1</w:t>
      </w:r>
      <w:r w:rsidR="00B964E0">
        <w:t>9</w:t>
      </w:r>
      <w:r w:rsidR="005F3F2D">
        <w:t>.</w:t>
      </w:r>
      <w:r w:rsidR="00B964E0">
        <w:t>593</w:t>
      </w:r>
      <w:r w:rsidR="005F3F2D">
        <w:t>m</w:t>
      </w:r>
      <w:r w:rsidR="00A60D77">
        <w:t xml:space="preserve"> </w:t>
      </w:r>
      <w:r>
        <w:t xml:space="preserve">have been updated to the </w:t>
      </w:r>
      <w:r w:rsidR="004C2EC2">
        <w:t>G</w:t>
      </w:r>
      <w:r>
        <w:t xml:space="preserve">eneral </w:t>
      </w:r>
      <w:r w:rsidR="004C2EC2">
        <w:t>F</w:t>
      </w:r>
      <w:r>
        <w:t xml:space="preserve">und </w:t>
      </w:r>
      <w:r w:rsidR="00BC628C">
        <w:t>£</w:t>
      </w:r>
      <w:r w:rsidR="000A1EF2">
        <w:t xml:space="preserve">5.662m </w:t>
      </w:r>
      <w:r>
        <w:t xml:space="preserve">and </w:t>
      </w:r>
      <w:r w:rsidR="004C2EC2">
        <w:t>E</w:t>
      </w:r>
      <w:r w:rsidR="005F3F2D">
        <w:t xml:space="preserve">armarked </w:t>
      </w:r>
      <w:r w:rsidR="004C2EC2">
        <w:t>R</w:t>
      </w:r>
      <w:r w:rsidR="005F3F2D">
        <w:t>eserves</w:t>
      </w:r>
      <w:r w:rsidR="000A1EF2">
        <w:t xml:space="preserve"> </w:t>
      </w:r>
      <w:r w:rsidR="00BC628C">
        <w:t>£</w:t>
      </w:r>
      <w:r w:rsidR="0077721F">
        <w:t>28.034m</w:t>
      </w:r>
      <w:r w:rsidR="00793F5E">
        <w:t>.</w:t>
      </w:r>
    </w:p>
    <w:p w14:paraId="38EC0669" w14:textId="77777777" w:rsidR="00B27D99" w:rsidRDefault="00B27D99" w:rsidP="00914034">
      <w:pPr>
        <w:ind w:left="720"/>
      </w:pPr>
    </w:p>
    <w:p w14:paraId="1F60017D" w14:textId="62111E53" w:rsidR="00B27D99" w:rsidRPr="00B27D99" w:rsidRDefault="00B27D99" w:rsidP="00914034">
      <w:pPr>
        <w:ind w:left="720"/>
        <w:rPr>
          <w:u w:val="single"/>
        </w:rPr>
      </w:pPr>
      <w:r w:rsidRPr="00B27D99">
        <w:rPr>
          <w:u w:val="single"/>
        </w:rPr>
        <w:t>Note 1 Expenditure and Funding Analysis</w:t>
      </w:r>
    </w:p>
    <w:p w14:paraId="3D91BE1D" w14:textId="77777777" w:rsidR="00B27D99" w:rsidRDefault="00B27D99" w:rsidP="00914034">
      <w:pPr>
        <w:ind w:left="720"/>
      </w:pPr>
    </w:p>
    <w:p w14:paraId="7B820F32" w14:textId="211B040B" w:rsidR="00B27D99" w:rsidRDefault="001C1C15" w:rsidP="00914034">
      <w:pPr>
        <w:ind w:left="720"/>
      </w:pPr>
      <w:r>
        <w:t xml:space="preserve">The </w:t>
      </w:r>
      <w:r w:rsidR="00922388">
        <w:t>adjustment to arrive at the amount chargeable to the General Fund £0.573m has been included from Note 1a</w:t>
      </w:r>
      <w:r w:rsidR="00836951">
        <w:t xml:space="preserve">, and the adjustments between the funding and accounting bases have been amended to match the </w:t>
      </w:r>
      <w:r w:rsidR="004876A4">
        <w:t>Movement in Reserves Statement</w:t>
      </w:r>
      <w:r w:rsidR="006C2569">
        <w:t xml:space="preserve"> from £</w:t>
      </w:r>
      <w:r w:rsidR="0009039C">
        <w:t xml:space="preserve">5.618m to £5.045m. There has not been a change to the </w:t>
      </w:r>
      <w:r w:rsidR="00E6227B">
        <w:t xml:space="preserve">values in the net expenditure in the </w:t>
      </w:r>
      <w:r w:rsidR="00672B3C">
        <w:t>Comprehensive Income and Expenditure Statement column.</w:t>
      </w:r>
    </w:p>
    <w:p w14:paraId="4DB0F861" w14:textId="77777777" w:rsidR="007F4E68" w:rsidRDefault="007F4E68" w:rsidP="00914034">
      <w:pPr>
        <w:ind w:left="720"/>
      </w:pPr>
    </w:p>
    <w:p w14:paraId="2D447189" w14:textId="6B9091BF" w:rsidR="00B27D99" w:rsidRPr="00B27D99" w:rsidRDefault="00B27D99" w:rsidP="00914034">
      <w:pPr>
        <w:ind w:left="720"/>
        <w:rPr>
          <w:u w:val="single"/>
        </w:rPr>
      </w:pPr>
      <w:r w:rsidRPr="00B27D99">
        <w:rPr>
          <w:u w:val="single"/>
        </w:rPr>
        <w:t>Note 1a Note to the Expenditure and Funding Analysis</w:t>
      </w:r>
    </w:p>
    <w:p w14:paraId="327FC915" w14:textId="77777777" w:rsidR="00B27D99" w:rsidRDefault="00B27D99" w:rsidP="00914034">
      <w:pPr>
        <w:ind w:left="720"/>
      </w:pPr>
    </w:p>
    <w:p w14:paraId="20EE7C86" w14:textId="7EC316F3" w:rsidR="007B185B" w:rsidRDefault="00047B61" w:rsidP="007B185B">
      <w:pPr>
        <w:ind w:left="720"/>
      </w:pPr>
      <w:r>
        <w:t>Transfers to from Earmarked Reserves have been separated from Other Differences £0.733m and included within their own column.</w:t>
      </w:r>
      <w:r w:rsidR="00FA3213">
        <w:t xml:space="preserve"> The impact of NWFC has also been shown against the different areas</w:t>
      </w:r>
      <w:r w:rsidR="00352AC6">
        <w:t xml:space="preserve"> rather than a row at the bottom of the table. </w:t>
      </w:r>
      <w:r w:rsidR="00966913">
        <w:t xml:space="preserve">These columns have been added together to come to the </w:t>
      </w:r>
      <w:r w:rsidR="001C1C15">
        <w:t>a</w:t>
      </w:r>
      <w:r w:rsidR="007F4E68">
        <w:t xml:space="preserve">djustment to arrive at the amount chargeable to the General Fund £0.573m. </w:t>
      </w:r>
      <w:r w:rsidR="00352AC6">
        <w:t xml:space="preserve">The adjustment columns for capital £0.406m, pensions </w:t>
      </w:r>
      <w:r w:rsidR="00FC185C">
        <w:t xml:space="preserve">£4.554m, and other £0.084m have been changed from </w:t>
      </w:r>
      <w:r w:rsidR="00B61678">
        <w:t>£4.301m, £4.570m, and (£3.253m) respectively</w:t>
      </w:r>
      <w:r w:rsidR="001D4FDA">
        <w:t xml:space="preserve"> to change the Movement in Reserves Statement.</w:t>
      </w:r>
    </w:p>
    <w:p w14:paraId="1D546C61" w14:textId="77777777" w:rsidR="007B185B" w:rsidRDefault="007B185B">
      <w:r>
        <w:br w:type="page"/>
      </w:r>
    </w:p>
    <w:p w14:paraId="3AE5C6E7" w14:textId="77777777" w:rsidR="008B5CBE" w:rsidRDefault="008B5CBE" w:rsidP="00914034">
      <w:pPr>
        <w:ind w:left="720"/>
        <w:rPr>
          <w:u w:val="single"/>
        </w:rPr>
      </w:pPr>
      <w:r>
        <w:rPr>
          <w:u w:val="single"/>
        </w:rPr>
        <w:lastRenderedPageBreak/>
        <w:t>Note 3 Employees Emoluments</w:t>
      </w:r>
    </w:p>
    <w:p w14:paraId="20BFEB23" w14:textId="77777777" w:rsidR="008B5CBE" w:rsidRPr="008B5CBE" w:rsidRDefault="008B5CBE" w:rsidP="00914034">
      <w:pPr>
        <w:ind w:left="720"/>
      </w:pPr>
    </w:p>
    <w:p w14:paraId="582385EB" w14:textId="7895D113" w:rsidR="008B5CBE" w:rsidRDefault="00D04F37" w:rsidP="00914034">
      <w:pPr>
        <w:ind w:left="720"/>
      </w:pPr>
      <w:r>
        <w:t>John Charters pension contributions value has been updated from £39,657 to £39,641</w:t>
      </w:r>
      <w:r w:rsidR="00C76C09">
        <w:t xml:space="preserve"> </w:t>
      </w:r>
      <w:r w:rsidR="003C6142">
        <w:t>and the total remuneration has been updated from £</w:t>
      </w:r>
      <w:r w:rsidR="00AC1BDC">
        <w:t>177,356 to £177,340.</w:t>
      </w:r>
    </w:p>
    <w:p w14:paraId="4789F341" w14:textId="77777777" w:rsidR="008B5CBE" w:rsidRPr="008B5CBE" w:rsidRDefault="008B5CBE" w:rsidP="00914034">
      <w:pPr>
        <w:ind w:left="720"/>
      </w:pPr>
    </w:p>
    <w:p w14:paraId="52929146" w14:textId="7DAC5AC7" w:rsidR="00B27D99" w:rsidRDefault="00B27D99" w:rsidP="00914034">
      <w:pPr>
        <w:ind w:left="720"/>
        <w:rPr>
          <w:u w:val="single"/>
        </w:rPr>
      </w:pPr>
      <w:r w:rsidRPr="00B27D99">
        <w:rPr>
          <w:u w:val="single"/>
        </w:rPr>
        <w:t>Note 6 Property, Plant &amp; Equipment</w:t>
      </w:r>
    </w:p>
    <w:p w14:paraId="474853BE" w14:textId="77777777" w:rsidR="00B27D99" w:rsidRDefault="00B27D99" w:rsidP="00914034">
      <w:pPr>
        <w:ind w:left="720"/>
      </w:pPr>
    </w:p>
    <w:p w14:paraId="65952325" w14:textId="5754A580" w:rsidR="00B27D99" w:rsidRDefault="00D1056B" w:rsidP="00914034">
      <w:pPr>
        <w:ind w:left="720"/>
      </w:pPr>
      <w:r>
        <w:t xml:space="preserve">Assets </w:t>
      </w:r>
      <w:r w:rsidR="00887609">
        <w:t>U</w:t>
      </w:r>
      <w:r>
        <w:t xml:space="preserve">nder </w:t>
      </w:r>
      <w:r w:rsidR="00887609">
        <w:t>C</w:t>
      </w:r>
      <w:r>
        <w:t xml:space="preserve">onstruction </w:t>
      </w:r>
      <w:r w:rsidR="00887609">
        <w:t xml:space="preserve">(AUC) </w:t>
      </w:r>
      <w:r>
        <w:t xml:space="preserve">have been separated into </w:t>
      </w:r>
      <w:r w:rsidR="0011788E">
        <w:t>their own column.</w:t>
      </w:r>
      <w:r w:rsidR="00D468F4">
        <w:t xml:space="preserve"> </w:t>
      </w:r>
      <w:r w:rsidR="00887609">
        <w:t>The values within the AUC column were previously included within Vehicles, Plant &amp; Equipment.</w:t>
      </w:r>
    </w:p>
    <w:p w14:paraId="287CA7C2" w14:textId="276FE5A0" w:rsidR="00B27D99" w:rsidRDefault="00B27D99" w:rsidP="00914034">
      <w:pPr>
        <w:ind w:left="720"/>
      </w:pPr>
    </w:p>
    <w:p w14:paraId="0EAD615B" w14:textId="1ED8101B" w:rsidR="00F30B3F" w:rsidRDefault="00F30B3F" w:rsidP="00914034">
      <w:pPr>
        <w:ind w:left="720"/>
      </w:pPr>
      <w:r>
        <w:t xml:space="preserve">The Capital Expenditure table has been updated to remove Capital Reserves </w:t>
      </w:r>
      <w:r w:rsidR="00226295">
        <w:t xml:space="preserve">£0.751m </w:t>
      </w:r>
      <w:r>
        <w:t xml:space="preserve">as a source of funding and has been included within </w:t>
      </w:r>
      <w:r w:rsidR="00226295">
        <w:t>Funding from earmarked reserves</w:t>
      </w:r>
      <w:r w:rsidR="00D454DD">
        <w:t>; previously £0.266m, now £1.018m.</w:t>
      </w:r>
    </w:p>
    <w:p w14:paraId="44CFA270" w14:textId="77777777" w:rsidR="00F30B3F" w:rsidRDefault="00F30B3F" w:rsidP="00914034">
      <w:pPr>
        <w:ind w:left="720"/>
      </w:pPr>
    </w:p>
    <w:p w14:paraId="18C5BB4C" w14:textId="1EB65654" w:rsidR="00B27D99" w:rsidRDefault="00B27D99" w:rsidP="00914034">
      <w:pPr>
        <w:ind w:left="720"/>
        <w:rPr>
          <w:u w:val="single"/>
        </w:rPr>
      </w:pPr>
      <w:r w:rsidRPr="00154FBD">
        <w:rPr>
          <w:u w:val="single"/>
        </w:rPr>
        <w:t xml:space="preserve">Note </w:t>
      </w:r>
      <w:r w:rsidR="00154FBD" w:rsidRPr="00154FBD">
        <w:rPr>
          <w:u w:val="single"/>
        </w:rPr>
        <w:t>17 Useable Reserves</w:t>
      </w:r>
    </w:p>
    <w:p w14:paraId="552C3C7E" w14:textId="77777777" w:rsidR="00167E62" w:rsidRDefault="00167E62" w:rsidP="00914034">
      <w:pPr>
        <w:ind w:left="720"/>
      </w:pPr>
    </w:p>
    <w:p w14:paraId="7B70D5CB" w14:textId="03755DB6" w:rsidR="00167E62" w:rsidRDefault="002940AE" w:rsidP="00914034">
      <w:pPr>
        <w:ind w:left="720"/>
      </w:pPr>
      <w:r>
        <w:t>The Capital Funding Reserve</w:t>
      </w:r>
      <w:r w:rsidR="00765E3F">
        <w:t xml:space="preserve"> £19.59</w:t>
      </w:r>
      <w:r w:rsidR="004B5D1C">
        <w:t>3</w:t>
      </w:r>
      <w:r>
        <w:t xml:space="preserve"> </w:t>
      </w:r>
      <w:r w:rsidR="00765E3F">
        <w:t>has been removed from the capital reserves section and added to the Earmarked Reserves</w:t>
      </w:r>
      <w:r w:rsidR="004B5D1C">
        <w:t xml:space="preserve"> previously £</w:t>
      </w:r>
      <w:r w:rsidR="000470F1">
        <w:t>3</w:t>
      </w:r>
      <w:r w:rsidR="004B5D1C">
        <w:t>.</w:t>
      </w:r>
      <w:r w:rsidR="000470F1">
        <w:t>285</w:t>
      </w:r>
      <w:r w:rsidR="004B5D1C">
        <w:t>m to give a combined total of £</w:t>
      </w:r>
      <w:r w:rsidR="000470F1">
        <w:t>2</w:t>
      </w:r>
      <w:r w:rsidR="00EF293F">
        <w:t>2</w:t>
      </w:r>
      <w:r w:rsidR="000470F1">
        <w:t>.</w:t>
      </w:r>
      <w:r w:rsidR="00EF293F">
        <w:t>877</w:t>
      </w:r>
      <w:r w:rsidR="000470F1">
        <w:t>m</w:t>
      </w:r>
      <w:r w:rsidR="003F72E6">
        <w:t>. This has not had an impact on the total useable reserves figure.</w:t>
      </w:r>
    </w:p>
    <w:p w14:paraId="0ED9C1A7" w14:textId="77777777" w:rsidR="00167E62" w:rsidRDefault="00167E62" w:rsidP="00914034">
      <w:pPr>
        <w:ind w:left="720"/>
      </w:pPr>
    </w:p>
    <w:p w14:paraId="7D1A9523" w14:textId="0C470D86" w:rsidR="00167E62" w:rsidRDefault="00167E62" w:rsidP="00914034">
      <w:pPr>
        <w:ind w:left="720"/>
        <w:rPr>
          <w:u w:val="single"/>
        </w:rPr>
      </w:pPr>
      <w:r w:rsidRPr="00952C92">
        <w:rPr>
          <w:u w:val="single"/>
        </w:rPr>
        <w:t xml:space="preserve">Note 18 Transfers </w:t>
      </w:r>
      <w:r w:rsidR="00952C92" w:rsidRPr="00952C92">
        <w:rPr>
          <w:u w:val="single"/>
        </w:rPr>
        <w:t>(to)/from Earmarked Reserves</w:t>
      </w:r>
    </w:p>
    <w:p w14:paraId="208BFC01" w14:textId="77777777" w:rsidR="00952C92" w:rsidRDefault="00952C92" w:rsidP="00914034">
      <w:pPr>
        <w:ind w:left="720"/>
      </w:pPr>
    </w:p>
    <w:p w14:paraId="460AAC59" w14:textId="315EA63F" w:rsidR="00952C92" w:rsidRDefault="005C0EDD" w:rsidP="00914034">
      <w:pPr>
        <w:ind w:left="720"/>
      </w:pPr>
      <w:r>
        <w:t>The Capital Funding Reserve has been removed as a separate line and included within the Earmarked Reserves line</w:t>
      </w:r>
      <w:r w:rsidR="003F72E6">
        <w:t>. This has not had an impact on the total useable reserves figure.</w:t>
      </w:r>
    </w:p>
    <w:p w14:paraId="0C83A999" w14:textId="77777777" w:rsidR="00952C92" w:rsidRDefault="00952C92" w:rsidP="00914034">
      <w:pPr>
        <w:ind w:left="720"/>
      </w:pPr>
    </w:p>
    <w:p w14:paraId="5D30F475" w14:textId="4EA3D439" w:rsidR="00952C92" w:rsidRDefault="00952C92" w:rsidP="00914034">
      <w:pPr>
        <w:ind w:left="720"/>
        <w:rPr>
          <w:u w:val="single"/>
        </w:rPr>
      </w:pPr>
      <w:r>
        <w:rPr>
          <w:u w:val="single"/>
        </w:rPr>
        <w:t>Note 28 Expenditure and Income</w:t>
      </w:r>
      <w:r w:rsidR="000E21A4">
        <w:rPr>
          <w:u w:val="single"/>
        </w:rPr>
        <w:t xml:space="preserve"> Analysed by Nature</w:t>
      </w:r>
    </w:p>
    <w:p w14:paraId="0045CD9C" w14:textId="77777777" w:rsidR="000E21A4" w:rsidRDefault="000E21A4" w:rsidP="00914034">
      <w:pPr>
        <w:ind w:left="720"/>
      </w:pPr>
    </w:p>
    <w:p w14:paraId="0252D33E" w14:textId="2D632DB9" w:rsidR="000E21A4" w:rsidRPr="000E21A4" w:rsidRDefault="00C8691B" w:rsidP="00914034">
      <w:pPr>
        <w:ind w:left="720"/>
      </w:pPr>
      <w:r>
        <w:t xml:space="preserve">Interest and investment income has been separated </w:t>
      </w:r>
      <w:r w:rsidR="00167DE0">
        <w:t xml:space="preserve">from </w:t>
      </w:r>
      <w:r w:rsidR="00167DE0">
        <w:rPr>
          <w:szCs w:val="24"/>
        </w:rPr>
        <w:t>f</w:t>
      </w:r>
      <w:r w:rsidR="00167DE0" w:rsidRPr="00DF39E9">
        <w:rPr>
          <w:szCs w:val="24"/>
        </w:rPr>
        <w:t>ees, charges, and other service income</w:t>
      </w:r>
      <w:r w:rsidR="00167DE0">
        <w:rPr>
          <w:szCs w:val="24"/>
        </w:rPr>
        <w:t xml:space="preserve">; previously £3.832m to </w:t>
      </w:r>
      <w:r w:rsidR="00CA4124">
        <w:rPr>
          <w:szCs w:val="24"/>
        </w:rPr>
        <w:t>£1.574m and £2.257m respectively. This has not had an impact on the total income figure.</w:t>
      </w:r>
    </w:p>
    <w:p w14:paraId="7DD84F6D" w14:textId="0E15F17A" w:rsidR="007446B1" w:rsidRPr="00D948C1" w:rsidRDefault="007446B1">
      <w:pPr>
        <w:rPr>
          <w:b/>
          <w:szCs w:val="24"/>
        </w:rPr>
      </w:pPr>
      <w:r w:rsidRPr="00D948C1">
        <w:rPr>
          <w:szCs w:val="24"/>
        </w:rPr>
        <w:br w:type="page"/>
      </w:r>
    </w:p>
    <w:p w14:paraId="47985473" w14:textId="18086050" w:rsidR="00D90216" w:rsidRPr="00B15C36" w:rsidRDefault="006563F1" w:rsidP="000F5BFB">
      <w:pPr>
        <w:pStyle w:val="Heading1"/>
      </w:pPr>
      <w:bookmarkStart w:id="105" w:name="_Toc215593422"/>
      <w:r w:rsidRPr="00CE78E2">
        <w:lastRenderedPageBreak/>
        <w:t>Fire Fighters Pension Fund Account and Net Assets Statement</w:t>
      </w:r>
      <w:bookmarkEnd w:id="105"/>
    </w:p>
    <w:p w14:paraId="39EC90A0" w14:textId="77777777" w:rsidR="00D90216" w:rsidRPr="00D948C1" w:rsidRDefault="00D90216" w:rsidP="00D90216">
      <w:pPr>
        <w:rPr>
          <w:sz w:val="22"/>
        </w:rPr>
      </w:pPr>
    </w:p>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8"/>
        <w:gridCol w:w="1275"/>
      </w:tblGrid>
      <w:tr w:rsidR="00670DBF" w:rsidRPr="00D948C1" w14:paraId="55AAD781" w14:textId="77777777" w:rsidTr="00982FEC">
        <w:trPr>
          <w:trHeight w:val="247"/>
        </w:trPr>
        <w:tc>
          <w:tcPr>
            <w:tcW w:w="6207" w:type="dxa"/>
            <w:shd w:val="clear" w:color="auto" w:fill="BD2716"/>
            <w:vAlign w:val="bottom"/>
          </w:tcPr>
          <w:p w14:paraId="43752397" w14:textId="77777777" w:rsidR="00670DBF" w:rsidRPr="00D948C1" w:rsidRDefault="00670DBF" w:rsidP="001431C3">
            <w:pPr>
              <w:rPr>
                <w:bCs/>
                <w:snapToGrid w:val="0"/>
                <w:color w:val="FFFFFF" w:themeColor="background1"/>
                <w:szCs w:val="24"/>
              </w:rPr>
            </w:pPr>
            <w:r w:rsidRPr="00D948C1">
              <w:rPr>
                <w:bCs/>
                <w:snapToGrid w:val="0"/>
                <w:color w:val="FFFFFF" w:themeColor="background1"/>
                <w:szCs w:val="24"/>
              </w:rPr>
              <w:t>Fund Account</w:t>
            </w:r>
          </w:p>
        </w:tc>
        <w:tc>
          <w:tcPr>
            <w:tcW w:w="1418" w:type="dxa"/>
            <w:shd w:val="clear" w:color="auto" w:fill="BD2716"/>
          </w:tcPr>
          <w:p w14:paraId="13E4C1F1" w14:textId="62ED4A1F" w:rsidR="00670DBF" w:rsidRPr="00D948C1" w:rsidRDefault="00670DBF" w:rsidP="00853231">
            <w:pPr>
              <w:jc w:val="right"/>
              <w:rPr>
                <w:color w:val="FFFFFF" w:themeColor="background1"/>
                <w:szCs w:val="24"/>
              </w:rPr>
            </w:pPr>
            <w:r w:rsidRPr="00D948C1">
              <w:rPr>
                <w:color w:val="FFFFFF" w:themeColor="background1"/>
                <w:szCs w:val="24"/>
              </w:rPr>
              <w:t>202</w:t>
            </w:r>
            <w:r w:rsidR="00613663">
              <w:rPr>
                <w:color w:val="FFFFFF" w:themeColor="background1"/>
                <w:szCs w:val="24"/>
              </w:rPr>
              <w:t>4</w:t>
            </w:r>
            <w:r w:rsidRPr="00D948C1">
              <w:rPr>
                <w:color w:val="FFFFFF" w:themeColor="background1"/>
                <w:szCs w:val="24"/>
              </w:rPr>
              <w:t>/2</w:t>
            </w:r>
            <w:r w:rsidR="00613663">
              <w:rPr>
                <w:color w:val="FFFFFF" w:themeColor="background1"/>
                <w:szCs w:val="24"/>
              </w:rPr>
              <w:t>5</w:t>
            </w:r>
          </w:p>
          <w:p w14:paraId="7FE32D0C" w14:textId="3534650E" w:rsidR="001431C3" w:rsidRPr="00D948C1" w:rsidRDefault="001431C3" w:rsidP="00853231">
            <w:pPr>
              <w:jc w:val="right"/>
              <w:rPr>
                <w:snapToGrid w:val="0"/>
                <w:color w:val="FFFFFF" w:themeColor="background1"/>
                <w:szCs w:val="24"/>
              </w:rPr>
            </w:pPr>
            <w:r w:rsidRPr="00D948C1">
              <w:rPr>
                <w:color w:val="FFFFFF" w:themeColor="background1"/>
                <w:szCs w:val="24"/>
              </w:rPr>
              <w:t>£000</w:t>
            </w:r>
          </w:p>
        </w:tc>
        <w:tc>
          <w:tcPr>
            <w:tcW w:w="1275" w:type="dxa"/>
            <w:shd w:val="clear" w:color="auto" w:fill="BD2716"/>
          </w:tcPr>
          <w:p w14:paraId="11D046C3" w14:textId="77777777" w:rsidR="00613663" w:rsidRPr="00D948C1" w:rsidRDefault="00613663" w:rsidP="00613663">
            <w:pPr>
              <w:jc w:val="right"/>
              <w:rPr>
                <w:color w:val="FFFFFF" w:themeColor="background1"/>
                <w:szCs w:val="24"/>
              </w:rPr>
            </w:pPr>
            <w:r w:rsidRPr="00D948C1">
              <w:rPr>
                <w:color w:val="FFFFFF" w:themeColor="background1"/>
                <w:szCs w:val="24"/>
              </w:rPr>
              <w:t>2023/24</w:t>
            </w:r>
          </w:p>
          <w:p w14:paraId="53A75669" w14:textId="7E376EB1" w:rsidR="001431C3" w:rsidRPr="00D948C1" w:rsidRDefault="00613663" w:rsidP="00613663">
            <w:pPr>
              <w:jc w:val="right"/>
              <w:rPr>
                <w:snapToGrid w:val="0"/>
                <w:color w:val="FFFFFF" w:themeColor="background1"/>
                <w:szCs w:val="24"/>
              </w:rPr>
            </w:pPr>
            <w:r w:rsidRPr="00D948C1">
              <w:rPr>
                <w:color w:val="FFFFFF" w:themeColor="background1"/>
                <w:szCs w:val="24"/>
              </w:rPr>
              <w:t>£000</w:t>
            </w:r>
          </w:p>
        </w:tc>
      </w:tr>
      <w:tr w:rsidR="00526A3B" w:rsidRPr="00D948C1" w14:paraId="37AD83E1" w14:textId="77777777" w:rsidTr="003572E5">
        <w:trPr>
          <w:trHeight w:val="278"/>
        </w:trPr>
        <w:tc>
          <w:tcPr>
            <w:tcW w:w="8900" w:type="dxa"/>
            <w:gridSpan w:val="3"/>
            <w:shd w:val="clear" w:color="auto" w:fill="D9D9D9" w:themeFill="background1" w:themeFillShade="D9"/>
          </w:tcPr>
          <w:p w14:paraId="0A108AE7" w14:textId="51755985" w:rsidR="00526A3B" w:rsidRPr="00D948C1" w:rsidRDefault="00526A3B" w:rsidP="00FD216A">
            <w:pPr>
              <w:tabs>
                <w:tab w:val="decimal" w:pos="962"/>
              </w:tabs>
              <w:rPr>
                <w:b/>
                <w:snapToGrid w:val="0"/>
                <w:szCs w:val="24"/>
              </w:rPr>
            </w:pPr>
            <w:r w:rsidRPr="00D948C1">
              <w:rPr>
                <w:b/>
                <w:snapToGrid w:val="0"/>
                <w:szCs w:val="24"/>
              </w:rPr>
              <w:t>Income to the fund</w:t>
            </w:r>
          </w:p>
        </w:tc>
      </w:tr>
      <w:tr w:rsidR="00526A3B" w:rsidRPr="00D948C1" w14:paraId="153574EE" w14:textId="77777777" w:rsidTr="003572E5">
        <w:trPr>
          <w:trHeight w:val="278"/>
        </w:trPr>
        <w:tc>
          <w:tcPr>
            <w:tcW w:w="8900" w:type="dxa"/>
            <w:gridSpan w:val="3"/>
            <w:shd w:val="clear" w:color="auto" w:fill="D9D9D9" w:themeFill="background1" w:themeFillShade="D9"/>
          </w:tcPr>
          <w:p w14:paraId="27B63C56" w14:textId="19A5EF4F" w:rsidR="00526A3B" w:rsidRPr="00D948C1" w:rsidRDefault="00526A3B" w:rsidP="00FD216A">
            <w:pPr>
              <w:tabs>
                <w:tab w:val="decimal" w:pos="962"/>
              </w:tabs>
              <w:rPr>
                <w:b/>
                <w:snapToGrid w:val="0"/>
                <w:szCs w:val="24"/>
              </w:rPr>
            </w:pPr>
            <w:r w:rsidRPr="00D948C1">
              <w:rPr>
                <w:b/>
                <w:snapToGrid w:val="0"/>
                <w:szCs w:val="24"/>
              </w:rPr>
              <w:t>Contributions receivable:</w:t>
            </w:r>
          </w:p>
        </w:tc>
      </w:tr>
      <w:tr w:rsidR="00526A3B" w:rsidRPr="00D948C1" w14:paraId="3E68FB9D" w14:textId="77777777" w:rsidTr="003572E5">
        <w:trPr>
          <w:trHeight w:val="278"/>
        </w:trPr>
        <w:tc>
          <w:tcPr>
            <w:tcW w:w="8900" w:type="dxa"/>
            <w:gridSpan w:val="3"/>
            <w:shd w:val="clear" w:color="auto" w:fill="D9D9D9" w:themeFill="background1" w:themeFillShade="D9"/>
          </w:tcPr>
          <w:p w14:paraId="294E5D96" w14:textId="1E6EFC29" w:rsidR="00526A3B" w:rsidRPr="00D948C1" w:rsidRDefault="00526A3B" w:rsidP="002A04B9">
            <w:pPr>
              <w:pStyle w:val="ListParagraph"/>
              <w:numPr>
                <w:ilvl w:val="0"/>
                <w:numId w:val="41"/>
              </w:numPr>
              <w:tabs>
                <w:tab w:val="decimal" w:pos="962"/>
              </w:tabs>
              <w:rPr>
                <w:b/>
                <w:snapToGrid w:val="0"/>
                <w:szCs w:val="24"/>
              </w:rPr>
            </w:pPr>
            <w:r w:rsidRPr="00D948C1">
              <w:rPr>
                <w:b/>
                <w:snapToGrid w:val="0"/>
                <w:szCs w:val="24"/>
              </w:rPr>
              <w:t>From employer</w:t>
            </w:r>
          </w:p>
        </w:tc>
      </w:tr>
      <w:tr w:rsidR="00853231" w:rsidRPr="00D948C1" w14:paraId="173AECCD" w14:textId="77777777" w:rsidTr="003572E5">
        <w:trPr>
          <w:trHeight w:val="278"/>
        </w:trPr>
        <w:tc>
          <w:tcPr>
            <w:tcW w:w="6207" w:type="dxa"/>
          </w:tcPr>
          <w:p w14:paraId="5C8991BF" w14:textId="77777777" w:rsidR="00853231" w:rsidRPr="00D948C1" w:rsidRDefault="00853231" w:rsidP="00853231">
            <w:pPr>
              <w:pStyle w:val="ListParagraph"/>
              <w:numPr>
                <w:ilvl w:val="0"/>
                <w:numId w:val="29"/>
              </w:numPr>
              <w:rPr>
                <w:snapToGrid w:val="0"/>
                <w:szCs w:val="24"/>
              </w:rPr>
            </w:pPr>
            <w:r w:rsidRPr="00D948C1">
              <w:rPr>
                <w:snapToGrid w:val="0"/>
                <w:szCs w:val="24"/>
              </w:rPr>
              <w:t>contributions in relation to pensionable pay</w:t>
            </w:r>
          </w:p>
        </w:tc>
        <w:tc>
          <w:tcPr>
            <w:tcW w:w="1418" w:type="dxa"/>
            <w:vAlign w:val="center"/>
          </w:tcPr>
          <w:p w14:paraId="24A932D1" w14:textId="3353680E" w:rsidR="00853231" w:rsidRPr="00D948C1" w:rsidRDefault="00004B20" w:rsidP="00853231">
            <w:pPr>
              <w:tabs>
                <w:tab w:val="decimal" w:pos="1104"/>
              </w:tabs>
              <w:ind w:left="111"/>
              <w:jc w:val="right"/>
              <w:rPr>
                <w:szCs w:val="24"/>
              </w:rPr>
            </w:pPr>
            <w:r>
              <w:rPr>
                <w:szCs w:val="24"/>
              </w:rPr>
              <w:t>(10,90</w:t>
            </w:r>
            <w:r w:rsidR="007D7EAC">
              <w:rPr>
                <w:szCs w:val="24"/>
              </w:rPr>
              <w:t>2</w:t>
            </w:r>
            <w:r>
              <w:rPr>
                <w:szCs w:val="24"/>
              </w:rPr>
              <w:t>)</w:t>
            </w:r>
          </w:p>
        </w:tc>
        <w:tc>
          <w:tcPr>
            <w:tcW w:w="1275" w:type="dxa"/>
            <w:vAlign w:val="center"/>
          </w:tcPr>
          <w:p w14:paraId="0557E00C" w14:textId="071BAB57" w:rsidR="00853231" w:rsidRPr="00D948C1" w:rsidRDefault="00853231" w:rsidP="00853231">
            <w:pPr>
              <w:tabs>
                <w:tab w:val="decimal" w:pos="1104"/>
              </w:tabs>
              <w:ind w:left="111"/>
              <w:jc w:val="right"/>
              <w:rPr>
                <w:szCs w:val="24"/>
              </w:rPr>
            </w:pPr>
            <w:r w:rsidRPr="00D948C1">
              <w:rPr>
                <w:szCs w:val="24"/>
              </w:rPr>
              <w:t>(</w:t>
            </w:r>
            <w:r w:rsidR="00ED0B88">
              <w:rPr>
                <w:szCs w:val="24"/>
              </w:rPr>
              <w:t>8,012</w:t>
            </w:r>
            <w:r w:rsidRPr="00D948C1">
              <w:rPr>
                <w:szCs w:val="24"/>
              </w:rPr>
              <w:t>)</w:t>
            </w:r>
          </w:p>
        </w:tc>
      </w:tr>
      <w:tr w:rsidR="00853231" w:rsidRPr="00D948C1" w14:paraId="01CD8CF1" w14:textId="77777777" w:rsidTr="003572E5">
        <w:trPr>
          <w:trHeight w:val="278"/>
        </w:trPr>
        <w:tc>
          <w:tcPr>
            <w:tcW w:w="6207" w:type="dxa"/>
          </w:tcPr>
          <w:p w14:paraId="4A9B300A" w14:textId="77777777" w:rsidR="00853231" w:rsidRPr="00D948C1" w:rsidRDefault="00853231" w:rsidP="00853231">
            <w:pPr>
              <w:pStyle w:val="ListParagraph"/>
              <w:numPr>
                <w:ilvl w:val="0"/>
                <w:numId w:val="28"/>
              </w:numPr>
              <w:rPr>
                <w:snapToGrid w:val="0"/>
                <w:szCs w:val="24"/>
              </w:rPr>
            </w:pPr>
            <w:r w:rsidRPr="00D948C1">
              <w:rPr>
                <w:snapToGrid w:val="0"/>
                <w:szCs w:val="24"/>
              </w:rPr>
              <w:t>other contributions</w:t>
            </w:r>
          </w:p>
        </w:tc>
        <w:tc>
          <w:tcPr>
            <w:tcW w:w="1418" w:type="dxa"/>
            <w:vAlign w:val="center"/>
          </w:tcPr>
          <w:p w14:paraId="3E8ED8FB" w14:textId="77FBC22C" w:rsidR="00853231" w:rsidRPr="00D948C1" w:rsidRDefault="00004B20" w:rsidP="00853231">
            <w:pPr>
              <w:tabs>
                <w:tab w:val="decimal" w:pos="1104"/>
              </w:tabs>
              <w:jc w:val="right"/>
              <w:rPr>
                <w:szCs w:val="24"/>
              </w:rPr>
            </w:pPr>
            <w:r>
              <w:rPr>
                <w:szCs w:val="24"/>
              </w:rPr>
              <w:t>(135)</w:t>
            </w:r>
          </w:p>
        </w:tc>
        <w:tc>
          <w:tcPr>
            <w:tcW w:w="1275" w:type="dxa"/>
            <w:vAlign w:val="center"/>
          </w:tcPr>
          <w:p w14:paraId="37E5B13F" w14:textId="3C336A51" w:rsidR="00853231" w:rsidRPr="00D948C1" w:rsidRDefault="00853231" w:rsidP="00853231">
            <w:pPr>
              <w:tabs>
                <w:tab w:val="decimal" w:pos="1104"/>
              </w:tabs>
              <w:jc w:val="right"/>
              <w:rPr>
                <w:szCs w:val="24"/>
              </w:rPr>
            </w:pPr>
            <w:r w:rsidRPr="00D948C1">
              <w:rPr>
                <w:szCs w:val="24"/>
              </w:rPr>
              <w:t>(</w:t>
            </w:r>
            <w:r w:rsidR="00ED0B88">
              <w:rPr>
                <w:szCs w:val="24"/>
              </w:rPr>
              <w:t>216</w:t>
            </w:r>
            <w:r w:rsidRPr="00D948C1">
              <w:rPr>
                <w:szCs w:val="24"/>
              </w:rPr>
              <w:t>)</w:t>
            </w:r>
          </w:p>
        </w:tc>
      </w:tr>
      <w:tr w:rsidR="00853231" w:rsidRPr="00D948C1" w14:paraId="63755E1B" w14:textId="77777777" w:rsidTr="003572E5">
        <w:trPr>
          <w:trHeight w:val="278"/>
        </w:trPr>
        <w:tc>
          <w:tcPr>
            <w:tcW w:w="6207" w:type="dxa"/>
          </w:tcPr>
          <w:p w14:paraId="45A49EDD" w14:textId="77777777" w:rsidR="00853231" w:rsidRPr="00D948C1" w:rsidRDefault="00853231" w:rsidP="00853231">
            <w:pPr>
              <w:pStyle w:val="ListParagraph"/>
              <w:numPr>
                <w:ilvl w:val="0"/>
                <w:numId w:val="27"/>
              </w:numPr>
              <w:rPr>
                <w:snapToGrid w:val="0"/>
                <w:szCs w:val="24"/>
              </w:rPr>
            </w:pPr>
            <w:r w:rsidRPr="00D948C1">
              <w:rPr>
                <w:snapToGrid w:val="0"/>
                <w:szCs w:val="24"/>
              </w:rPr>
              <w:t>Members contributions</w:t>
            </w:r>
          </w:p>
        </w:tc>
        <w:tc>
          <w:tcPr>
            <w:tcW w:w="1418" w:type="dxa"/>
            <w:vAlign w:val="center"/>
          </w:tcPr>
          <w:p w14:paraId="576F6FA9" w14:textId="7E9C42C6" w:rsidR="00853231" w:rsidRPr="00D948C1" w:rsidRDefault="00004B20" w:rsidP="00853231">
            <w:pPr>
              <w:tabs>
                <w:tab w:val="decimal" w:pos="1104"/>
              </w:tabs>
              <w:jc w:val="right"/>
              <w:rPr>
                <w:szCs w:val="24"/>
              </w:rPr>
            </w:pPr>
            <w:r>
              <w:rPr>
                <w:szCs w:val="24"/>
              </w:rPr>
              <w:t>(4,355)</w:t>
            </w:r>
          </w:p>
        </w:tc>
        <w:tc>
          <w:tcPr>
            <w:tcW w:w="1275" w:type="dxa"/>
            <w:vAlign w:val="center"/>
          </w:tcPr>
          <w:p w14:paraId="5E7256B6" w14:textId="48A861C0" w:rsidR="00853231" w:rsidRPr="00D948C1" w:rsidRDefault="00853231" w:rsidP="00853231">
            <w:pPr>
              <w:tabs>
                <w:tab w:val="decimal" w:pos="1104"/>
              </w:tabs>
              <w:jc w:val="right"/>
              <w:rPr>
                <w:szCs w:val="24"/>
              </w:rPr>
            </w:pPr>
            <w:r w:rsidRPr="00D948C1">
              <w:rPr>
                <w:szCs w:val="24"/>
              </w:rPr>
              <w:t>(3,</w:t>
            </w:r>
            <w:r w:rsidR="00F21447">
              <w:rPr>
                <w:szCs w:val="24"/>
              </w:rPr>
              <w:t>723</w:t>
            </w:r>
            <w:r w:rsidRPr="00D948C1">
              <w:rPr>
                <w:szCs w:val="24"/>
              </w:rPr>
              <w:t>)</w:t>
            </w:r>
          </w:p>
        </w:tc>
      </w:tr>
    </w:tbl>
    <w:p w14:paraId="2218DC73"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8"/>
        <w:gridCol w:w="1275"/>
      </w:tblGrid>
      <w:tr w:rsidR="00AC5949" w:rsidRPr="00D948C1" w14:paraId="445662B5" w14:textId="77777777" w:rsidTr="003572E5">
        <w:trPr>
          <w:trHeight w:val="278"/>
        </w:trPr>
        <w:tc>
          <w:tcPr>
            <w:tcW w:w="8900" w:type="dxa"/>
            <w:gridSpan w:val="3"/>
            <w:shd w:val="clear" w:color="auto" w:fill="D9D9D9" w:themeFill="background1" w:themeFillShade="D9"/>
          </w:tcPr>
          <w:p w14:paraId="4A554574" w14:textId="0A650FF8" w:rsidR="00AC5949" w:rsidRPr="00D948C1" w:rsidRDefault="00AC5949" w:rsidP="00FD216A">
            <w:pPr>
              <w:tabs>
                <w:tab w:val="decimal" w:pos="1104"/>
              </w:tabs>
              <w:rPr>
                <w:b/>
                <w:snapToGrid w:val="0"/>
                <w:szCs w:val="24"/>
              </w:rPr>
            </w:pPr>
            <w:r w:rsidRPr="00D948C1">
              <w:rPr>
                <w:b/>
                <w:snapToGrid w:val="0"/>
                <w:szCs w:val="24"/>
              </w:rPr>
              <w:t>Transfers in:</w:t>
            </w:r>
          </w:p>
        </w:tc>
      </w:tr>
      <w:tr w:rsidR="00613663" w:rsidRPr="00D948C1" w14:paraId="134117FD" w14:textId="77777777" w:rsidTr="003572E5">
        <w:trPr>
          <w:trHeight w:val="278"/>
        </w:trPr>
        <w:tc>
          <w:tcPr>
            <w:tcW w:w="6207" w:type="dxa"/>
          </w:tcPr>
          <w:p w14:paraId="4115A55A" w14:textId="77777777" w:rsidR="00613663" w:rsidRPr="00D948C1" w:rsidRDefault="00613663" w:rsidP="00613663">
            <w:pPr>
              <w:pStyle w:val="ListParagraph"/>
              <w:numPr>
                <w:ilvl w:val="0"/>
                <w:numId w:val="26"/>
              </w:numPr>
              <w:rPr>
                <w:snapToGrid w:val="0"/>
                <w:szCs w:val="24"/>
              </w:rPr>
            </w:pPr>
            <w:r w:rsidRPr="00D948C1">
              <w:rPr>
                <w:snapToGrid w:val="0"/>
                <w:szCs w:val="24"/>
              </w:rPr>
              <w:t>Individual transfers from other schemes</w:t>
            </w:r>
          </w:p>
        </w:tc>
        <w:tc>
          <w:tcPr>
            <w:tcW w:w="1418" w:type="dxa"/>
            <w:vAlign w:val="center"/>
          </w:tcPr>
          <w:p w14:paraId="7675413D" w14:textId="3476E4EC" w:rsidR="00613663" w:rsidRPr="00D948C1" w:rsidRDefault="00004B20" w:rsidP="00613663">
            <w:pPr>
              <w:tabs>
                <w:tab w:val="decimal" w:pos="1104"/>
              </w:tabs>
              <w:jc w:val="right"/>
              <w:rPr>
                <w:snapToGrid w:val="0"/>
                <w:szCs w:val="24"/>
              </w:rPr>
            </w:pPr>
            <w:r>
              <w:rPr>
                <w:snapToGrid w:val="0"/>
                <w:szCs w:val="24"/>
              </w:rPr>
              <w:t>(11</w:t>
            </w:r>
            <w:r w:rsidR="007D7EAC">
              <w:rPr>
                <w:snapToGrid w:val="0"/>
                <w:szCs w:val="24"/>
              </w:rPr>
              <w:t>4</w:t>
            </w:r>
            <w:r>
              <w:rPr>
                <w:snapToGrid w:val="0"/>
                <w:szCs w:val="24"/>
              </w:rPr>
              <w:t>)</w:t>
            </w:r>
          </w:p>
        </w:tc>
        <w:tc>
          <w:tcPr>
            <w:tcW w:w="1275" w:type="dxa"/>
            <w:vAlign w:val="center"/>
          </w:tcPr>
          <w:p w14:paraId="4AD61DC6" w14:textId="154C24E7" w:rsidR="00613663" w:rsidRPr="00D948C1" w:rsidRDefault="00613663" w:rsidP="00613663">
            <w:pPr>
              <w:tabs>
                <w:tab w:val="decimal" w:pos="1104"/>
              </w:tabs>
              <w:jc w:val="right"/>
              <w:rPr>
                <w:snapToGrid w:val="0"/>
                <w:szCs w:val="24"/>
              </w:rPr>
            </w:pPr>
            <w:r w:rsidRPr="00D948C1">
              <w:rPr>
                <w:snapToGrid w:val="0"/>
                <w:szCs w:val="24"/>
              </w:rPr>
              <w:t>(254)</w:t>
            </w:r>
          </w:p>
        </w:tc>
      </w:tr>
      <w:tr w:rsidR="00613663" w:rsidRPr="00D948C1" w14:paraId="70FB3365" w14:textId="77777777" w:rsidTr="003572E5">
        <w:trPr>
          <w:trHeight w:val="278"/>
        </w:trPr>
        <w:tc>
          <w:tcPr>
            <w:tcW w:w="6207" w:type="dxa"/>
          </w:tcPr>
          <w:p w14:paraId="347EDC7C" w14:textId="77777777" w:rsidR="00613663" w:rsidRPr="00D948C1" w:rsidRDefault="00613663" w:rsidP="00613663">
            <w:pPr>
              <w:ind w:left="396" w:hanging="284"/>
              <w:rPr>
                <w:b/>
                <w:snapToGrid w:val="0"/>
                <w:szCs w:val="24"/>
              </w:rPr>
            </w:pPr>
            <w:r w:rsidRPr="00D948C1">
              <w:rPr>
                <w:b/>
                <w:snapToGrid w:val="0"/>
                <w:szCs w:val="24"/>
              </w:rPr>
              <w:t>Total Income to the Fund</w:t>
            </w:r>
          </w:p>
        </w:tc>
        <w:tc>
          <w:tcPr>
            <w:tcW w:w="1418" w:type="dxa"/>
            <w:vAlign w:val="center"/>
          </w:tcPr>
          <w:p w14:paraId="01DD441D" w14:textId="2627709D" w:rsidR="00613663" w:rsidRPr="00D948C1" w:rsidRDefault="00004B20" w:rsidP="00613663">
            <w:pPr>
              <w:tabs>
                <w:tab w:val="decimal" w:pos="1104"/>
              </w:tabs>
              <w:jc w:val="right"/>
              <w:rPr>
                <w:b/>
                <w:snapToGrid w:val="0"/>
                <w:szCs w:val="24"/>
              </w:rPr>
            </w:pPr>
            <w:r>
              <w:rPr>
                <w:b/>
                <w:snapToGrid w:val="0"/>
                <w:szCs w:val="24"/>
              </w:rPr>
              <w:t>(15,506)</w:t>
            </w:r>
          </w:p>
        </w:tc>
        <w:tc>
          <w:tcPr>
            <w:tcW w:w="1275" w:type="dxa"/>
            <w:vAlign w:val="center"/>
          </w:tcPr>
          <w:p w14:paraId="0379C159" w14:textId="4E3593C6" w:rsidR="00613663" w:rsidRPr="00D948C1" w:rsidRDefault="00613663" w:rsidP="00613663">
            <w:pPr>
              <w:tabs>
                <w:tab w:val="decimal" w:pos="1104"/>
              </w:tabs>
              <w:jc w:val="right"/>
              <w:rPr>
                <w:b/>
                <w:snapToGrid w:val="0"/>
                <w:szCs w:val="24"/>
              </w:rPr>
            </w:pPr>
            <w:r w:rsidRPr="00D948C1">
              <w:rPr>
                <w:b/>
                <w:snapToGrid w:val="0"/>
                <w:szCs w:val="24"/>
              </w:rPr>
              <w:t>(12,205)</w:t>
            </w:r>
          </w:p>
        </w:tc>
      </w:tr>
    </w:tbl>
    <w:p w14:paraId="2ECDE9A4"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8"/>
        <w:gridCol w:w="1275"/>
      </w:tblGrid>
      <w:tr w:rsidR="00AC5949" w:rsidRPr="00D948C1" w14:paraId="52E0944A" w14:textId="77777777" w:rsidTr="003572E5">
        <w:trPr>
          <w:trHeight w:val="278"/>
        </w:trPr>
        <w:tc>
          <w:tcPr>
            <w:tcW w:w="8900" w:type="dxa"/>
            <w:gridSpan w:val="3"/>
            <w:shd w:val="clear" w:color="auto" w:fill="D9D9D9" w:themeFill="background1" w:themeFillShade="D9"/>
          </w:tcPr>
          <w:p w14:paraId="6E62799E" w14:textId="4DDC0A4A" w:rsidR="00AC5949" w:rsidRPr="00D948C1" w:rsidRDefault="00AC5949" w:rsidP="00FD216A">
            <w:pPr>
              <w:tabs>
                <w:tab w:val="decimal" w:pos="1104"/>
              </w:tabs>
              <w:rPr>
                <w:b/>
                <w:snapToGrid w:val="0"/>
                <w:szCs w:val="24"/>
              </w:rPr>
            </w:pPr>
            <w:r w:rsidRPr="00D948C1">
              <w:rPr>
                <w:b/>
                <w:snapToGrid w:val="0"/>
                <w:szCs w:val="24"/>
              </w:rPr>
              <w:t>Spending by the fund</w:t>
            </w:r>
          </w:p>
        </w:tc>
      </w:tr>
      <w:tr w:rsidR="00AC5949" w:rsidRPr="00D948C1" w14:paraId="291BAA72" w14:textId="77777777" w:rsidTr="003572E5">
        <w:trPr>
          <w:trHeight w:val="278"/>
        </w:trPr>
        <w:tc>
          <w:tcPr>
            <w:tcW w:w="8900" w:type="dxa"/>
            <w:gridSpan w:val="3"/>
            <w:shd w:val="clear" w:color="auto" w:fill="D9D9D9" w:themeFill="background1" w:themeFillShade="D9"/>
          </w:tcPr>
          <w:p w14:paraId="496454F2" w14:textId="055355E2" w:rsidR="00AC5949" w:rsidRPr="00D948C1" w:rsidRDefault="00AC5949" w:rsidP="00FD216A">
            <w:pPr>
              <w:tabs>
                <w:tab w:val="decimal" w:pos="1104"/>
              </w:tabs>
              <w:rPr>
                <w:b/>
                <w:snapToGrid w:val="0"/>
                <w:szCs w:val="24"/>
              </w:rPr>
            </w:pPr>
            <w:r w:rsidRPr="00D948C1">
              <w:rPr>
                <w:b/>
                <w:snapToGrid w:val="0"/>
                <w:szCs w:val="24"/>
              </w:rPr>
              <w:t>Benefits payable:</w:t>
            </w:r>
          </w:p>
        </w:tc>
      </w:tr>
      <w:tr w:rsidR="00613663" w:rsidRPr="00D948C1" w14:paraId="773EC1D3" w14:textId="77777777" w:rsidTr="003572E5">
        <w:trPr>
          <w:trHeight w:val="278"/>
        </w:trPr>
        <w:tc>
          <w:tcPr>
            <w:tcW w:w="6207" w:type="dxa"/>
          </w:tcPr>
          <w:p w14:paraId="2566ABC9" w14:textId="77777777" w:rsidR="00613663" w:rsidRPr="00D948C1" w:rsidRDefault="00613663" w:rsidP="00613663">
            <w:pPr>
              <w:pStyle w:val="ListParagraph"/>
              <w:numPr>
                <w:ilvl w:val="0"/>
                <w:numId w:val="25"/>
              </w:numPr>
              <w:rPr>
                <w:snapToGrid w:val="0"/>
                <w:szCs w:val="24"/>
              </w:rPr>
            </w:pPr>
            <w:r w:rsidRPr="00D948C1">
              <w:rPr>
                <w:snapToGrid w:val="0"/>
                <w:szCs w:val="24"/>
              </w:rPr>
              <w:t>Pension payments</w:t>
            </w:r>
          </w:p>
        </w:tc>
        <w:tc>
          <w:tcPr>
            <w:tcW w:w="1418" w:type="dxa"/>
            <w:vAlign w:val="center"/>
          </w:tcPr>
          <w:p w14:paraId="6ED905B9" w14:textId="54697B58" w:rsidR="00613663" w:rsidRPr="00D948C1" w:rsidRDefault="00004B20" w:rsidP="00613663">
            <w:pPr>
              <w:tabs>
                <w:tab w:val="decimal" w:pos="1104"/>
              </w:tabs>
              <w:jc w:val="right"/>
              <w:rPr>
                <w:snapToGrid w:val="0"/>
                <w:szCs w:val="24"/>
              </w:rPr>
            </w:pPr>
            <w:r>
              <w:rPr>
                <w:snapToGrid w:val="0"/>
                <w:szCs w:val="24"/>
              </w:rPr>
              <w:t>27,918</w:t>
            </w:r>
          </w:p>
        </w:tc>
        <w:tc>
          <w:tcPr>
            <w:tcW w:w="1275" w:type="dxa"/>
            <w:vAlign w:val="center"/>
          </w:tcPr>
          <w:p w14:paraId="7F799B10" w14:textId="64BB69D5" w:rsidR="00613663" w:rsidRPr="00D948C1" w:rsidRDefault="00613663" w:rsidP="00613663">
            <w:pPr>
              <w:tabs>
                <w:tab w:val="decimal" w:pos="1104"/>
              </w:tabs>
              <w:jc w:val="right"/>
              <w:rPr>
                <w:snapToGrid w:val="0"/>
                <w:szCs w:val="24"/>
              </w:rPr>
            </w:pPr>
            <w:r w:rsidRPr="00D948C1">
              <w:rPr>
                <w:snapToGrid w:val="0"/>
                <w:szCs w:val="24"/>
              </w:rPr>
              <w:t>25,508</w:t>
            </w:r>
          </w:p>
        </w:tc>
      </w:tr>
      <w:tr w:rsidR="00613663" w:rsidRPr="00D948C1" w14:paraId="48ED29A6" w14:textId="77777777" w:rsidTr="003572E5">
        <w:trPr>
          <w:trHeight w:val="556"/>
        </w:trPr>
        <w:tc>
          <w:tcPr>
            <w:tcW w:w="6207" w:type="dxa"/>
          </w:tcPr>
          <w:p w14:paraId="3D9EB629" w14:textId="77777777" w:rsidR="00613663" w:rsidRPr="00D948C1" w:rsidRDefault="00613663" w:rsidP="00613663">
            <w:pPr>
              <w:pStyle w:val="ListParagraph"/>
              <w:numPr>
                <w:ilvl w:val="0"/>
                <w:numId w:val="25"/>
              </w:numPr>
              <w:rPr>
                <w:snapToGrid w:val="0"/>
                <w:szCs w:val="24"/>
              </w:rPr>
            </w:pPr>
            <w:r w:rsidRPr="00D948C1">
              <w:rPr>
                <w:snapToGrid w:val="0"/>
                <w:szCs w:val="24"/>
              </w:rPr>
              <w:t>Commutations of pensions and lump-sum retirement benefits</w:t>
            </w:r>
          </w:p>
        </w:tc>
        <w:tc>
          <w:tcPr>
            <w:tcW w:w="1418" w:type="dxa"/>
            <w:vAlign w:val="center"/>
          </w:tcPr>
          <w:p w14:paraId="0CBF1C23" w14:textId="3DF94A6E" w:rsidR="00613663" w:rsidRPr="00D948C1" w:rsidRDefault="00004B20" w:rsidP="00613663">
            <w:pPr>
              <w:tabs>
                <w:tab w:val="decimal" w:pos="1104"/>
              </w:tabs>
              <w:jc w:val="right"/>
              <w:rPr>
                <w:snapToGrid w:val="0"/>
                <w:szCs w:val="24"/>
              </w:rPr>
            </w:pPr>
            <w:r>
              <w:rPr>
                <w:snapToGrid w:val="0"/>
                <w:szCs w:val="24"/>
              </w:rPr>
              <w:t>6,18</w:t>
            </w:r>
            <w:r w:rsidR="007D7EAC">
              <w:rPr>
                <w:snapToGrid w:val="0"/>
                <w:szCs w:val="24"/>
              </w:rPr>
              <w:t>2</w:t>
            </w:r>
          </w:p>
        </w:tc>
        <w:tc>
          <w:tcPr>
            <w:tcW w:w="1275" w:type="dxa"/>
            <w:vAlign w:val="center"/>
          </w:tcPr>
          <w:p w14:paraId="1A29995C" w14:textId="6F3D7E98" w:rsidR="00613663" w:rsidRPr="00D948C1" w:rsidRDefault="00613663" w:rsidP="00613663">
            <w:pPr>
              <w:tabs>
                <w:tab w:val="decimal" w:pos="1104"/>
              </w:tabs>
              <w:jc w:val="right"/>
              <w:rPr>
                <w:snapToGrid w:val="0"/>
                <w:szCs w:val="24"/>
              </w:rPr>
            </w:pPr>
            <w:r w:rsidRPr="00D948C1">
              <w:rPr>
                <w:snapToGrid w:val="0"/>
                <w:szCs w:val="24"/>
              </w:rPr>
              <w:t>5,923</w:t>
            </w:r>
          </w:p>
        </w:tc>
      </w:tr>
    </w:tbl>
    <w:p w14:paraId="2C8913D8"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3"/>
        <w:gridCol w:w="1280"/>
      </w:tblGrid>
      <w:tr w:rsidR="00AC5949" w:rsidRPr="00D948C1" w14:paraId="30EF4847" w14:textId="77777777" w:rsidTr="003572E5">
        <w:trPr>
          <w:trHeight w:val="278"/>
        </w:trPr>
        <w:tc>
          <w:tcPr>
            <w:tcW w:w="8900" w:type="dxa"/>
            <w:gridSpan w:val="3"/>
            <w:shd w:val="clear" w:color="auto" w:fill="D9D9D9" w:themeFill="background1" w:themeFillShade="D9"/>
          </w:tcPr>
          <w:p w14:paraId="00FE2572" w14:textId="1392B119" w:rsidR="00AC5949" w:rsidRPr="00D948C1" w:rsidRDefault="00AC5949" w:rsidP="00FD216A">
            <w:pPr>
              <w:tabs>
                <w:tab w:val="decimal" w:pos="1104"/>
              </w:tabs>
              <w:rPr>
                <w:b/>
                <w:snapToGrid w:val="0"/>
                <w:szCs w:val="24"/>
              </w:rPr>
            </w:pPr>
            <w:r w:rsidRPr="00D948C1">
              <w:rPr>
                <w:b/>
                <w:snapToGrid w:val="0"/>
                <w:szCs w:val="24"/>
              </w:rPr>
              <w:t>Transfers out:</w:t>
            </w:r>
          </w:p>
        </w:tc>
      </w:tr>
      <w:tr w:rsidR="00613663" w:rsidRPr="00D948C1" w14:paraId="54677730" w14:textId="77777777" w:rsidTr="003572E5">
        <w:trPr>
          <w:trHeight w:val="278"/>
        </w:trPr>
        <w:tc>
          <w:tcPr>
            <w:tcW w:w="6207" w:type="dxa"/>
          </w:tcPr>
          <w:p w14:paraId="66B498AB" w14:textId="77777777" w:rsidR="00613663" w:rsidRPr="00D948C1" w:rsidRDefault="00613663" w:rsidP="00613663">
            <w:pPr>
              <w:pStyle w:val="ListParagraph"/>
              <w:numPr>
                <w:ilvl w:val="0"/>
                <w:numId w:val="24"/>
              </w:numPr>
              <w:rPr>
                <w:snapToGrid w:val="0"/>
                <w:szCs w:val="24"/>
              </w:rPr>
            </w:pPr>
            <w:r w:rsidRPr="00D948C1">
              <w:rPr>
                <w:snapToGrid w:val="0"/>
                <w:szCs w:val="24"/>
              </w:rPr>
              <w:t>Individual transfers out to other schemes</w:t>
            </w:r>
          </w:p>
        </w:tc>
        <w:tc>
          <w:tcPr>
            <w:tcW w:w="1413" w:type="dxa"/>
            <w:vAlign w:val="center"/>
          </w:tcPr>
          <w:p w14:paraId="3951CB66" w14:textId="4E5D473F" w:rsidR="00613663" w:rsidRPr="00D948C1" w:rsidRDefault="00004B20" w:rsidP="00613663">
            <w:pPr>
              <w:tabs>
                <w:tab w:val="decimal" w:pos="1104"/>
              </w:tabs>
              <w:jc w:val="right"/>
              <w:rPr>
                <w:snapToGrid w:val="0"/>
                <w:szCs w:val="24"/>
              </w:rPr>
            </w:pPr>
            <w:r>
              <w:rPr>
                <w:snapToGrid w:val="0"/>
                <w:szCs w:val="24"/>
              </w:rPr>
              <w:t>-</w:t>
            </w:r>
          </w:p>
        </w:tc>
        <w:tc>
          <w:tcPr>
            <w:tcW w:w="1280" w:type="dxa"/>
            <w:vAlign w:val="center"/>
          </w:tcPr>
          <w:p w14:paraId="7A48C2D6" w14:textId="5567CABD" w:rsidR="00613663" w:rsidRPr="00D948C1" w:rsidRDefault="00613663" w:rsidP="00613663">
            <w:pPr>
              <w:tabs>
                <w:tab w:val="decimal" w:pos="1104"/>
              </w:tabs>
              <w:jc w:val="right"/>
              <w:rPr>
                <w:snapToGrid w:val="0"/>
                <w:szCs w:val="24"/>
              </w:rPr>
            </w:pPr>
            <w:r w:rsidRPr="00D948C1">
              <w:rPr>
                <w:snapToGrid w:val="0"/>
                <w:szCs w:val="24"/>
              </w:rPr>
              <w:t>282</w:t>
            </w:r>
          </w:p>
        </w:tc>
      </w:tr>
      <w:tr w:rsidR="00004B20" w:rsidRPr="00D948C1" w14:paraId="531585B2" w14:textId="77777777" w:rsidTr="003572E5">
        <w:trPr>
          <w:trHeight w:val="278"/>
        </w:trPr>
        <w:tc>
          <w:tcPr>
            <w:tcW w:w="6207" w:type="dxa"/>
          </w:tcPr>
          <w:p w14:paraId="20545890" w14:textId="77777777" w:rsidR="00004B20" w:rsidRPr="00D948C1" w:rsidRDefault="00004B20" w:rsidP="00004B20">
            <w:pPr>
              <w:pStyle w:val="ListParagraph"/>
              <w:numPr>
                <w:ilvl w:val="0"/>
                <w:numId w:val="24"/>
              </w:numPr>
              <w:rPr>
                <w:snapToGrid w:val="0"/>
                <w:szCs w:val="24"/>
              </w:rPr>
            </w:pPr>
            <w:r w:rsidRPr="00D948C1">
              <w:rPr>
                <w:snapToGrid w:val="0"/>
                <w:szCs w:val="24"/>
              </w:rPr>
              <w:t>Refunds of contributions</w:t>
            </w:r>
          </w:p>
        </w:tc>
        <w:tc>
          <w:tcPr>
            <w:tcW w:w="1413" w:type="dxa"/>
            <w:vAlign w:val="center"/>
          </w:tcPr>
          <w:p w14:paraId="5ED643E8" w14:textId="6D14F9C9" w:rsidR="00004B20" w:rsidRPr="00D948C1" w:rsidRDefault="00004B20" w:rsidP="00004B20">
            <w:pPr>
              <w:tabs>
                <w:tab w:val="decimal" w:pos="1104"/>
              </w:tabs>
              <w:jc w:val="right"/>
              <w:rPr>
                <w:snapToGrid w:val="0"/>
                <w:szCs w:val="24"/>
              </w:rPr>
            </w:pPr>
            <w:r>
              <w:rPr>
                <w:snapToGrid w:val="0"/>
                <w:szCs w:val="24"/>
              </w:rPr>
              <w:t>-</w:t>
            </w:r>
          </w:p>
        </w:tc>
        <w:tc>
          <w:tcPr>
            <w:tcW w:w="1280" w:type="dxa"/>
            <w:vAlign w:val="center"/>
          </w:tcPr>
          <w:p w14:paraId="33FB8477" w14:textId="7D47931F" w:rsidR="00004B20" w:rsidRPr="00D948C1" w:rsidRDefault="00004B20" w:rsidP="00004B20">
            <w:pPr>
              <w:tabs>
                <w:tab w:val="decimal" w:pos="1104"/>
              </w:tabs>
              <w:jc w:val="right"/>
              <w:rPr>
                <w:snapToGrid w:val="0"/>
                <w:szCs w:val="24"/>
              </w:rPr>
            </w:pPr>
            <w:r w:rsidRPr="00D948C1">
              <w:rPr>
                <w:snapToGrid w:val="0"/>
                <w:szCs w:val="24"/>
              </w:rPr>
              <w:t>-</w:t>
            </w:r>
          </w:p>
        </w:tc>
      </w:tr>
      <w:tr w:rsidR="00004B20" w:rsidRPr="00D948C1" w14:paraId="5DB30FA0" w14:textId="77777777" w:rsidTr="003572E5">
        <w:trPr>
          <w:trHeight w:val="278"/>
        </w:trPr>
        <w:tc>
          <w:tcPr>
            <w:tcW w:w="6207" w:type="dxa"/>
          </w:tcPr>
          <w:p w14:paraId="794EA8A8" w14:textId="77777777" w:rsidR="00004B20" w:rsidRPr="00D948C1" w:rsidRDefault="00004B20" w:rsidP="00004B20">
            <w:pPr>
              <w:ind w:left="396" w:hanging="284"/>
              <w:rPr>
                <w:b/>
                <w:snapToGrid w:val="0"/>
                <w:szCs w:val="24"/>
              </w:rPr>
            </w:pPr>
            <w:r w:rsidRPr="00D948C1">
              <w:rPr>
                <w:b/>
                <w:snapToGrid w:val="0"/>
                <w:szCs w:val="24"/>
              </w:rPr>
              <w:t>Total Spending by the fund</w:t>
            </w:r>
          </w:p>
        </w:tc>
        <w:tc>
          <w:tcPr>
            <w:tcW w:w="1413" w:type="dxa"/>
            <w:vAlign w:val="center"/>
          </w:tcPr>
          <w:p w14:paraId="59A92965" w14:textId="08B444C5" w:rsidR="00004B20" w:rsidRPr="00D948C1" w:rsidRDefault="00004B20" w:rsidP="00004B20">
            <w:pPr>
              <w:tabs>
                <w:tab w:val="decimal" w:pos="1104"/>
              </w:tabs>
              <w:jc w:val="right"/>
              <w:rPr>
                <w:b/>
                <w:snapToGrid w:val="0"/>
                <w:szCs w:val="24"/>
              </w:rPr>
            </w:pPr>
            <w:r>
              <w:rPr>
                <w:b/>
                <w:snapToGrid w:val="0"/>
                <w:szCs w:val="24"/>
              </w:rPr>
              <w:t>34,100</w:t>
            </w:r>
          </w:p>
        </w:tc>
        <w:tc>
          <w:tcPr>
            <w:tcW w:w="1280" w:type="dxa"/>
            <w:vAlign w:val="center"/>
          </w:tcPr>
          <w:p w14:paraId="7C4E2A20" w14:textId="7009EB0C" w:rsidR="00004B20" w:rsidRPr="00D948C1" w:rsidRDefault="00004B20" w:rsidP="00004B20">
            <w:pPr>
              <w:tabs>
                <w:tab w:val="decimal" w:pos="1104"/>
              </w:tabs>
              <w:jc w:val="right"/>
              <w:rPr>
                <w:b/>
                <w:snapToGrid w:val="0"/>
                <w:szCs w:val="24"/>
              </w:rPr>
            </w:pPr>
            <w:r w:rsidRPr="00D948C1">
              <w:rPr>
                <w:b/>
                <w:snapToGrid w:val="0"/>
                <w:szCs w:val="24"/>
              </w:rPr>
              <w:t>31,713</w:t>
            </w:r>
          </w:p>
        </w:tc>
      </w:tr>
      <w:tr w:rsidR="00004B20" w:rsidRPr="00D948C1" w14:paraId="53C0577D" w14:textId="77777777" w:rsidTr="003572E5">
        <w:trPr>
          <w:trHeight w:val="556"/>
        </w:trPr>
        <w:tc>
          <w:tcPr>
            <w:tcW w:w="6207" w:type="dxa"/>
          </w:tcPr>
          <w:p w14:paraId="3F07E890" w14:textId="6C9B4E0F" w:rsidR="00004B20" w:rsidRPr="00D948C1" w:rsidRDefault="00004B20" w:rsidP="00004B20">
            <w:pPr>
              <w:ind w:left="396" w:hanging="284"/>
              <w:rPr>
                <w:b/>
                <w:snapToGrid w:val="0"/>
                <w:szCs w:val="24"/>
              </w:rPr>
            </w:pPr>
            <w:r w:rsidRPr="00D948C1">
              <w:rPr>
                <w:b/>
                <w:snapToGrid w:val="0"/>
                <w:szCs w:val="24"/>
              </w:rPr>
              <w:t xml:space="preserve">Net amount receivable for the year before </w:t>
            </w:r>
            <w:proofErr w:type="gramStart"/>
            <w:r w:rsidRPr="00D948C1">
              <w:rPr>
                <w:b/>
                <w:snapToGrid w:val="0"/>
                <w:szCs w:val="24"/>
              </w:rPr>
              <w:t>top</w:t>
            </w:r>
            <w:proofErr w:type="gramEnd"/>
            <w:r w:rsidRPr="00D948C1">
              <w:rPr>
                <w:b/>
                <w:snapToGrid w:val="0"/>
                <w:szCs w:val="24"/>
              </w:rPr>
              <w:t xml:space="preserve"> up grant receivable from central government</w:t>
            </w:r>
          </w:p>
        </w:tc>
        <w:tc>
          <w:tcPr>
            <w:tcW w:w="1413" w:type="dxa"/>
            <w:vAlign w:val="center"/>
          </w:tcPr>
          <w:p w14:paraId="2D71B21B" w14:textId="6A83F1B0" w:rsidR="00004B20" w:rsidRPr="00D948C1" w:rsidRDefault="00004B20" w:rsidP="00004B20">
            <w:pPr>
              <w:tabs>
                <w:tab w:val="decimal" w:pos="1104"/>
              </w:tabs>
              <w:jc w:val="right"/>
              <w:rPr>
                <w:b/>
                <w:snapToGrid w:val="0"/>
                <w:szCs w:val="24"/>
              </w:rPr>
            </w:pPr>
            <w:r>
              <w:rPr>
                <w:b/>
                <w:snapToGrid w:val="0"/>
                <w:szCs w:val="24"/>
              </w:rPr>
              <w:t>18,594</w:t>
            </w:r>
          </w:p>
        </w:tc>
        <w:tc>
          <w:tcPr>
            <w:tcW w:w="1280" w:type="dxa"/>
            <w:vAlign w:val="center"/>
          </w:tcPr>
          <w:p w14:paraId="5ED60666" w14:textId="3FABB54D" w:rsidR="00004B20" w:rsidRPr="00D948C1" w:rsidRDefault="00004B20" w:rsidP="00004B20">
            <w:pPr>
              <w:tabs>
                <w:tab w:val="decimal" w:pos="1104"/>
              </w:tabs>
              <w:jc w:val="right"/>
              <w:rPr>
                <w:b/>
                <w:snapToGrid w:val="0"/>
                <w:szCs w:val="24"/>
              </w:rPr>
            </w:pPr>
            <w:r w:rsidRPr="00D948C1">
              <w:rPr>
                <w:b/>
                <w:snapToGrid w:val="0"/>
                <w:szCs w:val="24"/>
              </w:rPr>
              <w:t>19,508</w:t>
            </w:r>
          </w:p>
        </w:tc>
      </w:tr>
      <w:tr w:rsidR="00004B20" w:rsidRPr="00D948C1" w14:paraId="259C04C7" w14:textId="77777777" w:rsidTr="003572E5">
        <w:trPr>
          <w:trHeight w:val="278"/>
        </w:trPr>
        <w:tc>
          <w:tcPr>
            <w:tcW w:w="6207" w:type="dxa"/>
          </w:tcPr>
          <w:p w14:paraId="14E9277C" w14:textId="5F924341" w:rsidR="00004B20" w:rsidRPr="00D948C1" w:rsidRDefault="00004B20" w:rsidP="00004B20">
            <w:pPr>
              <w:ind w:left="396" w:hanging="284"/>
              <w:rPr>
                <w:snapToGrid w:val="0"/>
                <w:szCs w:val="24"/>
              </w:rPr>
            </w:pPr>
            <w:r w:rsidRPr="00D948C1">
              <w:rPr>
                <w:snapToGrid w:val="0"/>
                <w:szCs w:val="24"/>
              </w:rPr>
              <w:t>Top up grant receivable from central government</w:t>
            </w:r>
          </w:p>
        </w:tc>
        <w:tc>
          <w:tcPr>
            <w:tcW w:w="1413" w:type="dxa"/>
            <w:vAlign w:val="center"/>
          </w:tcPr>
          <w:p w14:paraId="4F9C880D" w14:textId="5D34DBAB" w:rsidR="00004B20" w:rsidRPr="00D948C1" w:rsidRDefault="00004B20" w:rsidP="00004B20">
            <w:pPr>
              <w:tabs>
                <w:tab w:val="decimal" w:pos="1104"/>
              </w:tabs>
              <w:jc w:val="right"/>
              <w:rPr>
                <w:snapToGrid w:val="0"/>
                <w:szCs w:val="24"/>
              </w:rPr>
            </w:pPr>
            <w:r>
              <w:rPr>
                <w:snapToGrid w:val="0"/>
                <w:szCs w:val="24"/>
              </w:rPr>
              <w:t>(18,594)</w:t>
            </w:r>
          </w:p>
        </w:tc>
        <w:tc>
          <w:tcPr>
            <w:tcW w:w="1280" w:type="dxa"/>
            <w:vAlign w:val="center"/>
          </w:tcPr>
          <w:p w14:paraId="2F4C8521" w14:textId="5DE73FD9" w:rsidR="00004B20" w:rsidRPr="00D948C1" w:rsidRDefault="00004B20" w:rsidP="00004B20">
            <w:pPr>
              <w:tabs>
                <w:tab w:val="decimal" w:pos="1104"/>
              </w:tabs>
              <w:jc w:val="right"/>
              <w:rPr>
                <w:snapToGrid w:val="0"/>
                <w:szCs w:val="24"/>
              </w:rPr>
            </w:pPr>
            <w:r w:rsidRPr="00D948C1">
              <w:rPr>
                <w:snapToGrid w:val="0"/>
                <w:szCs w:val="24"/>
              </w:rPr>
              <w:t>(19,508)</w:t>
            </w:r>
          </w:p>
        </w:tc>
      </w:tr>
      <w:tr w:rsidR="00004B20" w:rsidRPr="00D948C1" w14:paraId="79E6CF3F" w14:textId="77777777" w:rsidTr="003572E5">
        <w:trPr>
          <w:trHeight w:val="278"/>
        </w:trPr>
        <w:tc>
          <w:tcPr>
            <w:tcW w:w="6207" w:type="dxa"/>
          </w:tcPr>
          <w:p w14:paraId="32E39142" w14:textId="20CC0BF3" w:rsidR="00004B20" w:rsidRPr="00D948C1" w:rsidRDefault="00004B20" w:rsidP="00004B20">
            <w:pPr>
              <w:ind w:left="396" w:hanging="284"/>
              <w:rPr>
                <w:snapToGrid w:val="0"/>
                <w:szCs w:val="24"/>
              </w:rPr>
            </w:pPr>
            <w:r w:rsidRPr="00D948C1">
              <w:rPr>
                <w:b/>
                <w:snapToGrid w:val="0"/>
                <w:szCs w:val="24"/>
              </w:rPr>
              <w:t>Net amount receivable for the year</w:t>
            </w:r>
          </w:p>
        </w:tc>
        <w:tc>
          <w:tcPr>
            <w:tcW w:w="1413" w:type="dxa"/>
            <w:vAlign w:val="center"/>
          </w:tcPr>
          <w:p w14:paraId="5F4872C2" w14:textId="1CE5AB03" w:rsidR="00004B20" w:rsidRPr="00D948C1" w:rsidRDefault="00FB766E" w:rsidP="00004B20">
            <w:pPr>
              <w:tabs>
                <w:tab w:val="decimal" w:pos="1104"/>
              </w:tabs>
              <w:jc w:val="right"/>
              <w:rPr>
                <w:snapToGrid w:val="0"/>
                <w:szCs w:val="24"/>
              </w:rPr>
            </w:pPr>
            <w:r>
              <w:rPr>
                <w:snapToGrid w:val="0"/>
                <w:szCs w:val="24"/>
              </w:rPr>
              <w:t>-</w:t>
            </w:r>
          </w:p>
        </w:tc>
        <w:tc>
          <w:tcPr>
            <w:tcW w:w="1280" w:type="dxa"/>
            <w:vAlign w:val="center"/>
          </w:tcPr>
          <w:p w14:paraId="0CA39063" w14:textId="2C640CC0" w:rsidR="00004B20" w:rsidRPr="00D948C1" w:rsidRDefault="00004B20" w:rsidP="00004B20">
            <w:pPr>
              <w:tabs>
                <w:tab w:val="decimal" w:pos="1104"/>
              </w:tabs>
              <w:jc w:val="right"/>
              <w:rPr>
                <w:snapToGrid w:val="0"/>
                <w:szCs w:val="24"/>
              </w:rPr>
            </w:pPr>
            <w:r w:rsidRPr="00D948C1">
              <w:rPr>
                <w:b/>
                <w:snapToGrid w:val="0"/>
                <w:szCs w:val="24"/>
              </w:rPr>
              <w:t>-</w:t>
            </w:r>
          </w:p>
        </w:tc>
      </w:tr>
    </w:tbl>
    <w:p w14:paraId="672507F4"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3"/>
        <w:gridCol w:w="1280"/>
      </w:tblGrid>
      <w:tr w:rsidR="000811CC" w:rsidRPr="00D948C1" w14:paraId="3C433FF2" w14:textId="77777777" w:rsidTr="00F7299E">
        <w:trPr>
          <w:trHeight w:val="247"/>
        </w:trPr>
        <w:tc>
          <w:tcPr>
            <w:tcW w:w="6207" w:type="dxa"/>
            <w:shd w:val="clear" w:color="auto" w:fill="BD2716"/>
            <w:vAlign w:val="center"/>
          </w:tcPr>
          <w:p w14:paraId="51FAAE03" w14:textId="1D0E7715" w:rsidR="000811CC" w:rsidRPr="00D948C1" w:rsidRDefault="000811CC" w:rsidP="000811CC">
            <w:pPr>
              <w:rPr>
                <w:bCs/>
                <w:snapToGrid w:val="0"/>
                <w:szCs w:val="24"/>
              </w:rPr>
            </w:pPr>
            <w:r w:rsidRPr="00D948C1">
              <w:rPr>
                <w:bCs/>
                <w:snapToGrid w:val="0"/>
                <w:color w:val="FFFFFF" w:themeColor="background1"/>
                <w:szCs w:val="24"/>
              </w:rPr>
              <w:t>Net Assets Statement</w:t>
            </w:r>
          </w:p>
        </w:tc>
        <w:tc>
          <w:tcPr>
            <w:tcW w:w="1413" w:type="dxa"/>
            <w:shd w:val="clear" w:color="auto" w:fill="BD2716"/>
          </w:tcPr>
          <w:p w14:paraId="5FB50D92" w14:textId="77777777" w:rsidR="000811CC" w:rsidRPr="00D948C1" w:rsidRDefault="000811CC" w:rsidP="000811CC">
            <w:pPr>
              <w:jc w:val="right"/>
              <w:rPr>
                <w:color w:val="FFFFFF" w:themeColor="background1"/>
                <w:szCs w:val="24"/>
              </w:rPr>
            </w:pPr>
            <w:r w:rsidRPr="00D948C1">
              <w:rPr>
                <w:color w:val="FFFFFF" w:themeColor="background1"/>
                <w:szCs w:val="24"/>
              </w:rPr>
              <w:t>202</w:t>
            </w:r>
            <w:r>
              <w:rPr>
                <w:color w:val="FFFFFF" w:themeColor="background1"/>
                <w:szCs w:val="24"/>
              </w:rPr>
              <w:t>4</w:t>
            </w:r>
            <w:r w:rsidRPr="00D948C1">
              <w:rPr>
                <w:color w:val="FFFFFF" w:themeColor="background1"/>
                <w:szCs w:val="24"/>
              </w:rPr>
              <w:t>/2</w:t>
            </w:r>
            <w:r>
              <w:rPr>
                <w:color w:val="FFFFFF" w:themeColor="background1"/>
                <w:szCs w:val="24"/>
              </w:rPr>
              <w:t>5</w:t>
            </w:r>
          </w:p>
          <w:p w14:paraId="18F28AF3" w14:textId="3FD6960C" w:rsidR="000811CC" w:rsidRPr="00D948C1" w:rsidRDefault="000811CC" w:rsidP="000811CC">
            <w:pPr>
              <w:jc w:val="right"/>
              <w:rPr>
                <w:color w:val="FFFFFF" w:themeColor="background1"/>
                <w:szCs w:val="24"/>
              </w:rPr>
            </w:pPr>
            <w:r w:rsidRPr="00D948C1">
              <w:rPr>
                <w:color w:val="FFFFFF" w:themeColor="background1"/>
                <w:szCs w:val="24"/>
              </w:rPr>
              <w:t>£000</w:t>
            </w:r>
          </w:p>
        </w:tc>
        <w:tc>
          <w:tcPr>
            <w:tcW w:w="1280" w:type="dxa"/>
            <w:shd w:val="clear" w:color="auto" w:fill="BD2716"/>
          </w:tcPr>
          <w:p w14:paraId="100E43AE" w14:textId="77777777" w:rsidR="000811CC" w:rsidRPr="00D948C1" w:rsidRDefault="000811CC" w:rsidP="000811CC">
            <w:pPr>
              <w:jc w:val="right"/>
              <w:rPr>
                <w:color w:val="FFFFFF" w:themeColor="background1"/>
                <w:szCs w:val="24"/>
              </w:rPr>
            </w:pPr>
            <w:r w:rsidRPr="00D948C1">
              <w:rPr>
                <w:color w:val="FFFFFF" w:themeColor="background1"/>
                <w:szCs w:val="24"/>
              </w:rPr>
              <w:t>2023/24</w:t>
            </w:r>
          </w:p>
          <w:p w14:paraId="63E7520A" w14:textId="0E472376" w:rsidR="000811CC" w:rsidRPr="00D948C1" w:rsidRDefault="000811CC" w:rsidP="000811CC">
            <w:pPr>
              <w:jc w:val="right"/>
              <w:rPr>
                <w:color w:val="FFFFFF" w:themeColor="background1"/>
                <w:szCs w:val="24"/>
              </w:rPr>
            </w:pPr>
            <w:r w:rsidRPr="00D948C1">
              <w:rPr>
                <w:color w:val="FFFFFF" w:themeColor="background1"/>
                <w:szCs w:val="24"/>
              </w:rPr>
              <w:t>£000</w:t>
            </w:r>
          </w:p>
        </w:tc>
      </w:tr>
      <w:tr w:rsidR="00AC5949" w:rsidRPr="00D948C1" w14:paraId="58F87DB9" w14:textId="77777777" w:rsidTr="003572E5">
        <w:trPr>
          <w:trHeight w:val="247"/>
        </w:trPr>
        <w:tc>
          <w:tcPr>
            <w:tcW w:w="8900" w:type="dxa"/>
            <w:gridSpan w:val="3"/>
            <w:shd w:val="clear" w:color="auto" w:fill="D9D9D9" w:themeFill="background1" w:themeFillShade="D9"/>
          </w:tcPr>
          <w:p w14:paraId="3F41C392" w14:textId="72EFE345" w:rsidR="00AC5949" w:rsidRPr="00D948C1" w:rsidRDefault="00AC5949" w:rsidP="00AC5949">
            <w:pPr>
              <w:rPr>
                <w:b/>
                <w:bCs/>
                <w:snapToGrid w:val="0"/>
                <w:szCs w:val="24"/>
              </w:rPr>
            </w:pPr>
            <w:r w:rsidRPr="00D948C1">
              <w:rPr>
                <w:b/>
                <w:bCs/>
                <w:snapToGrid w:val="0"/>
                <w:szCs w:val="24"/>
              </w:rPr>
              <w:t>Net current assets and liabilities:</w:t>
            </w:r>
          </w:p>
        </w:tc>
      </w:tr>
      <w:tr w:rsidR="00613663" w:rsidRPr="00D948C1" w14:paraId="10B8EC4A" w14:textId="77777777" w:rsidTr="003572E5">
        <w:trPr>
          <w:trHeight w:val="556"/>
        </w:trPr>
        <w:tc>
          <w:tcPr>
            <w:tcW w:w="6207" w:type="dxa"/>
          </w:tcPr>
          <w:p w14:paraId="13B72DAC" w14:textId="6ABD0A1D" w:rsidR="00613663" w:rsidRPr="00D948C1" w:rsidRDefault="00613663" w:rsidP="00613663">
            <w:pPr>
              <w:ind w:left="396" w:hanging="284"/>
              <w:rPr>
                <w:snapToGrid w:val="0"/>
                <w:szCs w:val="24"/>
              </w:rPr>
            </w:pPr>
            <w:r w:rsidRPr="00D948C1">
              <w:rPr>
                <w:snapToGrid w:val="0"/>
                <w:szCs w:val="24"/>
              </w:rPr>
              <w:t>- pensions top up grant receivable from central government</w:t>
            </w:r>
          </w:p>
        </w:tc>
        <w:tc>
          <w:tcPr>
            <w:tcW w:w="1413" w:type="dxa"/>
            <w:vAlign w:val="center"/>
          </w:tcPr>
          <w:p w14:paraId="755FDF8C" w14:textId="73323951" w:rsidR="00613663" w:rsidRPr="00D948C1" w:rsidRDefault="007D7EAC" w:rsidP="00613663">
            <w:pPr>
              <w:tabs>
                <w:tab w:val="decimal" w:pos="821"/>
              </w:tabs>
              <w:jc w:val="right"/>
              <w:rPr>
                <w:snapToGrid w:val="0"/>
                <w:szCs w:val="24"/>
              </w:rPr>
            </w:pPr>
            <w:r>
              <w:rPr>
                <w:snapToGrid w:val="0"/>
                <w:szCs w:val="24"/>
              </w:rPr>
              <w:t>(4,876)</w:t>
            </w:r>
          </w:p>
        </w:tc>
        <w:tc>
          <w:tcPr>
            <w:tcW w:w="1280" w:type="dxa"/>
            <w:vAlign w:val="center"/>
          </w:tcPr>
          <w:p w14:paraId="4E904BCE" w14:textId="70DE47E1" w:rsidR="00613663" w:rsidRPr="00D948C1" w:rsidRDefault="00613663" w:rsidP="00613663">
            <w:pPr>
              <w:tabs>
                <w:tab w:val="decimal" w:pos="821"/>
              </w:tabs>
              <w:jc w:val="right"/>
              <w:rPr>
                <w:snapToGrid w:val="0"/>
                <w:szCs w:val="24"/>
              </w:rPr>
            </w:pPr>
            <w:r w:rsidRPr="00D948C1">
              <w:rPr>
                <w:snapToGrid w:val="0"/>
                <w:szCs w:val="24"/>
              </w:rPr>
              <w:t>(5,541)</w:t>
            </w:r>
          </w:p>
        </w:tc>
      </w:tr>
      <w:tr w:rsidR="00613663" w:rsidRPr="00D948C1" w14:paraId="765A9275" w14:textId="77777777" w:rsidTr="003572E5">
        <w:trPr>
          <w:trHeight w:val="556"/>
        </w:trPr>
        <w:tc>
          <w:tcPr>
            <w:tcW w:w="6207" w:type="dxa"/>
          </w:tcPr>
          <w:p w14:paraId="214D8D2E" w14:textId="7EF4EB51" w:rsidR="00613663" w:rsidRPr="00D948C1" w:rsidRDefault="00613663" w:rsidP="00613663">
            <w:pPr>
              <w:ind w:left="396" w:hanging="284"/>
              <w:rPr>
                <w:snapToGrid w:val="0"/>
                <w:szCs w:val="24"/>
              </w:rPr>
            </w:pPr>
            <w:r w:rsidRPr="00D948C1">
              <w:rPr>
                <w:snapToGrid w:val="0"/>
                <w:szCs w:val="24"/>
              </w:rPr>
              <w:t>- other current assets and liabilities (other than liabilities and other than benefits in the future)</w:t>
            </w:r>
          </w:p>
        </w:tc>
        <w:tc>
          <w:tcPr>
            <w:tcW w:w="1413" w:type="dxa"/>
            <w:vAlign w:val="center"/>
          </w:tcPr>
          <w:p w14:paraId="372DDD53" w14:textId="19A617A8" w:rsidR="00613663" w:rsidRPr="00D948C1" w:rsidRDefault="007D7EAC" w:rsidP="00613663">
            <w:pPr>
              <w:tabs>
                <w:tab w:val="decimal" w:pos="1104"/>
              </w:tabs>
              <w:jc w:val="right"/>
              <w:rPr>
                <w:snapToGrid w:val="0"/>
                <w:szCs w:val="24"/>
              </w:rPr>
            </w:pPr>
            <w:r>
              <w:rPr>
                <w:snapToGrid w:val="0"/>
                <w:szCs w:val="24"/>
              </w:rPr>
              <w:t>4,876</w:t>
            </w:r>
          </w:p>
        </w:tc>
        <w:tc>
          <w:tcPr>
            <w:tcW w:w="1280" w:type="dxa"/>
            <w:vAlign w:val="center"/>
          </w:tcPr>
          <w:p w14:paraId="479D3DD9" w14:textId="1B91F151" w:rsidR="00613663" w:rsidRPr="00D948C1" w:rsidRDefault="00613663" w:rsidP="00613663">
            <w:pPr>
              <w:tabs>
                <w:tab w:val="decimal" w:pos="1104"/>
              </w:tabs>
              <w:jc w:val="right"/>
              <w:rPr>
                <w:snapToGrid w:val="0"/>
                <w:szCs w:val="24"/>
              </w:rPr>
            </w:pPr>
            <w:r w:rsidRPr="00D948C1">
              <w:rPr>
                <w:snapToGrid w:val="0"/>
                <w:szCs w:val="24"/>
              </w:rPr>
              <w:t>5,541</w:t>
            </w:r>
          </w:p>
        </w:tc>
      </w:tr>
      <w:tr w:rsidR="00613663" w:rsidRPr="00D948C1" w14:paraId="164910DE" w14:textId="77777777" w:rsidTr="003572E5">
        <w:trPr>
          <w:trHeight w:val="278"/>
        </w:trPr>
        <w:tc>
          <w:tcPr>
            <w:tcW w:w="6207" w:type="dxa"/>
          </w:tcPr>
          <w:p w14:paraId="1E2FCD06" w14:textId="24E46DBF" w:rsidR="00613663" w:rsidRPr="00D948C1" w:rsidRDefault="00613663" w:rsidP="00613663">
            <w:pPr>
              <w:ind w:left="396" w:hanging="284"/>
              <w:rPr>
                <w:snapToGrid w:val="0"/>
                <w:szCs w:val="24"/>
              </w:rPr>
            </w:pPr>
            <w:r w:rsidRPr="00D948C1">
              <w:rPr>
                <w:b/>
                <w:snapToGrid w:val="0"/>
                <w:szCs w:val="24"/>
              </w:rPr>
              <w:t>Net current assets at the end of the year</w:t>
            </w:r>
          </w:p>
        </w:tc>
        <w:tc>
          <w:tcPr>
            <w:tcW w:w="1413" w:type="dxa"/>
            <w:vAlign w:val="center"/>
          </w:tcPr>
          <w:p w14:paraId="2AD92D42" w14:textId="2FE91C0B" w:rsidR="00613663" w:rsidRPr="00D948C1" w:rsidRDefault="00FB766E" w:rsidP="00613663">
            <w:pPr>
              <w:tabs>
                <w:tab w:val="decimal" w:pos="962"/>
                <w:tab w:val="decimal" w:pos="1104"/>
              </w:tabs>
              <w:jc w:val="right"/>
              <w:rPr>
                <w:snapToGrid w:val="0"/>
                <w:szCs w:val="24"/>
              </w:rPr>
            </w:pPr>
            <w:r>
              <w:rPr>
                <w:snapToGrid w:val="0"/>
                <w:szCs w:val="24"/>
              </w:rPr>
              <w:t>-</w:t>
            </w:r>
          </w:p>
        </w:tc>
        <w:tc>
          <w:tcPr>
            <w:tcW w:w="1280" w:type="dxa"/>
            <w:vAlign w:val="center"/>
          </w:tcPr>
          <w:p w14:paraId="5C0711F7" w14:textId="5B420FA0" w:rsidR="00613663" w:rsidRPr="00D948C1" w:rsidRDefault="00613663" w:rsidP="00613663">
            <w:pPr>
              <w:tabs>
                <w:tab w:val="decimal" w:pos="962"/>
                <w:tab w:val="decimal" w:pos="1103"/>
              </w:tabs>
              <w:jc w:val="right"/>
              <w:rPr>
                <w:snapToGrid w:val="0"/>
                <w:szCs w:val="24"/>
              </w:rPr>
            </w:pPr>
            <w:r w:rsidRPr="00D948C1">
              <w:rPr>
                <w:b/>
                <w:snapToGrid w:val="0"/>
                <w:szCs w:val="24"/>
              </w:rPr>
              <w:t>-</w:t>
            </w:r>
          </w:p>
        </w:tc>
      </w:tr>
    </w:tbl>
    <w:p w14:paraId="729C40D0" w14:textId="77777777" w:rsidR="00D90216" w:rsidRPr="00D948C1" w:rsidRDefault="00D90216" w:rsidP="00D90216">
      <w:pPr>
        <w:rPr>
          <w:sz w:val="22"/>
        </w:rPr>
      </w:pPr>
      <w:r w:rsidRPr="00D948C1">
        <w:rPr>
          <w:sz w:val="22"/>
        </w:rPr>
        <w:br w:type="page"/>
      </w:r>
    </w:p>
    <w:p w14:paraId="6F6F5176" w14:textId="77777777" w:rsidR="00D90216" w:rsidRPr="00D948C1" w:rsidRDefault="00D90216" w:rsidP="000F5BFB">
      <w:pPr>
        <w:rPr>
          <w:b/>
          <w:szCs w:val="24"/>
        </w:rPr>
      </w:pPr>
      <w:r w:rsidRPr="00D948C1">
        <w:rPr>
          <w:b/>
          <w:szCs w:val="24"/>
        </w:rPr>
        <w:lastRenderedPageBreak/>
        <w:t>Firefighters Pension Fund Notes</w:t>
      </w:r>
    </w:p>
    <w:p w14:paraId="1C951D45" w14:textId="77777777" w:rsidR="00D90216" w:rsidRPr="00D948C1" w:rsidRDefault="00D90216" w:rsidP="000F5BFB">
      <w:pPr>
        <w:rPr>
          <w:b/>
          <w:szCs w:val="24"/>
        </w:rPr>
      </w:pPr>
    </w:p>
    <w:p w14:paraId="1F90AE38" w14:textId="65F486D4" w:rsidR="00D90216" w:rsidRPr="00B15C36" w:rsidRDefault="00D90216" w:rsidP="000F5BFB">
      <w:r w:rsidRPr="00B15C36">
        <w:t xml:space="preserve">The </w:t>
      </w:r>
      <w:r w:rsidR="009C1C8D" w:rsidRPr="00B15C36">
        <w:t xml:space="preserve">four </w:t>
      </w:r>
      <w:r w:rsidRPr="00B15C36">
        <w:t xml:space="preserve">firefighters pension schemes </w:t>
      </w:r>
      <w:r w:rsidR="009C1C8D" w:rsidRPr="00B15C36">
        <w:t xml:space="preserve">(1992 scheme, 2006 scheme, special members of the 2006 scheme and 2015 scheme) </w:t>
      </w:r>
      <w:r w:rsidRPr="00B15C36">
        <w:t xml:space="preserve">are unfunded defined benefits schemes, meaning that there </w:t>
      </w:r>
      <w:proofErr w:type="gramStart"/>
      <w:r w:rsidRPr="00B15C36">
        <w:t>are</w:t>
      </w:r>
      <w:proofErr w:type="gramEnd"/>
      <w:r w:rsidRPr="00B15C36">
        <w:t xml:space="preserve"> no investment assets built up to meet the pensions liabilities, and cash </w:t>
      </w:r>
      <w:r w:rsidR="0094180B" w:rsidRPr="00B15C36">
        <w:t>must</w:t>
      </w:r>
      <w:r w:rsidRPr="00B15C36">
        <w:t xml:space="preserve"> be generated to meet the actual pension payments as they fall due. The Authority makes employers contributions into the schemes and the balance of funding required after pension payments are made is received from </w:t>
      </w:r>
      <w:r w:rsidRPr="00B15C36">
        <w:rPr>
          <w:snapToGrid w:val="0"/>
        </w:rPr>
        <w:t>central government</w:t>
      </w:r>
      <w:r w:rsidRPr="00B15C36">
        <w:t>.</w:t>
      </w:r>
    </w:p>
    <w:p w14:paraId="0C785F22" w14:textId="77777777" w:rsidR="00D90216" w:rsidRPr="00B15C36" w:rsidRDefault="00D90216" w:rsidP="000F5BFB"/>
    <w:p w14:paraId="00E64517" w14:textId="7EE8A120" w:rsidR="00D90216" w:rsidRPr="00B15C36" w:rsidRDefault="00D90216" w:rsidP="000F5BFB">
      <w:r w:rsidRPr="00B15C36">
        <w:t xml:space="preserve">The above statement shows the financial position of the </w:t>
      </w:r>
      <w:r w:rsidR="00F05F09" w:rsidRPr="00B15C36">
        <w:t>total</w:t>
      </w:r>
      <w:r w:rsidRPr="00B15C36">
        <w:t xml:space="preserve"> fire fighters pension fund account, showing that as </w:t>
      </w:r>
      <w:proofErr w:type="gramStart"/>
      <w:r w:rsidRPr="00B15C36">
        <w:t>at</w:t>
      </w:r>
      <w:proofErr w:type="gramEnd"/>
      <w:r w:rsidRPr="00B15C36">
        <w:t xml:space="preserve"> 31 March 20</w:t>
      </w:r>
      <w:r w:rsidR="00B0722C" w:rsidRPr="00B15C36">
        <w:t>2</w:t>
      </w:r>
      <w:r w:rsidR="01C724F7" w:rsidRPr="00B15C36">
        <w:t>5</w:t>
      </w:r>
      <w:r w:rsidRPr="00B15C36">
        <w:t xml:space="preserve"> the Authority is owed £</w:t>
      </w:r>
      <w:r w:rsidR="11F7D8ED" w:rsidRPr="00B15C36">
        <w:t>4.876</w:t>
      </w:r>
      <w:r w:rsidRPr="00B15C36">
        <w:t xml:space="preserve">m </w:t>
      </w:r>
      <w:r w:rsidR="00383862" w:rsidRPr="00B15C36">
        <w:t>(20</w:t>
      </w:r>
      <w:r w:rsidR="00CF111B" w:rsidRPr="00B15C36">
        <w:t>2</w:t>
      </w:r>
      <w:r w:rsidR="02F81957" w:rsidRPr="00B15C36">
        <w:t>3</w:t>
      </w:r>
      <w:r w:rsidR="00CF111B" w:rsidRPr="00B15C36">
        <w:t>/2</w:t>
      </w:r>
      <w:r w:rsidR="3AD29827" w:rsidRPr="00B15C36">
        <w:t>4</w:t>
      </w:r>
      <w:r w:rsidR="00383862" w:rsidRPr="00B15C36">
        <w:t>: £</w:t>
      </w:r>
      <w:r w:rsidR="00E87DB3" w:rsidRPr="00B15C36">
        <w:t>5.</w:t>
      </w:r>
      <w:r w:rsidR="002B5862" w:rsidRPr="00B15C36">
        <w:t>541</w:t>
      </w:r>
      <w:r w:rsidRPr="00B15C36">
        <w:t>m</w:t>
      </w:r>
      <w:r w:rsidR="00383862" w:rsidRPr="00B15C36">
        <w:t xml:space="preserve">) </w:t>
      </w:r>
      <w:r w:rsidRPr="00B15C36">
        <w:t xml:space="preserve">by the </w:t>
      </w:r>
      <w:r w:rsidR="00153A2A" w:rsidRPr="00B15C36">
        <w:t>Home Office</w:t>
      </w:r>
      <w:r w:rsidRPr="00B15C36">
        <w:t xml:space="preserve"> </w:t>
      </w:r>
      <w:r w:rsidR="001F23E6" w:rsidRPr="00B15C36">
        <w:t>to</w:t>
      </w:r>
      <w:r w:rsidRPr="00B15C36">
        <w:t xml:space="preserve"> balance the account. The fund statements do not take account of liabilities after the period end, the Authority’s long</w:t>
      </w:r>
      <w:r w:rsidR="00A16368" w:rsidRPr="00B15C36">
        <w:t>-</w:t>
      </w:r>
      <w:r w:rsidRPr="00B15C36">
        <w:t xml:space="preserve">term pension obligations can be found in the Authority’s main </w:t>
      </w:r>
      <w:r w:rsidR="0094180B" w:rsidRPr="00B15C36">
        <w:t>statements and</w:t>
      </w:r>
      <w:r w:rsidRPr="00B15C36">
        <w:t xml:space="preserve"> </w:t>
      </w:r>
      <w:hyperlink w:anchor="_16_Net_Liability">
        <w:r w:rsidR="00BA04F9">
          <w:rPr>
            <w:rStyle w:val="Hyperlink"/>
          </w:rPr>
          <w:t>Note 16</w:t>
        </w:r>
      </w:hyperlink>
      <w:r w:rsidRPr="00B15C36">
        <w:t xml:space="preserve"> to the accounts. The fund was established under the Firefighters’ Pension Scheme (Amendment) (England) Order 2006. The statement was prepared according to International Financial Reporting Standards (IFRS)</w:t>
      </w:r>
      <w:r w:rsidR="00383862" w:rsidRPr="00B15C36">
        <w:t>.</w:t>
      </w:r>
    </w:p>
    <w:p w14:paraId="1CF53D81" w14:textId="77777777" w:rsidR="00383862" w:rsidRPr="00B15C36" w:rsidRDefault="00383862" w:rsidP="000F5BFB"/>
    <w:p w14:paraId="07452F8C" w14:textId="311BE1BA" w:rsidR="00D90216" w:rsidRPr="00B15C36" w:rsidRDefault="00D90216" w:rsidP="000F5BFB">
      <w:r w:rsidRPr="00B15C36">
        <w:t xml:space="preserve">The note has been prepared in line with general accounting policies set in </w:t>
      </w:r>
      <w:hyperlink w:anchor="_30_Accounting_Policies">
        <w:r w:rsidR="00BA04F9">
          <w:rPr>
            <w:rStyle w:val="Hyperlink"/>
          </w:rPr>
          <w:t>Note 30</w:t>
        </w:r>
      </w:hyperlink>
      <w:r w:rsidR="00970877" w:rsidRPr="00B15C36">
        <w:t xml:space="preserve"> </w:t>
      </w:r>
      <w:r w:rsidRPr="00B15C36">
        <w:t xml:space="preserve">– accounting policies, in particular </w:t>
      </w:r>
      <w:r w:rsidR="00DD3B97" w:rsidRPr="00B15C36">
        <w:t xml:space="preserve">section </w:t>
      </w:r>
      <w:r w:rsidR="005F5C95" w:rsidRPr="00B15C36">
        <w:t>e</w:t>
      </w:r>
      <w:r w:rsidRPr="00B15C36">
        <w:t>.</w:t>
      </w:r>
    </w:p>
    <w:p w14:paraId="043DB6E3" w14:textId="77777777" w:rsidR="00D90216" w:rsidRPr="00B15C36" w:rsidRDefault="00D90216" w:rsidP="000F5BFB">
      <w:pPr>
        <w:rPr>
          <w:szCs w:val="24"/>
        </w:rPr>
      </w:pPr>
    </w:p>
    <w:p w14:paraId="4E9DD3F4" w14:textId="77777777" w:rsidR="00D90216" w:rsidRPr="00B15C36" w:rsidRDefault="00D90216" w:rsidP="000F5BFB">
      <w:pPr>
        <w:ind w:right="-52"/>
        <w:rPr>
          <w:rFonts w:cs="Arial"/>
          <w:lang w:eastAsia="en-GB"/>
        </w:rPr>
      </w:pPr>
      <w:r w:rsidRPr="00B15C36">
        <w:rPr>
          <w:rFonts w:cs="Arial"/>
          <w:u w:val="single"/>
          <w:lang w:eastAsia="en-GB"/>
        </w:rPr>
        <w:t>Contribution Rates</w:t>
      </w:r>
      <w:r w:rsidRPr="00B15C36">
        <w:rPr>
          <w:rFonts w:cs="Arial"/>
          <w:szCs w:val="24"/>
          <w:lang w:eastAsia="en-GB"/>
        </w:rPr>
        <w:t xml:space="preserve"> </w:t>
      </w:r>
    </w:p>
    <w:p w14:paraId="6929FA61" w14:textId="09D3C651" w:rsidR="00633424" w:rsidRPr="00B15C36" w:rsidRDefault="00D35AD6" w:rsidP="000F5BFB">
      <w:pPr>
        <w:ind w:right="-52"/>
        <w:rPr>
          <w:rFonts w:cs="Arial"/>
          <w:lang w:eastAsia="en-GB"/>
        </w:rPr>
      </w:pPr>
      <w:r w:rsidRPr="00B15C36">
        <w:rPr>
          <w:rFonts w:cs="Arial"/>
          <w:lang w:eastAsia="en-GB"/>
        </w:rPr>
        <w:t xml:space="preserve">To remove future discrimination and ensure equal treatment, all remaining protected members in the 1992 and 2006 scheme were transferred to the 2015 scheme on the </w:t>
      </w:r>
      <w:proofErr w:type="gramStart"/>
      <w:r w:rsidRPr="00B15C36">
        <w:rPr>
          <w:rFonts w:cs="Arial"/>
          <w:lang w:eastAsia="en-GB"/>
        </w:rPr>
        <w:t>1</w:t>
      </w:r>
      <w:r w:rsidRPr="00B15C36">
        <w:rPr>
          <w:rFonts w:cs="Arial"/>
          <w:vertAlign w:val="superscript"/>
          <w:lang w:eastAsia="en-GB"/>
        </w:rPr>
        <w:t>st</w:t>
      </w:r>
      <w:proofErr w:type="gramEnd"/>
      <w:r w:rsidRPr="00B15C36">
        <w:rPr>
          <w:rFonts w:cs="Arial"/>
          <w:lang w:eastAsia="en-GB"/>
        </w:rPr>
        <w:t xml:space="preserve"> April 2022. For the 2015 Firefighter pension scheme employer contributions are </w:t>
      </w:r>
      <w:r w:rsidR="32CD93E1" w:rsidRPr="00B15C36">
        <w:rPr>
          <w:rFonts w:cs="Arial"/>
          <w:lang w:eastAsia="en-GB"/>
        </w:rPr>
        <w:t>36.</w:t>
      </w:r>
      <w:r w:rsidR="2DBB6997" w:rsidRPr="00B15C36">
        <w:rPr>
          <w:rFonts w:cs="Arial"/>
          <w:lang w:eastAsia="en-GB"/>
        </w:rPr>
        <w:t>7</w:t>
      </w:r>
      <w:r w:rsidRPr="00B15C36">
        <w:rPr>
          <w:rFonts w:cs="Arial"/>
          <w:lang w:eastAsia="en-GB"/>
        </w:rPr>
        <w:t>%</w:t>
      </w:r>
      <w:r w:rsidR="375C082A" w:rsidRPr="00B15C36">
        <w:rPr>
          <w:rFonts w:cs="Arial"/>
          <w:lang w:eastAsia="en-GB"/>
        </w:rPr>
        <w:t xml:space="preserve"> (28.8% in 2023/24)</w:t>
      </w:r>
      <w:r w:rsidRPr="00B15C36">
        <w:rPr>
          <w:rFonts w:cs="Arial"/>
          <w:lang w:eastAsia="en-GB"/>
        </w:rPr>
        <w:t xml:space="preserve"> and employees contribute </w:t>
      </w:r>
      <w:r w:rsidR="003D0845" w:rsidRPr="00B15C36">
        <w:rPr>
          <w:rFonts w:cs="Arial"/>
          <w:lang w:eastAsia="en-GB"/>
        </w:rPr>
        <w:t>between 1</w:t>
      </w:r>
      <w:r w:rsidR="00060022" w:rsidRPr="00B15C36">
        <w:rPr>
          <w:rFonts w:cs="Arial"/>
          <w:lang w:eastAsia="en-GB"/>
        </w:rPr>
        <w:t>1.0</w:t>
      </w:r>
      <w:r w:rsidR="003D0845" w:rsidRPr="00B15C36">
        <w:rPr>
          <w:rFonts w:cs="Arial"/>
          <w:lang w:eastAsia="en-GB"/>
        </w:rPr>
        <w:t>% and 14.5% dependent on salary</w:t>
      </w:r>
      <w:r w:rsidRPr="00B15C36">
        <w:rPr>
          <w:rFonts w:cs="Arial"/>
          <w:lang w:eastAsia="en-GB"/>
        </w:rPr>
        <w:t>.</w:t>
      </w:r>
    </w:p>
    <w:p w14:paraId="0A77542D" w14:textId="77777777" w:rsidR="00633424" w:rsidRPr="00B15C36" w:rsidRDefault="00633424" w:rsidP="000F5BFB">
      <w:pPr>
        <w:ind w:right="-52"/>
        <w:rPr>
          <w:rFonts w:cs="Arial"/>
          <w:szCs w:val="24"/>
          <w:lang w:eastAsia="en-GB"/>
        </w:rPr>
      </w:pPr>
    </w:p>
    <w:p w14:paraId="1EE4FC45" w14:textId="6D0EDD8C" w:rsidR="00D90216" w:rsidRPr="00B15C36" w:rsidRDefault="00D90216" w:rsidP="000F5BFB">
      <w:pPr>
        <w:ind w:right="-52"/>
        <w:rPr>
          <w:rFonts w:cs="Arial"/>
          <w:lang w:eastAsia="en-GB"/>
        </w:rPr>
      </w:pPr>
      <w:r w:rsidRPr="00B15C36">
        <w:rPr>
          <w:rFonts w:cs="Arial"/>
          <w:lang w:eastAsia="en-GB"/>
        </w:rPr>
        <w:t xml:space="preserve">These contribution levels are set nationally by the </w:t>
      </w:r>
      <w:r w:rsidR="00A16368" w:rsidRPr="00B15C36">
        <w:rPr>
          <w:rFonts w:cs="Arial"/>
          <w:lang w:eastAsia="en-GB"/>
        </w:rPr>
        <w:t>Government and</w:t>
      </w:r>
      <w:r w:rsidRPr="00B15C36">
        <w:rPr>
          <w:rFonts w:cs="Arial"/>
          <w:lang w:eastAsia="en-GB"/>
        </w:rPr>
        <w:t xml:space="preserve"> are subject to triennial revaluations by the Government Actuary’s Department</w:t>
      </w:r>
      <w:r w:rsidR="00406AB0" w:rsidRPr="00B15C36">
        <w:rPr>
          <w:rFonts w:cs="Arial"/>
          <w:lang w:eastAsia="en-GB"/>
        </w:rPr>
        <w:t xml:space="preserve">. </w:t>
      </w:r>
      <w:r w:rsidR="1995DE3E" w:rsidRPr="00B15C36">
        <w:rPr>
          <w:rFonts w:cs="Arial"/>
          <w:lang w:eastAsia="en-GB"/>
        </w:rPr>
        <w:t>One</w:t>
      </w:r>
      <w:r w:rsidR="008D1BDB" w:rsidRPr="00B15C36">
        <w:rPr>
          <w:rFonts w:cs="Arial"/>
          <w:lang w:eastAsia="en-GB"/>
        </w:rPr>
        <w:t xml:space="preserve"> </w:t>
      </w:r>
      <w:r w:rsidRPr="00B15C36">
        <w:rPr>
          <w:rFonts w:cs="Arial"/>
          <w:lang w:eastAsia="en-GB"/>
        </w:rPr>
        <w:t>ill health retiremen</w:t>
      </w:r>
      <w:r w:rsidR="00F55B1C" w:rsidRPr="00B15C36">
        <w:rPr>
          <w:rFonts w:cs="Arial"/>
          <w:lang w:eastAsia="en-GB"/>
        </w:rPr>
        <w:t>t</w:t>
      </w:r>
      <w:r w:rsidR="00406AB0" w:rsidRPr="00B15C36">
        <w:rPr>
          <w:rFonts w:cs="Arial"/>
          <w:lang w:eastAsia="en-GB"/>
        </w:rPr>
        <w:t xml:space="preserve"> w</w:t>
      </w:r>
      <w:r w:rsidR="00E87DB3" w:rsidRPr="00B15C36">
        <w:rPr>
          <w:rFonts w:cs="Arial"/>
          <w:lang w:eastAsia="en-GB"/>
        </w:rPr>
        <w:t>as</w:t>
      </w:r>
      <w:r w:rsidR="00406AB0" w:rsidRPr="00B15C36">
        <w:rPr>
          <w:rFonts w:cs="Arial"/>
          <w:lang w:eastAsia="en-GB"/>
        </w:rPr>
        <w:t xml:space="preserve"> recognised</w:t>
      </w:r>
      <w:r w:rsidRPr="00B15C36">
        <w:rPr>
          <w:rFonts w:cs="Arial"/>
          <w:lang w:eastAsia="en-GB"/>
        </w:rPr>
        <w:t xml:space="preserve"> during </w:t>
      </w:r>
      <w:r w:rsidR="00421B3D" w:rsidRPr="00B15C36">
        <w:rPr>
          <w:rFonts w:cs="Arial"/>
          <w:lang w:eastAsia="en-GB"/>
        </w:rPr>
        <w:t>20</w:t>
      </w:r>
      <w:r w:rsidR="009F53C2" w:rsidRPr="00B15C36">
        <w:rPr>
          <w:rFonts w:cs="Arial"/>
          <w:lang w:eastAsia="en-GB"/>
        </w:rPr>
        <w:t>2</w:t>
      </w:r>
      <w:r w:rsidR="61ECFB83" w:rsidRPr="00B15C36">
        <w:rPr>
          <w:rFonts w:cs="Arial"/>
          <w:lang w:eastAsia="en-GB"/>
        </w:rPr>
        <w:t>4</w:t>
      </w:r>
      <w:r w:rsidR="00517AFF" w:rsidRPr="00B15C36">
        <w:rPr>
          <w:rFonts w:cs="Arial"/>
          <w:lang w:eastAsia="en-GB"/>
        </w:rPr>
        <w:t>/2</w:t>
      </w:r>
      <w:r w:rsidR="2A7B7938" w:rsidRPr="00B15C36">
        <w:rPr>
          <w:rFonts w:cs="Arial"/>
          <w:lang w:eastAsia="en-GB"/>
        </w:rPr>
        <w:t>5</w:t>
      </w:r>
      <w:r w:rsidR="00421B3D" w:rsidRPr="00B15C36">
        <w:rPr>
          <w:rFonts w:cs="Arial"/>
          <w:lang w:eastAsia="en-GB"/>
        </w:rPr>
        <w:t xml:space="preserve">, and </w:t>
      </w:r>
      <w:r w:rsidR="43BE0B6B" w:rsidRPr="00B15C36">
        <w:rPr>
          <w:rFonts w:cs="Arial"/>
          <w:lang w:eastAsia="en-GB"/>
        </w:rPr>
        <w:t>two</w:t>
      </w:r>
      <w:r w:rsidR="00421B3D" w:rsidRPr="00B15C36">
        <w:rPr>
          <w:rFonts w:cs="Arial"/>
          <w:lang w:eastAsia="en-GB"/>
        </w:rPr>
        <w:t xml:space="preserve"> in </w:t>
      </w:r>
      <w:r w:rsidRPr="00B15C36">
        <w:rPr>
          <w:rFonts w:cs="Arial"/>
          <w:lang w:eastAsia="en-GB"/>
        </w:rPr>
        <w:t>20</w:t>
      </w:r>
      <w:r w:rsidR="00CF111B" w:rsidRPr="00B15C36">
        <w:rPr>
          <w:rFonts w:cs="Arial"/>
          <w:lang w:eastAsia="en-GB"/>
        </w:rPr>
        <w:t>2</w:t>
      </w:r>
      <w:r w:rsidR="2E86AA38" w:rsidRPr="00B15C36">
        <w:rPr>
          <w:rFonts w:cs="Arial"/>
          <w:lang w:eastAsia="en-GB"/>
        </w:rPr>
        <w:t>3</w:t>
      </w:r>
      <w:r w:rsidR="00517AFF" w:rsidRPr="00B15C36">
        <w:rPr>
          <w:rFonts w:cs="Arial"/>
          <w:lang w:eastAsia="en-GB"/>
        </w:rPr>
        <w:t>/2</w:t>
      </w:r>
      <w:r w:rsidR="5E671611" w:rsidRPr="00B15C36">
        <w:rPr>
          <w:rFonts w:cs="Arial"/>
          <w:lang w:eastAsia="en-GB"/>
        </w:rPr>
        <w:t>4</w:t>
      </w:r>
      <w:r w:rsidRPr="00B15C36">
        <w:rPr>
          <w:rFonts w:cs="Arial"/>
          <w:lang w:eastAsia="en-GB"/>
        </w:rPr>
        <w:t>.</w:t>
      </w:r>
    </w:p>
    <w:p w14:paraId="51AEA634" w14:textId="77777777" w:rsidR="00D90216" w:rsidRPr="00B15C36" w:rsidRDefault="00D90216" w:rsidP="000F5BFB">
      <w:pPr>
        <w:ind w:left="284" w:right="-52"/>
        <w:rPr>
          <w:rFonts w:cs="Arial"/>
          <w:lang w:eastAsia="en-GB"/>
        </w:rPr>
      </w:pPr>
    </w:p>
    <w:p w14:paraId="342AE924" w14:textId="77777777" w:rsidR="00D90216" w:rsidRPr="00B15C36" w:rsidRDefault="00D90216" w:rsidP="000F5BFB">
      <w:pPr>
        <w:ind w:right="-52"/>
        <w:rPr>
          <w:rFonts w:cs="Arial"/>
          <w:u w:val="single"/>
          <w:lang w:eastAsia="en-GB"/>
        </w:rPr>
      </w:pPr>
      <w:r w:rsidRPr="00B15C36">
        <w:rPr>
          <w:rFonts w:cs="Arial"/>
          <w:u w:val="single"/>
          <w:lang w:eastAsia="en-GB"/>
        </w:rPr>
        <w:t>Benefits Paid</w:t>
      </w:r>
    </w:p>
    <w:p w14:paraId="6D3ED228" w14:textId="77777777" w:rsidR="00D90216" w:rsidRPr="00B15C36" w:rsidRDefault="00D90216" w:rsidP="000F5BFB">
      <w:pPr>
        <w:ind w:right="-52"/>
        <w:rPr>
          <w:rFonts w:cs="Arial"/>
          <w:lang w:eastAsia="en-GB"/>
        </w:rPr>
      </w:pPr>
      <w:r w:rsidRPr="00B15C36">
        <w:rPr>
          <w:rFonts w:cs="Arial"/>
          <w:lang w:eastAsia="en-GB"/>
        </w:rPr>
        <w:t>Pensions are paid to retired officers, their survivors and others who are eligible for benefits under new and existing pension schemes.</w:t>
      </w:r>
    </w:p>
    <w:p w14:paraId="1E113EB2" w14:textId="77777777" w:rsidR="00D90216" w:rsidRPr="00B15C36" w:rsidRDefault="00D90216" w:rsidP="000F5BFB">
      <w:pPr>
        <w:ind w:left="284" w:right="-52"/>
        <w:rPr>
          <w:rFonts w:cs="Arial"/>
          <w:lang w:eastAsia="en-GB"/>
        </w:rPr>
      </w:pPr>
    </w:p>
    <w:p w14:paraId="169EF760" w14:textId="77777777" w:rsidR="00D90216" w:rsidRPr="00B15C36" w:rsidRDefault="00153A2A" w:rsidP="000F5BFB">
      <w:pPr>
        <w:ind w:right="-52"/>
        <w:rPr>
          <w:rFonts w:cs="Arial"/>
          <w:u w:val="single"/>
          <w:lang w:val="en" w:eastAsia="en-GB"/>
        </w:rPr>
      </w:pPr>
      <w:r w:rsidRPr="00B15C36">
        <w:rPr>
          <w:rFonts w:cs="Arial"/>
          <w:u w:val="single"/>
          <w:lang w:val="en" w:eastAsia="en-GB"/>
        </w:rPr>
        <w:t>Home Office</w:t>
      </w:r>
      <w:r w:rsidR="00D90216" w:rsidRPr="00B15C36">
        <w:rPr>
          <w:rFonts w:cs="Arial"/>
          <w:u w:val="single"/>
          <w:lang w:val="en" w:eastAsia="en-GB"/>
        </w:rPr>
        <w:t xml:space="preserve"> Grant</w:t>
      </w:r>
    </w:p>
    <w:p w14:paraId="6B84E701" w14:textId="349EC753" w:rsidR="00D90216" w:rsidRPr="00B15C36" w:rsidRDefault="00D90216" w:rsidP="000F5BFB">
      <w:pPr>
        <w:ind w:right="-52"/>
        <w:rPr>
          <w:rFonts w:cs="Arial"/>
          <w:lang w:eastAsia="en-GB"/>
        </w:rPr>
      </w:pPr>
      <w:r w:rsidRPr="00B15C36">
        <w:rPr>
          <w:rFonts w:cs="Arial"/>
          <w:lang w:val="en" w:eastAsia="en-GB"/>
        </w:rPr>
        <w:t xml:space="preserve">There are no investment </w:t>
      </w:r>
      <w:r w:rsidR="00A16368" w:rsidRPr="00B15C36">
        <w:rPr>
          <w:rFonts w:cs="Arial"/>
          <w:lang w:val="en" w:eastAsia="en-GB"/>
        </w:rPr>
        <w:t>assets,</w:t>
      </w:r>
      <w:r w:rsidRPr="00B15C36">
        <w:rPr>
          <w:rFonts w:cs="Arial"/>
          <w:lang w:val="en" w:eastAsia="en-GB"/>
        </w:rPr>
        <w:t xml:space="preserve"> and the fund is balanced to zero each year by receipt of a top up grant from the </w:t>
      </w:r>
      <w:r w:rsidR="00153A2A" w:rsidRPr="00B15C36">
        <w:rPr>
          <w:rFonts w:cs="Arial"/>
          <w:lang w:val="en" w:eastAsia="en-GB"/>
        </w:rPr>
        <w:t>Home Office</w:t>
      </w:r>
      <w:r w:rsidRPr="00B15C36">
        <w:rPr>
          <w:rFonts w:cs="Arial"/>
          <w:lang w:val="en" w:eastAsia="en-GB"/>
        </w:rPr>
        <w:t>, if contributions are insufficient to meet the cost of pension payments, or by paying over any surplus grant.</w:t>
      </w:r>
    </w:p>
    <w:p w14:paraId="649EF5FD" w14:textId="77777777" w:rsidR="00D90216" w:rsidRPr="00B15C36" w:rsidRDefault="00D90216" w:rsidP="000F5BFB">
      <w:pPr>
        <w:ind w:right="-52"/>
        <w:rPr>
          <w:rFonts w:cs="Arial"/>
          <w:lang w:eastAsia="en-GB"/>
        </w:rPr>
      </w:pPr>
    </w:p>
    <w:p w14:paraId="414FE904" w14:textId="77777777" w:rsidR="00D90216" w:rsidRPr="00B15C36" w:rsidRDefault="00D90216" w:rsidP="000F5BFB">
      <w:pPr>
        <w:ind w:right="-52"/>
        <w:rPr>
          <w:rFonts w:cs="Arial"/>
          <w:u w:val="single"/>
          <w:lang w:val="en" w:eastAsia="en-GB"/>
        </w:rPr>
      </w:pPr>
      <w:r w:rsidRPr="00B15C36">
        <w:rPr>
          <w:rFonts w:cs="Arial"/>
          <w:u w:val="single"/>
          <w:lang w:val="en" w:eastAsia="en-GB"/>
        </w:rPr>
        <w:t>Future Liabilities</w:t>
      </w:r>
    </w:p>
    <w:p w14:paraId="31AB0CD4" w14:textId="37C17D08" w:rsidR="00D90216" w:rsidRPr="00B15C36" w:rsidRDefault="00D90216" w:rsidP="000F5BFB">
      <w:r w:rsidRPr="00B15C36">
        <w:t>The firefighters pension fund financial statements do not take account of liabilities to pay pensions and other benefits af</w:t>
      </w:r>
      <w:r w:rsidR="00467C60" w:rsidRPr="00B15C36">
        <w:t xml:space="preserve">ter the period end, however details of the </w:t>
      </w:r>
      <w:r w:rsidR="0042437F" w:rsidRPr="00B15C36">
        <w:t>firefighter’s</w:t>
      </w:r>
      <w:r w:rsidR="00467C60" w:rsidRPr="00B15C36">
        <w:t xml:space="preserve"> pension fund long</w:t>
      </w:r>
      <w:r w:rsidR="00A16368" w:rsidRPr="00B15C36">
        <w:t>-</w:t>
      </w:r>
      <w:r w:rsidR="00467C60" w:rsidRPr="00B15C36">
        <w:t xml:space="preserve">term pension obligations are recognised in the Authorities financial statements, details can be found in </w:t>
      </w:r>
      <w:hyperlink w:anchor="_16_Net_Liability">
        <w:r w:rsidR="00656A6F">
          <w:rPr>
            <w:rStyle w:val="Hyperlink"/>
          </w:rPr>
          <w:t>Note 16</w:t>
        </w:r>
      </w:hyperlink>
      <w:r w:rsidR="00467C60" w:rsidRPr="00B15C36">
        <w:t>.</w:t>
      </w:r>
    </w:p>
    <w:p w14:paraId="0A17FAB5" w14:textId="77777777" w:rsidR="00D90216" w:rsidRPr="00B15C36" w:rsidRDefault="00D90216" w:rsidP="000F5BFB">
      <w:pPr>
        <w:rPr>
          <w:sz w:val="22"/>
        </w:rPr>
      </w:pPr>
    </w:p>
    <w:p w14:paraId="54F9B57D" w14:textId="77777777" w:rsidR="00D90216" w:rsidRPr="00B15C36" w:rsidRDefault="00D90216" w:rsidP="000F5BFB">
      <w:pPr>
        <w:rPr>
          <w:sz w:val="22"/>
        </w:rPr>
      </w:pPr>
    </w:p>
    <w:p w14:paraId="0AB45E0C" w14:textId="77777777" w:rsidR="00D90216" w:rsidRPr="00B15C36" w:rsidRDefault="00D90216" w:rsidP="000F5BFB">
      <w:pPr>
        <w:rPr>
          <w:sz w:val="22"/>
        </w:rPr>
      </w:pPr>
      <w:r w:rsidRPr="00B15C36">
        <w:rPr>
          <w:sz w:val="22"/>
        </w:rPr>
        <w:br w:type="page"/>
      </w:r>
    </w:p>
    <w:p w14:paraId="477489C1" w14:textId="3FC40053" w:rsidR="00D90216" w:rsidRPr="00B15C36" w:rsidRDefault="006563F1" w:rsidP="000F5BFB">
      <w:pPr>
        <w:pStyle w:val="Heading1"/>
      </w:pPr>
      <w:bookmarkStart w:id="106" w:name="Terms"/>
      <w:bookmarkStart w:id="107" w:name="_Toc215593423"/>
      <w:bookmarkEnd w:id="106"/>
      <w:r w:rsidRPr="00B15C36">
        <w:lastRenderedPageBreak/>
        <w:t>Glossary of Terms</w:t>
      </w:r>
      <w:bookmarkEnd w:id="107"/>
    </w:p>
    <w:p w14:paraId="5CD57FF0" w14:textId="77777777" w:rsidR="00D90216" w:rsidRPr="00B15C36" w:rsidRDefault="00D90216" w:rsidP="000F5BFB">
      <w:pPr>
        <w:rPr>
          <w:b/>
          <w:sz w:val="22"/>
        </w:rPr>
      </w:pPr>
    </w:p>
    <w:p w14:paraId="0599F754" w14:textId="77777777" w:rsidR="00D90216" w:rsidRPr="00B15C36" w:rsidRDefault="00D90216" w:rsidP="000F5BFB">
      <w:pPr>
        <w:rPr>
          <w:b/>
        </w:rPr>
      </w:pPr>
      <w:r w:rsidRPr="00B15C36">
        <w:rPr>
          <w:b/>
        </w:rPr>
        <w:t>Accrual</w:t>
      </w:r>
    </w:p>
    <w:p w14:paraId="7EB1FC85" w14:textId="77777777" w:rsidR="00D90216" w:rsidRPr="00B15C36" w:rsidRDefault="00D90216" w:rsidP="10271499">
      <w:pPr>
        <w:keepLines/>
        <w:widowControl w:val="0"/>
        <w:tabs>
          <w:tab w:val="right" w:pos="9072"/>
        </w:tabs>
      </w:pPr>
      <w:r w:rsidRPr="00B15C36">
        <w:t>A sum included in the accounts to cover income or expenditure attributable to the accounting period covered by the accounts but for which payment had not been received/made at the Balance Sheet date.</w:t>
      </w:r>
    </w:p>
    <w:p w14:paraId="0D318490" w14:textId="77777777" w:rsidR="00D90216" w:rsidRPr="00B15C36" w:rsidRDefault="00D90216" w:rsidP="10271499">
      <w:pPr>
        <w:keepLines/>
        <w:widowControl w:val="0"/>
        <w:tabs>
          <w:tab w:val="right" w:pos="9072"/>
        </w:tabs>
      </w:pPr>
    </w:p>
    <w:p w14:paraId="3FB740BC" w14:textId="77777777" w:rsidR="00D90216" w:rsidRPr="00B15C36" w:rsidRDefault="00D90216" w:rsidP="000F5BFB">
      <w:pPr>
        <w:rPr>
          <w:b/>
        </w:rPr>
      </w:pPr>
      <w:r w:rsidRPr="00B15C36">
        <w:rPr>
          <w:b/>
        </w:rPr>
        <w:t>Amortised cost</w:t>
      </w:r>
    </w:p>
    <w:p w14:paraId="743B3D84" w14:textId="77777777" w:rsidR="00D90216" w:rsidRPr="00B15C36" w:rsidRDefault="00D90216" w:rsidP="000F5BFB">
      <w:r w:rsidRPr="00B15C36">
        <w:t>Amortised cost is a valuation basis for financial instruments that, in the case of this Authority’s assets and liabilities, is equal to their nominal value plus any interest accrued to the balance sheet date.</w:t>
      </w:r>
    </w:p>
    <w:p w14:paraId="1FB3ED43" w14:textId="77777777" w:rsidR="00D90216" w:rsidRPr="00B15C36" w:rsidRDefault="00D90216" w:rsidP="10271499">
      <w:pPr>
        <w:keepLines/>
        <w:widowControl w:val="0"/>
        <w:tabs>
          <w:tab w:val="right" w:pos="9072"/>
        </w:tabs>
      </w:pPr>
    </w:p>
    <w:p w14:paraId="54A1E401" w14:textId="77777777" w:rsidR="00D90216" w:rsidRPr="00B15C36" w:rsidRDefault="00D90216" w:rsidP="000F5BFB">
      <w:pPr>
        <w:rPr>
          <w:b/>
        </w:rPr>
      </w:pPr>
      <w:r w:rsidRPr="00B15C36">
        <w:rPr>
          <w:b/>
        </w:rPr>
        <w:t>Budget</w:t>
      </w:r>
    </w:p>
    <w:p w14:paraId="61B4CAD6" w14:textId="345643DB" w:rsidR="00D90216" w:rsidRPr="00B15C36" w:rsidRDefault="00D90216" w:rsidP="10271499">
      <w:pPr>
        <w:keepLines/>
        <w:widowControl w:val="0"/>
        <w:tabs>
          <w:tab w:val="right" w:pos="9072"/>
        </w:tabs>
      </w:pPr>
      <w:r w:rsidRPr="00B15C36">
        <w:t xml:space="preserve">A statement which reflects the Authority’s policies in financial </w:t>
      </w:r>
      <w:r w:rsidR="0094180B" w:rsidRPr="00B15C36">
        <w:t>terms,</w:t>
      </w:r>
      <w:r w:rsidRPr="00B15C36">
        <w:t xml:space="preserve"> and which quantifies its plans for spending over a specified period. The Revenue Budget (spending other than capital expenditure) is normally finalised and approved in </w:t>
      </w:r>
      <w:r w:rsidR="004A769C" w:rsidRPr="00B15C36">
        <w:t>Febr</w:t>
      </w:r>
      <w:r w:rsidRPr="00B15C36">
        <w:t>uary prior to the commencement of the financial year.</w:t>
      </w:r>
    </w:p>
    <w:p w14:paraId="6FD650BA" w14:textId="77777777" w:rsidR="00D90216" w:rsidRPr="00B15C36" w:rsidRDefault="00D90216" w:rsidP="10271499">
      <w:pPr>
        <w:keepLines/>
        <w:widowControl w:val="0"/>
        <w:tabs>
          <w:tab w:val="right" w:pos="9072"/>
        </w:tabs>
      </w:pPr>
    </w:p>
    <w:p w14:paraId="0BE3D95F" w14:textId="77777777" w:rsidR="00D90216" w:rsidRPr="00B15C36" w:rsidRDefault="00D90216" w:rsidP="000F5BFB">
      <w:pPr>
        <w:rPr>
          <w:b/>
        </w:rPr>
      </w:pPr>
      <w:r w:rsidRPr="00B15C36">
        <w:rPr>
          <w:b/>
        </w:rPr>
        <w:t>Capital Expenditure</w:t>
      </w:r>
    </w:p>
    <w:p w14:paraId="3F16D745" w14:textId="74AD05B7" w:rsidR="00D90216" w:rsidRPr="00B15C36" w:rsidRDefault="00D90216" w:rsidP="10271499">
      <w:pPr>
        <w:keepLines/>
        <w:widowControl w:val="0"/>
        <w:tabs>
          <w:tab w:val="right" w:pos="9072"/>
        </w:tabs>
      </w:pPr>
      <w:r w:rsidRPr="00B15C36">
        <w:t xml:space="preserve">Payments made for the acquisition or provision of assets which will be of relatively long-term value to the Authority </w:t>
      </w:r>
      <w:r w:rsidR="00AA3FF8" w:rsidRPr="00B15C36">
        <w:t>for example</w:t>
      </w:r>
      <w:r w:rsidRPr="00B15C36">
        <w:t xml:space="preserve"> land, buildings and equipment. Also referred to as capital spending, capital outlay, or capital payments. The resulting capital assets are referred to as “fixed assets”.</w:t>
      </w:r>
    </w:p>
    <w:p w14:paraId="6A4D5006" w14:textId="77777777" w:rsidR="00D90216" w:rsidRPr="00B15C36" w:rsidRDefault="00D90216" w:rsidP="10271499">
      <w:pPr>
        <w:keepLines/>
        <w:widowControl w:val="0"/>
        <w:tabs>
          <w:tab w:val="right" w:pos="9072"/>
        </w:tabs>
      </w:pPr>
    </w:p>
    <w:p w14:paraId="3303EDD7" w14:textId="77777777" w:rsidR="00D90216" w:rsidRPr="00B15C36" w:rsidRDefault="00D90216" w:rsidP="000F5BFB">
      <w:pPr>
        <w:rPr>
          <w:b/>
        </w:rPr>
      </w:pPr>
      <w:r w:rsidRPr="00B15C36">
        <w:rPr>
          <w:b/>
        </w:rPr>
        <w:t>Capital Receipts</w:t>
      </w:r>
    </w:p>
    <w:p w14:paraId="38C82E04" w14:textId="2BD7A5EA" w:rsidR="00D90216" w:rsidRPr="00B15C36" w:rsidRDefault="00D90216" w:rsidP="10271499">
      <w:pPr>
        <w:keepLines/>
        <w:widowControl w:val="0"/>
        <w:tabs>
          <w:tab w:val="right" w:pos="9072"/>
        </w:tabs>
      </w:pPr>
      <w:r w:rsidRPr="00B15C36">
        <w:t>Proceeds from the sale of capital assets. Such income may only be used for capital purposes, to repay existing loan debt, or to finance new capital expenditure in proportions determined by the Government. Any receipts which have not yet been utilised as described are referred to as “capital receipts unapplied”.</w:t>
      </w:r>
    </w:p>
    <w:p w14:paraId="729A3248" w14:textId="77777777" w:rsidR="00D90216" w:rsidRPr="00B15C36" w:rsidRDefault="00D90216" w:rsidP="10271499">
      <w:pPr>
        <w:keepLines/>
        <w:widowControl w:val="0"/>
        <w:tabs>
          <w:tab w:val="right" w:pos="9072"/>
        </w:tabs>
      </w:pPr>
    </w:p>
    <w:p w14:paraId="2087E467" w14:textId="77777777" w:rsidR="00D90216" w:rsidRPr="00B15C36" w:rsidRDefault="00D90216" w:rsidP="10271499">
      <w:pPr>
        <w:keepLines/>
        <w:widowControl w:val="0"/>
        <w:tabs>
          <w:tab w:val="right" w:pos="9072"/>
        </w:tabs>
        <w:rPr>
          <w:b/>
        </w:rPr>
      </w:pPr>
      <w:r w:rsidRPr="00B15C36">
        <w:rPr>
          <w:b/>
        </w:rPr>
        <w:t>Comprehensive Income &amp; Expenditure Statement</w:t>
      </w:r>
    </w:p>
    <w:p w14:paraId="1851FACB" w14:textId="77777777" w:rsidR="00D90216" w:rsidRPr="00B15C36" w:rsidRDefault="00D90216" w:rsidP="10271499">
      <w:pPr>
        <w:keepLines/>
        <w:widowControl w:val="0"/>
        <w:tabs>
          <w:tab w:val="right" w:pos="9072"/>
        </w:tabs>
      </w:pPr>
      <w:r w:rsidRPr="00B15C36">
        <w:t>An account which records an authority’s day to day expenditure and income on items such as salaries and wages, running costs of services and the financing</w:t>
      </w:r>
      <w:r w:rsidRPr="00B15C36">
        <w:rPr>
          <w:b/>
        </w:rPr>
        <w:t xml:space="preserve"> </w:t>
      </w:r>
      <w:r w:rsidRPr="00B15C36">
        <w:t>charges in respect of capital expenditure.</w:t>
      </w:r>
    </w:p>
    <w:p w14:paraId="1C0EFA24" w14:textId="77777777" w:rsidR="00D90216" w:rsidRPr="00B15C36" w:rsidRDefault="00D90216" w:rsidP="10271499">
      <w:pPr>
        <w:keepLines/>
        <w:widowControl w:val="0"/>
        <w:tabs>
          <w:tab w:val="right" w:pos="9072"/>
        </w:tabs>
      </w:pPr>
    </w:p>
    <w:p w14:paraId="059EF9FE" w14:textId="77777777" w:rsidR="00D90216" w:rsidRPr="00B15C36" w:rsidRDefault="00D90216" w:rsidP="000F5BFB">
      <w:pPr>
        <w:rPr>
          <w:b/>
        </w:rPr>
      </w:pPr>
      <w:r w:rsidRPr="00B15C36">
        <w:rPr>
          <w:b/>
        </w:rPr>
        <w:t>Creditors</w:t>
      </w:r>
    </w:p>
    <w:p w14:paraId="3EE9409E" w14:textId="77777777" w:rsidR="00D90216" w:rsidRPr="00B15C36" w:rsidRDefault="00D90216" w:rsidP="10271499">
      <w:pPr>
        <w:keepLines/>
        <w:widowControl w:val="0"/>
        <w:tabs>
          <w:tab w:val="right" w:pos="9072"/>
        </w:tabs>
      </w:pPr>
      <w:r w:rsidRPr="00B15C36">
        <w:t>Amounts owed by the Authority for work done, goods received, or services rendered but for which payment had not been made at the date of the Balance Sheet.</w:t>
      </w:r>
    </w:p>
    <w:p w14:paraId="1560C1D8" w14:textId="77777777" w:rsidR="00D90216" w:rsidRPr="00B15C36" w:rsidRDefault="00D90216" w:rsidP="10271499">
      <w:pPr>
        <w:keepLines/>
        <w:widowControl w:val="0"/>
        <w:tabs>
          <w:tab w:val="right" w:pos="9072"/>
        </w:tabs>
      </w:pPr>
    </w:p>
    <w:p w14:paraId="3BF94A25" w14:textId="77777777" w:rsidR="00D90216" w:rsidRPr="00B15C36" w:rsidRDefault="00D90216" w:rsidP="000F5BFB">
      <w:pPr>
        <w:rPr>
          <w:b/>
        </w:rPr>
      </w:pPr>
      <w:r w:rsidRPr="00B15C36">
        <w:rPr>
          <w:b/>
        </w:rPr>
        <w:t>Debtors</w:t>
      </w:r>
    </w:p>
    <w:p w14:paraId="659E3CA3" w14:textId="77777777" w:rsidR="00D90216" w:rsidRPr="00B15C36" w:rsidRDefault="00D90216" w:rsidP="10271499">
      <w:pPr>
        <w:keepLines/>
        <w:widowControl w:val="0"/>
        <w:tabs>
          <w:tab w:val="right" w:pos="9072"/>
        </w:tabs>
      </w:pPr>
      <w:r w:rsidRPr="00B15C36">
        <w:t>Sums of money due to the Authority in the relevant financial year but not received at the Balance Sheet date.</w:t>
      </w:r>
    </w:p>
    <w:p w14:paraId="02893932" w14:textId="77777777" w:rsidR="00D90216" w:rsidRPr="00B15C36" w:rsidRDefault="00D90216" w:rsidP="10271499">
      <w:pPr>
        <w:keepLines/>
        <w:widowControl w:val="0"/>
        <w:tabs>
          <w:tab w:val="right" w:pos="9072"/>
        </w:tabs>
      </w:pPr>
    </w:p>
    <w:p w14:paraId="6563EFEE" w14:textId="77777777" w:rsidR="00D90216" w:rsidRPr="00B15C36" w:rsidRDefault="00D90216" w:rsidP="000F5BFB">
      <w:pPr>
        <w:rPr>
          <w:b/>
        </w:rPr>
      </w:pPr>
      <w:r w:rsidRPr="00B15C36">
        <w:rPr>
          <w:b/>
        </w:rPr>
        <w:t>Fair Value</w:t>
      </w:r>
    </w:p>
    <w:p w14:paraId="45F86337" w14:textId="77777777" w:rsidR="00D90216" w:rsidRPr="00B15C36" w:rsidRDefault="00D90216" w:rsidP="000F5BFB">
      <w:r w:rsidRPr="00B15C36">
        <w:t>Fair value is a valuation basis for financial instruments that represents the amount at which the instruments could be exchanged in an open market transaction. If no market for a specific instrument exists, fair value can be estimated by a technique that is based on a comparison of the interest rate on the instrument with interest rates on similar instruments that are available in financial markets.</w:t>
      </w:r>
    </w:p>
    <w:p w14:paraId="65031915" w14:textId="77777777" w:rsidR="00D90216" w:rsidRPr="00B15C36" w:rsidRDefault="00D90216" w:rsidP="10271499">
      <w:pPr>
        <w:keepLines/>
        <w:widowControl w:val="0"/>
        <w:tabs>
          <w:tab w:val="right" w:pos="9072"/>
        </w:tabs>
      </w:pPr>
    </w:p>
    <w:p w14:paraId="42E62E3E" w14:textId="77777777" w:rsidR="00D90216" w:rsidRPr="00B15C36" w:rsidRDefault="00D90216" w:rsidP="10271499">
      <w:pPr>
        <w:keepLines/>
        <w:widowControl w:val="0"/>
        <w:tabs>
          <w:tab w:val="right" w:pos="9072"/>
        </w:tabs>
        <w:rPr>
          <w:b/>
        </w:rPr>
      </w:pPr>
      <w:r w:rsidRPr="00B15C36">
        <w:rPr>
          <w:b/>
        </w:rPr>
        <w:t>Financial Instrument</w:t>
      </w:r>
    </w:p>
    <w:p w14:paraId="1388E4C8" w14:textId="77777777" w:rsidR="00D90216" w:rsidRPr="00B15C36" w:rsidRDefault="00D90216" w:rsidP="000F5BFB">
      <w:r w:rsidRPr="00B15C36">
        <w:t>A financial liability or asset such as a borrowing or an investment.</w:t>
      </w:r>
    </w:p>
    <w:p w14:paraId="05BD817C" w14:textId="77777777" w:rsidR="00D90216" w:rsidRPr="00B15C36" w:rsidRDefault="00D90216" w:rsidP="10271499">
      <w:pPr>
        <w:keepLines/>
        <w:widowControl w:val="0"/>
        <w:tabs>
          <w:tab w:val="right" w:pos="9072"/>
        </w:tabs>
        <w:rPr>
          <w:b/>
        </w:rPr>
      </w:pPr>
      <w:r w:rsidRPr="00B15C36">
        <w:rPr>
          <w:b/>
        </w:rPr>
        <w:br w:type="page"/>
      </w:r>
    </w:p>
    <w:p w14:paraId="521D27B2" w14:textId="77777777" w:rsidR="009E43FA" w:rsidRPr="00B15C36" w:rsidRDefault="009E43FA" w:rsidP="10271499">
      <w:pPr>
        <w:keepLines/>
        <w:widowControl w:val="0"/>
        <w:tabs>
          <w:tab w:val="right" w:pos="9072"/>
        </w:tabs>
        <w:rPr>
          <w:b/>
        </w:rPr>
      </w:pPr>
    </w:p>
    <w:p w14:paraId="4388B39A" w14:textId="77777777" w:rsidR="00D90216" w:rsidRPr="00B15C36" w:rsidRDefault="00D90216" w:rsidP="10271499">
      <w:pPr>
        <w:keepLines/>
        <w:widowControl w:val="0"/>
        <w:tabs>
          <w:tab w:val="right" w:pos="9072"/>
        </w:tabs>
        <w:rPr>
          <w:b/>
        </w:rPr>
      </w:pPr>
      <w:r w:rsidRPr="00B15C36">
        <w:rPr>
          <w:b/>
        </w:rPr>
        <w:t>Financial Year</w:t>
      </w:r>
    </w:p>
    <w:p w14:paraId="6E5EEFE9" w14:textId="57F34DDF" w:rsidR="00D90216" w:rsidRPr="00B15C36" w:rsidRDefault="00D90216" w:rsidP="10271499">
      <w:pPr>
        <w:keepLines/>
        <w:widowControl w:val="0"/>
        <w:tabs>
          <w:tab w:val="right" w:pos="9072"/>
        </w:tabs>
      </w:pPr>
      <w:r w:rsidRPr="00B15C36">
        <w:t>The period of twelve months for which the accounts are comprised. For Fire Authorities the financial year (or accounting period as it is also known) commences on 1 April and finishes on the 31 March of the following year.</w:t>
      </w:r>
    </w:p>
    <w:p w14:paraId="4B26BD19" w14:textId="77777777" w:rsidR="00D90216" w:rsidRPr="00B15C36" w:rsidRDefault="00D90216" w:rsidP="10271499">
      <w:pPr>
        <w:keepLines/>
        <w:widowControl w:val="0"/>
        <w:tabs>
          <w:tab w:val="right" w:pos="9072"/>
        </w:tabs>
      </w:pPr>
    </w:p>
    <w:p w14:paraId="283140E0" w14:textId="77777777" w:rsidR="00D90216" w:rsidRPr="00B15C36" w:rsidRDefault="00D90216" w:rsidP="10271499">
      <w:pPr>
        <w:keepLines/>
        <w:widowControl w:val="0"/>
        <w:tabs>
          <w:tab w:val="right" w:pos="9072"/>
        </w:tabs>
        <w:rPr>
          <w:b/>
        </w:rPr>
      </w:pPr>
      <w:r w:rsidRPr="00B15C36">
        <w:rPr>
          <w:b/>
        </w:rPr>
        <w:t>Financing Charges</w:t>
      </w:r>
    </w:p>
    <w:p w14:paraId="04928E39" w14:textId="2BFF401A" w:rsidR="00D90216" w:rsidRPr="00B15C36" w:rsidRDefault="00D90216" w:rsidP="10271499">
      <w:pPr>
        <w:keepLines/>
        <w:widowControl w:val="0"/>
        <w:tabs>
          <w:tab w:val="right" w:pos="9072"/>
        </w:tabs>
      </w:pPr>
      <w:r w:rsidRPr="00B15C36">
        <w:t xml:space="preserve">Annual charges to the Authority’s Comprehensive Income and Expenditure Statement to cover the interest on and the repayment </w:t>
      </w:r>
      <w:r w:rsidR="0094180B" w:rsidRPr="00B15C36">
        <w:t>of</w:t>
      </w:r>
      <w:r w:rsidRPr="00B15C36">
        <w:t xml:space="preserve"> loans raised for capital expenditure. Annual lease rental payments are also included.</w:t>
      </w:r>
    </w:p>
    <w:p w14:paraId="682C5E57" w14:textId="77777777" w:rsidR="00116F83" w:rsidRPr="00B15C36" w:rsidRDefault="00116F83" w:rsidP="10271499">
      <w:pPr>
        <w:keepLines/>
        <w:widowControl w:val="0"/>
        <w:tabs>
          <w:tab w:val="right" w:pos="9072"/>
        </w:tabs>
      </w:pPr>
    </w:p>
    <w:p w14:paraId="51FB825F" w14:textId="77777777" w:rsidR="00D90216" w:rsidRPr="00B15C36" w:rsidRDefault="00D90216" w:rsidP="000F5BFB">
      <w:pPr>
        <w:rPr>
          <w:b/>
        </w:rPr>
      </w:pPr>
      <w:r w:rsidRPr="00B15C36">
        <w:rPr>
          <w:b/>
        </w:rPr>
        <w:t>Premiums and Discounts</w:t>
      </w:r>
    </w:p>
    <w:p w14:paraId="38C54D34" w14:textId="77777777" w:rsidR="00D90216" w:rsidRPr="00B15C36" w:rsidRDefault="00D90216" w:rsidP="000F5BFB">
      <w:r w:rsidRPr="00B15C36">
        <w:t>Premiums are payable and discounts receivable when loans are repaid to the Public Works Loan Board (PWLB) in advance of their contracted maturity date. The premium or discount is calculated with reference to the interest rate on the loan being repaid and the interest rate for similar new loans on the repayment date.</w:t>
      </w:r>
    </w:p>
    <w:p w14:paraId="042FA3CE" w14:textId="77777777" w:rsidR="00D90216" w:rsidRPr="00B15C36" w:rsidRDefault="00D90216" w:rsidP="10271499">
      <w:pPr>
        <w:keepLines/>
        <w:widowControl w:val="0"/>
        <w:tabs>
          <w:tab w:val="right" w:pos="9072"/>
        </w:tabs>
      </w:pPr>
    </w:p>
    <w:p w14:paraId="32ABB622" w14:textId="77777777" w:rsidR="00D90216" w:rsidRPr="00B15C36" w:rsidRDefault="00D90216" w:rsidP="10271499">
      <w:pPr>
        <w:keepLines/>
        <w:widowControl w:val="0"/>
        <w:tabs>
          <w:tab w:val="right" w:pos="9072"/>
        </w:tabs>
        <w:rPr>
          <w:b/>
        </w:rPr>
      </w:pPr>
      <w:r w:rsidRPr="00B15C36">
        <w:rPr>
          <w:b/>
        </w:rPr>
        <w:t>Public Works Loan Board (PWLB)</w:t>
      </w:r>
    </w:p>
    <w:p w14:paraId="0076F4D9" w14:textId="77777777" w:rsidR="00D90216" w:rsidRPr="00B15C36" w:rsidRDefault="00D90216" w:rsidP="10271499">
      <w:pPr>
        <w:keepLines/>
        <w:widowControl w:val="0"/>
        <w:tabs>
          <w:tab w:val="right" w:pos="9072"/>
        </w:tabs>
      </w:pPr>
      <w:r w:rsidRPr="00B15C36">
        <w:t>A government agency which provides longer-term loans to local authorities at interest rates only slightly higher than those at which the government itself can borrow.</w:t>
      </w:r>
    </w:p>
    <w:p w14:paraId="6E9BC8AD" w14:textId="77777777" w:rsidR="00D90216" w:rsidRPr="00B15C36" w:rsidRDefault="00D90216" w:rsidP="10271499">
      <w:pPr>
        <w:keepLines/>
        <w:widowControl w:val="0"/>
        <w:tabs>
          <w:tab w:val="right" w:pos="9072"/>
        </w:tabs>
      </w:pPr>
    </w:p>
    <w:p w14:paraId="696E7641" w14:textId="77777777" w:rsidR="00D90216" w:rsidRPr="00B15C36" w:rsidRDefault="00D90216" w:rsidP="10271499">
      <w:pPr>
        <w:keepLines/>
        <w:widowControl w:val="0"/>
        <w:tabs>
          <w:tab w:val="right" w:pos="9072"/>
        </w:tabs>
        <w:rPr>
          <w:b/>
        </w:rPr>
      </w:pPr>
      <w:r w:rsidRPr="00B15C36">
        <w:rPr>
          <w:b/>
        </w:rPr>
        <w:t>Revenue Contribution to Capital Outlay</w:t>
      </w:r>
    </w:p>
    <w:p w14:paraId="4DBB8616" w14:textId="77777777" w:rsidR="00D90216" w:rsidRPr="00B15C36" w:rsidRDefault="00D90216" w:rsidP="10271499">
      <w:pPr>
        <w:keepLines/>
        <w:widowControl w:val="0"/>
        <w:tabs>
          <w:tab w:val="right" w:pos="9072"/>
        </w:tabs>
      </w:pPr>
      <w:r w:rsidRPr="00B15C36">
        <w:t>The financing of capital expenditure by a direct contribution from revenue account, rather than by means of loan or other forms of finance.</w:t>
      </w:r>
    </w:p>
    <w:p w14:paraId="2E13D81B" w14:textId="77777777" w:rsidR="00D90216" w:rsidRPr="00B15C36" w:rsidRDefault="00D90216" w:rsidP="10271499">
      <w:pPr>
        <w:keepLines/>
        <w:widowControl w:val="0"/>
        <w:tabs>
          <w:tab w:val="right" w:pos="9072"/>
        </w:tabs>
      </w:pPr>
    </w:p>
    <w:p w14:paraId="4A563CAE" w14:textId="77777777" w:rsidR="00D90216" w:rsidRPr="00B15C36" w:rsidRDefault="00D90216" w:rsidP="10271499">
      <w:pPr>
        <w:keepLines/>
        <w:widowControl w:val="0"/>
        <w:tabs>
          <w:tab w:val="right" w:pos="9072"/>
        </w:tabs>
        <w:rPr>
          <w:b/>
        </w:rPr>
      </w:pPr>
      <w:r w:rsidRPr="00B15C36">
        <w:rPr>
          <w:b/>
        </w:rPr>
        <w:t>Revenue Expenditure</w:t>
      </w:r>
    </w:p>
    <w:p w14:paraId="609B02BB" w14:textId="7961156C" w:rsidR="00116F83" w:rsidRPr="00B15C36" w:rsidRDefault="00D90216" w:rsidP="10271499">
      <w:pPr>
        <w:keepLines/>
        <w:widowControl w:val="0"/>
        <w:tabs>
          <w:tab w:val="right" w:pos="9072"/>
        </w:tabs>
      </w:pPr>
      <w:r w:rsidRPr="00B15C36">
        <w:t>The day-to-day expenditure of the Authority, which is charged to the Comprehensive Income &amp; Expenditure Statement, comprising mainly salaries and wages, running costs, and financing charges.</w:t>
      </w:r>
    </w:p>
    <w:sectPr w:rsidR="00116F83" w:rsidRPr="00B15C36" w:rsidSect="0050229D">
      <w:pgSz w:w="11907" w:h="16840" w:code="9"/>
      <w:pgMar w:top="454" w:right="567" w:bottom="39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1444" w14:textId="77777777" w:rsidR="00C7717D" w:rsidRDefault="00C7717D">
      <w:r>
        <w:separator/>
      </w:r>
    </w:p>
  </w:endnote>
  <w:endnote w:type="continuationSeparator" w:id="0">
    <w:p w14:paraId="07C2512E" w14:textId="77777777" w:rsidR="00C7717D" w:rsidRDefault="00C7717D">
      <w:r>
        <w:continuationSeparator/>
      </w:r>
    </w:p>
  </w:endnote>
  <w:endnote w:type="continuationNotice" w:id="1">
    <w:p w14:paraId="554EFD8D" w14:textId="77777777" w:rsidR="00C7717D" w:rsidRDefault="00C77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FB48" w14:textId="77777777" w:rsidR="00865F1A" w:rsidRDefault="00865F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0609" w14:textId="77777777" w:rsidR="00865F1A" w:rsidRDefault="00865F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48797CC2" w14:textId="77777777" w:rsidR="00865F1A" w:rsidRDefault="00865F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0615" w14:textId="77777777" w:rsidR="00C7717D" w:rsidRDefault="00C7717D">
      <w:r>
        <w:separator/>
      </w:r>
    </w:p>
  </w:footnote>
  <w:footnote w:type="continuationSeparator" w:id="0">
    <w:p w14:paraId="425F50AF" w14:textId="77777777" w:rsidR="00C7717D" w:rsidRDefault="00C7717D">
      <w:r>
        <w:continuationSeparator/>
      </w:r>
    </w:p>
  </w:footnote>
  <w:footnote w:type="continuationNotice" w:id="1">
    <w:p w14:paraId="7153DC2D" w14:textId="77777777" w:rsidR="00C7717D" w:rsidRDefault="00C77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3999" w14:textId="40BF0D8E" w:rsidR="001651FA" w:rsidRDefault="00165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57E" w14:textId="7C77DDA5" w:rsidR="001651FA" w:rsidRDefault="00165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6E14" w14:textId="13EE8709" w:rsidR="001651FA" w:rsidRDefault="001651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C936" w14:textId="2A584ED5" w:rsidR="00865F1A" w:rsidRDefault="00865F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A37C" w14:textId="18D50052" w:rsidR="00865F1A" w:rsidRPr="003D7559" w:rsidRDefault="00865F1A" w:rsidP="002F318F">
    <w:pPr>
      <w:pStyle w:val="Header"/>
      <w:rPr>
        <w:sz w:val="22"/>
        <w:szCs w:val="22"/>
      </w:rPr>
    </w:pPr>
    <w:r w:rsidRPr="003D7559">
      <w:rPr>
        <w:sz w:val="22"/>
        <w:szCs w:val="22"/>
      </w:rPr>
      <w:t>Lancashire Combined Fire Authority</w:t>
    </w:r>
  </w:p>
  <w:p w14:paraId="16CDFC35" w14:textId="6B10C7E2" w:rsidR="00004B20" w:rsidRDefault="00865F1A">
    <w:pPr>
      <w:pStyle w:val="Header"/>
      <w:rPr>
        <w:sz w:val="22"/>
        <w:szCs w:val="22"/>
      </w:rPr>
    </w:pPr>
    <w:r w:rsidRPr="003D7559">
      <w:rPr>
        <w:sz w:val="22"/>
        <w:szCs w:val="22"/>
      </w:rPr>
      <w:t>Statement of Accounts 20</w:t>
    </w:r>
    <w:r>
      <w:rPr>
        <w:sz w:val="22"/>
        <w:szCs w:val="22"/>
      </w:rPr>
      <w:t>2</w:t>
    </w:r>
    <w:r w:rsidR="00004B20">
      <w:rPr>
        <w:sz w:val="22"/>
        <w:szCs w:val="22"/>
      </w:rPr>
      <w:t>4/25</w:t>
    </w:r>
  </w:p>
  <w:p w14:paraId="05C3AD74" w14:textId="77777777" w:rsidR="00ED21C2" w:rsidRPr="002F318F" w:rsidRDefault="00ED21C2">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983" w14:textId="1D7EF3B6" w:rsidR="00865F1A" w:rsidRDefault="00865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96D"/>
    <w:multiLevelType w:val="hybridMultilevel"/>
    <w:tmpl w:val="241E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3403"/>
    <w:multiLevelType w:val="multilevel"/>
    <w:tmpl w:val="8F50608C"/>
    <w:lvl w:ilvl="0">
      <w:start w:val="1"/>
      <w:numFmt w:val="decimal"/>
      <w:pStyle w:val="Bodytextnumbered"/>
      <w:lvlText w:val="%1"/>
      <w:lvlJc w:val="right"/>
      <w:pPr>
        <w:tabs>
          <w:tab w:val="num" w:pos="397"/>
        </w:tabs>
        <w:ind w:left="397" w:hanging="227"/>
      </w:pPr>
      <w:rPr>
        <w:rFonts w:hint="default"/>
        <w:b/>
        <w:i w:val="0"/>
        <w:color w:val="083863"/>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i w:val="0"/>
        <w:color w:val="083863"/>
        <w:sz w:val="20"/>
        <w:szCs w:val="2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A12543"/>
    <w:multiLevelType w:val="hybridMultilevel"/>
    <w:tmpl w:val="7ECAB368"/>
    <w:lvl w:ilvl="0" w:tplc="BF3E21C2">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 w15:restartNumberingAfterBreak="0">
    <w:nsid w:val="06272E2D"/>
    <w:multiLevelType w:val="hybridMultilevel"/>
    <w:tmpl w:val="3814A038"/>
    <w:lvl w:ilvl="0" w:tplc="D6B461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B521F"/>
    <w:multiLevelType w:val="hybridMultilevel"/>
    <w:tmpl w:val="33BAC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211F7"/>
    <w:multiLevelType w:val="hybridMultilevel"/>
    <w:tmpl w:val="11680D6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FA042F"/>
    <w:multiLevelType w:val="hybridMultilevel"/>
    <w:tmpl w:val="ABDA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06A5D"/>
    <w:multiLevelType w:val="hybridMultilevel"/>
    <w:tmpl w:val="99DE52A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5AC2980"/>
    <w:multiLevelType w:val="hybridMultilevel"/>
    <w:tmpl w:val="05CC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D2716"/>
    <w:multiLevelType w:val="hybridMultilevel"/>
    <w:tmpl w:val="767E5D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92421D6"/>
    <w:multiLevelType w:val="hybridMultilevel"/>
    <w:tmpl w:val="A446A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C066C"/>
    <w:multiLevelType w:val="hybridMultilevel"/>
    <w:tmpl w:val="F2EABE9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F20540B"/>
    <w:multiLevelType w:val="hybridMultilevel"/>
    <w:tmpl w:val="BC8E09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1F61496"/>
    <w:multiLevelType w:val="hybridMultilevel"/>
    <w:tmpl w:val="F52AF7D6"/>
    <w:lvl w:ilvl="0" w:tplc="FED4AA18">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4" w15:restartNumberingAfterBreak="0">
    <w:nsid w:val="22F72944"/>
    <w:multiLevelType w:val="hybridMultilevel"/>
    <w:tmpl w:val="88EA13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7D0B9E"/>
    <w:multiLevelType w:val="hybridMultilevel"/>
    <w:tmpl w:val="A62421B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0B011D0"/>
    <w:multiLevelType w:val="hybridMultilevel"/>
    <w:tmpl w:val="3F168F3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8D7242"/>
    <w:multiLevelType w:val="hybridMultilevel"/>
    <w:tmpl w:val="C97C27EA"/>
    <w:lvl w:ilvl="0" w:tplc="9516EDE4">
      <w:start w:val="18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F15DEA"/>
    <w:multiLevelType w:val="hybridMultilevel"/>
    <w:tmpl w:val="528EA10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5E54D0C"/>
    <w:multiLevelType w:val="singleLevel"/>
    <w:tmpl w:val="F02C6FD0"/>
    <w:lvl w:ilvl="0">
      <w:start w:val="1"/>
      <w:numFmt w:val="bullet"/>
      <w:pStyle w:val="Bullets"/>
      <w:lvlText w:val=""/>
      <w:lvlJc w:val="left"/>
      <w:pPr>
        <w:tabs>
          <w:tab w:val="num" w:pos="397"/>
        </w:tabs>
        <w:ind w:left="397" w:hanging="397"/>
      </w:pPr>
      <w:rPr>
        <w:rFonts w:ascii="Wingdings" w:hAnsi="Wingdings" w:hint="default"/>
        <w:sz w:val="12"/>
      </w:rPr>
    </w:lvl>
  </w:abstractNum>
  <w:abstractNum w:abstractNumId="20" w15:restartNumberingAfterBreak="0">
    <w:nsid w:val="36F46C96"/>
    <w:multiLevelType w:val="hybridMultilevel"/>
    <w:tmpl w:val="0FA21E5A"/>
    <w:lvl w:ilvl="0" w:tplc="08090001">
      <w:start w:val="1"/>
      <w:numFmt w:val="bullet"/>
      <w:lvlText w:val=""/>
      <w:lvlJc w:val="left"/>
      <w:pPr>
        <w:tabs>
          <w:tab w:val="num" w:pos="2149"/>
        </w:tabs>
        <w:ind w:left="2149" w:hanging="360"/>
      </w:pPr>
      <w:rPr>
        <w:rFonts w:ascii="Symbol" w:hAnsi="Symbol" w:hint="default"/>
      </w:rPr>
    </w:lvl>
    <w:lvl w:ilvl="1" w:tplc="08090003" w:tentative="1">
      <w:start w:val="1"/>
      <w:numFmt w:val="bullet"/>
      <w:lvlText w:val="o"/>
      <w:lvlJc w:val="left"/>
      <w:pPr>
        <w:tabs>
          <w:tab w:val="num" w:pos="2869"/>
        </w:tabs>
        <w:ind w:left="2869" w:hanging="360"/>
      </w:pPr>
      <w:rPr>
        <w:rFonts w:ascii="Courier New" w:hAnsi="Courier New" w:cs="Courier New" w:hint="default"/>
      </w:rPr>
    </w:lvl>
    <w:lvl w:ilvl="2" w:tplc="08090005" w:tentative="1">
      <w:start w:val="1"/>
      <w:numFmt w:val="bullet"/>
      <w:lvlText w:val=""/>
      <w:lvlJc w:val="left"/>
      <w:pPr>
        <w:tabs>
          <w:tab w:val="num" w:pos="3589"/>
        </w:tabs>
        <w:ind w:left="3589" w:hanging="360"/>
      </w:pPr>
      <w:rPr>
        <w:rFonts w:ascii="Wingdings" w:hAnsi="Wingdings" w:hint="default"/>
      </w:rPr>
    </w:lvl>
    <w:lvl w:ilvl="3" w:tplc="08090001" w:tentative="1">
      <w:start w:val="1"/>
      <w:numFmt w:val="bullet"/>
      <w:lvlText w:val=""/>
      <w:lvlJc w:val="left"/>
      <w:pPr>
        <w:tabs>
          <w:tab w:val="num" w:pos="4309"/>
        </w:tabs>
        <w:ind w:left="4309" w:hanging="360"/>
      </w:pPr>
      <w:rPr>
        <w:rFonts w:ascii="Symbol" w:hAnsi="Symbol" w:hint="default"/>
      </w:rPr>
    </w:lvl>
    <w:lvl w:ilvl="4" w:tplc="08090003" w:tentative="1">
      <w:start w:val="1"/>
      <w:numFmt w:val="bullet"/>
      <w:lvlText w:val="o"/>
      <w:lvlJc w:val="left"/>
      <w:pPr>
        <w:tabs>
          <w:tab w:val="num" w:pos="5029"/>
        </w:tabs>
        <w:ind w:left="5029" w:hanging="360"/>
      </w:pPr>
      <w:rPr>
        <w:rFonts w:ascii="Courier New" w:hAnsi="Courier New" w:cs="Courier New" w:hint="default"/>
      </w:rPr>
    </w:lvl>
    <w:lvl w:ilvl="5" w:tplc="08090005" w:tentative="1">
      <w:start w:val="1"/>
      <w:numFmt w:val="bullet"/>
      <w:lvlText w:val=""/>
      <w:lvlJc w:val="left"/>
      <w:pPr>
        <w:tabs>
          <w:tab w:val="num" w:pos="5749"/>
        </w:tabs>
        <w:ind w:left="5749" w:hanging="360"/>
      </w:pPr>
      <w:rPr>
        <w:rFonts w:ascii="Wingdings" w:hAnsi="Wingdings" w:hint="default"/>
      </w:rPr>
    </w:lvl>
    <w:lvl w:ilvl="6" w:tplc="08090001" w:tentative="1">
      <w:start w:val="1"/>
      <w:numFmt w:val="bullet"/>
      <w:lvlText w:val=""/>
      <w:lvlJc w:val="left"/>
      <w:pPr>
        <w:tabs>
          <w:tab w:val="num" w:pos="6469"/>
        </w:tabs>
        <w:ind w:left="6469" w:hanging="360"/>
      </w:pPr>
      <w:rPr>
        <w:rFonts w:ascii="Symbol" w:hAnsi="Symbol" w:hint="default"/>
      </w:rPr>
    </w:lvl>
    <w:lvl w:ilvl="7" w:tplc="08090003" w:tentative="1">
      <w:start w:val="1"/>
      <w:numFmt w:val="bullet"/>
      <w:lvlText w:val="o"/>
      <w:lvlJc w:val="left"/>
      <w:pPr>
        <w:tabs>
          <w:tab w:val="num" w:pos="7189"/>
        </w:tabs>
        <w:ind w:left="7189" w:hanging="360"/>
      </w:pPr>
      <w:rPr>
        <w:rFonts w:ascii="Courier New" w:hAnsi="Courier New" w:cs="Courier New" w:hint="default"/>
      </w:rPr>
    </w:lvl>
    <w:lvl w:ilvl="8" w:tplc="08090005" w:tentative="1">
      <w:start w:val="1"/>
      <w:numFmt w:val="bullet"/>
      <w:lvlText w:val=""/>
      <w:lvlJc w:val="left"/>
      <w:pPr>
        <w:tabs>
          <w:tab w:val="num" w:pos="7909"/>
        </w:tabs>
        <w:ind w:left="7909" w:hanging="360"/>
      </w:pPr>
      <w:rPr>
        <w:rFonts w:ascii="Wingdings" w:hAnsi="Wingdings" w:hint="default"/>
      </w:rPr>
    </w:lvl>
  </w:abstractNum>
  <w:abstractNum w:abstractNumId="21" w15:restartNumberingAfterBreak="0">
    <w:nsid w:val="383D36BA"/>
    <w:multiLevelType w:val="hybridMultilevel"/>
    <w:tmpl w:val="89B2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E34B4"/>
    <w:multiLevelType w:val="hybridMultilevel"/>
    <w:tmpl w:val="648E1CFA"/>
    <w:lvl w:ilvl="0" w:tplc="9516EDE4">
      <w:start w:val="1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C3B5B"/>
    <w:multiLevelType w:val="hybridMultilevel"/>
    <w:tmpl w:val="995A9A00"/>
    <w:lvl w:ilvl="0" w:tplc="07243122">
      <w:start w:val="4"/>
      <w:numFmt w:val="lowerRoman"/>
      <w:lvlText w:val="%1)"/>
      <w:lvlJc w:val="left"/>
      <w:pPr>
        <w:tabs>
          <w:tab w:val="num" w:pos="2160"/>
        </w:tabs>
        <w:ind w:left="2160" w:hanging="720"/>
      </w:pPr>
      <w:rPr>
        <w:rFonts w:hint="default"/>
      </w:rPr>
    </w:lvl>
    <w:lvl w:ilvl="1" w:tplc="5F906F5C">
      <w:start w:val="8"/>
      <w:numFmt w:val="decimal"/>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4" w15:restartNumberingAfterBreak="0">
    <w:nsid w:val="44A24F3B"/>
    <w:multiLevelType w:val="multilevel"/>
    <w:tmpl w:val="CBC28D86"/>
    <w:lvl w:ilvl="0">
      <w:start w:val="1"/>
      <w:numFmt w:val="bullet"/>
      <w:pStyle w:val="Bullet1"/>
      <w:lvlText w:val=""/>
      <w:lvlJc w:val="left"/>
      <w:pPr>
        <w:tabs>
          <w:tab w:val="num" w:pos="794"/>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Sabo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abo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abo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31BBA"/>
    <w:multiLevelType w:val="hybridMultilevel"/>
    <w:tmpl w:val="950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97D12"/>
    <w:multiLevelType w:val="hybridMultilevel"/>
    <w:tmpl w:val="E152A368"/>
    <w:lvl w:ilvl="0" w:tplc="8C342F3E">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7" w15:restartNumberingAfterBreak="0">
    <w:nsid w:val="47A7026C"/>
    <w:multiLevelType w:val="hybridMultilevel"/>
    <w:tmpl w:val="1E32C058"/>
    <w:lvl w:ilvl="0" w:tplc="08090001">
      <w:start w:val="1"/>
      <w:numFmt w:val="bullet"/>
      <w:lvlText w:val=""/>
      <w:lvlJc w:val="left"/>
      <w:pPr>
        <w:tabs>
          <w:tab w:val="num" w:pos="1490"/>
        </w:tabs>
        <w:ind w:left="1490" w:hanging="360"/>
      </w:pPr>
      <w:rPr>
        <w:rFonts w:ascii="Symbol" w:hAnsi="Symbol" w:hint="default"/>
      </w:rPr>
    </w:lvl>
    <w:lvl w:ilvl="1" w:tplc="08090003" w:tentative="1">
      <w:start w:val="1"/>
      <w:numFmt w:val="bullet"/>
      <w:lvlText w:val="o"/>
      <w:lvlJc w:val="left"/>
      <w:pPr>
        <w:tabs>
          <w:tab w:val="num" w:pos="2210"/>
        </w:tabs>
        <w:ind w:left="2210" w:hanging="360"/>
      </w:pPr>
      <w:rPr>
        <w:rFonts w:ascii="Courier New" w:hAnsi="Courier New" w:cs="Courier New" w:hint="default"/>
      </w:rPr>
    </w:lvl>
    <w:lvl w:ilvl="2" w:tplc="08090005" w:tentative="1">
      <w:start w:val="1"/>
      <w:numFmt w:val="bullet"/>
      <w:lvlText w:val=""/>
      <w:lvlJc w:val="left"/>
      <w:pPr>
        <w:tabs>
          <w:tab w:val="num" w:pos="2930"/>
        </w:tabs>
        <w:ind w:left="2930" w:hanging="360"/>
      </w:pPr>
      <w:rPr>
        <w:rFonts w:ascii="Wingdings" w:hAnsi="Wingdings" w:hint="default"/>
      </w:rPr>
    </w:lvl>
    <w:lvl w:ilvl="3" w:tplc="08090001" w:tentative="1">
      <w:start w:val="1"/>
      <w:numFmt w:val="bullet"/>
      <w:lvlText w:val=""/>
      <w:lvlJc w:val="left"/>
      <w:pPr>
        <w:tabs>
          <w:tab w:val="num" w:pos="3650"/>
        </w:tabs>
        <w:ind w:left="3650" w:hanging="360"/>
      </w:pPr>
      <w:rPr>
        <w:rFonts w:ascii="Symbol" w:hAnsi="Symbol" w:hint="default"/>
      </w:rPr>
    </w:lvl>
    <w:lvl w:ilvl="4" w:tplc="08090003" w:tentative="1">
      <w:start w:val="1"/>
      <w:numFmt w:val="bullet"/>
      <w:lvlText w:val="o"/>
      <w:lvlJc w:val="left"/>
      <w:pPr>
        <w:tabs>
          <w:tab w:val="num" w:pos="4370"/>
        </w:tabs>
        <w:ind w:left="4370" w:hanging="360"/>
      </w:pPr>
      <w:rPr>
        <w:rFonts w:ascii="Courier New" w:hAnsi="Courier New" w:cs="Courier New" w:hint="default"/>
      </w:rPr>
    </w:lvl>
    <w:lvl w:ilvl="5" w:tplc="08090005" w:tentative="1">
      <w:start w:val="1"/>
      <w:numFmt w:val="bullet"/>
      <w:lvlText w:val=""/>
      <w:lvlJc w:val="left"/>
      <w:pPr>
        <w:tabs>
          <w:tab w:val="num" w:pos="5090"/>
        </w:tabs>
        <w:ind w:left="5090" w:hanging="360"/>
      </w:pPr>
      <w:rPr>
        <w:rFonts w:ascii="Wingdings" w:hAnsi="Wingdings" w:hint="default"/>
      </w:rPr>
    </w:lvl>
    <w:lvl w:ilvl="6" w:tplc="08090001" w:tentative="1">
      <w:start w:val="1"/>
      <w:numFmt w:val="bullet"/>
      <w:lvlText w:val=""/>
      <w:lvlJc w:val="left"/>
      <w:pPr>
        <w:tabs>
          <w:tab w:val="num" w:pos="5810"/>
        </w:tabs>
        <w:ind w:left="5810" w:hanging="360"/>
      </w:pPr>
      <w:rPr>
        <w:rFonts w:ascii="Symbol" w:hAnsi="Symbol" w:hint="default"/>
      </w:rPr>
    </w:lvl>
    <w:lvl w:ilvl="7" w:tplc="08090003" w:tentative="1">
      <w:start w:val="1"/>
      <w:numFmt w:val="bullet"/>
      <w:lvlText w:val="o"/>
      <w:lvlJc w:val="left"/>
      <w:pPr>
        <w:tabs>
          <w:tab w:val="num" w:pos="6530"/>
        </w:tabs>
        <w:ind w:left="6530" w:hanging="360"/>
      </w:pPr>
      <w:rPr>
        <w:rFonts w:ascii="Courier New" w:hAnsi="Courier New" w:cs="Courier New" w:hint="default"/>
      </w:rPr>
    </w:lvl>
    <w:lvl w:ilvl="8" w:tplc="08090005" w:tentative="1">
      <w:start w:val="1"/>
      <w:numFmt w:val="bullet"/>
      <w:lvlText w:val=""/>
      <w:lvlJc w:val="left"/>
      <w:pPr>
        <w:tabs>
          <w:tab w:val="num" w:pos="7250"/>
        </w:tabs>
        <w:ind w:left="7250" w:hanging="360"/>
      </w:pPr>
      <w:rPr>
        <w:rFonts w:ascii="Wingdings" w:hAnsi="Wingdings" w:hint="default"/>
      </w:rPr>
    </w:lvl>
  </w:abstractNum>
  <w:abstractNum w:abstractNumId="28" w15:restartNumberingAfterBreak="0">
    <w:nsid w:val="480C43AD"/>
    <w:multiLevelType w:val="singleLevel"/>
    <w:tmpl w:val="23A48BB8"/>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4F773D89"/>
    <w:multiLevelType w:val="hybridMultilevel"/>
    <w:tmpl w:val="CB400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B21E4"/>
    <w:multiLevelType w:val="hybridMultilevel"/>
    <w:tmpl w:val="A49C75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1EA56AB"/>
    <w:multiLevelType w:val="hybridMultilevel"/>
    <w:tmpl w:val="F4B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375D0"/>
    <w:multiLevelType w:val="hybridMultilevel"/>
    <w:tmpl w:val="EF4239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58395677"/>
    <w:multiLevelType w:val="hybridMultilevel"/>
    <w:tmpl w:val="F8FC87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ECC761C"/>
    <w:multiLevelType w:val="hybridMultilevel"/>
    <w:tmpl w:val="E46A6498"/>
    <w:lvl w:ilvl="0" w:tplc="08090001">
      <w:start w:val="1"/>
      <w:numFmt w:val="bullet"/>
      <w:lvlText w:val=""/>
      <w:lvlJc w:val="left"/>
      <w:pPr>
        <w:tabs>
          <w:tab w:val="num" w:pos="2216"/>
        </w:tabs>
        <w:ind w:left="2216" w:hanging="360"/>
      </w:pPr>
      <w:rPr>
        <w:rFonts w:ascii="Symbol" w:hAnsi="Symbol" w:hint="default"/>
      </w:rPr>
    </w:lvl>
    <w:lvl w:ilvl="1" w:tplc="08090003" w:tentative="1">
      <w:start w:val="1"/>
      <w:numFmt w:val="bullet"/>
      <w:lvlText w:val="o"/>
      <w:lvlJc w:val="left"/>
      <w:pPr>
        <w:tabs>
          <w:tab w:val="num" w:pos="2936"/>
        </w:tabs>
        <w:ind w:left="2936" w:hanging="360"/>
      </w:pPr>
      <w:rPr>
        <w:rFonts w:ascii="Courier New" w:hAnsi="Courier New" w:cs="Courier New" w:hint="default"/>
      </w:rPr>
    </w:lvl>
    <w:lvl w:ilvl="2" w:tplc="08090005" w:tentative="1">
      <w:start w:val="1"/>
      <w:numFmt w:val="bullet"/>
      <w:lvlText w:val=""/>
      <w:lvlJc w:val="left"/>
      <w:pPr>
        <w:tabs>
          <w:tab w:val="num" w:pos="3656"/>
        </w:tabs>
        <w:ind w:left="3656" w:hanging="360"/>
      </w:pPr>
      <w:rPr>
        <w:rFonts w:ascii="Wingdings" w:hAnsi="Wingdings" w:hint="default"/>
      </w:rPr>
    </w:lvl>
    <w:lvl w:ilvl="3" w:tplc="08090001" w:tentative="1">
      <w:start w:val="1"/>
      <w:numFmt w:val="bullet"/>
      <w:lvlText w:val=""/>
      <w:lvlJc w:val="left"/>
      <w:pPr>
        <w:tabs>
          <w:tab w:val="num" w:pos="4376"/>
        </w:tabs>
        <w:ind w:left="4376" w:hanging="360"/>
      </w:pPr>
      <w:rPr>
        <w:rFonts w:ascii="Symbol" w:hAnsi="Symbol" w:hint="default"/>
      </w:rPr>
    </w:lvl>
    <w:lvl w:ilvl="4" w:tplc="08090003" w:tentative="1">
      <w:start w:val="1"/>
      <w:numFmt w:val="bullet"/>
      <w:lvlText w:val="o"/>
      <w:lvlJc w:val="left"/>
      <w:pPr>
        <w:tabs>
          <w:tab w:val="num" w:pos="5096"/>
        </w:tabs>
        <w:ind w:left="5096" w:hanging="360"/>
      </w:pPr>
      <w:rPr>
        <w:rFonts w:ascii="Courier New" w:hAnsi="Courier New" w:cs="Courier New" w:hint="default"/>
      </w:rPr>
    </w:lvl>
    <w:lvl w:ilvl="5" w:tplc="08090005" w:tentative="1">
      <w:start w:val="1"/>
      <w:numFmt w:val="bullet"/>
      <w:lvlText w:val=""/>
      <w:lvlJc w:val="left"/>
      <w:pPr>
        <w:tabs>
          <w:tab w:val="num" w:pos="5816"/>
        </w:tabs>
        <w:ind w:left="5816" w:hanging="360"/>
      </w:pPr>
      <w:rPr>
        <w:rFonts w:ascii="Wingdings" w:hAnsi="Wingdings" w:hint="default"/>
      </w:rPr>
    </w:lvl>
    <w:lvl w:ilvl="6" w:tplc="08090001" w:tentative="1">
      <w:start w:val="1"/>
      <w:numFmt w:val="bullet"/>
      <w:lvlText w:val=""/>
      <w:lvlJc w:val="left"/>
      <w:pPr>
        <w:tabs>
          <w:tab w:val="num" w:pos="6536"/>
        </w:tabs>
        <w:ind w:left="6536" w:hanging="360"/>
      </w:pPr>
      <w:rPr>
        <w:rFonts w:ascii="Symbol" w:hAnsi="Symbol" w:hint="default"/>
      </w:rPr>
    </w:lvl>
    <w:lvl w:ilvl="7" w:tplc="08090003" w:tentative="1">
      <w:start w:val="1"/>
      <w:numFmt w:val="bullet"/>
      <w:lvlText w:val="o"/>
      <w:lvlJc w:val="left"/>
      <w:pPr>
        <w:tabs>
          <w:tab w:val="num" w:pos="7256"/>
        </w:tabs>
        <w:ind w:left="7256" w:hanging="360"/>
      </w:pPr>
      <w:rPr>
        <w:rFonts w:ascii="Courier New" w:hAnsi="Courier New" w:cs="Courier New" w:hint="default"/>
      </w:rPr>
    </w:lvl>
    <w:lvl w:ilvl="8" w:tplc="08090005" w:tentative="1">
      <w:start w:val="1"/>
      <w:numFmt w:val="bullet"/>
      <w:lvlText w:val=""/>
      <w:lvlJc w:val="left"/>
      <w:pPr>
        <w:tabs>
          <w:tab w:val="num" w:pos="7976"/>
        </w:tabs>
        <w:ind w:left="7976" w:hanging="360"/>
      </w:pPr>
      <w:rPr>
        <w:rFonts w:ascii="Wingdings" w:hAnsi="Wingdings" w:hint="default"/>
      </w:rPr>
    </w:lvl>
  </w:abstractNum>
  <w:abstractNum w:abstractNumId="35" w15:restartNumberingAfterBreak="0">
    <w:nsid w:val="5F8BEB90"/>
    <w:multiLevelType w:val="hybridMultilevel"/>
    <w:tmpl w:val="10421C4C"/>
    <w:lvl w:ilvl="0" w:tplc="039CF29E">
      <w:start w:val="1"/>
      <w:numFmt w:val="bullet"/>
      <w:lvlText w:val=""/>
      <w:lvlJc w:val="left"/>
      <w:pPr>
        <w:ind w:left="1800" w:hanging="360"/>
      </w:pPr>
      <w:rPr>
        <w:rFonts w:ascii="Symbol" w:hAnsi="Symbol" w:hint="default"/>
      </w:rPr>
    </w:lvl>
    <w:lvl w:ilvl="1" w:tplc="40D22204">
      <w:start w:val="1"/>
      <w:numFmt w:val="bullet"/>
      <w:lvlText w:val="o"/>
      <w:lvlJc w:val="left"/>
      <w:pPr>
        <w:ind w:left="2520" w:hanging="360"/>
      </w:pPr>
      <w:rPr>
        <w:rFonts w:ascii="Courier New" w:hAnsi="Courier New" w:hint="default"/>
      </w:rPr>
    </w:lvl>
    <w:lvl w:ilvl="2" w:tplc="4648C1D6">
      <w:start w:val="1"/>
      <w:numFmt w:val="bullet"/>
      <w:lvlText w:val=""/>
      <w:lvlJc w:val="left"/>
      <w:pPr>
        <w:ind w:left="3240" w:hanging="360"/>
      </w:pPr>
      <w:rPr>
        <w:rFonts w:ascii="Wingdings" w:hAnsi="Wingdings" w:hint="default"/>
      </w:rPr>
    </w:lvl>
    <w:lvl w:ilvl="3" w:tplc="CE289466">
      <w:start w:val="1"/>
      <w:numFmt w:val="bullet"/>
      <w:lvlText w:val=""/>
      <w:lvlJc w:val="left"/>
      <w:pPr>
        <w:ind w:left="3960" w:hanging="360"/>
      </w:pPr>
      <w:rPr>
        <w:rFonts w:ascii="Symbol" w:hAnsi="Symbol" w:hint="default"/>
      </w:rPr>
    </w:lvl>
    <w:lvl w:ilvl="4" w:tplc="8DB6ED8A">
      <w:start w:val="1"/>
      <w:numFmt w:val="bullet"/>
      <w:lvlText w:val="o"/>
      <w:lvlJc w:val="left"/>
      <w:pPr>
        <w:ind w:left="4680" w:hanging="360"/>
      </w:pPr>
      <w:rPr>
        <w:rFonts w:ascii="Courier New" w:hAnsi="Courier New" w:hint="default"/>
      </w:rPr>
    </w:lvl>
    <w:lvl w:ilvl="5" w:tplc="87228472">
      <w:start w:val="1"/>
      <w:numFmt w:val="bullet"/>
      <w:lvlText w:val=""/>
      <w:lvlJc w:val="left"/>
      <w:pPr>
        <w:ind w:left="5400" w:hanging="360"/>
      </w:pPr>
      <w:rPr>
        <w:rFonts w:ascii="Wingdings" w:hAnsi="Wingdings" w:hint="default"/>
      </w:rPr>
    </w:lvl>
    <w:lvl w:ilvl="6" w:tplc="B0D8F0D4">
      <w:start w:val="1"/>
      <w:numFmt w:val="bullet"/>
      <w:lvlText w:val=""/>
      <w:lvlJc w:val="left"/>
      <w:pPr>
        <w:ind w:left="6120" w:hanging="360"/>
      </w:pPr>
      <w:rPr>
        <w:rFonts w:ascii="Symbol" w:hAnsi="Symbol" w:hint="default"/>
      </w:rPr>
    </w:lvl>
    <w:lvl w:ilvl="7" w:tplc="78F011A2">
      <w:start w:val="1"/>
      <w:numFmt w:val="bullet"/>
      <w:lvlText w:val="o"/>
      <w:lvlJc w:val="left"/>
      <w:pPr>
        <w:ind w:left="6840" w:hanging="360"/>
      </w:pPr>
      <w:rPr>
        <w:rFonts w:ascii="Courier New" w:hAnsi="Courier New" w:hint="default"/>
      </w:rPr>
    </w:lvl>
    <w:lvl w:ilvl="8" w:tplc="B4023082">
      <w:start w:val="1"/>
      <w:numFmt w:val="bullet"/>
      <w:lvlText w:val=""/>
      <w:lvlJc w:val="left"/>
      <w:pPr>
        <w:ind w:left="7560" w:hanging="360"/>
      </w:pPr>
      <w:rPr>
        <w:rFonts w:ascii="Wingdings" w:hAnsi="Wingdings" w:hint="default"/>
      </w:rPr>
    </w:lvl>
  </w:abstractNum>
  <w:abstractNum w:abstractNumId="36" w15:restartNumberingAfterBreak="0">
    <w:nsid w:val="60490B0E"/>
    <w:multiLevelType w:val="hybridMultilevel"/>
    <w:tmpl w:val="4418A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43278"/>
    <w:multiLevelType w:val="hybridMultilevel"/>
    <w:tmpl w:val="AB0C8A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39" w15:restartNumberingAfterBreak="0">
    <w:nsid w:val="61F82309"/>
    <w:multiLevelType w:val="singleLevel"/>
    <w:tmpl w:val="23A48BB8"/>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640B3A81"/>
    <w:multiLevelType w:val="hybridMultilevel"/>
    <w:tmpl w:val="FC26F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0C1C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EB7F3D"/>
    <w:multiLevelType w:val="hybridMultilevel"/>
    <w:tmpl w:val="1884EEB6"/>
    <w:lvl w:ilvl="0" w:tplc="AB626CF8">
      <w:start w:val="1"/>
      <w:numFmt w:val="bullet"/>
      <w:lvlText w:val=""/>
      <w:lvlJc w:val="left"/>
      <w:pPr>
        <w:tabs>
          <w:tab w:val="num" w:pos="284"/>
        </w:tabs>
        <w:ind w:left="284" w:hanging="284"/>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E42D1"/>
    <w:multiLevelType w:val="hybridMultilevel"/>
    <w:tmpl w:val="FF726B28"/>
    <w:lvl w:ilvl="0" w:tplc="335A57E2">
      <w:start w:val="18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C45D97"/>
    <w:multiLevelType w:val="singleLevel"/>
    <w:tmpl w:val="23A48BB8"/>
    <w:lvl w:ilvl="0">
      <w:start w:val="1"/>
      <w:numFmt w:val="bullet"/>
      <w:lvlText w:val=""/>
      <w:lvlJc w:val="left"/>
      <w:pPr>
        <w:tabs>
          <w:tab w:val="num" w:pos="720"/>
        </w:tabs>
        <w:ind w:left="720" w:hanging="720"/>
      </w:pPr>
      <w:rPr>
        <w:rFonts w:ascii="Symbol" w:hAnsi="Symbol" w:hint="default"/>
      </w:rPr>
    </w:lvl>
  </w:abstractNum>
  <w:abstractNum w:abstractNumId="45" w15:restartNumberingAfterBreak="0">
    <w:nsid w:val="79B27A8E"/>
    <w:multiLevelType w:val="hybridMultilevel"/>
    <w:tmpl w:val="DCF8B550"/>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6" w15:restartNumberingAfterBreak="0">
    <w:nsid w:val="7BBF1565"/>
    <w:multiLevelType w:val="hybridMultilevel"/>
    <w:tmpl w:val="BF0839BC"/>
    <w:lvl w:ilvl="0" w:tplc="6F48BC0C">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47" w15:restartNumberingAfterBreak="0">
    <w:nsid w:val="7C947C1B"/>
    <w:multiLevelType w:val="hybridMultilevel"/>
    <w:tmpl w:val="F1A0194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8C6B95"/>
    <w:multiLevelType w:val="hybridMultilevel"/>
    <w:tmpl w:val="DDEC4CA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16cid:durableId="214856021">
    <w:abstractNumId w:val="35"/>
  </w:num>
  <w:num w:numId="2" w16cid:durableId="1190297219">
    <w:abstractNumId w:val="19"/>
  </w:num>
  <w:num w:numId="3" w16cid:durableId="2141334774">
    <w:abstractNumId w:val="1"/>
  </w:num>
  <w:num w:numId="4" w16cid:durableId="856650926">
    <w:abstractNumId w:val="24"/>
  </w:num>
  <w:num w:numId="5" w16cid:durableId="849225146">
    <w:abstractNumId w:val="41"/>
  </w:num>
  <w:num w:numId="6" w16cid:durableId="1564947889">
    <w:abstractNumId w:val="28"/>
  </w:num>
  <w:num w:numId="7" w16cid:durableId="1257321723">
    <w:abstractNumId w:val="44"/>
  </w:num>
  <w:num w:numId="8" w16cid:durableId="1426195552">
    <w:abstractNumId w:val="11"/>
  </w:num>
  <w:num w:numId="9" w16cid:durableId="1787850570">
    <w:abstractNumId w:val="33"/>
  </w:num>
  <w:num w:numId="10" w16cid:durableId="481237762">
    <w:abstractNumId w:val="7"/>
  </w:num>
  <w:num w:numId="11" w16cid:durableId="241763646">
    <w:abstractNumId w:val="15"/>
  </w:num>
  <w:num w:numId="12" w16cid:durableId="701587304">
    <w:abstractNumId w:val="9"/>
  </w:num>
  <w:num w:numId="13" w16cid:durableId="1043560006">
    <w:abstractNumId w:val="20"/>
  </w:num>
  <w:num w:numId="14" w16cid:durableId="1721705196">
    <w:abstractNumId w:val="27"/>
  </w:num>
  <w:num w:numId="15" w16cid:durableId="508568227">
    <w:abstractNumId w:val="4"/>
  </w:num>
  <w:num w:numId="16" w16cid:durableId="709691427">
    <w:abstractNumId w:val="47"/>
  </w:num>
  <w:num w:numId="17" w16cid:durableId="1067847930">
    <w:abstractNumId w:val="45"/>
  </w:num>
  <w:num w:numId="18" w16cid:durableId="2010517222">
    <w:abstractNumId w:val="48"/>
  </w:num>
  <w:num w:numId="19" w16cid:durableId="1043598923">
    <w:abstractNumId w:val="12"/>
  </w:num>
  <w:num w:numId="20" w16cid:durableId="1424572668">
    <w:abstractNumId w:val="18"/>
  </w:num>
  <w:num w:numId="21" w16cid:durableId="81487555">
    <w:abstractNumId w:val="23"/>
  </w:num>
  <w:num w:numId="22" w16cid:durableId="243995930">
    <w:abstractNumId w:val="34"/>
  </w:num>
  <w:num w:numId="23" w16cid:durableId="848643638">
    <w:abstractNumId w:val="30"/>
  </w:num>
  <w:num w:numId="24" w16cid:durableId="329604137">
    <w:abstractNumId w:val="2"/>
  </w:num>
  <w:num w:numId="25" w16cid:durableId="280116307">
    <w:abstractNumId w:val="13"/>
  </w:num>
  <w:num w:numId="26" w16cid:durableId="798649872">
    <w:abstractNumId w:val="46"/>
  </w:num>
  <w:num w:numId="27" w16cid:durableId="2082174097">
    <w:abstractNumId w:val="26"/>
  </w:num>
  <w:num w:numId="28" w16cid:durableId="1276446120">
    <w:abstractNumId w:val="43"/>
  </w:num>
  <w:num w:numId="29" w16cid:durableId="786584060">
    <w:abstractNumId w:val="17"/>
  </w:num>
  <w:num w:numId="30" w16cid:durableId="337587335">
    <w:abstractNumId w:val="39"/>
  </w:num>
  <w:num w:numId="31" w16cid:durableId="1333533934">
    <w:abstractNumId w:val="42"/>
  </w:num>
  <w:num w:numId="32" w16cid:durableId="1470049257">
    <w:abstractNumId w:val="37"/>
  </w:num>
  <w:num w:numId="33" w16cid:durableId="1742210348">
    <w:abstractNumId w:val="40"/>
  </w:num>
  <w:num w:numId="34" w16cid:durableId="2018192096">
    <w:abstractNumId w:val="5"/>
  </w:num>
  <w:num w:numId="35" w16cid:durableId="1005740120">
    <w:abstractNumId w:val="21"/>
  </w:num>
  <w:num w:numId="36" w16cid:durableId="1147894387">
    <w:abstractNumId w:val="31"/>
  </w:num>
  <w:num w:numId="37" w16cid:durableId="316106286">
    <w:abstractNumId w:val="29"/>
  </w:num>
  <w:num w:numId="38" w16cid:durableId="602685835">
    <w:abstractNumId w:val="32"/>
  </w:num>
  <w:num w:numId="39" w16cid:durableId="848371889">
    <w:abstractNumId w:val="38"/>
  </w:num>
  <w:num w:numId="40" w16cid:durableId="1572234239">
    <w:abstractNumId w:val="3"/>
  </w:num>
  <w:num w:numId="41" w16cid:durableId="1210336782">
    <w:abstractNumId w:val="22"/>
  </w:num>
  <w:num w:numId="42" w16cid:durableId="129590628">
    <w:abstractNumId w:val="6"/>
  </w:num>
  <w:num w:numId="43" w16cid:durableId="865800621">
    <w:abstractNumId w:val="25"/>
  </w:num>
  <w:num w:numId="44" w16cid:durableId="1018968834">
    <w:abstractNumId w:val="0"/>
  </w:num>
  <w:num w:numId="45" w16cid:durableId="339115734">
    <w:abstractNumId w:val="10"/>
  </w:num>
  <w:num w:numId="46" w16cid:durableId="102924157">
    <w:abstractNumId w:val="16"/>
  </w:num>
  <w:num w:numId="47" w16cid:durableId="958222104">
    <w:abstractNumId w:val="8"/>
  </w:num>
  <w:num w:numId="48" w16cid:durableId="1639723915">
    <w:abstractNumId w:val="14"/>
  </w:num>
  <w:num w:numId="49" w16cid:durableId="1903253885">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54"/>
    <w:rsid w:val="0000067B"/>
    <w:rsid w:val="00000B3D"/>
    <w:rsid w:val="00000C47"/>
    <w:rsid w:val="000015AB"/>
    <w:rsid w:val="000018DE"/>
    <w:rsid w:val="00001BF5"/>
    <w:rsid w:val="0000209D"/>
    <w:rsid w:val="000025A3"/>
    <w:rsid w:val="000025D5"/>
    <w:rsid w:val="0000263D"/>
    <w:rsid w:val="00002924"/>
    <w:rsid w:val="000032C4"/>
    <w:rsid w:val="00003377"/>
    <w:rsid w:val="000033D1"/>
    <w:rsid w:val="00003462"/>
    <w:rsid w:val="000035CB"/>
    <w:rsid w:val="00003D7C"/>
    <w:rsid w:val="00003E3A"/>
    <w:rsid w:val="0000403B"/>
    <w:rsid w:val="00004046"/>
    <w:rsid w:val="000044E4"/>
    <w:rsid w:val="00004699"/>
    <w:rsid w:val="0000477D"/>
    <w:rsid w:val="00004B20"/>
    <w:rsid w:val="00004E49"/>
    <w:rsid w:val="0000572C"/>
    <w:rsid w:val="0000622E"/>
    <w:rsid w:val="0000629B"/>
    <w:rsid w:val="0000665E"/>
    <w:rsid w:val="00006BEA"/>
    <w:rsid w:val="00006EAA"/>
    <w:rsid w:val="000071E9"/>
    <w:rsid w:val="0000789F"/>
    <w:rsid w:val="00007DD9"/>
    <w:rsid w:val="000100F8"/>
    <w:rsid w:val="00010719"/>
    <w:rsid w:val="000109F8"/>
    <w:rsid w:val="00010C11"/>
    <w:rsid w:val="00010CC9"/>
    <w:rsid w:val="00010E1A"/>
    <w:rsid w:val="000110C9"/>
    <w:rsid w:val="000116A2"/>
    <w:rsid w:val="00011A9B"/>
    <w:rsid w:val="00011B1E"/>
    <w:rsid w:val="00011E3D"/>
    <w:rsid w:val="0001227C"/>
    <w:rsid w:val="00012675"/>
    <w:rsid w:val="000127B3"/>
    <w:rsid w:val="00013537"/>
    <w:rsid w:val="0001394D"/>
    <w:rsid w:val="00013CD4"/>
    <w:rsid w:val="000143DD"/>
    <w:rsid w:val="00014622"/>
    <w:rsid w:val="00014CE5"/>
    <w:rsid w:val="00015000"/>
    <w:rsid w:val="0001516C"/>
    <w:rsid w:val="00016167"/>
    <w:rsid w:val="0001633D"/>
    <w:rsid w:val="00016E91"/>
    <w:rsid w:val="00016F2E"/>
    <w:rsid w:val="00016F55"/>
    <w:rsid w:val="00016FF5"/>
    <w:rsid w:val="00017786"/>
    <w:rsid w:val="00017A89"/>
    <w:rsid w:val="00017ADA"/>
    <w:rsid w:val="00017DF0"/>
    <w:rsid w:val="0002022D"/>
    <w:rsid w:val="0002057D"/>
    <w:rsid w:val="0002058D"/>
    <w:rsid w:val="0002063B"/>
    <w:rsid w:val="000206F5"/>
    <w:rsid w:val="0002071C"/>
    <w:rsid w:val="000209B1"/>
    <w:rsid w:val="00020EDF"/>
    <w:rsid w:val="000211AD"/>
    <w:rsid w:val="0002177D"/>
    <w:rsid w:val="00021F7E"/>
    <w:rsid w:val="00022360"/>
    <w:rsid w:val="00022699"/>
    <w:rsid w:val="00022E5A"/>
    <w:rsid w:val="00022FEF"/>
    <w:rsid w:val="00023306"/>
    <w:rsid w:val="00023623"/>
    <w:rsid w:val="00023D8B"/>
    <w:rsid w:val="00024E54"/>
    <w:rsid w:val="00024E8E"/>
    <w:rsid w:val="00025012"/>
    <w:rsid w:val="0002538D"/>
    <w:rsid w:val="000258AD"/>
    <w:rsid w:val="000259DA"/>
    <w:rsid w:val="00025A15"/>
    <w:rsid w:val="000261E2"/>
    <w:rsid w:val="000262B3"/>
    <w:rsid w:val="000266D5"/>
    <w:rsid w:val="000267C4"/>
    <w:rsid w:val="0002689E"/>
    <w:rsid w:val="000269EB"/>
    <w:rsid w:val="00026E37"/>
    <w:rsid w:val="000278C3"/>
    <w:rsid w:val="00030201"/>
    <w:rsid w:val="0003044C"/>
    <w:rsid w:val="0003053B"/>
    <w:rsid w:val="00030C39"/>
    <w:rsid w:val="00031528"/>
    <w:rsid w:val="000319E1"/>
    <w:rsid w:val="00031A34"/>
    <w:rsid w:val="00031A98"/>
    <w:rsid w:val="00031D88"/>
    <w:rsid w:val="00032D7C"/>
    <w:rsid w:val="000333BE"/>
    <w:rsid w:val="000336DD"/>
    <w:rsid w:val="00033AB1"/>
    <w:rsid w:val="0003405C"/>
    <w:rsid w:val="00034337"/>
    <w:rsid w:val="00035241"/>
    <w:rsid w:val="00035AD1"/>
    <w:rsid w:val="000364BA"/>
    <w:rsid w:val="00036541"/>
    <w:rsid w:val="00036947"/>
    <w:rsid w:val="00036A71"/>
    <w:rsid w:val="00036C34"/>
    <w:rsid w:val="00036EDA"/>
    <w:rsid w:val="00037917"/>
    <w:rsid w:val="00040384"/>
    <w:rsid w:val="0004063A"/>
    <w:rsid w:val="00040749"/>
    <w:rsid w:val="000409D9"/>
    <w:rsid w:val="00040D54"/>
    <w:rsid w:val="00040D55"/>
    <w:rsid w:val="000413DF"/>
    <w:rsid w:val="000414B9"/>
    <w:rsid w:val="00041788"/>
    <w:rsid w:val="00041895"/>
    <w:rsid w:val="00041988"/>
    <w:rsid w:val="0004224A"/>
    <w:rsid w:val="000425C5"/>
    <w:rsid w:val="00042ADF"/>
    <w:rsid w:val="00043308"/>
    <w:rsid w:val="00043328"/>
    <w:rsid w:val="00043A7E"/>
    <w:rsid w:val="00043D18"/>
    <w:rsid w:val="00043F20"/>
    <w:rsid w:val="00043FF1"/>
    <w:rsid w:val="000441A8"/>
    <w:rsid w:val="000443CA"/>
    <w:rsid w:val="00045B6B"/>
    <w:rsid w:val="00045BDF"/>
    <w:rsid w:val="00045C50"/>
    <w:rsid w:val="00045CD9"/>
    <w:rsid w:val="00045D1B"/>
    <w:rsid w:val="00045E3F"/>
    <w:rsid w:val="00045FFF"/>
    <w:rsid w:val="000462EB"/>
    <w:rsid w:val="0004667E"/>
    <w:rsid w:val="00046E3D"/>
    <w:rsid w:val="000470F1"/>
    <w:rsid w:val="0004720E"/>
    <w:rsid w:val="00047328"/>
    <w:rsid w:val="00047B61"/>
    <w:rsid w:val="00047FA6"/>
    <w:rsid w:val="00047FE7"/>
    <w:rsid w:val="0005046F"/>
    <w:rsid w:val="0005068D"/>
    <w:rsid w:val="00050CF9"/>
    <w:rsid w:val="0005100D"/>
    <w:rsid w:val="00051046"/>
    <w:rsid w:val="00051B22"/>
    <w:rsid w:val="00051F06"/>
    <w:rsid w:val="00052064"/>
    <w:rsid w:val="00052E60"/>
    <w:rsid w:val="00053115"/>
    <w:rsid w:val="000532DC"/>
    <w:rsid w:val="00053629"/>
    <w:rsid w:val="00053815"/>
    <w:rsid w:val="00053A63"/>
    <w:rsid w:val="000543B0"/>
    <w:rsid w:val="000543E4"/>
    <w:rsid w:val="00054510"/>
    <w:rsid w:val="00054570"/>
    <w:rsid w:val="000546B0"/>
    <w:rsid w:val="00054877"/>
    <w:rsid w:val="00054E6A"/>
    <w:rsid w:val="00055136"/>
    <w:rsid w:val="00055731"/>
    <w:rsid w:val="000559C2"/>
    <w:rsid w:val="00055D76"/>
    <w:rsid w:val="00055E2D"/>
    <w:rsid w:val="00055F30"/>
    <w:rsid w:val="000560AD"/>
    <w:rsid w:val="00056408"/>
    <w:rsid w:val="0005699E"/>
    <w:rsid w:val="00056A8C"/>
    <w:rsid w:val="000570EC"/>
    <w:rsid w:val="000573DF"/>
    <w:rsid w:val="00057BE7"/>
    <w:rsid w:val="00057C80"/>
    <w:rsid w:val="00057CAF"/>
    <w:rsid w:val="00057D84"/>
    <w:rsid w:val="00057E95"/>
    <w:rsid w:val="00057EDA"/>
    <w:rsid w:val="00060022"/>
    <w:rsid w:val="00060A67"/>
    <w:rsid w:val="00060DB6"/>
    <w:rsid w:val="00061565"/>
    <w:rsid w:val="00061A8D"/>
    <w:rsid w:val="00061B2C"/>
    <w:rsid w:val="00062050"/>
    <w:rsid w:val="0006254A"/>
    <w:rsid w:val="00062E46"/>
    <w:rsid w:val="00063068"/>
    <w:rsid w:val="00063170"/>
    <w:rsid w:val="00063302"/>
    <w:rsid w:val="000637D9"/>
    <w:rsid w:val="00063C42"/>
    <w:rsid w:val="00064235"/>
    <w:rsid w:val="000646FA"/>
    <w:rsid w:val="00064784"/>
    <w:rsid w:val="00065114"/>
    <w:rsid w:val="000660CE"/>
    <w:rsid w:val="0006635A"/>
    <w:rsid w:val="000667D3"/>
    <w:rsid w:val="000669A2"/>
    <w:rsid w:val="000669A4"/>
    <w:rsid w:val="000669E5"/>
    <w:rsid w:val="00066B7A"/>
    <w:rsid w:val="00066EFB"/>
    <w:rsid w:val="00067331"/>
    <w:rsid w:val="00067F6E"/>
    <w:rsid w:val="00070229"/>
    <w:rsid w:val="000702AE"/>
    <w:rsid w:val="0007030A"/>
    <w:rsid w:val="00070E14"/>
    <w:rsid w:val="00071DAD"/>
    <w:rsid w:val="00071F6A"/>
    <w:rsid w:val="0007247A"/>
    <w:rsid w:val="00072672"/>
    <w:rsid w:val="00072915"/>
    <w:rsid w:val="00072BAC"/>
    <w:rsid w:val="00072BDE"/>
    <w:rsid w:val="00072C0E"/>
    <w:rsid w:val="00072DD3"/>
    <w:rsid w:val="00072F2D"/>
    <w:rsid w:val="0007322B"/>
    <w:rsid w:val="00073CCB"/>
    <w:rsid w:val="00073CDA"/>
    <w:rsid w:val="00073FB1"/>
    <w:rsid w:val="00073FBC"/>
    <w:rsid w:val="00074548"/>
    <w:rsid w:val="000745FD"/>
    <w:rsid w:val="000749F4"/>
    <w:rsid w:val="00074D4F"/>
    <w:rsid w:val="00075251"/>
    <w:rsid w:val="00075377"/>
    <w:rsid w:val="000756D9"/>
    <w:rsid w:val="00075D09"/>
    <w:rsid w:val="0007606E"/>
    <w:rsid w:val="0007614F"/>
    <w:rsid w:val="000764E6"/>
    <w:rsid w:val="0007688B"/>
    <w:rsid w:val="0007689B"/>
    <w:rsid w:val="00076CF5"/>
    <w:rsid w:val="00076D09"/>
    <w:rsid w:val="00076DC2"/>
    <w:rsid w:val="000779D0"/>
    <w:rsid w:val="00077C16"/>
    <w:rsid w:val="0008007D"/>
    <w:rsid w:val="0008039B"/>
    <w:rsid w:val="0008056D"/>
    <w:rsid w:val="00080573"/>
    <w:rsid w:val="00080B03"/>
    <w:rsid w:val="00080DC8"/>
    <w:rsid w:val="00080E74"/>
    <w:rsid w:val="000810CD"/>
    <w:rsid w:val="000811CC"/>
    <w:rsid w:val="00081316"/>
    <w:rsid w:val="00081A63"/>
    <w:rsid w:val="00081AB5"/>
    <w:rsid w:val="000820ED"/>
    <w:rsid w:val="0008219E"/>
    <w:rsid w:val="00082289"/>
    <w:rsid w:val="000822A0"/>
    <w:rsid w:val="0008244F"/>
    <w:rsid w:val="000829A5"/>
    <w:rsid w:val="00082BA7"/>
    <w:rsid w:val="00082D85"/>
    <w:rsid w:val="0008308F"/>
    <w:rsid w:val="00083221"/>
    <w:rsid w:val="0008385D"/>
    <w:rsid w:val="000839EE"/>
    <w:rsid w:val="00083C30"/>
    <w:rsid w:val="0008405C"/>
    <w:rsid w:val="000850E2"/>
    <w:rsid w:val="000859C2"/>
    <w:rsid w:val="000859CE"/>
    <w:rsid w:val="00085B15"/>
    <w:rsid w:val="00085D4A"/>
    <w:rsid w:val="00085DD6"/>
    <w:rsid w:val="00085F1D"/>
    <w:rsid w:val="000865DE"/>
    <w:rsid w:val="000868E0"/>
    <w:rsid w:val="00086A2F"/>
    <w:rsid w:val="00086C27"/>
    <w:rsid w:val="00086C74"/>
    <w:rsid w:val="00086CEA"/>
    <w:rsid w:val="000870F3"/>
    <w:rsid w:val="000870FC"/>
    <w:rsid w:val="0008764F"/>
    <w:rsid w:val="0008767D"/>
    <w:rsid w:val="00087853"/>
    <w:rsid w:val="00087BDE"/>
    <w:rsid w:val="00087F79"/>
    <w:rsid w:val="0009002C"/>
    <w:rsid w:val="000900E6"/>
    <w:rsid w:val="0009014E"/>
    <w:rsid w:val="000901BF"/>
    <w:rsid w:val="0009039C"/>
    <w:rsid w:val="0009046E"/>
    <w:rsid w:val="00090681"/>
    <w:rsid w:val="00091649"/>
    <w:rsid w:val="00091829"/>
    <w:rsid w:val="00091A60"/>
    <w:rsid w:val="00092065"/>
    <w:rsid w:val="00092266"/>
    <w:rsid w:val="000926B5"/>
    <w:rsid w:val="00092B69"/>
    <w:rsid w:val="00092E82"/>
    <w:rsid w:val="000931CD"/>
    <w:rsid w:val="0009348D"/>
    <w:rsid w:val="000934A3"/>
    <w:rsid w:val="00093C7E"/>
    <w:rsid w:val="000946E6"/>
    <w:rsid w:val="0009480D"/>
    <w:rsid w:val="00094D7E"/>
    <w:rsid w:val="00094F7B"/>
    <w:rsid w:val="00095241"/>
    <w:rsid w:val="00095523"/>
    <w:rsid w:val="00095A62"/>
    <w:rsid w:val="00095B3F"/>
    <w:rsid w:val="000960DE"/>
    <w:rsid w:val="00096C20"/>
    <w:rsid w:val="00096E02"/>
    <w:rsid w:val="00097243"/>
    <w:rsid w:val="00097D31"/>
    <w:rsid w:val="000A088D"/>
    <w:rsid w:val="000A0C59"/>
    <w:rsid w:val="000A1967"/>
    <w:rsid w:val="000A1EF2"/>
    <w:rsid w:val="000A2E23"/>
    <w:rsid w:val="000A2EDE"/>
    <w:rsid w:val="000A2F40"/>
    <w:rsid w:val="000A3074"/>
    <w:rsid w:val="000A3119"/>
    <w:rsid w:val="000A39B5"/>
    <w:rsid w:val="000A3E8F"/>
    <w:rsid w:val="000A3F30"/>
    <w:rsid w:val="000A40E3"/>
    <w:rsid w:val="000A46AA"/>
    <w:rsid w:val="000A475A"/>
    <w:rsid w:val="000A4CDB"/>
    <w:rsid w:val="000A57AE"/>
    <w:rsid w:val="000A5995"/>
    <w:rsid w:val="000A5B64"/>
    <w:rsid w:val="000A6919"/>
    <w:rsid w:val="000A69DC"/>
    <w:rsid w:val="000A6A40"/>
    <w:rsid w:val="000A6A56"/>
    <w:rsid w:val="000A6B17"/>
    <w:rsid w:val="000A7077"/>
    <w:rsid w:val="000A71B3"/>
    <w:rsid w:val="000A7F5A"/>
    <w:rsid w:val="000A7FFE"/>
    <w:rsid w:val="000B018F"/>
    <w:rsid w:val="000B0AE3"/>
    <w:rsid w:val="000B1923"/>
    <w:rsid w:val="000B1A37"/>
    <w:rsid w:val="000B1CA0"/>
    <w:rsid w:val="000B1DF5"/>
    <w:rsid w:val="000B1E03"/>
    <w:rsid w:val="000B21BE"/>
    <w:rsid w:val="000B23A0"/>
    <w:rsid w:val="000B2427"/>
    <w:rsid w:val="000B2F4C"/>
    <w:rsid w:val="000B305C"/>
    <w:rsid w:val="000B31D4"/>
    <w:rsid w:val="000B3792"/>
    <w:rsid w:val="000B3871"/>
    <w:rsid w:val="000B38B6"/>
    <w:rsid w:val="000B3A5D"/>
    <w:rsid w:val="000B3A98"/>
    <w:rsid w:val="000B3F95"/>
    <w:rsid w:val="000B4121"/>
    <w:rsid w:val="000B4A14"/>
    <w:rsid w:val="000B4E07"/>
    <w:rsid w:val="000B52A1"/>
    <w:rsid w:val="000B55E0"/>
    <w:rsid w:val="000B56F8"/>
    <w:rsid w:val="000B572F"/>
    <w:rsid w:val="000B58B6"/>
    <w:rsid w:val="000B5D2E"/>
    <w:rsid w:val="000B5FC3"/>
    <w:rsid w:val="000B6DF3"/>
    <w:rsid w:val="000B6EDD"/>
    <w:rsid w:val="000B6FBC"/>
    <w:rsid w:val="000B724F"/>
    <w:rsid w:val="000B73C5"/>
    <w:rsid w:val="000B78AD"/>
    <w:rsid w:val="000B7945"/>
    <w:rsid w:val="000C02E4"/>
    <w:rsid w:val="000C06F6"/>
    <w:rsid w:val="000C0836"/>
    <w:rsid w:val="000C1400"/>
    <w:rsid w:val="000C1BC7"/>
    <w:rsid w:val="000C1F7C"/>
    <w:rsid w:val="000C20A6"/>
    <w:rsid w:val="000C2384"/>
    <w:rsid w:val="000C3071"/>
    <w:rsid w:val="000C33C5"/>
    <w:rsid w:val="000C3D53"/>
    <w:rsid w:val="000C3EA5"/>
    <w:rsid w:val="000C3FB9"/>
    <w:rsid w:val="000C442C"/>
    <w:rsid w:val="000C464D"/>
    <w:rsid w:val="000C4ECF"/>
    <w:rsid w:val="000C50E9"/>
    <w:rsid w:val="000C58A7"/>
    <w:rsid w:val="000C5C37"/>
    <w:rsid w:val="000C5EEA"/>
    <w:rsid w:val="000C6A4A"/>
    <w:rsid w:val="000C6C5D"/>
    <w:rsid w:val="000C7021"/>
    <w:rsid w:val="000C759D"/>
    <w:rsid w:val="000C78DA"/>
    <w:rsid w:val="000C7BD8"/>
    <w:rsid w:val="000C7F0E"/>
    <w:rsid w:val="000D009D"/>
    <w:rsid w:val="000D0281"/>
    <w:rsid w:val="000D0FBE"/>
    <w:rsid w:val="000D2238"/>
    <w:rsid w:val="000D294E"/>
    <w:rsid w:val="000D29ED"/>
    <w:rsid w:val="000D2A3D"/>
    <w:rsid w:val="000D32B1"/>
    <w:rsid w:val="000D3EA8"/>
    <w:rsid w:val="000D47B3"/>
    <w:rsid w:val="000D48AA"/>
    <w:rsid w:val="000D5322"/>
    <w:rsid w:val="000D5389"/>
    <w:rsid w:val="000D53E2"/>
    <w:rsid w:val="000D683A"/>
    <w:rsid w:val="000D736C"/>
    <w:rsid w:val="000D74A5"/>
    <w:rsid w:val="000D753D"/>
    <w:rsid w:val="000D780F"/>
    <w:rsid w:val="000D7B73"/>
    <w:rsid w:val="000D7D67"/>
    <w:rsid w:val="000E00D1"/>
    <w:rsid w:val="000E0355"/>
    <w:rsid w:val="000E0E2C"/>
    <w:rsid w:val="000E0F84"/>
    <w:rsid w:val="000E117E"/>
    <w:rsid w:val="000E1873"/>
    <w:rsid w:val="000E1CBC"/>
    <w:rsid w:val="000E1E15"/>
    <w:rsid w:val="000E21A4"/>
    <w:rsid w:val="000E23AE"/>
    <w:rsid w:val="000E2553"/>
    <w:rsid w:val="000E2635"/>
    <w:rsid w:val="000E2C96"/>
    <w:rsid w:val="000E2CD0"/>
    <w:rsid w:val="000E2CEE"/>
    <w:rsid w:val="000E2EB0"/>
    <w:rsid w:val="000E2F44"/>
    <w:rsid w:val="000E3304"/>
    <w:rsid w:val="000E34AD"/>
    <w:rsid w:val="000E388E"/>
    <w:rsid w:val="000E3908"/>
    <w:rsid w:val="000E3DB6"/>
    <w:rsid w:val="000E3E6B"/>
    <w:rsid w:val="000E5B3B"/>
    <w:rsid w:val="000E606D"/>
    <w:rsid w:val="000E6298"/>
    <w:rsid w:val="000E65E0"/>
    <w:rsid w:val="000E666A"/>
    <w:rsid w:val="000E6747"/>
    <w:rsid w:val="000E744C"/>
    <w:rsid w:val="000E7E4C"/>
    <w:rsid w:val="000E7E83"/>
    <w:rsid w:val="000F0339"/>
    <w:rsid w:val="000F0682"/>
    <w:rsid w:val="000F11FF"/>
    <w:rsid w:val="000F173B"/>
    <w:rsid w:val="000F1793"/>
    <w:rsid w:val="000F1E09"/>
    <w:rsid w:val="000F21E3"/>
    <w:rsid w:val="000F2211"/>
    <w:rsid w:val="000F223B"/>
    <w:rsid w:val="000F28B4"/>
    <w:rsid w:val="000F28FF"/>
    <w:rsid w:val="000F2CF4"/>
    <w:rsid w:val="000F33C2"/>
    <w:rsid w:val="000F36C2"/>
    <w:rsid w:val="000F38E6"/>
    <w:rsid w:val="000F3C09"/>
    <w:rsid w:val="000F3DD7"/>
    <w:rsid w:val="000F3EA5"/>
    <w:rsid w:val="000F3F80"/>
    <w:rsid w:val="000F450F"/>
    <w:rsid w:val="000F4527"/>
    <w:rsid w:val="000F4691"/>
    <w:rsid w:val="000F49D7"/>
    <w:rsid w:val="000F512D"/>
    <w:rsid w:val="000F562F"/>
    <w:rsid w:val="000F5BFB"/>
    <w:rsid w:val="000F5E3B"/>
    <w:rsid w:val="000F5F35"/>
    <w:rsid w:val="000F6477"/>
    <w:rsid w:val="000F6495"/>
    <w:rsid w:val="000F662C"/>
    <w:rsid w:val="000F70BD"/>
    <w:rsid w:val="000F765A"/>
    <w:rsid w:val="000F7E50"/>
    <w:rsid w:val="0010016C"/>
    <w:rsid w:val="001005AE"/>
    <w:rsid w:val="0010066C"/>
    <w:rsid w:val="001009CE"/>
    <w:rsid w:val="001009ED"/>
    <w:rsid w:val="00100B74"/>
    <w:rsid w:val="00100C0F"/>
    <w:rsid w:val="00101C38"/>
    <w:rsid w:val="00101CF8"/>
    <w:rsid w:val="00101D2A"/>
    <w:rsid w:val="001020F8"/>
    <w:rsid w:val="00102321"/>
    <w:rsid w:val="00103759"/>
    <w:rsid w:val="00103897"/>
    <w:rsid w:val="00103E3D"/>
    <w:rsid w:val="00104103"/>
    <w:rsid w:val="00104A49"/>
    <w:rsid w:val="00104D5B"/>
    <w:rsid w:val="00104E1A"/>
    <w:rsid w:val="00104EC8"/>
    <w:rsid w:val="00104F16"/>
    <w:rsid w:val="00104FD1"/>
    <w:rsid w:val="0010525E"/>
    <w:rsid w:val="00105B91"/>
    <w:rsid w:val="00106BE6"/>
    <w:rsid w:val="00106C42"/>
    <w:rsid w:val="00107A5F"/>
    <w:rsid w:val="00107DE7"/>
    <w:rsid w:val="00107EE5"/>
    <w:rsid w:val="0011082B"/>
    <w:rsid w:val="00110895"/>
    <w:rsid w:val="00110A85"/>
    <w:rsid w:val="00111B1F"/>
    <w:rsid w:val="00112786"/>
    <w:rsid w:val="00112799"/>
    <w:rsid w:val="00112857"/>
    <w:rsid w:val="00112C15"/>
    <w:rsid w:val="00112CEF"/>
    <w:rsid w:val="0011310C"/>
    <w:rsid w:val="001131FC"/>
    <w:rsid w:val="001137E9"/>
    <w:rsid w:val="00113C30"/>
    <w:rsid w:val="0011402D"/>
    <w:rsid w:val="00114995"/>
    <w:rsid w:val="00114A24"/>
    <w:rsid w:val="00114DBB"/>
    <w:rsid w:val="00115C82"/>
    <w:rsid w:val="00116670"/>
    <w:rsid w:val="00116F62"/>
    <w:rsid w:val="00116F83"/>
    <w:rsid w:val="00117504"/>
    <w:rsid w:val="00117739"/>
    <w:rsid w:val="0011788E"/>
    <w:rsid w:val="00117EE6"/>
    <w:rsid w:val="00120194"/>
    <w:rsid w:val="001208E9"/>
    <w:rsid w:val="00120D09"/>
    <w:rsid w:val="001215AA"/>
    <w:rsid w:val="00121699"/>
    <w:rsid w:val="001221B1"/>
    <w:rsid w:val="00122268"/>
    <w:rsid w:val="00122472"/>
    <w:rsid w:val="001226D1"/>
    <w:rsid w:val="001231A9"/>
    <w:rsid w:val="00123327"/>
    <w:rsid w:val="0012338F"/>
    <w:rsid w:val="00123B01"/>
    <w:rsid w:val="001245D9"/>
    <w:rsid w:val="001248DC"/>
    <w:rsid w:val="00124F28"/>
    <w:rsid w:val="00124FF4"/>
    <w:rsid w:val="001250FB"/>
    <w:rsid w:val="00125137"/>
    <w:rsid w:val="001256F6"/>
    <w:rsid w:val="0012583E"/>
    <w:rsid w:val="00125863"/>
    <w:rsid w:val="001259D7"/>
    <w:rsid w:val="00125F41"/>
    <w:rsid w:val="00125FAE"/>
    <w:rsid w:val="00126AF8"/>
    <w:rsid w:val="00126C93"/>
    <w:rsid w:val="0012728C"/>
    <w:rsid w:val="001274A8"/>
    <w:rsid w:val="00127504"/>
    <w:rsid w:val="0012759E"/>
    <w:rsid w:val="00127634"/>
    <w:rsid w:val="00127BBA"/>
    <w:rsid w:val="00127BBB"/>
    <w:rsid w:val="00127F1B"/>
    <w:rsid w:val="00127F71"/>
    <w:rsid w:val="001301A3"/>
    <w:rsid w:val="001302F5"/>
    <w:rsid w:val="001303FE"/>
    <w:rsid w:val="001305B2"/>
    <w:rsid w:val="00131153"/>
    <w:rsid w:val="0013134A"/>
    <w:rsid w:val="001315F2"/>
    <w:rsid w:val="001318F9"/>
    <w:rsid w:val="00131B6B"/>
    <w:rsid w:val="00131FE7"/>
    <w:rsid w:val="00132269"/>
    <w:rsid w:val="0013250F"/>
    <w:rsid w:val="00132530"/>
    <w:rsid w:val="00132719"/>
    <w:rsid w:val="00132A6E"/>
    <w:rsid w:val="00133205"/>
    <w:rsid w:val="00133447"/>
    <w:rsid w:val="001336CC"/>
    <w:rsid w:val="00133C07"/>
    <w:rsid w:val="00133DC5"/>
    <w:rsid w:val="001341E0"/>
    <w:rsid w:val="00134709"/>
    <w:rsid w:val="0013472A"/>
    <w:rsid w:val="0013474C"/>
    <w:rsid w:val="0013492E"/>
    <w:rsid w:val="001350F6"/>
    <w:rsid w:val="001350FC"/>
    <w:rsid w:val="0013515F"/>
    <w:rsid w:val="00135351"/>
    <w:rsid w:val="0013584B"/>
    <w:rsid w:val="00135861"/>
    <w:rsid w:val="001358D9"/>
    <w:rsid w:val="00135B96"/>
    <w:rsid w:val="00135BAE"/>
    <w:rsid w:val="001360C4"/>
    <w:rsid w:val="00136278"/>
    <w:rsid w:val="001369DA"/>
    <w:rsid w:val="00136C66"/>
    <w:rsid w:val="00137BBD"/>
    <w:rsid w:val="00140395"/>
    <w:rsid w:val="001406FD"/>
    <w:rsid w:val="00140881"/>
    <w:rsid w:val="00140B3A"/>
    <w:rsid w:val="00140F77"/>
    <w:rsid w:val="00140FCA"/>
    <w:rsid w:val="00141000"/>
    <w:rsid w:val="00141081"/>
    <w:rsid w:val="0014142D"/>
    <w:rsid w:val="0014172A"/>
    <w:rsid w:val="001425BA"/>
    <w:rsid w:val="0014276C"/>
    <w:rsid w:val="001428A1"/>
    <w:rsid w:val="001429D8"/>
    <w:rsid w:val="001429DE"/>
    <w:rsid w:val="001431C3"/>
    <w:rsid w:val="00143410"/>
    <w:rsid w:val="001434D4"/>
    <w:rsid w:val="00143589"/>
    <w:rsid w:val="001439E5"/>
    <w:rsid w:val="0014526F"/>
    <w:rsid w:val="00145639"/>
    <w:rsid w:val="00145920"/>
    <w:rsid w:val="00145B12"/>
    <w:rsid w:val="00145D6A"/>
    <w:rsid w:val="001462DC"/>
    <w:rsid w:val="001463CD"/>
    <w:rsid w:val="00146473"/>
    <w:rsid w:val="0014689F"/>
    <w:rsid w:val="00146B02"/>
    <w:rsid w:val="00146FB9"/>
    <w:rsid w:val="0014728C"/>
    <w:rsid w:val="0014768F"/>
    <w:rsid w:val="00150C12"/>
    <w:rsid w:val="00150E82"/>
    <w:rsid w:val="00151591"/>
    <w:rsid w:val="0015208F"/>
    <w:rsid w:val="00152653"/>
    <w:rsid w:val="00152BDD"/>
    <w:rsid w:val="00152CE2"/>
    <w:rsid w:val="00152D1B"/>
    <w:rsid w:val="0015306C"/>
    <w:rsid w:val="0015312E"/>
    <w:rsid w:val="00153767"/>
    <w:rsid w:val="00153A2A"/>
    <w:rsid w:val="00153ADD"/>
    <w:rsid w:val="00153B91"/>
    <w:rsid w:val="00153C7A"/>
    <w:rsid w:val="00153E41"/>
    <w:rsid w:val="001542E4"/>
    <w:rsid w:val="001542E8"/>
    <w:rsid w:val="001543B8"/>
    <w:rsid w:val="00154B08"/>
    <w:rsid w:val="00154DD5"/>
    <w:rsid w:val="00154FBD"/>
    <w:rsid w:val="0015507B"/>
    <w:rsid w:val="001552CA"/>
    <w:rsid w:val="001559F9"/>
    <w:rsid w:val="00155D67"/>
    <w:rsid w:val="00155EC4"/>
    <w:rsid w:val="00156732"/>
    <w:rsid w:val="00156CA7"/>
    <w:rsid w:val="00156D5B"/>
    <w:rsid w:val="001571B8"/>
    <w:rsid w:val="0015723D"/>
    <w:rsid w:val="00157845"/>
    <w:rsid w:val="001578FE"/>
    <w:rsid w:val="00157BBE"/>
    <w:rsid w:val="00157C72"/>
    <w:rsid w:val="00157CFC"/>
    <w:rsid w:val="00160380"/>
    <w:rsid w:val="001604AC"/>
    <w:rsid w:val="001604CA"/>
    <w:rsid w:val="00160C09"/>
    <w:rsid w:val="00160F74"/>
    <w:rsid w:val="001611EF"/>
    <w:rsid w:val="00161983"/>
    <w:rsid w:val="0016202A"/>
    <w:rsid w:val="00162041"/>
    <w:rsid w:val="00162050"/>
    <w:rsid w:val="0016239B"/>
    <w:rsid w:val="0016242D"/>
    <w:rsid w:val="001625BC"/>
    <w:rsid w:val="00162815"/>
    <w:rsid w:val="00162BD1"/>
    <w:rsid w:val="00163697"/>
    <w:rsid w:val="00163B92"/>
    <w:rsid w:val="00164401"/>
    <w:rsid w:val="001645D6"/>
    <w:rsid w:val="001648BD"/>
    <w:rsid w:val="00164F0A"/>
    <w:rsid w:val="001651FA"/>
    <w:rsid w:val="00165C00"/>
    <w:rsid w:val="00165D16"/>
    <w:rsid w:val="00166043"/>
    <w:rsid w:val="00166A34"/>
    <w:rsid w:val="00166F32"/>
    <w:rsid w:val="00167568"/>
    <w:rsid w:val="00167DE0"/>
    <w:rsid w:val="00167E62"/>
    <w:rsid w:val="0017024A"/>
    <w:rsid w:val="00170518"/>
    <w:rsid w:val="0017067D"/>
    <w:rsid w:val="00170F94"/>
    <w:rsid w:val="001710BD"/>
    <w:rsid w:val="001711A3"/>
    <w:rsid w:val="0017166D"/>
    <w:rsid w:val="0017199A"/>
    <w:rsid w:val="00171B1C"/>
    <w:rsid w:val="00171B6C"/>
    <w:rsid w:val="00171C18"/>
    <w:rsid w:val="00171E95"/>
    <w:rsid w:val="00171EB2"/>
    <w:rsid w:val="00172097"/>
    <w:rsid w:val="001724F5"/>
    <w:rsid w:val="00172820"/>
    <w:rsid w:val="00172C6B"/>
    <w:rsid w:val="00172E0E"/>
    <w:rsid w:val="00173019"/>
    <w:rsid w:val="0017367B"/>
    <w:rsid w:val="00173B7A"/>
    <w:rsid w:val="00173F69"/>
    <w:rsid w:val="00173FA1"/>
    <w:rsid w:val="0017408A"/>
    <w:rsid w:val="001742B5"/>
    <w:rsid w:val="001746A3"/>
    <w:rsid w:val="00174738"/>
    <w:rsid w:val="00174839"/>
    <w:rsid w:val="0017483B"/>
    <w:rsid w:val="00174C1B"/>
    <w:rsid w:val="00174F9A"/>
    <w:rsid w:val="0017548A"/>
    <w:rsid w:val="001758CE"/>
    <w:rsid w:val="00175A98"/>
    <w:rsid w:val="00175B1A"/>
    <w:rsid w:val="00175EB2"/>
    <w:rsid w:val="00175FBA"/>
    <w:rsid w:val="00176B30"/>
    <w:rsid w:val="00176CC3"/>
    <w:rsid w:val="00176D1F"/>
    <w:rsid w:val="0017773E"/>
    <w:rsid w:val="00177AAF"/>
    <w:rsid w:val="00177AEA"/>
    <w:rsid w:val="00177FE1"/>
    <w:rsid w:val="00180467"/>
    <w:rsid w:val="001806D4"/>
    <w:rsid w:val="0018078D"/>
    <w:rsid w:val="001807E2"/>
    <w:rsid w:val="00180CB8"/>
    <w:rsid w:val="001812CB"/>
    <w:rsid w:val="0018147D"/>
    <w:rsid w:val="0018152A"/>
    <w:rsid w:val="00181BFD"/>
    <w:rsid w:val="001824D9"/>
    <w:rsid w:val="00182919"/>
    <w:rsid w:val="00182BFF"/>
    <w:rsid w:val="0018307D"/>
    <w:rsid w:val="00183480"/>
    <w:rsid w:val="00183A7C"/>
    <w:rsid w:val="00183B75"/>
    <w:rsid w:val="00183C3C"/>
    <w:rsid w:val="001840F8"/>
    <w:rsid w:val="0018416C"/>
    <w:rsid w:val="00184337"/>
    <w:rsid w:val="001844B0"/>
    <w:rsid w:val="001844B8"/>
    <w:rsid w:val="00184745"/>
    <w:rsid w:val="00184993"/>
    <w:rsid w:val="00184AE7"/>
    <w:rsid w:val="00184FBB"/>
    <w:rsid w:val="0018517E"/>
    <w:rsid w:val="00185A62"/>
    <w:rsid w:val="00185DF4"/>
    <w:rsid w:val="00186F71"/>
    <w:rsid w:val="00187384"/>
    <w:rsid w:val="00187915"/>
    <w:rsid w:val="00187A08"/>
    <w:rsid w:val="00187AF9"/>
    <w:rsid w:val="001902C9"/>
    <w:rsid w:val="001902E0"/>
    <w:rsid w:val="001903A2"/>
    <w:rsid w:val="00190626"/>
    <w:rsid w:val="001907A4"/>
    <w:rsid w:val="00190B25"/>
    <w:rsid w:val="00190BE0"/>
    <w:rsid w:val="00190D40"/>
    <w:rsid w:val="001915FB"/>
    <w:rsid w:val="001917CC"/>
    <w:rsid w:val="00191AB9"/>
    <w:rsid w:val="00191F3C"/>
    <w:rsid w:val="00191FB6"/>
    <w:rsid w:val="00191FFA"/>
    <w:rsid w:val="0019268A"/>
    <w:rsid w:val="00192D1C"/>
    <w:rsid w:val="00192E75"/>
    <w:rsid w:val="00192F95"/>
    <w:rsid w:val="001931F4"/>
    <w:rsid w:val="001937A3"/>
    <w:rsid w:val="00193A7F"/>
    <w:rsid w:val="00193AEB"/>
    <w:rsid w:val="00193C4F"/>
    <w:rsid w:val="001940FC"/>
    <w:rsid w:val="00194221"/>
    <w:rsid w:val="00194329"/>
    <w:rsid w:val="0019456D"/>
    <w:rsid w:val="00194894"/>
    <w:rsid w:val="00194E13"/>
    <w:rsid w:val="0019537D"/>
    <w:rsid w:val="00195759"/>
    <w:rsid w:val="00195A15"/>
    <w:rsid w:val="00195EAD"/>
    <w:rsid w:val="001967B3"/>
    <w:rsid w:val="00196B39"/>
    <w:rsid w:val="00196D77"/>
    <w:rsid w:val="00196F08"/>
    <w:rsid w:val="0019710E"/>
    <w:rsid w:val="0019786D"/>
    <w:rsid w:val="00197B41"/>
    <w:rsid w:val="001A0015"/>
    <w:rsid w:val="001A01EF"/>
    <w:rsid w:val="001A0285"/>
    <w:rsid w:val="001A05B7"/>
    <w:rsid w:val="001A0693"/>
    <w:rsid w:val="001A0743"/>
    <w:rsid w:val="001A0AFE"/>
    <w:rsid w:val="001A0D2C"/>
    <w:rsid w:val="001A145A"/>
    <w:rsid w:val="001A2087"/>
    <w:rsid w:val="001A273E"/>
    <w:rsid w:val="001A3367"/>
    <w:rsid w:val="001A358B"/>
    <w:rsid w:val="001A3AD4"/>
    <w:rsid w:val="001A3BFC"/>
    <w:rsid w:val="001A3F29"/>
    <w:rsid w:val="001A4129"/>
    <w:rsid w:val="001A4142"/>
    <w:rsid w:val="001A43B8"/>
    <w:rsid w:val="001A46C4"/>
    <w:rsid w:val="001A489D"/>
    <w:rsid w:val="001A48FE"/>
    <w:rsid w:val="001A4C2C"/>
    <w:rsid w:val="001A4EDE"/>
    <w:rsid w:val="001A5E02"/>
    <w:rsid w:val="001A6044"/>
    <w:rsid w:val="001A6245"/>
    <w:rsid w:val="001A645E"/>
    <w:rsid w:val="001A6D0B"/>
    <w:rsid w:val="001A6D9E"/>
    <w:rsid w:val="001A6E88"/>
    <w:rsid w:val="001A6F3D"/>
    <w:rsid w:val="001A7070"/>
    <w:rsid w:val="001A7208"/>
    <w:rsid w:val="001A7387"/>
    <w:rsid w:val="001A74A6"/>
    <w:rsid w:val="001A786A"/>
    <w:rsid w:val="001A7930"/>
    <w:rsid w:val="001A7986"/>
    <w:rsid w:val="001B0342"/>
    <w:rsid w:val="001B0670"/>
    <w:rsid w:val="001B085E"/>
    <w:rsid w:val="001B0B80"/>
    <w:rsid w:val="001B1222"/>
    <w:rsid w:val="001B15D2"/>
    <w:rsid w:val="001B178B"/>
    <w:rsid w:val="001B1BA9"/>
    <w:rsid w:val="001B2377"/>
    <w:rsid w:val="001B2726"/>
    <w:rsid w:val="001B2AF5"/>
    <w:rsid w:val="001B2D06"/>
    <w:rsid w:val="001B3449"/>
    <w:rsid w:val="001B372E"/>
    <w:rsid w:val="001B4C0A"/>
    <w:rsid w:val="001B530B"/>
    <w:rsid w:val="001B5497"/>
    <w:rsid w:val="001B54A0"/>
    <w:rsid w:val="001B5867"/>
    <w:rsid w:val="001B5DEA"/>
    <w:rsid w:val="001B5E39"/>
    <w:rsid w:val="001B604F"/>
    <w:rsid w:val="001B6092"/>
    <w:rsid w:val="001B62DE"/>
    <w:rsid w:val="001B651B"/>
    <w:rsid w:val="001B6A2D"/>
    <w:rsid w:val="001B6BE7"/>
    <w:rsid w:val="001B6CF4"/>
    <w:rsid w:val="001B72DF"/>
    <w:rsid w:val="001B7397"/>
    <w:rsid w:val="001B7AF5"/>
    <w:rsid w:val="001B7B4F"/>
    <w:rsid w:val="001B7CA0"/>
    <w:rsid w:val="001C0001"/>
    <w:rsid w:val="001C00BF"/>
    <w:rsid w:val="001C037F"/>
    <w:rsid w:val="001C03D5"/>
    <w:rsid w:val="001C0417"/>
    <w:rsid w:val="001C04F3"/>
    <w:rsid w:val="001C095B"/>
    <w:rsid w:val="001C113F"/>
    <w:rsid w:val="001C163E"/>
    <w:rsid w:val="001C191E"/>
    <w:rsid w:val="001C1966"/>
    <w:rsid w:val="001C1C15"/>
    <w:rsid w:val="001C1FC5"/>
    <w:rsid w:val="001C2721"/>
    <w:rsid w:val="001C2B3D"/>
    <w:rsid w:val="001C2E1C"/>
    <w:rsid w:val="001C3257"/>
    <w:rsid w:val="001C32A5"/>
    <w:rsid w:val="001C34C5"/>
    <w:rsid w:val="001C3A52"/>
    <w:rsid w:val="001C40CB"/>
    <w:rsid w:val="001C4318"/>
    <w:rsid w:val="001C47E1"/>
    <w:rsid w:val="001C4857"/>
    <w:rsid w:val="001C497B"/>
    <w:rsid w:val="001C52D8"/>
    <w:rsid w:val="001C54C4"/>
    <w:rsid w:val="001C592E"/>
    <w:rsid w:val="001C599A"/>
    <w:rsid w:val="001C59E5"/>
    <w:rsid w:val="001C5A71"/>
    <w:rsid w:val="001C66BE"/>
    <w:rsid w:val="001C6862"/>
    <w:rsid w:val="001C6B7D"/>
    <w:rsid w:val="001C6C32"/>
    <w:rsid w:val="001C6C50"/>
    <w:rsid w:val="001C6E1F"/>
    <w:rsid w:val="001C7041"/>
    <w:rsid w:val="001C79E6"/>
    <w:rsid w:val="001C7AB4"/>
    <w:rsid w:val="001C7B7D"/>
    <w:rsid w:val="001C7FA7"/>
    <w:rsid w:val="001D012A"/>
    <w:rsid w:val="001D0456"/>
    <w:rsid w:val="001D057F"/>
    <w:rsid w:val="001D07AD"/>
    <w:rsid w:val="001D0CF9"/>
    <w:rsid w:val="001D0D3B"/>
    <w:rsid w:val="001D0E9C"/>
    <w:rsid w:val="001D0EFE"/>
    <w:rsid w:val="001D11E0"/>
    <w:rsid w:val="001D157B"/>
    <w:rsid w:val="001D1CE7"/>
    <w:rsid w:val="001D209A"/>
    <w:rsid w:val="001D28DB"/>
    <w:rsid w:val="001D2D4D"/>
    <w:rsid w:val="001D3299"/>
    <w:rsid w:val="001D329F"/>
    <w:rsid w:val="001D32F7"/>
    <w:rsid w:val="001D3375"/>
    <w:rsid w:val="001D3602"/>
    <w:rsid w:val="001D3ACE"/>
    <w:rsid w:val="001D3B27"/>
    <w:rsid w:val="001D3FF0"/>
    <w:rsid w:val="001D3FFC"/>
    <w:rsid w:val="001D4281"/>
    <w:rsid w:val="001D49D0"/>
    <w:rsid w:val="001D4A45"/>
    <w:rsid w:val="001D4A4B"/>
    <w:rsid w:val="001D4CF7"/>
    <w:rsid w:val="001D4FDA"/>
    <w:rsid w:val="001D5079"/>
    <w:rsid w:val="001D517E"/>
    <w:rsid w:val="001D5C26"/>
    <w:rsid w:val="001D5D89"/>
    <w:rsid w:val="001D6143"/>
    <w:rsid w:val="001D694F"/>
    <w:rsid w:val="001D6953"/>
    <w:rsid w:val="001D70EB"/>
    <w:rsid w:val="001D76EE"/>
    <w:rsid w:val="001D7BD7"/>
    <w:rsid w:val="001D7FB6"/>
    <w:rsid w:val="001E048F"/>
    <w:rsid w:val="001E0575"/>
    <w:rsid w:val="001E0613"/>
    <w:rsid w:val="001E07CA"/>
    <w:rsid w:val="001E097F"/>
    <w:rsid w:val="001E0C57"/>
    <w:rsid w:val="001E0E57"/>
    <w:rsid w:val="001E1135"/>
    <w:rsid w:val="001E1265"/>
    <w:rsid w:val="001E1397"/>
    <w:rsid w:val="001E13C0"/>
    <w:rsid w:val="001E1543"/>
    <w:rsid w:val="001E15DF"/>
    <w:rsid w:val="001E1B4F"/>
    <w:rsid w:val="001E1BC9"/>
    <w:rsid w:val="001E2165"/>
    <w:rsid w:val="001E23E3"/>
    <w:rsid w:val="001E2FC0"/>
    <w:rsid w:val="001E3865"/>
    <w:rsid w:val="001E3C5F"/>
    <w:rsid w:val="001E3F5B"/>
    <w:rsid w:val="001E3FAE"/>
    <w:rsid w:val="001E4146"/>
    <w:rsid w:val="001E4160"/>
    <w:rsid w:val="001E46A7"/>
    <w:rsid w:val="001E5013"/>
    <w:rsid w:val="001E55E9"/>
    <w:rsid w:val="001E5B04"/>
    <w:rsid w:val="001E5EB7"/>
    <w:rsid w:val="001E612D"/>
    <w:rsid w:val="001E6352"/>
    <w:rsid w:val="001E6380"/>
    <w:rsid w:val="001E6773"/>
    <w:rsid w:val="001E6AB8"/>
    <w:rsid w:val="001E6BDF"/>
    <w:rsid w:val="001E71D1"/>
    <w:rsid w:val="001E71F1"/>
    <w:rsid w:val="001E7913"/>
    <w:rsid w:val="001E7C18"/>
    <w:rsid w:val="001E7D46"/>
    <w:rsid w:val="001F062B"/>
    <w:rsid w:val="001F0703"/>
    <w:rsid w:val="001F0FBB"/>
    <w:rsid w:val="001F1103"/>
    <w:rsid w:val="001F1128"/>
    <w:rsid w:val="001F1133"/>
    <w:rsid w:val="001F1736"/>
    <w:rsid w:val="001F1848"/>
    <w:rsid w:val="001F1BC2"/>
    <w:rsid w:val="001F20A1"/>
    <w:rsid w:val="001F23E6"/>
    <w:rsid w:val="001F2887"/>
    <w:rsid w:val="001F2A01"/>
    <w:rsid w:val="001F4587"/>
    <w:rsid w:val="001F4E9F"/>
    <w:rsid w:val="001F5518"/>
    <w:rsid w:val="001F6468"/>
    <w:rsid w:val="001F6C4B"/>
    <w:rsid w:val="001F6CF3"/>
    <w:rsid w:val="001F7D66"/>
    <w:rsid w:val="001F7DFB"/>
    <w:rsid w:val="002000FC"/>
    <w:rsid w:val="00200289"/>
    <w:rsid w:val="00200413"/>
    <w:rsid w:val="00200439"/>
    <w:rsid w:val="002004D2"/>
    <w:rsid w:val="00200582"/>
    <w:rsid w:val="0020076D"/>
    <w:rsid w:val="002008B2"/>
    <w:rsid w:val="00200BB7"/>
    <w:rsid w:val="00200BD4"/>
    <w:rsid w:val="00201285"/>
    <w:rsid w:val="00201AB1"/>
    <w:rsid w:val="00201F63"/>
    <w:rsid w:val="002023E9"/>
    <w:rsid w:val="002024B4"/>
    <w:rsid w:val="00202CB0"/>
    <w:rsid w:val="002031D1"/>
    <w:rsid w:val="002035C7"/>
    <w:rsid w:val="002039F7"/>
    <w:rsid w:val="00204037"/>
    <w:rsid w:val="002042E9"/>
    <w:rsid w:val="00204B47"/>
    <w:rsid w:val="0020536E"/>
    <w:rsid w:val="002059B9"/>
    <w:rsid w:val="00205B0A"/>
    <w:rsid w:val="00205BA3"/>
    <w:rsid w:val="0020623F"/>
    <w:rsid w:val="002063C4"/>
    <w:rsid w:val="002065A4"/>
    <w:rsid w:val="0020683D"/>
    <w:rsid w:val="00206FED"/>
    <w:rsid w:val="0020708E"/>
    <w:rsid w:val="00207217"/>
    <w:rsid w:val="00207535"/>
    <w:rsid w:val="00207731"/>
    <w:rsid w:val="0020774D"/>
    <w:rsid w:val="00207CEA"/>
    <w:rsid w:val="00207D5A"/>
    <w:rsid w:val="00207DDB"/>
    <w:rsid w:val="00207EA9"/>
    <w:rsid w:val="002102D2"/>
    <w:rsid w:val="00210760"/>
    <w:rsid w:val="00210D68"/>
    <w:rsid w:val="00210D69"/>
    <w:rsid w:val="00210E84"/>
    <w:rsid w:val="00210F99"/>
    <w:rsid w:val="00211115"/>
    <w:rsid w:val="00211690"/>
    <w:rsid w:val="002118B4"/>
    <w:rsid w:val="00211ECA"/>
    <w:rsid w:val="00212185"/>
    <w:rsid w:val="00212C25"/>
    <w:rsid w:val="00212DBF"/>
    <w:rsid w:val="0021319A"/>
    <w:rsid w:val="002139C8"/>
    <w:rsid w:val="00213C2F"/>
    <w:rsid w:val="00214017"/>
    <w:rsid w:val="002140EC"/>
    <w:rsid w:val="00214971"/>
    <w:rsid w:val="00214B85"/>
    <w:rsid w:val="00215153"/>
    <w:rsid w:val="002159E4"/>
    <w:rsid w:val="00215ECE"/>
    <w:rsid w:val="00215F10"/>
    <w:rsid w:val="0021613C"/>
    <w:rsid w:val="002162C9"/>
    <w:rsid w:val="002164A8"/>
    <w:rsid w:val="002165FA"/>
    <w:rsid w:val="00216FB7"/>
    <w:rsid w:val="00217242"/>
    <w:rsid w:val="00220458"/>
    <w:rsid w:val="00220ABD"/>
    <w:rsid w:val="002213F9"/>
    <w:rsid w:val="002219DF"/>
    <w:rsid w:val="002224DC"/>
    <w:rsid w:val="002228ED"/>
    <w:rsid w:val="00222FC2"/>
    <w:rsid w:val="00223054"/>
    <w:rsid w:val="0022314C"/>
    <w:rsid w:val="002231FB"/>
    <w:rsid w:val="002235B3"/>
    <w:rsid w:val="0022389C"/>
    <w:rsid w:val="002238C1"/>
    <w:rsid w:val="00223A12"/>
    <w:rsid w:val="002249BD"/>
    <w:rsid w:val="00224D51"/>
    <w:rsid w:val="0022533C"/>
    <w:rsid w:val="002255DD"/>
    <w:rsid w:val="0022564D"/>
    <w:rsid w:val="00225936"/>
    <w:rsid w:val="00225D18"/>
    <w:rsid w:val="00225E6D"/>
    <w:rsid w:val="00226145"/>
    <w:rsid w:val="00226295"/>
    <w:rsid w:val="002263D0"/>
    <w:rsid w:val="00227088"/>
    <w:rsid w:val="002271F8"/>
    <w:rsid w:val="0022725C"/>
    <w:rsid w:val="00227670"/>
    <w:rsid w:val="00227942"/>
    <w:rsid w:val="00227DEB"/>
    <w:rsid w:val="0022CB23"/>
    <w:rsid w:val="00230301"/>
    <w:rsid w:val="00230462"/>
    <w:rsid w:val="0023055B"/>
    <w:rsid w:val="00230857"/>
    <w:rsid w:val="002309DD"/>
    <w:rsid w:val="00231D19"/>
    <w:rsid w:val="00231DD6"/>
    <w:rsid w:val="00231E64"/>
    <w:rsid w:val="00231F47"/>
    <w:rsid w:val="00232AAE"/>
    <w:rsid w:val="00232E6E"/>
    <w:rsid w:val="00232F9D"/>
    <w:rsid w:val="0023362D"/>
    <w:rsid w:val="00233A66"/>
    <w:rsid w:val="00233BF0"/>
    <w:rsid w:val="00233E55"/>
    <w:rsid w:val="00234491"/>
    <w:rsid w:val="00234514"/>
    <w:rsid w:val="002347AA"/>
    <w:rsid w:val="002347F3"/>
    <w:rsid w:val="002349A1"/>
    <w:rsid w:val="00234F5C"/>
    <w:rsid w:val="00234FEF"/>
    <w:rsid w:val="00235282"/>
    <w:rsid w:val="002353AD"/>
    <w:rsid w:val="002356CB"/>
    <w:rsid w:val="00235AC8"/>
    <w:rsid w:val="002363E7"/>
    <w:rsid w:val="00237049"/>
    <w:rsid w:val="00237164"/>
    <w:rsid w:val="002372C7"/>
    <w:rsid w:val="00237316"/>
    <w:rsid w:val="00237576"/>
    <w:rsid w:val="00237CA0"/>
    <w:rsid w:val="00240119"/>
    <w:rsid w:val="00240203"/>
    <w:rsid w:val="002406A2"/>
    <w:rsid w:val="002412F9"/>
    <w:rsid w:val="00241C73"/>
    <w:rsid w:val="00241D1E"/>
    <w:rsid w:val="0024225A"/>
    <w:rsid w:val="0024243E"/>
    <w:rsid w:val="00242997"/>
    <w:rsid w:val="00242EC6"/>
    <w:rsid w:val="00242F8C"/>
    <w:rsid w:val="0024304C"/>
    <w:rsid w:val="00243EA6"/>
    <w:rsid w:val="0024427C"/>
    <w:rsid w:val="00244350"/>
    <w:rsid w:val="00244750"/>
    <w:rsid w:val="002448DC"/>
    <w:rsid w:val="00244A12"/>
    <w:rsid w:val="00245362"/>
    <w:rsid w:val="00245686"/>
    <w:rsid w:val="002459CE"/>
    <w:rsid w:val="00245A86"/>
    <w:rsid w:val="00245B0F"/>
    <w:rsid w:val="00246684"/>
    <w:rsid w:val="00246B48"/>
    <w:rsid w:val="002479E4"/>
    <w:rsid w:val="00247A83"/>
    <w:rsid w:val="00247AD3"/>
    <w:rsid w:val="00247AF7"/>
    <w:rsid w:val="00247D69"/>
    <w:rsid w:val="00247DC9"/>
    <w:rsid w:val="00250092"/>
    <w:rsid w:val="0025015F"/>
    <w:rsid w:val="00250186"/>
    <w:rsid w:val="00250205"/>
    <w:rsid w:val="00250243"/>
    <w:rsid w:val="0025028F"/>
    <w:rsid w:val="0025038D"/>
    <w:rsid w:val="00250435"/>
    <w:rsid w:val="002504E1"/>
    <w:rsid w:val="00250701"/>
    <w:rsid w:val="002510F7"/>
    <w:rsid w:val="00251157"/>
    <w:rsid w:val="0025169B"/>
    <w:rsid w:val="00251BB2"/>
    <w:rsid w:val="00251D26"/>
    <w:rsid w:val="002522A9"/>
    <w:rsid w:val="0025233E"/>
    <w:rsid w:val="00252CA4"/>
    <w:rsid w:val="002531E9"/>
    <w:rsid w:val="0025325C"/>
    <w:rsid w:val="002532AC"/>
    <w:rsid w:val="00253359"/>
    <w:rsid w:val="00253460"/>
    <w:rsid w:val="00253B30"/>
    <w:rsid w:val="00253CF3"/>
    <w:rsid w:val="00253F6A"/>
    <w:rsid w:val="00254157"/>
    <w:rsid w:val="00254F15"/>
    <w:rsid w:val="00255965"/>
    <w:rsid w:val="00255B84"/>
    <w:rsid w:val="00255C4C"/>
    <w:rsid w:val="00256059"/>
    <w:rsid w:val="00256600"/>
    <w:rsid w:val="002566DA"/>
    <w:rsid w:val="00256AA2"/>
    <w:rsid w:val="0025788F"/>
    <w:rsid w:val="00257947"/>
    <w:rsid w:val="00260E0F"/>
    <w:rsid w:val="00260E1D"/>
    <w:rsid w:val="00261027"/>
    <w:rsid w:val="002618EE"/>
    <w:rsid w:val="00261A8E"/>
    <w:rsid w:val="002624B8"/>
    <w:rsid w:val="00262755"/>
    <w:rsid w:val="002629D1"/>
    <w:rsid w:val="00262AFC"/>
    <w:rsid w:val="00263179"/>
    <w:rsid w:val="0026325D"/>
    <w:rsid w:val="00263403"/>
    <w:rsid w:val="00263650"/>
    <w:rsid w:val="0026378B"/>
    <w:rsid w:val="002637B5"/>
    <w:rsid w:val="00263999"/>
    <w:rsid w:val="0026417B"/>
    <w:rsid w:val="00264314"/>
    <w:rsid w:val="00264476"/>
    <w:rsid w:val="00264551"/>
    <w:rsid w:val="0026468D"/>
    <w:rsid w:val="00264763"/>
    <w:rsid w:val="00264D0B"/>
    <w:rsid w:val="00264E55"/>
    <w:rsid w:val="002657C6"/>
    <w:rsid w:val="0026603E"/>
    <w:rsid w:val="00266128"/>
    <w:rsid w:val="00266344"/>
    <w:rsid w:val="00266CD5"/>
    <w:rsid w:val="00266EE8"/>
    <w:rsid w:val="00267295"/>
    <w:rsid w:val="0026736D"/>
    <w:rsid w:val="0026784A"/>
    <w:rsid w:val="002679B5"/>
    <w:rsid w:val="00267DEE"/>
    <w:rsid w:val="00267FC0"/>
    <w:rsid w:val="00270112"/>
    <w:rsid w:val="00270CB1"/>
    <w:rsid w:val="002725FF"/>
    <w:rsid w:val="002726FF"/>
    <w:rsid w:val="00273276"/>
    <w:rsid w:val="002733BD"/>
    <w:rsid w:val="00273AF9"/>
    <w:rsid w:val="00273CA0"/>
    <w:rsid w:val="002741A8"/>
    <w:rsid w:val="0027474F"/>
    <w:rsid w:val="00274977"/>
    <w:rsid w:val="00274B95"/>
    <w:rsid w:val="002753A7"/>
    <w:rsid w:val="0027550D"/>
    <w:rsid w:val="00275562"/>
    <w:rsid w:val="00275717"/>
    <w:rsid w:val="0027594C"/>
    <w:rsid w:val="00275AB6"/>
    <w:rsid w:val="00275B1E"/>
    <w:rsid w:val="00276650"/>
    <w:rsid w:val="00276C05"/>
    <w:rsid w:val="00276F42"/>
    <w:rsid w:val="00277079"/>
    <w:rsid w:val="002775B0"/>
    <w:rsid w:val="002777DD"/>
    <w:rsid w:val="00277A8C"/>
    <w:rsid w:val="00277CE7"/>
    <w:rsid w:val="00280297"/>
    <w:rsid w:val="0028029B"/>
    <w:rsid w:val="0028044D"/>
    <w:rsid w:val="002806A2"/>
    <w:rsid w:val="002808BA"/>
    <w:rsid w:val="00280EFE"/>
    <w:rsid w:val="0028104A"/>
    <w:rsid w:val="002811B7"/>
    <w:rsid w:val="00281907"/>
    <w:rsid w:val="002819D7"/>
    <w:rsid w:val="00281F43"/>
    <w:rsid w:val="00282281"/>
    <w:rsid w:val="002823FC"/>
    <w:rsid w:val="00282586"/>
    <w:rsid w:val="00282914"/>
    <w:rsid w:val="00282940"/>
    <w:rsid w:val="00282C7B"/>
    <w:rsid w:val="0028425C"/>
    <w:rsid w:val="00284315"/>
    <w:rsid w:val="00284F27"/>
    <w:rsid w:val="00284F88"/>
    <w:rsid w:val="0028602C"/>
    <w:rsid w:val="00286645"/>
    <w:rsid w:val="002869FA"/>
    <w:rsid w:val="00286A54"/>
    <w:rsid w:val="00286E5C"/>
    <w:rsid w:val="00287281"/>
    <w:rsid w:val="002874E8"/>
    <w:rsid w:val="0028758D"/>
    <w:rsid w:val="002876E9"/>
    <w:rsid w:val="00287824"/>
    <w:rsid w:val="00287B72"/>
    <w:rsid w:val="00287F2A"/>
    <w:rsid w:val="002900D1"/>
    <w:rsid w:val="00291214"/>
    <w:rsid w:val="00291569"/>
    <w:rsid w:val="00291920"/>
    <w:rsid w:val="0029202D"/>
    <w:rsid w:val="0029314E"/>
    <w:rsid w:val="00293A84"/>
    <w:rsid w:val="00293C36"/>
    <w:rsid w:val="00293FAC"/>
    <w:rsid w:val="002940AE"/>
    <w:rsid w:val="002942EF"/>
    <w:rsid w:val="00294629"/>
    <w:rsid w:val="0029478A"/>
    <w:rsid w:val="002947D6"/>
    <w:rsid w:val="00294859"/>
    <w:rsid w:val="002949A3"/>
    <w:rsid w:val="00294B00"/>
    <w:rsid w:val="00294E37"/>
    <w:rsid w:val="00294F81"/>
    <w:rsid w:val="00295307"/>
    <w:rsid w:val="00295609"/>
    <w:rsid w:val="00295687"/>
    <w:rsid w:val="002957B6"/>
    <w:rsid w:val="00295832"/>
    <w:rsid w:val="00295A24"/>
    <w:rsid w:val="00295B58"/>
    <w:rsid w:val="00295D33"/>
    <w:rsid w:val="00295EB2"/>
    <w:rsid w:val="0029602A"/>
    <w:rsid w:val="00296673"/>
    <w:rsid w:val="00296A09"/>
    <w:rsid w:val="00296C78"/>
    <w:rsid w:val="00296CC5"/>
    <w:rsid w:val="002972BE"/>
    <w:rsid w:val="00297754"/>
    <w:rsid w:val="002A0042"/>
    <w:rsid w:val="002A01D5"/>
    <w:rsid w:val="002A0228"/>
    <w:rsid w:val="002A042C"/>
    <w:rsid w:val="002A04B9"/>
    <w:rsid w:val="002A0C05"/>
    <w:rsid w:val="002A1304"/>
    <w:rsid w:val="002A172B"/>
    <w:rsid w:val="002A180E"/>
    <w:rsid w:val="002A1962"/>
    <w:rsid w:val="002A2482"/>
    <w:rsid w:val="002A2DA5"/>
    <w:rsid w:val="002A2E70"/>
    <w:rsid w:val="002A3016"/>
    <w:rsid w:val="002A31ED"/>
    <w:rsid w:val="002A33C8"/>
    <w:rsid w:val="002A33DC"/>
    <w:rsid w:val="002A46B8"/>
    <w:rsid w:val="002A47C4"/>
    <w:rsid w:val="002A48DC"/>
    <w:rsid w:val="002A4D26"/>
    <w:rsid w:val="002A4E1E"/>
    <w:rsid w:val="002A4F7F"/>
    <w:rsid w:val="002A50FA"/>
    <w:rsid w:val="002A57D5"/>
    <w:rsid w:val="002A5A6B"/>
    <w:rsid w:val="002A5DE1"/>
    <w:rsid w:val="002A607E"/>
    <w:rsid w:val="002A6C30"/>
    <w:rsid w:val="002A790B"/>
    <w:rsid w:val="002A7A6B"/>
    <w:rsid w:val="002A7DCC"/>
    <w:rsid w:val="002B034C"/>
    <w:rsid w:val="002B03B5"/>
    <w:rsid w:val="002B03DC"/>
    <w:rsid w:val="002B085B"/>
    <w:rsid w:val="002B09C5"/>
    <w:rsid w:val="002B1214"/>
    <w:rsid w:val="002B17E4"/>
    <w:rsid w:val="002B21B7"/>
    <w:rsid w:val="002B2719"/>
    <w:rsid w:val="002B2AE5"/>
    <w:rsid w:val="002B372F"/>
    <w:rsid w:val="002B3A1E"/>
    <w:rsid w:val="002B4690"/>
    <w:rsid w:val="002B4857"/>
    <w:rsid w:val="002B496B"/>
    <w:rsid w:val="002B4C54"/>
    <w:rsid w:val="002B520D"/>
    <w:rsid w:val="002B55E1"/>
    <w:rsid w:val="002B5862"/>
    <w:rsid w:val="002B5926"/>
    <w:rsid w:val="002B5DA4"/>
    <w:rsid w:val="002B6814"/>
    <w:rsid w:val="002B6BA2"/>
    <w:rsid w:val="002B6F80"/>
    <w:rsid w:val="002B7458"/>
    <w:rsid w:val="002B7DD9"/>
    <w:rsid w:val="002C0011"/>
    <w:rsid w:val="002C075C"/>
    <w:rsid w:val="002C07CF"/>
    <w:rsid w:val="002C08E2"/>
    <w:rsid w:val="002C0DE5"/>
    <w:rsid w:val="002C0E1C"/>
    <w:rsid w:val="002C0F4F"/>
    <w:rsid w:val="002C1141"/>
    <w:rsid w:val="002C1475"/>
    <w:rsid w:val="002C1477"/>
    <w:rsid w:val="002C17FD"/>
    <w:rsid w:val="002C1A8E"/>
    <w:rsid w:val="002C1DD9"/>
    <w:rsid w:val="002C204D"/>
    <w:rsid w:val="002C26FA"/>
    <w:rsid w:val="002C2793"/>
    <w:rsid w:val="002C2B57"/>
    <w:rsid w:val="002C2F1F"/>
    <w:rsid w:val="002C31A8"/>
    <w:rsid w:val="002C390E"/>
    <w:rsid w:val="002C3B00"/>
    <w:rsid w:val="002C3D8C"/>
    <w:rsid w:val="002C4091"/>
    <w:rsid w:val="002C440B"/>
    <w:rsid w:val="002C4799"/>
    <w:rsid w:val="002C484E"/>
    <w:rsid w:val="002C4C66"/>
    <w:rsid w:val="002C5217"/>
    <w:rsid w:val="002C570E"/>
    <w:rsid w:val="002C58AF"/>
    <w:rsid w:val="002C5D98"/>
    <w:rsid w:val="002C5DD1"/>
    <w:rsid w:val="002C659C"/>
    <w:rsid w:val="002C6767"/>
    <w:rsid w:val="002C67EF"/>
    <w:rsid w:val="002C687F"/>
    <w:rsid w:val="002C68AA"/>
    <w:rsid w:val="002C6D26"/>
    <w:rsid w:val="002C7002"/>
    <w:rsid w:val="002C7B24"/>
    <w:rsid w:val="002C7F73"/>
    <w:rsid w:val="002C7F94"/>
    <w:rsid w:val="002D0239"/>
    <w:rsid w:val="002D0B98"/>
    <w:rsid w:val="002D0C98"/>
    <w:rsid w:val="002D0E13"/>
    <w:rsid w:val="002D1492"/>
    <w:rsid w:val="002D2741"/>
    <w:rsid w:val="002D2A10"/>
    <w:rsid w:val="002D2A35"/>
    <w:rsid w:val="002D3D5F"/>
    <w:rsid w:val="002D407E"/>
    <w:rsid w:val="002D40E4"/>
    <w:rsid w:val="002D458A"/>
    <w:rsid w:val="002D4A1B"/>
    <w:rsid w:val="002D4C8D"/>
    <w:rsid w:val="002D4DBB"/>
    <w:rsid w:val="002D4FC9"/>
    <w:rsid w:val="002D52C2"/>
    <w:rsid w:val="002D55FB"/>
    <w:rsid w:val="002D568D"/>
    <w:rsid w:val="002D5AF2"/>
    <w:rsid w:val="002D5CC5"/>
    <w:rsid w:val="002D5D55"/>
    <w:rsid w:val="002D6349"/>
    <w:rsid w:val="002D6620"/>
    <w:rsid w:val="002D6690"/>
    <w:rsid w:val="002D6890"/>
    <w:rsid w:val="002D6DC6"/>
    <w:rsid w:val="002D6F9B"/>
    <w:rsid w:val="002D74C1"/>
    <w:rsid w:val="002D7AC3"/>
    <w:rsid w:val="002D7C87"/>
    <w:rsid w:val="002E01A1"/>
    <w:rsid w:val="002E046A"/>
    <w:rsid w:val="002E1498"/>
    <w:rsid w:val="002E155C"/>
    <w:rsid w:val="002E15F7"/>
    <w:rsid w:val="002E1B2D"/>
    <w:rsid w:val="002E1CD1"/>
    <w:rsid w:val="002E1D58"/>
    <w:rsid w:val="002E2594"/>
    <w:rsid w:val="002E25BF"/>
    <w:rsid w:val="002E27B7"/>
    <w:rsid w:val="002E2839"/>
    <w:rsid w:val="002E287F"/>
    <w:rsid w:val="002E294A"/>
    <w:rsid w:val="002E2A28"/>
    <w:rsid w:val="002E31D3"/>
    <w:rsid w:val="002E32AE"/>
    <w:rsid w:val="002E3325"/>
    <w:rsid w:val="002E3733"/>
    <w:rsid w:val="002E38D4"/>
    <w:rsid w:val="002E3A99"/>
    <w:rsid w:val="002E3BAA"/>
    <w:rsid w:val="002E3E10"/>
    <w:rsid w:val="002E3F7A"/>
    <w:rsid w:val="002E460C"/>
    <w:rsid w:val="002E480C"/>
    <w:rsid w:val="002E4875"/>
    <w:rsid w:val="002E4CBA"/>
    <w:rsid w:val="002E5022"/>
    <w:rsid w:val="002E5F50"/>
    <w:rsid w:val="002E679B"/>
    <w:rsid w:val="002E6867"/>
    <w:rsid w:val="002E74A4"/>
    <w:rsid w:val="002E7A26"/>
    <w:rsid w:val="002E7A54"/>
    <w:rsid w:val="002F0038"/>
    <w:rsid w:val="002F0329"/>
    <w:rsid w:val="002F0370"/>
    <w:rsid w:val="002F0BBA"/>
    <w:rsid w:val="002F0E18"/>
    <w:rsid w:val="002F140A"/>
    <w:rsid w:val="002F14DB"/>
    <w:rsid w:val="002F19F9"/>
    <w:rsid w:val="002F22A5"/>
    <w:rsid w:val="002F318F"/>
    <w:rsid w:val="002F33EE"/>
    <w:rsid w:val="002F4320"/>
    <w:rsid w:val="002F4323"/>
    <w:rsid w:val="002F49CF"/>
    <w:rsid w:val="002F49DE"/>
    <w:rsid w:val="002F59C5"/>
    <w:rsid w:val="002F6A68"/>
    <w:rsid w:val="002F77F9"/>
    <w:rsid w:val="002F7901"/>
    <w:rsid w:val="002F79DA"/>
    <w:rsid w:val="003001DB"/>
    <w:rsid w:val="003002C7"/>
    <w:rsid w:val="00300384"/>
    <w:rsid w:val="003004D7"/>
    <w:rsid w:val="00300B8F"/>
    <w:rsid w:val="00300FCE"/>
    <w:rsid w:val="00301221"/>
    <w:rsid w:val="003014DF"/>
    <w:rsid w:val="003017E3"/>
    <w:rsid w:val="0030183C"/>
    <w:rsid w:val="00301876"/>
    <w:rsid w:val="00301EC2"/>
    <w:rsid w:val="00302C30"/>
    <w:rsid w:val="00302DAE"/>
    <w:rsid w:val="00302EC0"/>
    <w:rsid w:val="00302FA7"/>
    <w:rsid w:val="003037A8"/>
    <w:rsid w:val="0030392A"/>
    <w:rsid w:val="00304022"/>
    <w:rsid w:val="00304052"/>
    <w:rsid w:val="0030408D"/>
    <w:rsid w:val="003040FB"/>
    <w:rsid w:val="0030496D"/>
    <w:rsid w:val="00304ABA"/>
    <w:rsid w:val="00304FC3"/>
    <w:rsid w:val="003051C3"/>
    <w:rsid w:val="003057CF"/>
    <w:rsid w:val="00305904"/>
    <w:rsid w:val="00306446"/>
    <w:rsid w:val="00306A2C"/>
    <w:rsid w:val="00306B91"/>
    <w:rsid w:val="00306E36"/>
    <w:rsid w:val="00306ECC"/>
    <w:rsid w:val="00307182"/>
    <w:rsid w:val="003073CE"/>
    <w:rsid w:val="003073DA"/>
    <w:rsid w:val="0030744E"/>
    <w:rsid w:val="003074B5"/>
    <w:rsid w:val="00307520"/>
    <w:rsid w:val="00307578"/>
    <w:rsid w:val="003076C2"/>
    <w:rsid w:val="00307925"/>
    <w:rsid w:val="003079EA"/>
    <w:rsid w:val="003079EF"/>
    <w:rsid w:val="00307F05"/>
    <w:rsid w:val="0031020C"/>
    <w:rsid w:val="003105BA"/>
    <w:rsid w:val="00310789"/>
    <w:rsid w:val="00310BDB"/>
    <w:rsid w:val="00310EF8"/>
    <w:rsid w:val="00311166"/>
    <w:rsid w:val="003111F9"/>
    <w:rsid w:val="003115A0"/>
    <w:rsid w:val="003116D8"/>
    <w:rsid w:val="00311937"/>
    <w:rsid w:val="00311A06"/>
    <w:rsid w:val="00311C5C"/>
    <w:rsid w:val="00311F09"/>
    <w:rsid w:val="003127E7"/>
    <w:rsid w:val="00312AE9"/>
    <w:rsid w:val="0031313F"/>
    <w:rsid w:val="00313246"/>
    <w:rsid w:val="00313651"/>
    <w:rsid w:val="00313737"/>
    <w:rsid w:val="00313CD7"/>
    <w:rsid w:val="0031411F"/>
    <w:rsid w:val="00314142"/>
    <w:rsid w:val="00314E18"/>
    <w:rsid w:val="00314F1F"/>
    <w:rsid w:val="00315226"/>
    <w:rsid w:val="003152B1"/>
    <w:rsid w:val="00315393"/>
    <w:rsid w:val="00315414"/>
    <w:rsid w:val="0031565D"/>
    <w:rsid w:val="003156DD"/>
    <w:rsid w:val="003157D7"/>
    <w:rsid w:val="00315853"/>
    <w:rsid w:val="00315A0D"/>
    <w:rsid w:val="00316039"/>
    <w:rsid w:val="00316941"/>
    <w:rsid w:val="003169AB"/>
    <w:rsid w:val="00316BF1"/>
    <w:rsid w:val="003176B1"/>
    <w:rsid w:val="003178F3"/>
    <w:rsid w:val="0031790D"/>
    <w:rsid w:val="003179E6"/>
    <w:rsid w:val="00317C6D"/>
    <w:rsid w:val="00317E2F"/>
    <w:rsid w:val="00320290"/>
    <w:rsid w:val="00320422"/>
    <w:rsid w:val="00320959"/>
    <w:rsid w:val="00320FF8"/>
    <w:rsid w:val="00321267"/>
    <w:rsid w:val="00321813"/>
    <w:rsid w:val="00321821"/>
    <w:rsid w:val="00321AEF"/>
    <w:rsid w:val="00321E2A"/>
    <w:rsid w:val="00322258"/>
    <w:rsid w:val="00322769"/>
    <w:rsid w:val="00322BDC"/>
    <w:rsid w:val="00322C20"/>
    <w:rsid w:val="003230B4"/>
    <w:rsid w:val="003230DB"/>
    <w:rsid w:val="00323206"/>
    <w:rsid w:val="003232A4"/>
    <w:rsid w:val="003233F8"/>
    <w:rsid w:val="003235A1"/>
    <w:rsid w:val="0032383E"/>
    <w:rsid w:val="00323E8C"/>
    <w:rsid w:val="003248B0"/>
    <w:rsid w:val="00324F3D"/>
    <w:rsid w:val="0032529F"/>
    <w:rsid w:val="00325B0D"/>
    <w:rsid w:val="00325FFC"/>
    <w:rsid w:val="003262C1"/>
    <w:rsid w:val="00326430"/>
    <w:rsid w:val="00326762"/>
    <w:rsid w:val="00327168"/>
    <w:rsid w:val="003278CF"/>
    <w:rsid w:val="00327953"/>
    <w:rsid w:val="00327E8F"/>
    <w:rsid w:val="0033031E"/>
    <w:rsid w:val="00330509"/>
    <w:rsid w:val="0033095C"/>
    <w:rsid w:val="003310D0"/>
    <w:rsid w:val="00331443"/>
    <w:rsid w:val="003317A8"/>
    <w:rsid w:val="00331A46"/>
    <w:rsid w:val="00331C86"/>
    <w:rsid w:val="00331FBA"/>
    <w:rsid w:val="0033267D"/>
    <w:rsid w:val="00332AC8"/>
    <w:rsid w:val="00333B10"/>
    <w:rsid w:val="00333C52"/>
    <w:rsid w:val="00333E8B"/>
    <w:rsid w:val="00333FB2"/>
    <w:rsid w:val="00334559"/>
    <w:rsid w:val="00334819"/>
    <w:rsid w:val="003349F4"/>
    <w:rsid w:val="00334A05"/>
    <w:rsid w:val="00334CCE"/>
    <w:rsid w:val="00334D7C"/>
    <w:rsid w:val="00334E83"/>
    <w:rsid w:val="003352B2"/>
    <w:rsid w:val="00335365"/>
    <w:rsid w:val="003358C0"/>
    <w:rsid w:val="0033599F"/>
    <w:rsid w:val="003359CF"/>
    <w:rsid w:val="0033612E"/>
    <w:rsid w:val="00336200"/>
    <w:rsid w:val="0033629E"/>
    <w:rsid w:val="00336CEB"/>
    <w:rsid w:val="00336ECB"/>
    <w:rsid w:val="003373DA"/>
    <w:rsid w:val="00337473"/>
    <w:rsid w:val="0033767E"/>
    <w:rsid w:val="003377AE"/>
    <w:rsid w:val="0033786C"/>
    <w:rsid w:val="003378A4"/>
    <w:rsid w:val="0033792B"/>
    <w:rsid w:val="00337AD7"/>
    <w:rsid w:val="00337D24"/>
    <w:rsid w:val="00337F16"/>
    <w:rsid w:val="00340F22"/>
    <w:rsid w:val="00341416"/>
    <w:rsid w:val="00341726"/>
    <w:rsid w:val="00341759"/>
    <w:rsid w:val="003419F2"/>
    <w:rsid w:val="003427CD"/>
    <w:rsid w:val="00342B65"/>
    <w:rsid w:val="00342B93"/>
    <w:rsid w:val="00342CF5"/>
    <w:rsid w:val="00342D60"/>
    <w:rsid w:val="00342E87"/>
    <w:rsid w:val="003431F7"/>
    <w:rsid w:val="003435CB"/>
    <w:rsid w:val="00343898"/>
    <w:rsid w:val="00343BF5"/>
    <w:rsid w:val="00343EF2"/>
    <w:rsid w:val="003443A7"/>
    <w:rsid w:val="00344B3A"/>
    <w:rsid w:val="00345608"/>
    <w:rsid w:val="003459BB"/>
    <w:rsid w:val="003461B7"/>
    <w:rsid w:val="0034679E"/>
    <w:rsid w:val="00346BB1"/>
    <w:rsid w:val="003472BC"/>
    <w:rsid w:val="0034772F"/>
    <w:rsid w:val="00347B4C"/>
    <w:rsid w:val="00347C88"/>
    <w:rsid w:val="00347DE6"/>
    <w:rsid w:val="00347F44"/>
    <w:rsid w:val="00350024"/>
    <w:rsid w:val="00350247"/>
    <w:rsid w:val="0035096C"/>
    <w:rsid w:val="00350CEA"/>
    <w:rsid w:val="003510B5"/>
    <w:rsid w:val="00351264"/>
    <w:rsid w:val="00351331"/>
    <w:rsid w:val="00351821"/>
    <w:rsid w:val="00351BC7"/>
    <w:rsid w:val="00351DE7"/>
    <w:rsid w:val="00351E26"/>
    <w:rsid w:val="0035215D"/>
    <w:rsid w:val="00352265"/>
    <w:rsid w:val="0035247F"/>
    <w:rsid w:val="00352AAF"/>
    <w:rsid w:val="00352AC6"/>
    <w:rsid w:val="00352D8F"/>
    <w:rsid w:val="00352DE2"/>
    <w:rsid w:val="003530A4"/>
    <w:rsid w:val="00354166"/>
    <w:rsid w:val="003545E4"/>
    <w:rsid w:val="00354A31"/>
    <w:rsid w:val="00354FA1"/>
    <w:rsid w:val="003553A6"/>
    <w:rsid w:val="00355430"/>
    <w:rsid w:val="0035593C"/>
    <w:rsid w:val="003559DA"/>
    <w:rsid w:val="00355D76"/>
    <w:rsid w:val="00355E51"/>
    <w:rsid w:val="00356160"/>
    <w:rsid w:val="00356168"/>
    <w:rsid w:val="003565DB"/>
    <w:rsid w:val="003566E9"/>
    <w:rsid w:val="00356B83"/>
    <w:rsid w:val="00356BEA"/>
    <w:rsid w:val="003571DC"/>
    <w:rsid w:val="003572E5"/>
    <w:rsid w:val="003576F8"/>
    <w:rsid w:val="0035771D"/>
    <w:rsid w:val="00357987"/>
    <w:rsid w:val="00357FBD"/>
    <w:rsid w:val="003601A3"/>
    <w:rsid w:val="003601D2"/>
    <w:rsid w:val="00360402"/>
    <w:rsid w:val="0036041B"/>
    <w:rsid w:val="00360485"/>
    <w:rsid w:val="00360781"/>
    <w:rsid w:val="003609D2"/>
    <w:rsid w:val="00360D75"/>
    <w:rsid w:val="00360E4B"/>
    <w:rsid w:val="00360F3A"/>
    <w:rsid w:val="00360FB2"/>
    <w:rsid w:val="00361097"/>
    <w:rsid w:val="00361125"/>
    <w:rsid w:val="003613A5"/>
    <w:rsid w:val="003615AF"/>
    <w:rsid w:val="00361757"/>
    <w:rsid w:val="00361D35"/>
    <w:rsid w:val="00362100"/>
    <w:rsid w:val="00362109"/>
    <w:rsid w:val="00362279"/>
    <w:rsid w:val="0036294A"/>
    <w:rsid w:val="0036295E"/>
    <w:rsid w:val="00362CF7"/>
    <w:rsid w:val="003636E0"/>
    <w:rsid w:val="00363C2F"/>
    <w:rsid w:val="003642F8"/>
    <w:rsid w:val="003643C3"/>
    <w:rsid w:val="00364AB9"/>
    <w:rsid w:val="00364D65"/>
    <w:rsid w:val="00364D6A"/>
    <w:rsid w:val="00364F42"/>
    <w:rsid w:val="003651E5"/>
    <w:rsid w:val="00365626"/>
    <w:rsid w:val="00365AB0"/>
    <w:rsid w:val="00365CAA"/>
    <w:rsid w:val="003666BB"/>
    <w:rsid w:val="003668C6"/>
    <w:rsid w:val="00366A84"/>
    <w:rsid w:val="00366A9A"/>
    <w:rsid w:val="00367169"/>
    <w:rsid w:val="0036716B"/>
    <w:rsid w:val="00367305"/>
    <w:rsid w:val="00367793"/>
    <w:rsid w:val="003701AA"/>
    <w:rsid w:val="00370349"/>
    <w:rsid w:val="00370CEB"/>
    <w:rsid w:val="00371150"/>
    <w:rsid w:val="00371A20"/>
    <w:rsid w:val="00371B91"/>
    <w:rsid w:val="00372057"/>
    <w:rsid w:val="0037219D"/>
    <w:rsid w:val="00372872"/>
    <w:rsid w:val="0037293D"/>
    <w:rsid w:val="00372943"/>
    <w:rsid w:val="00372D9D"/>
    <w:rsid w:val="00373B1F"/>
    <w:rsid w:val="00373F50"/>
    <w:rsid w:val="003740F7"/>
    <w:rsid w:val="003744B2"/>
    <w:rsid w:val="00374966"/>
    <w:rsid w:val="00374B00"/>
    <w:rsid w:val="00374B7F"/>
    <w:rsid w:val="00374FF1"/>
    <w:rsid w:val="003750D1"/>
    <w:rsid w:val="00375561"/>
    <w:rsid w:val="00375C74"/>
    <w:rsid w:val="00375D1C"/>
    <w:rsid w:val="00376FE7"/>
    <w:rsid w:val="003774BD"/>
    <w:rsid w:val="00377663"/>
    <w:rsid w:val="00377C9B"/>
    <w:rsid w:val="00377D45"/>
    <w:rsid w:val="003800AB"/>
    <w:rsid w:val="00380C3D"/>
    <w:rsid w:val="00380E38"/>
    <w:rsid w:val="00381168"/>
    <w:rsid w:val="003811C2"/>
    <w:rsid w:val="00381C1B"/>
    <w:rsid w:val="00381C8E"/>
    <w:rsid w:val="00382278"/>
    <w:rsid w:val="003826EB"/>
    <w:rsid w:val="00382B26"/>
    <w:rsid w:val="00382F52"/>
    <w:rsid w:val="003830D6"/>
    <w:rsid w:val="003837FF"/>
    <w:rsid w:val="00383862"/>
    <w:rsid w:val="00383C87"/>
    <w:rsid w:val="0038401B"/>
    <w:rsid w:val="0038434E"/>
    <w:rsid w:val="00384F38"/>
    <w:rsid w:val="0038526D"/>
    <w:rsid w:val="00385971"/>
    <w:rsid w:val="00385A2B"/>
    <w:rsid w:val="00386030"/>
    <w:rsid w:val="003861D4"/>
    <w:rsid w:val="0038630C"/>
    <w:rsid w:val="00386AF5"/>
    <w:rsid w:val="0038730A"/>
    <w:rsid w:val="003876F9"/>
    <w:rsid w:val="003878DB"/>
    <w:rsid w:val="00390553"/>
    <w:rsid w:val="00390802"/>
    <w:rsid w:val="00390925"/>
    <w:rsid w:val="00390A39"/>
    <w:rsid w:val="00390B17"/>
    <w:rsid w:val="00390EED"/>
    <w:rsid w:val="00391753"/>
    <w:rsid w:val="003919D9"/>
    <w:rsid w:val="00391BDC"/>
    <w:rsid w:val="00391E26"/>
    <w:rsid w:val="00391EDA"/>
    <w:rsid w:val="003920B3"/>
    <w:rsid w:val="0039227C"/>
    <w:rsid w:val="00392535"/>
    <w:rsid w:val="003929AF"/>
    <w:rsid w:val="00392A1C"/>
    <w:rsid w:val="00393151"/>
    <w:rsid w:val="00393273"/>
    <w:rsid w:val="00393CDF"/>
    <w:rsid w:val="00394075"/>
    <w:rsid w:val="00394268"/>
    <w:rsid w:val="00394302"/>
    <w:rsid w:val="00394595"/>
    <w:rsid w:val="0039467C"/>
    <w:rsid w:val="00394DDA"/>
    <w:rsid w:val="00395180"/>
    <w:rsid w:val="003959D4"/>
    <w:rsid w:val="003963B0"/>
    <w:rsid w:val="0039670E"/>
    <w:rsid w:val="00396B71"/>
    <w:rsid w:val="00396BB6"/>
    <w:rsid w:val="00396BC0"/>
    <w:rsid w:val="00396EBC"/>
    <w:rsid w:val="00397070"/>
    <w:rsid w:val="003A006C"/>
    <w:rsid w:val="003A04FE"/>
    <w:rsid w:val="003A063D"/>
    <w:rsid w:val="003A0C1F"/>
    <w:rsid w:val="003A0E9E"/>
    <w:rsid w:val="003A0F63"/>
    <w:rsid w:val="003A1693"/>
    <w:rsid w:val="003A16B9"/>
    <w:rsid w:val="003A1DC0"/>
    <w:rsid w:val="003A2707"/>
    <w:rsid w:val="003A28DE"/>
    <w:rsid w:val="003A2A84"/>
    <w:rsid w:val="003A3266"/>
    <w:rsid w:val="003A3891"/>
    <w:rsid w:val="003A39A4"/>
    <w:rsid w:val="003A3F30"/>
    <w:rsid w:val="003A40B1"/>
    <w:rsid w:val="003A41FC"/>
    <w:rsid w:val="003A422F"/>
    <w:rsid w:val="003A42BD"/>
    <w:rsid w:val="003A4765"/>
    <w:rsid w:val="003A48A2"/>
    <w:rsid w:val="003A496E"/>
    <w:rsid w:val="003A4C14"/>
    <w:rsid w:val="003A508E"/>
    <w:rsid w:val="003A56E3"/>
    <w:rsid w:val="003A5915"/>
    <w:rsid w:val="003A5F15"/>
    <w:rsid w:val="003A5FEE"/>
    <w:rsid w:val="003A6513"/>
    <w:rsid w:val="003A6598"/>
    <w:rsid w:val="003A674B"/>
    <w:rsid w:val="003A682E"/>
    <w:rsid w:val="003A70AF"/>
    <w:rsid w:val="003A75BF"/>
    <w:rsid w:val="003A7ED4"/>
    <w:rsid w:val="003A7FA9"/>
    <w:rsid w:val="003B08DD"/>
    <w:rsid w:val="003B0AD2"/>
    <w:rsid w:val="003B0BEB"/>
    <w:rsid w:val="003B11C5"/>
    <w:rsid w:val="003B15BD"/>
    <w:rsid w:val="003B1737"/>
    <w:rsid w:val="003B1F9A"/>
    <w:rsid w:val="003B23FE"/>
    <w:rsid w:val="003B2589"/>
    <w:rsid w:val="003B2697"/>
    <w:rsid w:val="003B275E"/>
    <w:rsid w:val="003B3218"/>
    <w:rsid w:val="003B346E"/>
    <w:rsid w:val="003B3D37"/>
    <w:rsid w:val="003B41EF"/>
    <w:rsid w:val="003B4509"/>
    <w:rsid w:val="003B476F"/>
    <w:rsid w:val="003B4C05"/>
    <w:rsid w:val="003B4F38"/>
    <w:rsid w:val="003B53BB"/>
    <w:rsid w:val="003B5E37"/>
    <w:rsid w:val="003B6488"/>
    <w:rsid w:val="003B6C07"/>
    <w:rsid w:val="003B7BCA"/>
    <w:rsid w:val="003C00E1"/>
    <w:rsid w:val="003C0469"/>
    <w:rsid w:val="003C0676"/>
    <w:rsid w:val="003C0CFE"/>
    <w:rsid w:val="003C104A"/>
    <w:rsid w:val="003C1504"/>
    <w:rsid w:val="003C162D"/>
    <w:rsid w:val="003C16D8"/>
    <w:rsid w:val="003C1C2B"/>
    <w:rsid w:val="003C22DE"/>
    <w:rsid w:val="003C2560"/>
    <w:rsid w:val="003C2E1A"/>
    <w:rsid w:val="003C39E1"/>
    <w:rsid w:val="003C3FC1"/>
    <w:rsid w:val="003C44FA"/>
    <w:rsid w:val="003C4544"/>
    <w:rsid w:val="003C4BF5"/>
    <w:rsid w:val="003C4F48"/>
    <w:rsid w:val="003C4FC8"/>
    <w:rsid w:val="003C52D9"/>
    <w:rsid w:val="003C572B"/>
    <w:rsid w:val="003C5CCB"/>
    <w:rsid w:val="003C5E02"/>
    <w:rsid w:val="003C60C9"/>
    <w:rsid w:val="003C60F9"/>
    <w:rsid w:val="003C6142"/>
    <w:rsid w:val="003C6C26"/>
    <w:rsid w:val="003C6D1B"/>
    <w:rsid w:val="003C6F2B"/>
    <w:rsid w:val="003C7A1B"/>
    <w:rsid w:val="003C7B60"/>
    <w:rsid w:val="003C7C40"/>
    <w:rsid w:val="003D008B"/>
    <w:rsid w:val="003D0845"/>
    <w:rsid w:val="003D0C51"/>
    <w:rsid w:val="003D0D47"/>
    <w:rsid w:val="003D1A65"/>
    <w:rsid w:val="003D1AA6"/>
    <w:rsid w:val="003D1BCD"/>
    <w:rsid w:val="003D1C1C"/>
    <w:rsid w:val="003D1FB9"/>
    <w:rsid w:val="003D2416"/>
    <w:rsid w:val="003D2C98"/>
    <w:rsid w:val="003D2CCC"/>
    <w:rsid w:val="003D3013"/>
    <w:rsid w:val="003D32BA"/>
    <w:rsid w:val="003D3BE6"/>
    <w:rsid w:val="003D3F9B"/>
    <w:rsid w:val="003D483B"/>
    <w:rsid w:val="003D4A30"/>
    <w:rsid w:val="003D4B58"/>
    <w:rsid w:val="003D4C01"/>
    <w:rsid w:val="003D4D44"/>
    <w:rsid w:val="003D52FF"/>
    <w:rsid w:val="003D5B22"/>
    <w:rsid w:val="003D62DA"/>
    <w:rsid w:val="003D64D5"/>
    <w:rsid w:val="003D6A01"/>
    <w:rsid w:val="003D6AF5"/>
    <w:rsid w:val="003D6E51"/>
    <w:rsid w:val="003D73A2"/>
    <w:rsid w:val="003D7559"/>
    <w:rsid w:val="003D76C3"/>
    <w:rsid w:val="003D78EF"/>
    <w:rsid w:val="003D7A1F"/>
    <w:rsid w:val="003D7E10"/>
    <w:rsid w:val="003E011B"/>
    <w:rsid w:val="003E0565"/>
    <w:rsid w:val="003E0C9E"/>
    <w:rsid w:val="003E0F23"/>
    <w:rsid w:val="003E0F70"/>
    <w:rsid w:val="003E0FBC"/>
    <w:rsid w:val="003E1272"/>
    <w:rsid w:val="003E1299"/>
    <w:rsid w:val="003E1761"/>
    <w:rsid w:val="003E1908"/>
    <w:rsid w:val="003E1E79"/>
    <w:rsid w:val="003E200C"/>
    <w:rsid w:val="003E23B1"/>
    <w:rsid w:val="003E285A"/>
    <w:rsid w:val="003E37AD"/>
    <w:rsid w:val="003E3E1B"/>
    <w:rsid w:val="003E4065"/>
    <w:rsid w:val="003E43A9"/>
    <w:rsid w:val="003E43E5"/>
    <w:rsid w:val="003E4F31"/>
    <w:rsid w:val="003E54BB"/>
    <w:rsid w:val="003E554E"/>
    <w:rsid w:val="003E5739"/>
    <w:rsid w:val="003E5A12"/>
    <w:rsid w:val="003E5D81"/>
    <w:rsid w:val="003E6191"/>
    <w:rsid w:val="003E62F1"/>
    <w:rsid w:val="003E66B5"/>
    <w:rsid w:val="003E6D0D"/>
    <w:rsid w:val="003E6FEB"/>
    <w:rsid w:val="003E72EB"/>
    <w:rsid w:val="003E7C8B"/>
    <w:rsid w:val="003E7DD0"/>
    <w:rsid w:val="003E7DEE"/>
    <w:rsid w:val="003F0312"/>
    <w:rsid w:val="003F061A"/>
    <w:rsid w:val="003F086F"/>
    <w:rsid w:val="003F0882"/>
    <w:rsid w:val="003F09DA"/>
    <w:rsid w:val="003F1B26"/>
    <w:rsid w:val="003F1BCC"/>
    <w:rsid w:val="003F1F39"/>
    <w:rsid w:val="003F2637"/>
    <w:rsid w:val="003F2BD9"/>
    <w:rsid w:val="003F2F92"/>
    <w:rsid w:val="003F30AD"/>
    <w:rsid w:val="003F3261"/>
    <w:rsid w:val="003F343A"/>
    <w:rsid w:val="003F35E4"/>
    <w:rsid w:val="003F45EA"/>
    <w:rsid w:val="003F472D"/>
    <w:rsid w:val="003F54DF"/>
    <w:rsid w:val="003F5953"/>
    <w:rsid w:val="003F5A98"/>
    <w:rsid w:val="003F60A0"/>
    <w:rsid w:val="003F62F0"/>
    <w:rsid w:val="003F6586"/>
    <w:rsid w:val="003F72E6"/>
    <w:rsid w:val="003F7689"/>
    <w:rsid w:val="003F77B0"/>
    <w:rsid w:val="003F791B"/>
    <w:rsid w:val="003F7B36"/>
    <w:rsid w:val="004001B5"/>
    <w:rsid w:val="0040050A"/>
    <w:rsid w:val="00400584"/>
    <w:rsid w:val="0040081B"/>
    <w:rsid w:val="00401218"/>
    <w:rsid w:val="004012E5"/>
    <w:rsid w:val="0040162E"/>
    <w:rsid w:val="004020B7"/>
    <w:rsid w:val="004021A0"/>
    <w:rsid w:val="00402791"/>
    <w:rsid w:val="004027D5"/>
    <w:rsid w:val="0040280F"/>
    <w:rsid w:val="0040281F"/>
    <w:rsid w:val="00402C2B"/>
    <w:rsid w:val="00402D87"/>
    <w:rsid w:val="00402FB1"/>
    <w:rsid w:val="004032C6"/>
    <w:rsid w:val="00403315"/>
    <w:rsid w:val="0040364F"/>
    <w:rsid w:val="00403830"/>
    <w:rsid w:val="00403921"/>
    <w:rsid w:val="0040423E"/>
    <w:rsid w:val="0040429C"/>
    <w:rsid w:val="0040460C"/>
    <w:rsid w:val="004047E0"/>
    <w:rsid w:val="004049F6"/>
    <w:rsid w:val="00404A35"/>
    <w:rsid w:val="00404BB5"/>
    <w:rsid w:val="00404F2D"/>
    <w:rsid w:val="004050FC"/>
    <w:rsid w:val="00405586"/>
    <w:rsid w:val="00405650"/>
    <w:rsid w:val="004057DA"/>
    <w:rsid w:val="004067ED"/>
    <w:rsid w:val="00406A40"/>
    <w:rsid w:val="00406AB0"/>
    <w:rsid w:val="00406CDC"/>
    <w:rsid w:val="00406DD6"/>
    <w:rsid w:val="00406FE5"/>
    <w:rsid w:val="0040755B"/>
    <w:rsid w:val="004106C1"/>
    <w:rsid w:val="0041089C"/>
    <w:rsid w:val="00410A38"/>
    <w:rsid w:val="00410C84"/>
    <w:rsid w:val="00410F64"/>
    <w:rsid w:val="004112DE"/>
    <w:rsid w:val="0041130D"/>
    <w:rsid w:val="004116D4"/>
    <w:rsid w:val="00411AC8"/>
    <w:rsid w:val="00411B56"/>
    <w:rsid w:val="0041234B"/>
    <w:rsid w:val="00413680"/>
    <w:rsid w:val="00413797"/>
    <w:rsid w:val="004137B7"/>
    <w:rsid w:val="004138D7"/>
    <w:rsid w:val="00413CE9"/>
    <w:rsid w:val="00413E55"/>
    <w:rsid w:val="00413F79"/>
    <w:rsid w:val="004142C9"/>
    <w:rsid w:val="0041440B"/>
    <w:rsid w:val="00414459"/>
    <w:rsid w:val="004148A2"/>
    <w:rsid w:val="004148D0"/>
    <w:rsid w:val="00414911"/>
    <w:rsid w:val="00414914"/>
    <w:rsid w:val="00414D4D"/>
    <w:rsid w:val="00414EEA"/>
    <w:rsid w:val="00414F65"/>
    <w:rsid w:val="00415B2D"/>
    <w:rsid w:val="00415FC6"/>
    <w:rsid w:val="00416094"/>
    <w:rsid w:val="004161F4"/>
    <w:rsid w:val="00416211"/>
    <w:rsid w:val="004165A3"/>
    <w:rsid w:val="00417250"/>
    <w:rsid w:val="00417F61"/>
    <w:rsid w:val="00417FD0"/>
    <w:rsid w:val="00420124"/>
    <w:rsid w:val="004205B3"/>
    <w:rsid w:val="0042084C"/>
    <w:rsid w:val="00420C75"/>
    <w:rsid w:val="0042104F"/>
    <w:rsid w:val="004215FD"/>
    <w:rsid w:val="00421B3D"/>
    <w:rsid w:val="00421BA2"/>
    <w:rsid w:val="00421E02"/>
    <w:rsid w:val="00421E8E"/>
    <w:rsid w:val="004228F5"/>
    <w:rsid w:val="00422E98"/>
    <w:rsid w:val="00423369"/>
    <w:rsid w:val="004235C3"/>
    <w:rsid w:val="00423935"/>
    <w:rsid w:val="00423FF7"/>
    <w:rsid w:val="0042431F"/>
    <w:rsid w:val="0042437F"/>
    <w:rsid w:val="00424A39"/>
    <w:rsid w:val="00424D07"/>
    <w:rsid w:val="004251E0"/>
    <w:rsid w:val="00425B07"/>
    <w:rsid w:val="00425D78"/>
    <w:rsid w:val="00426412"/>
    <w:rsid w:val="004264B8"/>
    <w:rsid w:val="00426835"/>
    <w:rsid w:val="00426AB8"/>
    <w:rsid w:val="00426B04"/>
    <w:rsid w:val="00426B60"/>
    <w:rsid w:val="00426BCB"/>
    <w:rsid w:val="00426C02"/>
    <w:rsid w:val="00426CA3"/>
    <w:rsid w:val="00426D94"/>
    <w:rsid w:val="004276C7"/>
    <w:rsid w:val="004301C6"/>
    <w:rsid w:val="00430436"/>
    <w:rsid w:val="00430791"/>
    <w:rsid w:val="00430B62"/>
    <w:rsid w:val="00430CC5"/>
    <w:rsid w:val="00430DBB"/>
    <w:rsid w:val="004313AC"/>
    <w:rsid w:val="0043163A"/>
    <w:rsid w:val="00431AA6"/>
    <w:rsid w:val="00431CDB"/>
    <w:rsid w:val="00431DE3"/>
    <w:rsid w:val="00432033"/>
    <w:rsid w:val="004324AD"/>
    <w:rsid w:val="00432694"/>
    <w:rsid w:val="00432872"/>
    <w:rsid w:val="004333C7"/>
    <w:rsid w:val="00433ABB"/>
    <w:rsid w:val="00433C82"/>
    <w:rsid w:val="0043428E"/>
    <w:rsid w:val="004347D0"/>
    <w:rsid w:val="0043498B"/>
    <w:rsid w:val="00434A9B"/>
    <w:rsid w:val="00434B4A"/>
    <w:rsid w:val="00434D4F"/>
    <w:rsid w:val="00434E8D"/>
    <w:rsid w:val="00434F64"/>
    <w:rsid w:val="004350C8"/>
    <w:rsid w:val="004358BE"/>
    <w:rsid w:val="00435E9E"/>
    <w:rsid w:val="00435F51"/>
    <w:rsid w:val="00435F69"/>
    <w:rsid w:val="00436049"/>
    <w:rsid w:val="004363B9"/>
    <w:rsid w:val="004365D6"/>
    <w:rsid w:val="00436DA6"/>
    <w:rsid w:val="004371A9"/>
    <w:rsid w:val="0043793F"/>
    <w:rsid w:val="0043797F"/>
    <w:rsid w:val="004407E8"/>
    <w:rsid w:val="0044104B"/>
    <w:rsid w:val="00441814"/>
    <w:rsid w:val="0044236C"/>
    <w:rsid w:val="004425EC"/>
    <w:rsid w:val="00442978"/>
    <w:rsid w:val="00442A3D"/>
    <w:rsid w:val="00442B5E"/>
    <w:rsid w:val="0044350B"/>
    <w:rsid w:val="00443DB4"/>
    <w:rsid w:val="00443EAE"/>
    <w:rsid w:val="0044424F"/>
    <w:rsid w:val="00444561"/>
    <w:rsid w:val="00444BD2"/>
    <w:rsid w:val="0044534C"/>
    <w:rsid w:val="004455FE"/>
    <w:rsid w:val="00445B27"/>
    <w:rsid w:val="00445D8B"/>
    <w:rsid w:val="004461BD"/>
    <w:rsid w:val="00446418"/>
    <w:rsid w:val="00446D82"/>
    <w:rsid w:val="00446FA1"/>
    <w:rsid w:val="00447280"/>
    <w:rsid w:val="00447996"/>
    <w:rsid w:val="00447AE6"/>
    <w:rsid w:val="00447E83"/>
    <w:rsid w:val="0045029E"/>
    <w:rsid w:val="00450596"/>
    <w:rsid w:val="00450C46"/>
    <w:rsid w:val="00450CF2"/>
    <w:rsid w:val="00450D6E"/>
    <w:rsid w:val="00450F5C"/>
    <w:rsid w:val="0045131E"/>
    <w:rsid w:val="00451626"/>
    <w:rsid w:val="00451A19"/>
    <w:rsid w:val="00451C3A"/>
    <w:rsid w:val="0045265C"/>
    <w:rsid w:val="00452D5A"/>
    <w:rsid w:val="004532EC"/>
    <w:rsid w:val="004535FC"/>
    <w:rsid w:val="004537F7"/>
    <w:rsid w:val="00453A34"/>
    <w:rsid w:val="00453F99"/>
    <w:rsid w:val="00454335"/>
    <w:rsid w:val="004544B6"/>
    <w:rsid w:val="004545C4"/>
    <w:rsid w:val="00454603"/>
    <w:rsid w:val="00455139"/>
    <w:rsid w:val="004551CA"/>
    <w:rsid w:val="004552D3"/>
    <w:rsid w:val="0045537A"/>
    <w:rsid w:val="004556BD"/>
    <w:rsid w:val="00455909"/>
    <w:rsid w:val="00455C0D"/>
    <w:rsid w:val="00455F02"/>
    <w:rsid w:val="00456290"/>
    <w:rsid w:val="00456352"/>
    <w:rsid w:val="00456588"/>
    <w:rsid w:val="004565C1"/>
    <w:rsid w:val="00456605"/>
    <w:rsid w:val="004566F7"/>
    <w:rsid w:val="00456B0B"/>
    <w:rsid w:val="00456BDD"/>
    <w:rsid w:val="00456C48"/>
    <w:rsid w:val="00457054"/>
    <w:rsid w:val="00457346"/>
    <w:rsid w:val="0045746A"/>
    <w:rsid w:val="00457507"/>
    <w:rsid w:val="0045762F"/>
    <w:rsid w:val="0045773C"/>
    <w:rsid w:val="0045781E"/>
    <w:rsid w:val="00460059"/>
    <w:rsid w:val="004604AC"/>
    <w:rsid w:val="00460593"/>
    <w:rsid w:val="004608DA"/>
    <w:rsid w:val="00460D60"/>
    <w:rsid w:val="0046159E"/>
    <w:rsid w:val="00461956"/>
    <w:rsid w:val="00461988"/>
    <w:rsid w:val="00461991"/>
    <w:rsid w:val="004620AA"/>
    <w:rsid w:val="00462427"/>
    <w:rsid w:val="00462493"/>
    <w:rsid w:val="0046260A"/>
    <w:rsid w:val="0046268E"/>
    <w:rsid w:val="00462804"/>
    <w:rsid w:val="00462970"/>
    <w:rsid w:val="00462C1C"/>
    <w:rsid w:val="00462F2D"/>
    <w:rsid w:val="00462F54"/>
    <w:rsid w:val="00463170"/>
    <w:rsid w:val="004632D9"/>
    <w:rsid w:val="004636D6"/>
    <w:rsid w:val="00463819"/>
    <w:rsid w:val="00463C0F"/>
    <w:rsid w:val="0046475C"/>
    <w:rsid w:val="00464FFC"/>
    <w:rsid w:val="004651D9"/>
    <w:rsid w:val="004651E0"/>
    <w:rsid w:val="00465B84"/>
    <w:rsid w:val="00465CE5"/>
    <w:rsid w:val="00466B6B"/>
    <w:rsid w:val="00466FA7"/>
    <w:rsid w:val="004673EC"/>
    <w:rsid w:val="00467C60"/>
    <w:rsid w:val="00467C9F"/>
    <w:rsid w:val="00467CED"/>
    <w:rsid w:val="00467E18"/>
    <w:rsid w:val="00470AB2"/>
    <w:rsid w:val="00470BF9"/>
    <w:rsid w:val="00470BFE"/>
    <w:rsid w:val="00470E03"/>
    <w:rsid w:val="00470E44"/>
    <w:rsid w:val="00470E86"/>
    <w:rsid w:val="00471218"/>
    <w:rsid w:val="00471282"/>
    <w:rsid w:val="004713FC"/>
    <w:rsid w:val="00471628"/>
    <w:rsid w:val="004719F9"/>
    <w:rsid w:val="00471E0C"/>
    <w:rsid w:val="00472322"/>
    <w:rsid w:val="00472A1B"/>
    <w:rsid w:val="00472D01"/>
    <w:rsid w:val="00473012"/>
    <w:rsid w:val="0047306A"/>
    <w:rsid w:val="00473574"/>
    <w:rsid w:val="00473651"/>
    <w:rsid w:val="004738CA"/>
    <w:rsid w:val="00473B7A"/>
    <w:rsid w:val="00473C58"/>
    <w:rsid w:val="00473F3E"/>
    <w:rsid w:val="0047426A"/>
    <w:rsid w:val="0047452C"/>
    <w:rsid w:val="004745C8"/>
    <w:rsid w:val="00474B01"/>
    <w:rsid w:val="00474C66"/>
    <w:rsid w:val="00474D19"/>
    <w:rsid w:val="00474F74"/>
    <w:rsid w:val="00474FF6"/>
    <w:rsid w:val="00475030"/>
    <w:rsid w:val="004757AC"/>
    <w:rsid w:val="00475AF1"/>
    <w:rsid w:val="00475B2F"/>
    <w:rsid w:val="00475D6C"/>
    <w:rsid w:val="004760E6"/>
    <w:rsid w:val="004778CE"/>
    <w:rsid w:val="00477F99"/>
    <w:rsid w:val="004800B9"/>
    <w:rsid w:val="0048055F"/>
    <w:rsid w:val="004809A3"/>
    <w:rsid w:val="00480C3F"/>
    <w:rsid w:val="00480E4B"/>
    <w:rsid w:val="004814A5"/>
    <w:rsid w:val="004814F2"/>
    <w:rsid w:val="00481B71"/>
    <w:rsid w:val="00481F9F"/>
    <w:rsid w:val="0048209F"/>
    <w:rsid w:val="004821F9"/>
    <w:rsid w:val="004827EF"/>
    <w:rsid w:val="00482904"/>
    <w:rsid w:val="00482C93"/>
    <w:rsid w:val="004832EB"/>
    <w:rsid w:val="00483FAC"/>
    <w:rsid w:val="00484277"/>
    <w:rsid w:val="00484A3E"/>
    <w:rsid w:val="00484A7D"/>
    <w:rsid w:val="00484BE4"/>
    <w:rsid w:val="00485C86"/>
    <w:rsid w:val="00486639"/>
    <w:rsid w:val="00486B1F"/>
    <w:rsid w:val="00486C9B"/>
    <w:rsid w:val="004876A4"/>
    <w:rsid w:val="00487765"/>
    <w:rsid w:val="004879C2"/>
    <w:rsid w:val="00487D1A"/>
    <w:rsid w:val="00487D56"/>
    <w:rsid w:val="00490218"/>
    <w:rsid w:val="00490917"/>
    <w:rsid w:val="00490E30"/>
    <w:rsid w:val="00490F7A"/>
    <w:rsid w:val="004917B8"/>
    <w:rsid w:val="0049191B"/>
    <w:rsid w:val="004919F6"/>
    <w:rsid w:val="00491D98"/>
    <w:rsid w:val="00491E60"/>
    <w:rsid w:val="004922A5"/>
    <w:rsid w:val="0049250F"/>
    <w:rsid w:val="00492561"/>
    <w:rsid w:val="00492AD9"/>
    <w:rsid w:val="00492B19"/>
    <w:rsid w:val="00492D30"/>
    <w:rsid w:val="0049343B"/>
    <w:rsid w:val="00493E97"/>
    <w:rsid w:val="00494081"/>
    <w:rsid w:val="004941E7"/>
    <w:rsid w:val="004941F8"/>
    <w:rsid w:val="00494401"/>
    <w:rsid w:val="004944A1"/>
    <w:rsid w:val="004948CE"/>
    <w:rsid w:val="004954A6"/>
    <w:rsid w:val="004959EB"/>
    <w:rsid w:val="00495B6F"/>
    <w:rsid w:val="00496632"/>
    <w:rsid w:val="0049681F"/>
    <w:rsid w:val="00496C2A"/>
    <w:rsid w:val="00497368"/>
    <w:rsid w:val="0049787D"/>
    <w:rsid w:val="004A021F"/>
    <w:rsid w:val="004A0222"/>
    <w:rsid w:val="004A0508"/>
    <w:rsid w:val="004A0696"/>
    <w:rsid w:val="004A06B8"/>
    <w:rsid w:val="004A0CE3"/>
    <w:rsid w:val="004A1184"/>
    <w:rsid w:val="004A11D3"/>
    <w:rsid w:val="004A1901"/>
    <w:rsid w:val="004A2038"/>
    <w:rsid w:val="004A2084"/>
    <w:rsid w:val="004A2156"/>
    <w:rsid w:val="004A2DD0"/>
    <w:rsid w:val="004A2E9F"/>
    <w:rsid w:val="004A2EDF"/>
    <w:rsid w:val="004A33FA"/>
    <w:rsid w:val="004A3B17"/>
    <w:rsid w:val="004A3F03"/>
    <w:rsid w:val="004A427A"/>
    <w:rsid w:val="004A4486"/>
    <w:rsid w:val="004A47BE"/>
    <w:rsid w:val="004A4856"/>
    <w:rsid w:val="004A5304"/>
    <w:rsid w:val="004A6108"/>
    <w:rsid w:val="004A624F"/>
    <w:rsid w:val="004A64FB"/>
    <w:rsid w:val="004A66DC"/>
    <w:rsid w:val="004A66FF"/>
    <w:rsid w:val="004A6FA2"/>
    <w:rsid w:val="004A7210"/>
    <w:rsid w:val="004A74F0"/>
    <w:rsid w:val="004A769C"/>
    <w:rsid w:val="004B03BB"/>
    <w:rsid w:val="004B0FAC"/>
    <w:rsid w:val="004B11BE"/>
    <w:rsid w:val="004B158F"/>
    <w:rsid w:val="004B1DFA"/>
    <w:rsid w:val="004B2524"/>
    <w:rsid w:val="004B2DE8"/>
    <w:rsid w:val="004B33F5"/>
    <w:rsid w:val="004B3589"/>
    <w:rsid w:val="004B3760"/>
    <w:rsid w:val="004B468D"/>
    <w:rsid w:val="004B46CF"/>
    <w:rsid w:val="004B4DCD"/>
    <w:rsid w:val="004B5030"/>
    <w:rsid w:val="004B5283"/>
    <w:rsid w:val="004B5537"/>
    <w:rsid w:val="004B56BD"/>
    <w:rsid w:val="004B58BE"/>
    <w:rsid w:val="004B5D1C"/>
    <w:rsid w:val="004B6749"/>
    <w:rsid w:val="004B6797"/>
    <w:rsid w:val="004B6B76"/>
    <w:rsid w:val="004B71AC"/>
    <w:rsid w:val="004B7298"/>
    <w:rsid w:val="004B7558"/>
    <w:rsid w:val="004B75C6"/>
    <w:rsid w:val="004B765A"/>
    <w:rsid w:val="004B7721"/>
    <w:rsid w:val="004B7D45"/>
    <w:rsid w:val="004C0215"/>
    <w:rsid w:val="004C03A3"/>
    <w:rsid w:val="004C07A6"/>
    <w:rsid w:val="004C095D"/>
    <w:rsid w:val="004C09A1"/>
    <w:rsid w:val="004C0C44"/>
    <w:rsid w:val="004C0E43"/>
    <w:rsid w:val="004C0FCB"/>
    <w:rsid w:val="004C1A46"/>
    <w:rsid w:val="004C1B71"/>
    <w:rsid w:val="004C1C83"/>
    <w:rsid w:val="004C1F44"/>
    <w:rsid w:val="004C2391"/>
    <w:rsid w:val="004C26F5"/>
    <w:rsid w:val="004C2741"/>
    <w:rsid w:val="004C2958"/>
    <w:rsid w:val="004C29AE"/>
    <w:rsid w:val="004C29DA"/>
    <w:rsid w:val="004C2C13"/>
    <w:rsid w:val="004C2EC2"/>
    <w:rsid w:val="004C2F6B"/>
    <w:rsid w:val="004C2FE6"/>
    <w:rsid w:val="004C30C2"/>
    <w:rsid w:val="004C3140"/>
    <w:rsid w:val="004C33A2"/>
    <w:rsid w:val="004C3869"/>
    <w:rsid w:val="004C394A"/>
    <w:rsid w:val="004C395E"/>
    <w:rsid w:val="004C441E"/>
    <w:rsid w:val="004C4670"/>
    <w:rsid w:val="004C493D"/>
    <w:rsid w:val="004C505C"/>
    <w:rsid w:val="004C55E2"/>
    <w:rsid w:val="004C595C"/>
    <w:rsid w:val="004C5BEB"/>
    <w:rsid w:val="004C5C3E"/>
    <w:rsid w:val="004C5CC4"/>
    <w:rsid w:val="004C6057"/>
    <w:rsid w:val="004C63B6"/>
    <w:rsid w:val="004C6A56"/>
    <w:rsid w:val="004C6CEE"/>
    <w:rsid w:val="004C6F49"/>
    <w:rsid w:val="004C7360"/>
    <w:rsid w:val="004C793B"/>
    <w:rsid w:val="004C7D91"/>
    <w:rsid w:val="004C7FB6"/>
    <w:rsid w:val="004D01FC"/>
    <w:rsid w:val="004D0581"/>
    <w:rsid w:val="004D0638"/>
    <w:rsid w:val="004D08D4"/>
    <w:rsid w:val="004D091D"/>
    <w:rsid w:val="004D094E"/>
    <w:rsid w:val="004D0ECC"/>
    <w:rsid w:val="004D1156"/>
    <w:rsid w:val="004D148C"/>
    <w:rsid w:val="004D16B9"/>
    <w:rsid w:val="004D18E8"/>
    <w:rsid w:val="004D1B4A"/>
    <w:rsid w:val="004D24D1"/>
    <w:rsid w:val="004D25A3"/>
    <w:rsid w:val="004D277D"/>
    <w:rsid w:val="004D27AB"/>
    <w:rsid w:val="004D2A9F"/>
    <w:rsid w:val="004D2F80"/>
    <w:rsid w:val="004D34DE"/>
    <w:rsid w:val="004D379F"/>
    <w:rsid w:val="004D3C0E"/>
    <w:rsid w:val="004D3FC1"/>
    <w:rsid w:val="004D417D"/>
    <w:rsid w:val="004D44C6"/>
    <w:rsid w:val="004D453A"/>
    <w:rsid w:val="004D4AE0"/>
    <w:rsid w:val="004D5154"/>
    <w:rsid w:val="004D5217"/>
    <w:rsid w:val="004D541E"/>
    <w:rsid w:val="004D5A05"/>
    <w:rsid w:val="004D5BD7"/>
    <w:rsid w:val="004D60F4"/>
    <w:rsid w:val="004D687D"/>
    <w:rsid w:val="004D68B7"/>
    <w:rsid w:val="004D69B8"/>
    <w:rsid w:val="004D6C26"/>
    <w:rsid w:val="004D6EE3"/>
    <w:rsid w:val="004D6F16"/>
    <w:rsid w:val="004D6FAD"/>
    <w:rsid w:val="004D7094"/>
    <w:rsid w:val="004D70D4"/>
    <w:rsid w:val="004D72CB"/>
    <w:rsid w:val="004D7BAE"/>
    <w:rsid w:val="004D7BF7"/>
    <w:rsid w:val="004E0330"/>
    <w:rsid w:val="004E078B"/>
    <w:rsid w:val="004E09C9"/>
    <w:rsid w:val="004E0F37"/>
    <w:rsid w:val="004E131C"/>
    <w:rsid w:val="004E1871"/>
    <w:rsid w:val="004E198D"/>
    <w:rsid w:val="004E1A42"/>
    <w:rsid w:val="004E2387"/>
    <w:rsid w:val="004E2A2F"/>
    <w:rsid w:val="004E2E1C"/>
    <w:rsid w:val="004E2F64"/>
    <w:rsid w:val="004E38ED"/>
    <w:rsid w:val="004E45E3"/>
    <w:rsid w:val="004E48AD"/>
    <w:rsid w:val="004E4921"/>
    <w:rsid w:val="004E4CEC"/>
    <w:rsid w:val="004E4D7E"/>
    <w:rsid w:val="004E517B"/>
    <w:rsid w:val="004E5731"/>
    <w:rsid w:val="004E5D3B"/>
    <w:rsid w:val="004E5DF5"/>
    <w:rsid w:val="004E609F"/>
    <w:rsid w:val="004E61FD"/>
    <w:rsid w:val="004E6BCF"/>
    <w:rsid w:val="004E6C64"/>
    <w:rsid w:val="004E6E14"/>
    <w:rsid w:val="004E6F38"/>
    <w:rsid w:val="004E701B"/>
    <w:rsid w:val="004E7029"/>
    <w:rsid w:val="004E74A9"/>
    <w:rsid w:val="004E77AC"/>
    <w:rsid w:val="004E79DF"/>
    <w:rsid w:val="004E7F60"/>
    <w:rsid w:val="004F0DAE"/>
    <w:rsid w:val="004F0E19"/>
    <w:rsid w:val="004F0F5A"/>
    <w:rsid w:val="004F149A"/>
    <w:rsid w:val="004F16CF"/>
    <w:rsid w:val="004F174C"/>
    <w:rsid w:val="004F1A81"/>
    <w:rsid w:val="004F1C61"/>
    <w:rsid w:val="004F220A"/>
    <w:rsid w:val="004F2645"/>
    <w:rsid w:val="004F2F53"/>
    <w:rsid w:val="004F2FEC"/>
    <w:rsid w:val="004F32EB"/>
    <w:rsid w:val="004F3A89"/>
    <w:rsid w:val="004F41D4"/>
    <w:rsid w:val="004F4293"/>
    <w:rsid w:val="004F4709"/>
    <w:rsid w:val="004F4EB2"/>
    <w:rsid w:val="004F695D"/>
    <w:rsid w:val="004F6AD1"/>
    <w:rsid w:val="004F6BFF"/>
    <w:rsid w:val="004F6E00"/>
    <w:rsid w:val="004F705B"/>
    <w:rsid w:val="004F7B54"/>
    <w:rsid w:val="004F7D23"/>
    <w:rsid w:val="004F7F62"/>
    <w:rsid w:val="0050037C"/>
    <w:rsid w:val="00500BCF"/>
    <w:rsid w:val="0050100F"/>
    <w:rsid w:val="005010A7"/>
    <w:rsid w:val="0050229D"/>
    <w:rsid w:val="005026DE"/>
    <w:rsid w:val="005027B5"/>
    <w:rsid w:val="00502CBE"/>
    <w:rsid w:val="0050359D"/>
    <w:rsid w:val="00503974"/>
    <w:rsid w:val="0050454E"/>
    <w:rsid w:val="00504697"/>
    <w:rsid w:val="005049B5"/>
    <w:rsid w:val="00505182"/>
    <w:rsid w:val="00505374"/>
    <w:rsid w:val="0050567D"/>
    <w:rsid w:val="00505928"/>
    <w:rsid w:val="00505CC7"/>
    <w:rsid w:val="00506679"/>
    <w:rsid w:val="0050667F"/>
    <w:rsid w:val="0050693C"/>
    <w:rsid w:val="0050693F"/>
    <w:rsid w:val="00506A86"/>
    <w:rsid w:val="005072B7"/>
    <w:rsid w:val="00507310"/>
    <w:rsid w:val="0050737D"/>
    <w:rsid w:val="00507E81"/>
    <w:rsid w:val="00507F37"/>
    <w:rsid w:val="005103D0"/>
    <w:rsid w:val="0051050D"/>
    <w:rsid w:val="00510E97"/>
    <w:rsid w:val="00511D44"/>
    <w:rsid w:val="005126F5"/>
    <w:rsid w:val="0051281F"/>
    <w:rsid w:val="00512823"/>
    <w:rsid w:val="005129C3"/>
    <w:rsid w:val="00512E26"/>
    <w:rsid w:val="005131FF"/>
    <w:rsid w:val="005138FC"/>
    <w:rsid w:val="00513B24"/>
    <w:rsid w:val="00513C49"/>
    <w:rsid w:val="00514072"/>
    <w:rsid w:val="00514080"/>
    <w:rsid w:val="0051439B"/>
    <w:rsid w:val="00514629"/>
    <w:rsid w:val="00514CB2"/>
    <w:rsid w:val="00514CE8"/>
    <w:rsid w:val="005156C7"/>
    <w:rsid w:val="00515A4B"/>
    <w:rsid w:val="00515C32"/>
    <w:rsid w:val="00516FD2"/>
    <w:rsid w:val="00517009"/>
    <w:rsid w:val="0051757A"/>
    <w:rsid w:val="00517A24"/>
    <w:rsid w:val="00517A56"/>
    <w:rsid w:val="00517AFF"/>
    <w:rsid w:val="00517C8C"/>
    <w:rsid w:val="00520455"/>
    <w:rsid w:val="0052047D"/>
    <w:rsid w:val="00520C7B"/>
    <w:rsid w:val="0052234C"/>
    <w:rsid w:val="00522616"/>
    <w:rsid w:val="00523204"/>
    <w:rsid w:val="0052361F"/>
    <w:rsid w:val="00523689"/>
    <w:rsid w:val="005238F5"/>
    <w:rsid w:val="00523900"/>
    <w:rsid w:val="00523A86"/>
    <w:rsid w:val="00523FE2"/>
    <w:rsid w:val="00524232"/>
    <w:rsid w:val="00524405"/>
    <w:rsid w:val="00524898"/>
    <w:rsid w:val="00524941"/>
    <w:rsid w:val="00524BF0"/>
    <w:rsid w:val="00524C5E"/>
    <w:rsid w:val="00524DAC"/>
    <w:rsid w:val="00524EF2"/>
    <w:rsid w:val="00525163"/>
    <w:rsid w:val="00525489"/>
    <w:rsid w:val="00525A27"/>
    <w:rsid w:val="005263DA"/>
    <w:rsid w:val="0052640C"/>
    <w:rsid w:val="00526583"/>
    <w:rsid w:val="0052663A"/>
    <w:rsid w:val="00526A3B"/>
    <w:rsid w:val="00526B81"/>
    <w:rsid w:val="00526D98"/>
    <w:rsid w:val="00526E9E"/>
    <w:rsid w:val="005272BE"/>
    <w:rsid w:val="005274B5"/>
    <w:rsid w:val="005301AB"/>
    <w:rsid w:val="00530212"/>
    <w:rsid w:val="00530710"/>
    <w:rsid w:val="005307EC"/>
    <w:rsid w:val="00530A2D"/>
    <w:rsid w:val="005314FE"/>
    <w:rsid w:val="005315F7"/>
    <w:rsid w:val="00531720"/>
    <w:rsid w:val="0053267A"/>
    <w:rsid w:val="005326D5"/>
    <w:rsid w:val="0053295D"/>
    <w:rsid w:val="00532FB2"/>
    <w:rsid w:val="005331BF"/>
    <w:rsid w:val="005338F2"/>
    <w:rsid w:val="00533A37"/>
    <w:rsid w:val="00533A53"/>
    <w:rsid w:val="00534060"/>
    <w:rsid w:val="0053460E"/>
    <w:rsid w:val="00534953"/>
    <w:rsid w:val="00534FC6"/>
    <w:rsid w:val="005350DB"/>
    <w:rsid w:val="005350ED"/>
    <w:rsid w:val="0053554E"/>
    <w:rsid w:val="00535668"/>
    <w:rsid w:val="00535820"/>
    <w:rsid w:val="00535DAA"/>
    <w:rsid w:val="00535E0D"/>
    <w:rsid w:val="00535F5B"/>
    <w:rsid w:val="005360D4"/>
    <w:rsid w:val="0053617F"/>
    <w:rsid w:val="005361CB"/>
    <w:rsid w:val="00536413"/>
    <w:rsid w:val="0053650A"/>
    <w:rsid w:val="005374BB"/>
    <w:rsid w:val="00537896"/>
    <w:rsid w:val="00537A1F"/>
    <w:rsid w:val="00537C7A"/>
    <w:rsid w:val="005400E8"/>
    <w:rsid w:val="005404DD"/>
    <w:rsid w:val="0054056A"/>
    <w:rsid w:val="00541A6C"/>
    <w:rsid w:val="00541ACF"/>
    <w:rsid w:val="00541C29"/>
    <w:rsid w:val="005420C0"/>
    <w:rsid w:val="00542B98"/>
    <w:rsid w:val="00542BF5"/>
    <w:rsid w:val="00542BF7"/>
    <w:rsid w:val="00542CCA"/>
    <w:rsid w:val="00542D87"/>
    <w:rsid w:val="005431D6"/>
    <w:rsid w:val="005436A9"/>
    <w:rsid w:val="00543730"/>
    <w:rsid w:val="00543829"/>
    <w:rsid w:val="00543860"/>
    <w:rsid w:val="00543885"/>
    <w:rsid w:val="00543A0C"/>
    <w:rsid w:val="00543B8C"/>
    <w:rsid w:val="00543C89"/>
    <w:rsid w:val="00544826"/>
    <w:rsid w:val="005449BD"/>
    <w:rsid w:val="00544CE7"/>
    <w:rsid w:val="00544E6F"/>
    <w:rsid w:val="00545140"/>
    <w:rsid w:val="00545249"/>
    <w:rsid w:val="00545655"/>
    <w:rsid w:val="005456C5"/>
    <w:rsid w:val="00545846"/>
    <w:rsid w:val="00546AA6"/>
    <w:rsid w:val="00546C34"/>
    <w:rsid w:val="00546E31"/>
    <w:rsid w:val="00546EC8"/>
    <w:rsid w:val="00546FBA"/>
    <w:rsid w:val="00547700"/>
    <w:rsid w:val="00547E15"/>
    <w:rsid w:val="00550085"/>
    <w:rsid w:val="00550595"/>
    <w:rsid w:val="00550C6C"/>
    <w:rsid w:val="00551518"/>
    <w:rsid w:val="005519D2"/>
    <w:rsid w:val="00551B06"/>
    <w:rsid w:val="0055256F"/>
    <w:rsid w:val="00552634"/>
    <w:rsid w:val="005526FA"/>
    <w:rsid w:val="005528C7"/>
    <w:rsid w:val="005529ED"/>
    <w:rsid w:val="00552B83"/>
    <w:rsid w:val="00553DF6"/>
    <w:rsid w:val="00553EDA"/>
    <w:rsid w:val="00553F44"/>
    <w:rsid w:val="005543F5"/>
    <w:rsid w:val="00554B72"/>
    <w:rsid w:val="00554C12"/>
    <w:rsid w:val="0055538E"/>
    <w:rsid w:val="005555FB"/>
    <w:rsid w:val="00555960"/>
    <w:rsid w:val="005559D7"/>
    <w:rsid w:val="00555E00"/>
    <w:rsid w:val="0055664D"/>
    <w:rsid w:val="00556654"/>
    <w:rsid w:val="0055668B"/>
    <w:rsid w:val="00556DBD"/>
    <w:rsid w:val="00556F2A"/>
    <w:rsid w:val="005573A7"/>
    <w:rsid w:val="00557B97"/>
    <w:rsid w:val="00557BF0"/>
    <w:rsid w:val="00557F4A"/>
    <w:rsid w:val="0056001C"/>
    <w:rsid w:val="005608D5"/>
    <w:rsid w:val="00560D42"/>
    <w:rsid w:val="005612EB"/>
    <w:rsid w:val="005615AC"/>
    <w:rsid w:val="0056171F"/>
    <w:rsid w:val="005617F1"/>
    <w:rsid w:val="00561A58"/>
    <w:rsid w:val="00561F76"/>
    <w:rsid w:val="005622B7"/>
    <w:rsid w:val="00562696"/>
    <w:rsid w:val="00563394"/>
    <w:rsid w:val="00564A4F"/>
    <w:rsid w:val="00564ABC"/>
    <w:rsid w:val="0056585C"/>
    <w:rsid w:val="00565FB6"/>
    <w:rsid w:val="0056637C"/>
    <w:rsid w:val="0056644B"/>
    <w:rsid w:val="005666C0"/>
    <w:rsid w:val="00566C3B"/>
    <w:rsid w:val="00566E5C"/>
    <w:rsid w:val="0056750E"/>
    <w:rsid w:val="0056785D"/>
    <w:rsid w:val="00567953"/>
    <w:rsid w:val="00567A60"/>
    <w:rsid w:val="00567B6D"/>
    <w:rsid w:val="005700DB"/>
    <w:rsid w:val="00570370"/>
    <w:rsid w:val="00570409"/>
    <w:rsid w:val="0057095E"/>
    <w:rsid w:val="0057098B"/>
    <w:rsid w:val="00570FDF"/>
    <w:rsid w:val="00570FFE"/>
    <w:rsid w:val="005710B1"/>
    <w:rsid w:val="00571245"/>
    <w:rsid w:val="005715E1"/>
    <w:rsid w:val="00571731"/>
    <w:rsid w:val="005717DD"/>
    <w:rsid w:val="0057188E"/>
    <w:rsid w:val="00571E3F"/>
    <w:rsid w:val="00572249"/>
    <w:rsid w:val="005722FC"/>
    <w:rsid w:val="00572727"/>
    <w:rsid w:val="005727EA"/>
    <w:rsid w:val="00572894"/>
    <w:rsid w:val="00572BFF"/>
    <w:rsid w:val="00573274"/>
    <w:rsid w:val="0057360C"/>
    <w:rsid w:val="00573652"/>
    <w:rsid w:val="00573832"/>
    <w:rsid w:val="0057391F"/>
    <w:rsid w:val="00573B23"/>
    <w:rsid w:val="00573B87"/>
    <w:rsid w:val="0057416B"/>
    <w:rsid w:val="00574197"/>
    <w:rsid w:val="005742EF"/>
    <w:rsid w:val="00574439"/>
    <w:rsid w:val="00574CAD"/>
    <w:rsid w:val="005751B8"/>
    <w:rsid w:val="005754F7"/>
    <w:rsid w:val="005756F1"/>
    <w:rsid w:val="005757C7"/>
    <w:rsid w:val="00576064"/>
    <w:rsid w:val="005774B3"/>
    <w:rsid w:val="00577D2D"/>
    <w:rsid w:val="00577FC5"/>
    <w:rsid w:val="0058000E"/>
    <w:rsid w:val="00580079"/>
    <w:rsid w:val="005805E9"/>
    <w:rsid w:val="00580DCA"/>
    <w:rsid w:val="00580F70"/>
    <w:rsid w:val="005812A6"/>
    <w:rsid w:val="0058156B"/>
    <w:rsid w:val="0058176B"/>
    <w:rsid w:val="00581811"/>
    <w:rsid w:val="005820E8"/>
    <w:rsid w:val="0058268D"/>
    <w:rsid w:val="005826ED"/>
    <w:rsid w:val="00582882"/>
    <w:rsid w:val="0058297D"/>
    <w:rsid w:val="00582B7C"/>
    <w:rsid w:val="005837C8"/>
    <w:rsid w:val="005839C2"/>
    <w:rsid w:val="00584687"/>
    <w:rsid w:val="00584D78"/>
    <w:rsid w:val="0058511B"/>
    <w:rsid w:val="005851A8"/>
    <w:rsid w:val="005854EF"/>
    <w:rsid w:val="0058554A"/>
    <w:rsid w:val="005855D8"/>
    <w:rsid w:val="0058561C"/>
    <w:rsid w:val="00585A6F"/>
    <w:rsid w:val="00586023"/>
    <w:rsid w:val="00586A00"/>
    <w:rsid w:val="00586A5D"/>
    <w:rsid w:val="00586C20"/>
    <w:rsid w:val="00586C9E"/>
    <w:rsid w:val="00586FEC"/>
    <w:rsid w:val="0058716C"/>
    <w:rsid w:val="005872C4"/>
    <w:rsid w:val="005878FC"/>
    <w:rsid w:val="0058790E"/>
    <w:rsid w:val="00587D18"/>
    <w:rsid w:val="00590194"/>
    <w:rsid w:val="005902EC"/>
    <w:rsid w:val="00590341"/>
    <w:rsid w:val="0059057E"/>
    <w:rsid w:val="00590580"/>
    <w:rsid w:val="005905D1"/>
    <w:rsid w:val="00590F96"/>
    <w:rsid w:val="0059127C"/>
    <w:rsid w:val="00592044"/>
    <w:rsid w:val="0059226C"/>
    <w:rsid w:val="00592358"/>
    <w:rsid w:val="00592A2F"/>
    <w:rsid w:val="00592BD0"/>
    <w:rsid w:val="00592BD4"/>
    <w:rsid w:val="00592F20"/>
    <w:rsid w:val="00593512"/>
    <w:rsid w:val="00593DA2"/>
    <w:rsid w:val="00593DF6"/>
    <w:rsid w:val="005941C2"/>
    <w:rsid w:val="00595093"/>
    <w:rsid w:val="005955E5"/>
    <w:rsid w:val="0059560E"/>
    <w:rsid w:val="0059572C"/>
    <w:rsid w:val="0059581D"/>
    <w:rsid w:val="00595C0D"/>
    <w:rsid w:val="00596141"/>
    <w:rsid w:val="005961B5"/>
    <w:rsid w:val="0059636A"/>
    <w:rsid w:val="00596562"/>
    <w:rsid w:val="00596662"/>
    <w:rsid w:val="005966EC"/>
    <w:rsid w:val="005972D2"/>
    <w:rsid w:val="00597464"/>
    <w:rsid w:val="005974DB"/>
    <w:rsid w:val="0059772F"/>
    <w:rsid w:val="00597743"/>
    <w:rsid w:val="005A0060"/>
    <w:rsid w:val="005A0490"/>
    <w:rsid w:val="005A0D3D"/>
    <w:rsid w:val="005A0F03"/>
    <w:rsid w:val="005A1816"/>
    <w:rsid w:val="005A19CA"/>
    <w:rsid w:val="005A1E90"/>
    <w:rsid w:val="005A20E6"/>
    <w:rsid w:val="005A249B"/>
    <w:rsid w:val="005A2A15"/>
    <w:rsid w:val="005A376F"/>
    <w:rsid w:val="005A3979"/>
    <w:rsid w:val="005A3C76"/>
    <w:rsid w:val="005A4331"/>
    <w:rsid w:val="005A4561"/>
    <w:rsid w:val="005A49D2"/>
    <w:rsid w:val="005A4CBD"/>
    <w:rsid w:val="005A4E16"/>
    <w:rsid w:val="005A5507"/>
    <w:rsid w:val="005A55B6"/>
    <w:rsid w:val="005A5AC0"/>
    <w:rsid w:val="005A5FC0"/>
    <w:rsid w:val="005A6234"/>
    <w:rsid w:val="005A667B"/>
    <w:rsid w:val="005A6A23"/>
    <w:rsid w:val="005A7A4E"/>
    <w:rsid w:val="005A7CF9"/>
    <w:rsid w:val="005B0218"/>
    <w:rsid w:val="005B0533"/>
    <w:rsid w:val="005B07C9"/>
    <w:rsid w:val="005B1672"/>
    <w:rsid w:val="005B1736"/>
    <w:rsid w:val="005B17E2"/>
    <w:rsid w:val="005B2395"/>
    <w:rsid w:val="005B2EBF"/>
    <w:rsid w:val="005B31DA"/>
    <w:rsid w:val="005B3352"/>
    <w:rsid w:val="005B35AC"/>
    <w:rsid w:val="005B3A75"/>
    <w:rsid w:val="005B4688"/>
    <w:rsid w:val="005B5067"/>
    <w:rsid w:val="005B5387"/>
    <w:rsid w:val="005B5472"/>
    <w:rsid w:val="005B5596"/>
    <w:rsid w:val="005B6923"/>
    <w:rsid w:val="005B6B37"/>
    <w:rsid w:val="005B6D16"/>
    <w:rsid w:val="005B6D2C"/>
    <w:rsid w:val="005B6F42"/>
    <w:rsid w:val="005B6F6B"/>
    <w:rsid w:val="005B7974"/>
    <w:rsid w:val="005B7C89"/>
    <w:rsid w:val="005B7CB2"/>
    <w:rsid w:val="005B7EB0"/>
    <w:rsid w:val="005C03F8"/>
    <w:rsid w:val="005C067F"/>
    <w:rsid w:val="005C081B"/>
    <w:rsid w:val="005C086E"/>
    <w:rsid w:val="005C0AD7"/>
    <w:rsid w:val="005C0EDD"/>
    <w:rsid w:val="005C13EC"/>
    <w:rsid w:val="005C14FB"/>
    <w:rsid w:val="005C1944"/>
    <w:rsid w:val="005C24BB"/>
    <w:rsid w:val="005C30CB"/>
    <w:rsid w:val="005C3168"/>
    <w:rsid w:val="005C3476"/>
    <w:rsid w:val="005C3842"/>
    <w:rsid w:val="005C3CB1"/>
    <w:rsid w:val="005C4093"/>
    <w:rsid w:val="005C428C"/>
    <w:rsid w:val="005C4357"/>
    <w:rsid w:val="005C55F4"/>
    <w:rsid w:val="005C5684"/>
    <w:rsid w:val="005C5A6F"/>
    <w:rsid w:val="005C5AC4"/>
    <w:rsid w:val="005C5E07"/>
    <w:rsid w:val="005C6348"/>
    <w:rsid w:val="005C64FC"/>
    <w:rsid w:val="005C6E88"/>
    <w:rsid w:val="005C7595"/>
    <w:rsid w:val="005C762D"/>
    <w:rsid w:val="005C79EF"/>
    <w:rsid w:val="005C7F35"/>
    <w:rsid w:val="005D0127"/>
    <w:rsid w:val="005D0347"/>
    <w:rsid w:val="005D037C"/>
    <w:rsid w:val="005D04CB"/>
    <w:rsid w:val="005D070E"/>
    <w:rsid w:val="005D14FC"/>
    <w:rsid w:val="005D16D6"/>
    <w:rsid w:val="005D1A45"/>
    <w:rsid w:val="005D21E2"/>
    <w:rsid w:val="005D2270"/>
    <w:rsid w:val="005D2274"/>
    <w:rsid w:val="005D2374"/>
    <w:rsid w:val="005D2968"/>
    <w:rsid w:val="005D2974"/>
    <w:rsid w:val="005D2A53"/>
    <w:rsid w:val="005D2DA5"/>
    <w:rsid w:val="005D2FB0"/>
    <w:rsid w:val="005D31A7"/>
    <w:rsid w:val="005D378C"/>
    <w:rsid w:val="005D3B92"/>
    <w:rsid w:val="005D3C2B"/>
    <w:rsid w:val="005D421B"/>
    <w:rsid w:val="005D4445"/>
    <w:rsid w:val="005D48F9"/>
    <w:rsid w:val="005D4B59"/>
    <w:rsid w:val="005D4B8E"/>
    <w:rsid w:val="005D5340"/>
    <w:rsid w:val="005D5505"/>
    <w:rsid w:val="005D55BC"/>
    <w:rsid w:val="005D55E1"/>
    <w:rsid w:val="005D5AB3"/>
    <w:rsid w:val="005D5FDA"/>
    <w:rsid w:val="005D651A"/>
    <w:rsid w:val="005D6A60"/>
    <w:rsid w:val="005D6B7F"/>
    <w:rsid w:val="005D6E7C"/>
    <w:rsid w:val="005D734A"/>
    <w:rsid w:val="005D7956"/>
    <w:rsid w:val="005D7EB7"/>
    <w:rsid w:val="005E011A"/>
    <w:rsid w:val="005E01C8"/>
    <w:rsid w:val="005E0356"/>
    <w:rsid w:val="005E0586"/>
    <w:rsid w:val="005E066C"/>
    <w:rsid w:val="005E070B"/>
    <w:rsid w:val="005E1BC9"/>
    <w:rsid w:val="005E1C71"/>
    <w:rsid w:val="005E1CA2"/>
    <w:rsid w:val="005E1E00"/>
    <w:rsid w:val="005E1ED7"/>
    <w:rsid w:val="005E1F3C"/>
    <w:rsid w:val="005E2624"/>
    <w:rsid w:val="005E269B"/>
    <w:rsid w:val="005E26CD"/>
    <w:rsid w:val="005E279D"/>
    <w:rsid w:val="005E2D14"/>
    <w:rsid w:val="005E405F"/>
    <w:rsid w:val="005E40DF"/>
    <w:rsid w:val="005E41C9"/>
    <w:rsid w:val="005E462C"/>
    <w:rsid w:val="005E4ADB"/>
    <w:rsid w:val="005E4E9B"/>
    <w:rsid w:val="005E4F8D"/>
    <w:rsid w:val="005E54E4"/>
    <w:rsid w:val="005E5694"/>
    <w:rsid w:val="005E5798"/>
    <w:rsid w:val="005E581D"/>
    <w:rsid w:val="005E6308"/>
    <w:rsid w:val="005E647D"/>
    <w:rsid w:val="005E69F1"/>
    <w:rsid w:val="005E6D98"/>
    <w:rsid w:val="005E6F5F"/>
    <w:rsid w:val="005E7326"/>
    <w:rsid w:val="005E74E6"/>
    <w:rsid w:val="005E7562"/>
    <w:rsid w:val="005E765B"/>
    <w:rsid w:val="005E7CF9"/>
    <w:rsid w:val="005F03F9"/>
    <w:rsid w:val="005F0455"/>
    <w:rsid w:val="005F0525"/>
    <w:rsid w:val="005F0653"/>
    <w:rsid w:val="005F10C5"/>
    <w:rsid w:val="005F1300"/>
    <w:rsid w:val="005F1337"/>
    <w:rsid w:val="005F1586"/>
    <w:rsid w:val="005F1C82"/>
    <w:rsid w:val="005F1CC1"/>
    <w:rsid w:val="005F1D80"/>
    <w:rsid w:val="005F20D1"/>
    <w:rsid w:val="005F2628"/>
    <w:rsid w:val="005F2EB3"/>
    <w:rsid w:val="005F312B"/>
    <w:rsid w:val="005F35C8"/>
    <w:rsid w:val="005F362A"/>
    <w:rsid w:val="005F36DB"/>
    <w:rsid w:val="005F371F"/>
    <w:rsid w:val="005F3863"/>
    <w:rsid w:val="005F394E"/>
    <w:rsid w:val="005F3D10"/>
    <w:rsid w:val="005F3F2D"/>
    <w:rsid w:val="005F3FF2"/>
    <w:rsid w:val="005F4CB6"/>
    <w:rsid w:val="005F4E77"/>
    <w:rsid w:val="005F4EAE"/>
    <w:rsid w:val="005F52C5"/>
    <w:rsid w:val="005F572C"/>
    <w:rsid w:val="005F5776"/>
    <w:rsid w:val="005F58E6"/>
    <w:rsid w:val="005F5958"/>
    <w:rsid w:val="005F5A5B"/>
    <w:rsid w:val="005F5C59"/>
    <w:rsid w:val="005F5C8C"/>
    <w:rsid w:val="005F5C95"/>
    <w:rsid w:val="005F6178"/>
    <w:rsid w:val="005F6773"/>
    <w:rsid w:val="005F6BD7"/>
    <w:rsid w:val="005F71A0"/>
    <w:rsid w:val="005F77C3"/>
    <w:rsid w:val="005F7897"/>
    <w:rsid w:val="005F7D2D"/>
    <w:rsid w:val="006002F8"/>
    <w:rsid w:val="006004D5"/>
    <w:rsid w:val="00600BDC"/>
    <w:rsid w:val="00600E41"/>
    <w:rsid w:val="006010AE"/>
    <w:rsid w:val="0060113C"/>
    <w:rsid w:val="00601678"/>
    <w:rsid w:val="006016E4"/>
    <w:rsid w:val="00601CC7"/>
    <w:rsid w:val="006023F6"/>
    <w:rsid w:val="006024B5"/>
    <w:rsid w:val="00602E09"/>
    <w:rsid w:val="006032C0"/>
    <w:rsid w:val="00603D62"/>
    <w:rsid w:val="00603E61"/>
    <w:rsid w:val="00604264"/>
    <w:rsid w:val="00604CBB"/>
    <w:rsid w:val="006053B9"/>
    <w:rsid w:val="0060586C"/>
    <w:rsid w:val="006058EF"/>
    <w:rsid w:val="00605E4F"/>
    <w:rsid w:val="006066FD"/>
    <w:rsid w:val="006068AE"/>
    <w:rsid w:val="00607136"/>
    <w:rsid w:val="006071D2"/>
    <w:rsid w:val="00610527"/>
    <w:rsid w:val="006105F5"/>
    <w:rsid w:val="00610C87"/>
    <w:rsid w:val="00610D52"/>
    <w:rsid w:val="00611673"/>
    <w:rsid w:val="006126ED"/>
    <w:rsid w:val="0061289A"/>
    <w:rsid w:val="0061295E"/>
    <w:rsid w:val="00612D22"/>
    <w:rsid w:val="00613663"/>
    <w:rsid w:val="00613676"/>
    <w:rsid w:val="0061383D"/>
    <w:rsid w:val="006138F7"/>
    <w:rsid w:val="0061395D"/>
    <w:rsid w:val="00613B91"/>
    <w:rsid w:val="00613DDD"/>
    <w:rsid w:val="00614292"/>
    <w:rsid w:val="006146A9"/>
    <w:rsid w:val="006147FF"/>
    <w:rsid w:val="00614932"/>
    <w:rsid w:val="00614B29"/>
    <w:rsid w:val="00615323"/>
    <w:rsid w:val="00615852"/>
    <w:rsid w:val="0061589C"/>
    <w:rsid w:val="00615A6A"/>
    <w:rsid w:val="00615AF8"/>
    <w:rsid w:val="00616023"/>
    <w:rsid w:val="006161DD"/>
    <w:rsid w:val="0061657D"/>
    <w:rsid w:val="0061662F"/>
    <w:rsid w:val="006169BA"/>
    <w:rsid w:val="00616A15"/>
    <w:rsid w:val="0061700B"/>
    <w:rsid w:val="00617696"/>
    <w:rsid w:val="0061798C"/>
    <w:rsid w:val="00617D8F"/>
    <w:rsid w:val="006208CA"/>
    <w:rsid w:val="0062098B"/>
    <w:rsid w:val="00620AC9"/>
    <w:rsid w:val="00620B04"/>
    <w:rsid w:val="00620BA5"/>
    <w:rsid w:val="0062102F"/>
    <w:rsid w:val="0062109C"/>
    <w:rsid w:val="00621302"/>
    <w:rsid w:val="0062158E"/>
    <w:rsid w:val="00621622"/>
    <w:rsid w:val="006217D4"/>
    <w:rsid w:val="006217E2"/>
    <w:rsid w:val="00621E73"/>
    <w:rsid w:val="00622057"/>
    <w:rsid w:val="006223A2"/>
    <w:rsid w:val="00622899"/>
    <w:rsid w:val="00622AF6"/>
    <w:rsid w:val="00623200"/>
    <w:rsid w:val="006232FC"/>
    <w:rsid w:val="006233FE"/>
    <w:rsid w:val="006238F7"/>
    <w:rsid w:val="00623B01"/>
    <w:rsid w:val="00623FC1"/>
    <w:rsid w:val="00624062"/>
    <w:rsid w:val="00624131"/>
    <w:rsid w:val="006245D3"/>
    <w:rsid w:val="0062464F"/>
    <w:rsid w:val="00624C52"/>
    <w:rsid w:val="00625141"/>
    <w:rsid w:val="006259D7"/>
    <w:rsid w:val="00625C45"/>
    <w:rsid w:val="00625F91"/>
    <w:rsid w:val="006265AA"/>
    <w:rsid w:val="00626C60"/>
    <w:rsid w:val="00626F05"/>
    <w:rsid w:val="0062713E"/>
    <w:rsid w:val="00627BD5"/>
    <w:rsid w:val="006305A4"/>
    <w:rsid w:val="00630956"/>
    <w:rsid w:val="00630CE1"/>
    <w:rsid w:val="00630EE2"/>
    <w:rsid w:val="00632382"/>
    <w:rsid w:val="00632558"/>
    <w:rsid w:val="006326FE"/>
    <w:rsid w:val="00632A43"/>
    <w:rsid w:val="00632B3C"/>
    <w:rsid w:val="00632B7A"/>
    <w:rsid w:val="00632C82"/>
    <w:rsid w:val="00632FB9"/>
    <w:rsid w:val="00633424"/>
    <w:rsid w:val="00633531"/>
    <w:rsid w:val="0063385B"/>
    <w:rsid w:val="00633C29"/>
    <w:rsid w:val="006341FF"/>
    <w:rsid w:val="00634260"/>
    <w:rsid w:val="00634394"/>
    <w:rsid w:val="00634591"/>
    <w:rsid w:val="00634B2A"/>
    <w:rsid w:val="00634FF1"/>
    <w:rsid w:val="00635443"/>
    <w:rsid w:val="00635890"/>
    <w:rsid w:val="00635939"/>
    <w:rsid w:val="00635AD5"/>
    <w:rsid w:val="00635D19"/>
    <w:rsid w:val="006362EF"/>
    <w:rsid w:val="00636371"/>
    <w:rsid w:val="006363AA"/>
    <w:rsid w:val="006367AE"/>
    <w:rsid w:val="006369D9"/>
    <w:rsid w:val="00636CD8"/>
    <w:rsid w:val="00636CDF"/>
    <w:rsid w:val="00637C6D"/>
    <w:rsid w:val="00640300"/>
    <w:rsid w:val="00640B46"/>
    <w:rsid w:val="00640D2A"/>
    <w:rsid w:val="00640DB1"/>
    <w:rsid w:val="00640FF5"/>
    <w:rsid w:val="0064137C"/>
    <w:rsid w:val="006417B8"/>
    <w:rsid w:val="0064196C"/>
    <w:rsid w:val="00641AD9"/>
    <w:rsid w:val="00641C50"/>
    <w:rsid w:val="00641DD9"/>
    <w:rsid w:val="00641EF8"/>
    <w:rsid w:val="00642220"/>
    <w:rsid w:val="0064243E"/>
    <w:rsid w:val="00642448"/>
    <w:rsid w:val="00642B80"/>
    <w:rsid w:val="00642BA8"/>
    <w:rsid w:val="0064314C"/>
    <w:rsid w:val="00643CD7"/>
    <w:rsid w:val="00643D60"/>
    <w:rsid w:val="006445F8"/>
    <w:rsid w:val="00644758"/>
    <w:rsid w:val="006449B8"/>
    <w:rsid w:val="00644C97"/>
    <w:rsid w:val="0064533E"/>
    <w:rsid w:val="006454EE"/>
    <w:rsid w:val="0064634C"/>
    <w:rsid w:val="006463C7"/>
    <w:rsid w:val="006469A2"/>
    <w:rsid w:val="006474B9"/>
    <w:rsid w:val="0064777E"/>
    <w:rsid w:val="00647B8F"/>
    <w:rsid w:val="00647FD3"/>
    <w:rsid w:val="006508D9"/>
    <w:rsid w:val="00650B5A"/>
    <w:rsid w:val="00650CF7"/>
    <w:rsid w:val="00650F00"/>
    <w:rsid w:val="00650F3B"/>
    <w:rsid w:val="006510C2"/>
    <w:rsid w:val="006511F8"/>
    <w:rsid w:val="0065180D"/>
    <w:rsid w:val="006518CB"/>
    <w:rsid w:val="006529F9"/>
    <w:rsid w:val="006534F1"/>
    <w:rsid w:val="006538AD"/>
    <w:rsid w:val="00654056"/>
    <w:rsid w:val="0065439C"/>
    <w:rsid w:val="006546C3"/>
    <w:rsid w:val="00654C0D"/>
    <w:rsid w:val="00654C67"/>
    <w:rsid w:val="00654CAE"/>
    <w:rsid w:val="00655196"/>
    <w:rsid w:val="006554B7"/>
    <w:rsid w:val="00655677"/>
    <w:rsid w:val="006559CA"/>
    <w:rsid w:val="00655DF0"/>
    <w:rsid w:val="006563F1"/>
    <w:rsid w:val="006565DD"/>
    <w:rsid w:val="0065695E"/>
    <w:rsid w:val="00656A6F"/>
    <w:rsid w:val="00656A7B"/>
    <w:rsid w:val="00656B4F"/>
    <w:rsid w:val="00657B2A"/>
    <w:rsid w:val="006605BB"/>
    <w:rsid w:val="006607BD"/>
    <w:rsid w:val="00660F13"/>
    <w:rsid w:val="0066124B"/>
    <w:rsid w:val="00661283"/>
    <w:rsid w:val="00661532"/>
    <w:rsid w:val="00661BE9"/>
    <w:rsid w:val="00661E92"/>
    <w:rsid w:val="0066269D"/>
    <w:rsid w:val="006626A8"/>
    <w:rsid w:val="00662729"/>
    <w:rsid w:val="006627D4"/>
    <w:rsid w:val="00662DD2"/>
    <w:rsid w:val="006632D8"/>
    <w:rsid w:val="0066334A"/>
    <w:rsid w:val="006634F8"/>
    <w:rsid w:val="006636C3"/>
    <w:rsid w:val="006637EE"/>
    <w:rsid w:val="00663DA5"/>
    <w:rsid w:val="006645D7"/>
    <w:rsid w:val="006646B6"/>
    <w:rsid w:val="006649D8"/>
    <w:rsid w:val="00664AA1"/>
    <w:rsid w:val="00665327"/>
    <w:rsid w:val="00665819"/>
    <w:rsid w:val="00665B11"/>
    <w:rsid w:val="00665B65"/>
    <w:rsid w:val="00665D9F"/>
    <w:rsid w:val="00666417"/>
    <w:rsid w:val="00666520"/>
    <w:rsid w:val="00666687"/>
    <w:rsid w:val="006669E2"/>
    <w:rsid w:val="00666EC3"/>
    <w:rsid w:val="00667031"/>
    <w:rsid w:val="00667196"/>
    <w:rsid w:val="006675D0"/>
    <w:rsid w:val="0066777B"/>
    <w:rsid w:val="00667CC0"/>
    <w:rsid w:val="00667FE5"/>
    <w:rsid w:val="00670364"/>
    <w:rsid w:val="00670646"/>
    <w:rsid w:val="00670BA0"/>
    <w:rsid w:val="00670CDF"/>
    <w:rsid w:val="00670DBF"/>
    <w:rsid w:val="006712E4"/>
    <w:rsid w:val="00672064"/>
    <w:rsid w:val="006726BD"/>
    <w:rsid w:val="0067281A"/>
    <w:rsid w:val="00672B3C"/>
    <w:rsid w:val="0067368D"/>
    <w:rsid w:val="0067382D"/>
    <w:rsid w:val="00673BA7"/>
    <w:rsid w:val="00673C05"/>
    <w:rsid w:val="00674356"/>
    <w:rsid w:val="00674523"/>
    <w:rsid w:val="00674936"/>
    <w:rsid w:val="00674D13"/>
    <w:rsid w:val="00675076"/>
    <w:rsid w:val="00675267"/>
    <w:rsid w:val="006752A2"/>
    <w:rsid w:val="00675472"/>
    <w:rsid w:val="006754BE"/>
    <w:rsid w:val="00675DB8"/>
    <w:rsid w:val="00676414"/>
    <w:rsid w:val="00676AE5"/>
    <w:rsid w:val="00676DE7"/>
    <w:rsid w:val="006772B7"/>
    <w:rsid w:val="006775C2"/>
    <w:rsid w:val="006775E9"/>
    <w:rsid w:val="00677844"/>
    <w:rsid w:val="00677FDE"/>
    <w:rsid w:val="00680265"/>
    <w:rsid w:val="006802EC"/>
    <w:rsid w:val="006803F5"/>
    <w:rsid w:val="006804AC"/>
    <w:rsid w:val="00680902"/>
    <w:rsid w:val="00680A94"/>
    <w:rsid w:val="00681178"/>
    <w:rsid w:val="00681299"/>
    <w:rsid w:val="00681748"/>
    <w:rsid w:val="006817EB"/>
    <w:rsid w:val="00682231"/>
    <w:rsid w:val="006822CA"/>
    <w:rsid w:val="00682302"/>
    <w:rsid w:val="006826FB"/>
    <w:rsid w:val="00682D0D"/>
    <w:rsid w:val="00683045"/>
    <w:rsid w:val="006835B7"/>
    <w:rsid w:val="006836F7"/>
    <w:rsid w:val="006839FA"/>
    <w:rsid w:val="00683DFC"/>
    <w:rsid w:val="00684CB3"/>
    <w:rsid w:val="00685152"/>
    <w:rsid w:val="00685291"/>
    <w:rsid w:val="006855BE"/>
    <w:rsid w:val="00685C28"/>
    <w:rsid w:val="00685CAC"/>
    <w:rsid w:val="006860B8"/>
    <w:rsid w:val="006860D8"/>
    <w:rsid w:val="006864D6"/>
    <w:rsid w:val="0068683F"/>
    <w:rsid w:val="00686908"/>
    <w:rsid w:val="00686E6A"/>
    <w:rsid w:val="00687019"/>
    <w:rsid w:val="006876E8"/>
    <w:rsid w:val="00687B40"/>
    <w:rsid w:val="00687B79"/>
    <w:rsid w:val="0069012A"/>
    <w:rsid w:val="0069079D"/>
    <w:rsid w:val="00690F9D"/>
    <w:rsid w:val="00691755"/>
    <w:rsid w:val="00691805"/>
    <w:rsid w:val="00691C21"/>
    <w:rsid w:val="00691EB9"/>
    <w:rsid w:val="00692F2B"/>
    <w:rsid w:val="006930A4"/>
    <w:rsid w:val="00693C59"/>
    <w:rsid w:val="00693E27"/>
    <w:rsid w:val="006941BB"/>
    <w:rsid w:val="00694269"/>
    <w:rsid w:val="0069428C"/>
    <w:rsid w:val="006943DC"/>
    <w:rsid w:val="00694C8D"/>
    <w:rsid w:val="00694E61"/>
    <w:rsid w:val="0069530A"/>
    <w:rsid w:val="00695855"/>
    <w:rsid w:val="00695BC9"/>
    <w:rsid w:val="00695C8B"/>
    <w:rsid w:val="006965C8"/>
    <w:rsid w:val="006967EB"/>
    <w:rsid w:val="00696ABE"/>
    <w:rsid w:val="00696D23"/>
    <w:rsid w:val="00696FE9"/>
    <w:rsid w:val="006971EB"/>
    <w:rsid w:val="006971F2"/>
    <w:rsid w:val="006976AF"/>
    <w:rsid w:val="00697A28"/>
    <w:rsid w:val="006A0C96"/>
    <w:rsid w:val="006A0DD9"/>
    <w:rsid w:val="006A0EE8"/>
    <w:rsid w:val="006A14A2"/>
    <w:rsid w:val="006A1528"/>
    <w:rsid w:val="006A18B1"/>
    <w:rsid w:val="006A1A33"/>
    <w:rsid w:val="006A205F"/>
    <w:rsid w:val="006A22F5"/>
    <w:rsid w:val="006A3251"/>
    <w:rsid w:val="006A3252"/>
    <w:rsid w:val="006A34AB"/>
    <w:rsid w:val="006A35C1"/>
    <w:rsid w:val="006A38BA"/>
    <w:rsid w:val="006A3A77"/>
    <w:rsid w:val="006A42EA"/>
    <w:rsid w:val="006A4449"/>
    <w:rsid w:val="006A4670"/>
    <w:rsid w:val="006A46AB"/>
    <w:rsid w:val="006A4750"/>
    <w:rsid w:val="006A47C6"/>
    <w:rsid w:val="006A502C"/>
    <w:rsid w:val="006A552D"/>
    <w:rsid w:val="006A622E"/>
    <w:rsid w:val="006A665D"/>
    <w:rsid w:val="006A68E7"/>
    <w:rsid w:val="006A6FE0"/>
    <w:rsid w:val="006A71FF"/>
    <w:rsid w:val="006B0A70"/>
    <w:rsid w:val="006B0B81"/>
    <w:rsid w:val="006B118E"/>
    <w:rsid w:val="006B1211"/>
    <w:rsid w:val="006B123C"/>
    <w:rsid w:val="006B12E0"/>
    <w:rsid w:val="006B1890"/>
    <w:rsid w:val="006B1D57"/>
    <w:rsid w:val="006B1F54"/>
    <w:rsid w:val="006B2155"/>
    <w:rsid w:val="006B2A67"/>
    <w:rsid w:val="006B355C"/>
    <w:rsid w:val="006B3715"/>
    <w:rsid w:val="006B37CE"/>
    <w:rsid w:val="006B3CDE"/>
    <w:rsid w:val="006B4466"/>
    <w:rsid w:val="006B460B"/>
    <w:rsid w:val="006B494E"/>
    <w:rsid w:val="006B4BAB"/>
    <w:rsid w:val="006B4BE1"/>
    <w:rsid w:val="006B4F24"/>
    <w:rsid w:val="006B54BC"/>
    <w:rsid w:val="006B5775"/>
    <w:rsid w:val="006B60DB"/>
    <w:rsid w:val="006B6193"/>
    <w:rsid w:val="006B632C"/>
    <w:rsid w:val="006B66D3"/>
    <w:rsid w:val="006B67AB"/>
    <w:rsid w:val="006B6BB9"/>
    <w:rsid w:val="006B6DA8"/>
    <w:rsid w:val="006B76B3"/>
    <w:rsid w:val="006B7922"/>
    <w:rsid w:val="006B7A34"/>
    <w:rsid w:val="006B7B73"/>
    <w:rsid w:val="006C0482"/>
    <w:rsid w:val="006C0A30"/>
    <w:rsid w:val="006C0D3B"/>
    <w:rsid w:val="006C1103"/>
    <w:rsid w:val="006C121E"/>
    <w:rsid w:val="006C15F0"/>
    <w:rsid w:val="006C1BD1"/>
    <w:rsid w:val="006C232D"/>
    <w:rsid w:val="006C2569"/>
    <w:rsid w:val="006C28D2"/>
    <w:rsid w:val="006C29A0"/>
    <w:rsid w:val="006C2D45"/>
    <w:rsid w:val="006C30C7"/>
    <w:rsid w:val="006C3528"/>
    <w:rsid w:val="006C3687"/>
    <w:rsid w:val="006C43BD"/>
    <w:rsid w:val="006C471F"/>
    <w:rsid w:val="006C48F5"/>
    <w:rsid w:val="006C4CA7"/>
    <w:rsid w:val="006C4E35"/>
    <w:rsid w:val="006C4FA5"/>
    <w:rsid w:val="006C50AE"/>
    <w:rsid w:val="006C54B5"/>
    <w:rsid w:val="006C63D8"/>
    <w:rsid w:val="006C6E4A"/>
    <w:rsid w:val="006C6FC9"/>
    <w:rsid w:val="006C6FF8"/>
    <w:rsid w:val="006C76CA"/>
    <w:rsid w:val="006C7825"/>
    <w:rsid w:val="006D09B2"/>
    <w:rsid w:val="006D0C91"/>
    <w:rsid w:val="006D0F76"/>
    <w:rsid w:val="006D0F87"/>
    <w:rsid w:val="006D123A"/>
    <w:rsid w:val="006D1AD6"/>
    <w:rsid w:val="006D1B7A"/>
    <w:rsid w:val="006D1DBB"/>
    <w:rsid w:val="006D22F3"/>
    <w:rsid w:val="006D23B8"/>
    <w:rsid w:val="006D29C3"/>
    <w:rsid w:val="006D2D66"/>
    <w:rsid w:val="006D2FC4"/>
    <w:rsid w:val="006D3B27"/>
    <w:rsid w:val="006D3B3D"/>
    <w:rsid w:val="006D3B7F"/>
    <w:rsid w:val="006D3CE3"/>
    <w:rsid w:val="006D4216"/>
    <w:rsid w:val="006D456F"/>
    <w:rsid w:val="006D48AD"/>
    <w:rsid w:val="006D4A6E"/>
    <w:rsid w:val="006D4B4E"/>
    <w:rsid w:val="006D4CED"/>
    <w:rsid w:val="006D4E64"/>
    <w:rsid w:val="006D59AB"/>
    <w:rsid w:val="006D5A0D"/>
    <w:rsid w:val="006D6718"/>
    <w:rsid w:val="006D6A54"/>
    <w:rsid w:val="006D6BF5"/>
    <w:rsid w:val="006D70D3"/>
    <w:rsid w:val="006D7616"/>
    <w:rsid w:val="006D79C1"/>
    <w:rsid w:val="006D7F47"/>
    <w:rsid w:val="006D7F7B"/>
    <w:rsid w:val="006D7FA6"/>
    <w:rsid w:val="006E002C"/>
    <w:rsid w:val="006E0BA1"/>
    <w:rsid w:val="006E0FA7"/>
    <w:rsid w:val="006E188F"/>
    <w:rsid w:val="006E21F4"/>
    <w:rsid w:val="006E270D"/>
    <w:rsid w:val="006E2A72"/>
    <w:rsid w:val="006E32B9"/>
    <w:rsid w:val="006E337D"/>
    <w:rsid w:val="006E3863"/>
    <w:rsid w:val="006E3AF0"/>
    <w:rsid w:val="006E3DEA"/>
    <w:rsid w:val="006E3EBB"/>
    <w:rsid w:val="006E3F45"/>
    <w:rsid w:val="006E4178"/>
    <w:rsid w:val="006E49D2"/>
    <w:rsid w:val="006E5637"/>
    <w:rsid w:val="006E5841"/>
    <w:rsid w:val="006E634D"/>
    <w:rsid w:val="006E63AC"/>
    <w:rsid w:val="006E67B1"/>
    <w:rsid w:val="006E6CFF"/>
    <w:rsid w:val="006E6FE9"/>
    <w:rsid w:val="006E7059"/>
    <w:rsid w:val="006E71A8"/>
    <w:rsid w:val="006E7841"/>
    <w:rsid w:val="006E7AC4"/>
    <w:rsid w:val="006E7B16"/>
    <w:rsid w:val="006E7BAF"/>
    <w:rsid w:val="006E7D06"/>
    <w:rsid w:val="006E7D50"/>
    <w:rsid w:val="006F02D9"/>
    <w:rsid w:val="006F0844"/>
    <w:rsid w:val="006F0BBE"/>
    <w:rsid w:val="006F0E62"/>
    <w:rsid w:val="006F1A92"/>
    <w:rsid w:val="006F1DA8"/>
    <w:rsid w:val="006F2F2E"/>
    <w:rsid w:val="006F354C"/>
    <w:rsid w:val="006F3892"/>
    <w:rsid w:val="006F3E7D"/>
    <w:rsid w:val="006F4356"/>
    <w:rsid w:val="006F4361"/>
    <w:rsid w:val="006F4827"/>
    <w:rsid w:val="006F514C"/>
    <w:rsid w:val="006F596A"/>
    <w:rsid w:val="006F5C8E"/>
    <w:rsid w:val="006F5D07"/>
    <w:rsid w:val="006F63AC"/>
    <w:rsid w:val="006F665D"/>
    <w:rsid w:val="006F6C1D"/>
    <w:rsid w:val="006F6C37"/>
    <w:rsid w:val="006F6FAC"/>
    <w:rsid w:val="006F71C6"/>
    <w:rsid w:val="006F71FE"/>
    <w:rsid w:val="006F735C"/>
    <w:rsid w:val="006F7BDE"/>
    <w:rsid w:val="006F7C75"/>
    <w:rsid w:val="006F7DE0"/>
    <w:rsid w:val="00700176"/>
    <w:rsid w:val="00700668"/>
    <w:rsid w:val="007007CB"/>
    <w:rsid w:val="00700846"/>
    <w:rsid w:val="0070098C"/>
    <w:rsid w:val="007009AD"/>
    <w:rsid w:val="00700AED"/>
    <w:rsid w:val="00701602"/>
    <w:rsid w:val="0070231C"/>
    <w:rsid w:val="0070261E"/>
    <w:rsid w:val="00702789"/>
    <w:rsid w:val="00702A6C"/>
    <w:rsid w:val="00703384"/>
    <w:rsid w:val="00703503"/>
    <w:rsid w:val="007038DB"/>
    <w:rsid w:val="007038E8"/>
    <w:rsid w:val="00703D67"/>
    <w:rsid w:val="00704085"/>
    <w:rsid w:val="0070415C"/>
    <w:rsid w:val="00704424"/>
    <w:rsid w:val="00704824"/>
    <w:rsid w:val="00704891"/>
    <w:rsid w:val="00704B3D"/>
    <w:rsid w:val="00704E87"/>
    <w:rsid w:val="00705173"/>
    <w:rsid w:val="0070581D"/>
    <w:rsid w:val="00705A52"/>
    <w:rsid w:val="00705FF6"/>
    <w:rsid w:val="007061E6"/>
    <w:rsid w:val="007068C6"/>
    <w:rsid w:val="00706CA9"/>
    <w:rsid w:val="007073ED"/>
    <w:rsid w:val="0070773E"/>
    <w:rsid w:val="007077EF"/>
    <w:rsid w:val="00707827"/>
    <w:rsid w:val="00707E5D"/>
    <w:rsid w:val="007101DD"/>
    <w:rsid w:val="007101FB"/>
    <w:rsid w:val="00710201"/>
    <w:rsid w:val="00710640"/>
    <w:rsid w:val="00710AFE"/>
    <w:rsid w:val="00710F1B"/>
    <w:rsid w:val="00711F55"/>
    <w:rsid w:val="00712972"/>
    <w:rsid w:val="0071328E"/>
    <w:rsid w:val="00713810"/>
    <w:rsid w:val="00713D66"/>
    <w:rsid w:val="00713E1B"/>
    <w:rsid w:val="007140F7"/>
    <w:rsid w:val="0071413A"/>
    <w:rsid w:val="00714476"/>
    <w:rsid w:val="00714514"/>
    <w:rsid w:val="00714A3E"/>
    <w:rsid w:val="007155BE"/>
    <w:rsid w:val="00715B08"/>
    <w:rsid w:val="00715BAA"/>
    <w:rsid w:val="00716389"/>
    <w:rsid w:val="00716AFA"/>
    <w:rsid w:val="00716F80"/>
    <w:rsid w:val="00716FB8"/>
    <w:rsid w:val="007170A1"/>
    <w:rsid w:val="00717501"/>
    <w:rsid w:val="00717BB2"/>
    <w:rsid w:val="00720105"/>
    <w:rsid w:val="00720544"/>
    <w:rsid w:val="007205C6"/>
    <w:rsid w:val="0072094D"/>
    <w:rsid w:val="00720A2A"/>
    <w:rsid w:val="00720ACC"/>
    <w:rsid w:val="00720E1D"/>
    <w:rsid w:val="00720EAF"/>
    <w:rsid w:val="0072100A"/>
    <w:rsid w:val="00721432"/>
    <w:rsid w:val="007214CA"/>
    <w:rsid w:val="007219B4"/>
    <w:rsid w:val="00721AB0"/>
    <w:rsid w:val="00721F24"/>
    <w:rsid w:val="00721F29"/>
    <w:rsid w:val="00721F37"/>
    <w:rsid w:val="00721F4E"/>
    <w:rsid w:val="00722387"/>
    <w:rsid w:val="00722B95"/>
    <w:rsid w:val="007234BB"/>
    <w:rsid w:val="00723A58"/>
    <w:rsid w:val="007244C2"/>
    <w:rsid w:val="00724A5A"/>
    <w:rsid w:val="00724BCE"/>
    <w:rsid w:val="00724E33"/>
    <w:rsid w:val="00724FA5"/>
    <w:rsid w:val="007250DA"/>
    <w:rsid w:val="007255CA"/>
    <w:rsid w:val="007259EC"/>
    <w:rsid w:val="00725DA0"/>
    <w:rsid w:val="00725FB8"/>
    <w:rsid w:val="0072696D"/>
    <w:rsid w:val="00726A7F"/>
    <w:rsid w:val="007270CD"/>
    <w:rsid w:val="007272FA"/>
    <w:rsid w:val="007276FE"/>
    <w:rsid w:val="00727881"/>
    <w:rsid w:val="007279E9"/>
    <w:rsid w:val="00727BB2"/>
    <w:rsid w:val="0073091A"/>
    <w:rsid w:val="007309CF"/>
    <w:rsid w:val="00730FE1"/>
    <w:rsid w:val="007312D4"/>
    <w:rsid w:val="00731574"/>
    <w:rsid w:val="00731E25"/>
    <w:rsid w:val="0073223D"/>
    <w:rsid w:val="00732847"/>
    <w:rsid w:val="00732ED8"/>
    <w:rsid w:val="00733C91"/>
    <w:rsid w:val="00733F29"/>
    <w:rsid w:val="00733F34"/>
    <w:rsid w:val="0073410D"/>
    <w:rsid w:val="00734774"/>
    <w:rsid w:val="00734A80"/>
    <w:rsid w:val="00734F0D"/>
    <w:rsid w:val="0073567B"/>
    <w:rsid w:val="00736318"/>
    <w:rsid w:val="0073651F"/>
    <w:rsid w:val="007368F0"/>
    <w:rsid w:val="00736ADC"/>
    <w:rsid w:val="00737089"/>
    <w:rsid w:val="007371FA"/>
    <w:rsid w:val="00737785"/>
    <w:rsid w:val="00737CDF"/>
    <w:rsid w:val="007400B7"/>
    <w:rsid w:val="007404CC"/>
    <w:rsid w:val="00740604"/>
    <w:rsid w:val="007407CC"/>
    <w:rsid w:val="00740D13"/>
    <w:rsid w:val="00740D5D"/>
    <w:rsid w:val="00740EB0"/>
    <w:rsid w:val="00740F0E"/>
    <w:rsid w:val="00741229"/>
    <w:rsid w:val="007414AB"/>
    <w:rsid w:val="007417E6"/>
    <w:rsid w:val="00741B79"/>
    <w:rsid w:val="00742A37"/>
    <w:rsid w:val="00742DDB"/>
    <w:rsid w:val="00743566"/>
    <w:rsid w:val="00743E44"/>
    <w:rsid w:val="0074424A"/>
    <w:rsid w:val="00744285"/>
    <w:rsid w:val="007446B1"/>
    <w:rsid w:val="00745665"/>
    <w:rsid w:val="00745848"/>
    <w:rsid w:val="00745D85"/>
    <w:rsid w:val="00745D98"/>
    <w:rsid w:val="007461FD"/>
    <w:rsid w:val="0074628F"/>
    <w:rsid w:val="00746DFF"/>
    <w:rsid w:val="00746F3D"/>
    <w:rsid w:val="0074704F"/>
    <w:rsid w:val="00747584"/>
    <w:rsid w:val="007476A6"/>
    <w:rsid w:val="00747A0B"/>
    <w:rsid w:val="00747BB1"/>
    <w:rsid w:val="00747C6A"/>
    <w:rsid w:val="00747DAA"/>
    <w:rsid w:val="00747DB2"/>
    <w:rsid w:val="00747E80"/>
    <w:rsid w:val="00747FF3"/>
    <w:rsid w:val="0075063B"/>
    <w:rsid w:val="00750768"/>
    <w:rsid w:val="00750A97"/>
    <w:rsid w:val="00750D39"/>
    <w:rsid w:val="00751771"/>
    <w:rsid w:val="00751B21"/>
    <w:rsid w:val="0075212F"/>
    <w:rsid w:val="0075226D"/>
    <w:rsid w:val="00752431"/>
    <w:rsid w:val="00752443"/>
    <w:rsid w:val="00752498"/>
    <w:rsid w:val="007528AB"/>
    <w:rsid w:val="00752F77"/>
    <w:rsid w:val="00753160"/>
    <w:rsid w:val="007531BB"/>
    <w:rsid w:val="00753706"/>
    <w:rsid w:val="00753FD3"/>
    <w:rsid w:val="0075412F"/>
    <w:rsid w:val="00754A9E"/>
    <w:rsid w:val="00754D07"/>
    <w:rsid w:val="00754D4C"/>
    <w:rsid w:val="00754E30"/>
    <w:rsid w:val="00754E6D"/>
    <w:rsid w:val="00755745"/>
    <w:rsid w:val="00755DC6"/>
    <w:rsid w:val="0075605D"/>
    <w:rsid w:val="00756165"/>
    <w:rsid w:val="00756BF0"/>
    <w:rsid w:val="0075774F"/>
    <w:rsid w:val="007578DD"/>
    <w:rsid w:val="00757CA6"/>
    <w:rsid w:val="007603E1"/>
    <w:rsid w:val="00760463"/>
    <w:rsid w:val="00760673"/>
    <w:rsid w:val="00760CC9"/>
    <w:rsid w:val="00761040"/>
    <w:rsid w:val="00762A90"/>
    <w:rsid w:val="007630D8"/>
    <w:rsid w:val="0076315B"/>
    <w:rsid w:val="00763232"/>
    <w:rsid w:val="00763318"/>
    <w:rsid w:val="00764059"/>
    <w:rsid w:val="007640EC"/>
    <w:rsid w:val="007641BA"/>
    <w:rsid w:val="007643F7"/>
    <w:rsid w:val="00764426"/>
    <w:rsid w:val="007644A3"/>
    <w:rsid w:val="00764DB8"/>
    <w:rsid w:val="007650A1"/>
    <w:rsid w:val="0076514F"/>
    <w:rsid w:val="007656CC"/>
    <w:rsid w:val="0076575B"/>
    <w:rsid w:val="00765DED"/>
    <w:rsid w:val="00765E29"/>
    <w:rsid w:val="00765E3F"/>
    <w:rsid w:val="00766126"/>
    <w:rsid w:val="00766134"/>
    <w:rsid w:val="00766A7A"/>
    <w:rsid w:val="00766C55"/>
    <w:rsid w:val="00767EB0"/>
    <w:rsid w:val="0077083A"/>
    <w:rsid w:val="00770962"/>
    <w:rsid w:val="007713FF"/>
    <w:rsid w:val="00771930"/>
    <w:rsid w:val="00771BA5"/>
    <w:rsid w:val="00772124"/>
    <w:rsid w:val="007727B3"/>
    <w:rsid w:val="00772954"/>
    <w:rsid w:val="00772C6F"/>
    <w:rsid w:val="00772C9F"/>
    <w:rsid w:val="00772FF1"/>
    <w:rsid w:val="0077327A"/>
    <w:rsid w:val="00773567"/>
    <w:rsid w:val="007742EF"/>
    <w:rsid w:val="0077444B"/>
    <w:rsid w:val="007745B9"/>
    <w:rsid w:val="00774847"/>
    <w:rsid w:val="007748B2"/>
    <w:rsid w:val="00774D96"/>
    <w:rsid w:val="00774FB5"/>
    <w:rsid w:val="00775056"/>
    <w:rsid w:val="0077530B"/>
    <w:rsid w:val="0077539E"/>
    <w:rsid w:val="007754E2"/>
    <w:rsid w:val="00775658"/>
    <w:rsid w:val="00775A4A"/>
    <w:rsid w:val="00775C4D"/>
    <w:rsid w:val="007764DD"/>
    <w:rsid w:val="00776C35"/>
    <w:rsid w:val="00776E30"/>
    <w:rsid w:val="0077721F"/>
    <w:rsid w:val="007774E5"/>
    <w:rsid w:val="007774FA"/>
    <w:rsid w:val="0077788B"/>
    <w:rsid w:val="00777F11"/>
    <w:rsid w:val="007802BC"/>
    <w:rsid w:val="0078056C"/>
    <w:rsid w:val="007811DA"/>
    <w:rsid w:val="0078187A"/>
    <w:rsid w:val="00781970"/>
    <w:rsid w:val="00781A00"/>
    <w:rsid w:val="00781F2B"/>
    <w:rsid w:val="00782677"/>
    <w:rsid w:val="0078314D"/>
    <w:rsid w:val="00783672"/>
    <w:rsid w:val="00783B5D"/>
    <w:rsid w:val="00783DC1"/>
    <w:rsid w:val="00783F82"/>
    <w:rsid w:val="00784152"/>
    <w:rsid w:val="007843FB"/>
    <w:rsid w:val="00784418"/>
    <w:rsid w:val="00784956"/>
    <w:rsid w:val="00784EC9"/>
    <w:rsid w:val="007851E4"/>
    <w:rsid w:val="0078602B"/>
    <w:rsid w:val="00786044"/>
    <w:rsid w:val="007860C7"/>
    <w:rsid w:val="007860F7"/>
    <w:rsid w:val="00786193"/>
    <w:rsid w:val="00786311"/>
    <w:rsid w:val="00786367"/>
    <w:rsid w:val="007864F3"/>
    <w:rsid w:val="0078657E"/>
    <w:rsid w:val="007869C1"/>
    <w:rsid w:val="00787204"/>
    <w:rsid w:val="00787228"/>
    <w:rsid w:val="007877FA"/>
    <w:rsid w:val="00787D59"/>
    <w:rsid w:val="007903AE"/>
    <w:rsid w:val="00790CCD"/>
    <w:rsid w:val="00790DFA"/>
    <w:rsid w:val="00791193"/>
    <w:rsid w:val="00791829"/>
    <w:rsid w:val="00791864"/>
    <w:rsid w:val="00791915"/>
    <w:rsid w:val="00791959"/>
    <w:rsid w:val="00791A15"/>
    <w:rsid w:val="00791A7A"/>
    <w:rsid w:val="00791B76"/>
    <w:rsid w:val="00791EDE"/>
    <w:rsid w:val="00792375"/>
    <w:rsid w:val="00792963"/>
    <w:rsid w:val="00792B9C"/>
    <w:rsid w:val="00792FB4"/>
    <w:rsid w:val="0079313D"/>
    <w:rsid w:val="0079314F"/>
    <w:rsid w:val="007932CE"/>
    <w:rsid w:val="007936C2"/>
    <w:rsid w:val="00793A3A"/>
    <w:rsid w:val="00793AC8"/>
    <w:rsid w:val="00793B97"/>
    <w:rsid w:val="00793C34"/>
    <w:rsid w:val="00793D6A"/>
    <w:rsid w:val="00793F5E"/>
    <w:rsid w:val="007946B9"/>
    <w:rsid w:val="00794787"/>
    <w:rsid w:val="0079480B"/>
    <w:rsid w:val="00794E08"/>
    <w:rsid w:val="007957F6"/>
    <w:rsid w:val="007958A9"/>
    <w:rsid w:val="00795AE0"/>
    <w:rsid w:val="00795E00"/>
    <w:rsid w:val="00795FD2"/>
    <w:rsid w:val="00796161"/>
    <w:rsid w:val="00796281"/>
    <w:rsid w:val="007963B2"/>
    <w:rsid w:val="00797087"/>
    <w:rsid w:val="00797380"/>
    <w:rsid w:val="007A04FC"/>
    <w:rsid w:val="007A0FE5"/>
    <w:rsid w:val="007A0FF7"/>
    <w:rsid w:val="007A12CF"/>
    <w:rsid w:val="007A1687"/>
    <w:rsid w:val="007A1705"/>
    <w:rsid w:val="007A23C2"/>
    <w:rsid w:val="007A241A"/>
    <w:rsid w:val="007A2AEE"/>
    <w:rsid w:val="007A3A68"/>
    <w:rsid w:val="007A3A81"/>
    <w:rsid w:val="007A3F6C"/>
    <w:rsid w:val="007A423D"/>
    <w:rsid w:val="007A439F"/>
    <w:rsid w:val="007A4535"/>
    <w:rsid w:val="007A46D0"/>
    <w:rsid w:val="007A5341"/>
    <w:rsid w:val="007A654B"/>
    <w:rsid w:val="007A66E1"/>
    <w:rsid w:val="007A6A7D"/>
    <w:rsid w:val="007A6B1A"/>
    <w:rsid w:val="007A6BA6"/>
    <w:rsid w:val="007A7254"/>
    <w:rsid w:val="007A7327"/>
    <w:rsid w:val="007A7509"/>
    <w:rsid w:val="007A7895"/>
    <w:rsid w:val="007A789F"/>
    <w:rsid w:val="007A79EB"/>
    <w:rsid w:val="007A7CC3"/>
    <w:rsid w:val="007A7FFA"/>
    <w:rsid w:val="007B02D0"/>
    <w:rsid w:val="007B03D1"/>
    <w:rsid w:val="007B0422"/>
    <w:rsid w:val="007B08DE"/>
    <w:rsid w:val="007B0BF0"/>
    <w:rsid w:val="007B0DB9"/>
    <w:rsid w:val="007B0E96"/>
    <w:rsid w:val="007B1261"/>
    <w:rsid w:val="007B185B"/>
    <w:rsid w:val="007B229D"/>
    <w:rsid w:val="007B229E"/>
    <w:rsid w:val="007B2486"/>
    <w:rsid w:val="007B2512"/>
    <w:rsid w:val="007B2AB9"/>
    <w:rsid w:val="007B2B60"/>
    <w:rsid w:val="007B34D1"/>
    <w:rsid w:val="007B3B4B"/>
    <w:rsid w:val="007B3C87"/>
    <w:rsid w:val="007B4558"/>
    <w:rsid w:val="007B47FE"/>
    <w:rsid w:val="007B4AFA"/>
    <w:rsid w:val="007B51D7"/>
    <w:rsid w:val="007B56CF"/>
    <w:rsid w:val="007B5A51"/>
    <w:rsid w:val="007B5B55"/>
    <w:rsid w:val="007B5D3F"/>
    <w:rsid w:val="007B64DB"/>
    <w:rsid w:val="007B6BE4"/>
    <w:rsid w:val="007B6C3E"/>
    <w:rsid w:val="007B6E29"/>
    <w:rsid w:val="007B764B"/>
    <w:rsid w:val="007B7C88"/>
    <w:rsid w:val="007B7EDE"/>
    <w:rsid w:val="007C0372"/>
    <w:rsid w:val="007C05F1"/>
    <w:rsid w:val="007C0651"/>
    <w:rsid w:val="007C07FF"/>
    <w:rsid w:val="007C1091"/>
    <w:rsid w:val="007C10E2"/>
    <w:rsid w:val="007C1322"/>
    <w:rsid w:val="007C1560"/>
    <w:rsid w:val="007C1734"/>
    <w:rsid w:val="007C179B"/>
    <w:rsid w:val="007C1BCF"/>
    <w:rsid w:val="007C1D61"/>
    <w:rsid w:val="007C22F3"/>
    <w:rsid w:val="007C23F2"/>
    <w:rsid w:val="007C26B2"/>
    <w:rsid w:val="007C2A7D"/>
    <w:rsid w:val="007C3042"/>
    <w:rsid w:val="007C3264"/>
    <w:rsid w:val="007C32FE"/>
    <w:rsid w:val="007C38E0"/>
    <w:rsid w:val="007C39AA"/>
    <w:rsid w:val="007C3B9D"/>
    <w:rsid w:val="007C4228"/>
    <w:rsid w:val="007C446E"/>
    <w:rsid w:val="007C449E"/>
    <w:rsid w:val="007C4A12"/>
    <w:rsid w:val="007C4D1F"/>
    <w:rsid w:val="007C5014"/>
    <w:rsid w:val="007C5A41"/>
    <w:rsid w:val="007C5D81"/>
    <w:rsid w:val="007C5FE6"/>
    <w:rsid w:val="007C6320"/>
    <w:rsid w:val="007C67FD"/>
    <w:rsid w:val="007C6809"/>
    <w:rsid w:val="007C6A10"/>
    <w:rsid w:val="007C6DCB"/>
    <w:rsid w:val="007C6E4B"/>
    <w:rsid w:val="007C7169"/>
    <w:rsid w:val="007C76A4"/>
    <w:rsid w:val="007C792C"/>
    <w:rsid w:val="007C7982"/>
    <w:rsid w:val="007D05E8"/>
    <w:rsid w:val="007D0928"/>
    <w:rsid w:val="007D0B80"/>
    <w:rsid w:val="007D0E1A"/>
    <w:rsid w:val="007D12E1"/>
    <w:rsid w:val="007D12E6"/>
    <w:rsid w:val="007D1BA8"/>
    <w:rsid w:val="007D1DD4"/>
    <w:rsid w:val="007D1DE3"/>
    <w:rsid w:val="007D212E"/>
    <w:rsid w:val="007D26FD"/>
    <w:rsid w:val="007D2BA9"/>
    <w:rsid w:val="007D2BDA"/>
    <w:rsid w:val="007D318A"/>
    <w:rsid w:val="007D37F1"/>
    <w:rsid w:val="007D3856"/>
    <w:rsid w:val="007D3B58"/>
    <w:rsid w:val="007D3F46"/>
    <w:rsid w:val="007D3FEC"/>
    <w:rsid w:val="007D4680"/>
    <w:rsid w:val="007D485B"/>
    <w:rsid w:val="007D48B0"/>
    <w:rsid w:val="007D4ACB"/>
    <w:rsid w:val="007D5EEF"/>
    <w:rsid w:val="007D616E"/>
    <w:rsid w:val="007D63DF"/>
    <w:rsid w:val="007D678C"/>
    <w:rsid w:val="007D6B7D"/>
    <w:rsid w:val="007D6EEA"/>
    <w:rsid w:val="007D706C"/>
    <w:rsid w:val="007D7077"/>
    <w:rsid w:val="007D71A7"/>
    <w:rsid w:val="007D7EAC"/>
    <w:rsid w:val="007E0560"/>
    <w:rsid w:val="007E0728"/>
    <w:rsid w:val="007E0E32"/>
    <w:rsid w:val="007E1212"/>
    <w:rsid w:val="007E1850"/>
    <w:rsid w:val="007E1C33"/>
    <w:rsid w:val="007E1E5A"/>
    <w:rsid w:val="007E1EF4"/>
    <w:rsid w:val="007E2309"/>
    <w:rsid w:val="007E2698"/>
    <w:rsid w:val="007E26FF"/>
    <w:rsid w:val="007E2E4D"/>
    <w:rsid w:val="007E3B8D"/>
    <w:rsid w:val="007E4E5E"/>
    <w:rsid w:val="007E4F18"/>
    <w:rsid w:val="007E50ED"/>
    <w:rsid w:val="007E51D4"/>
    <w:rsid w:val="007E5358"/>
    <w:rsid w:val="007E555B"/>
    <w:rsid w:val="007E5626"/>
    <w:rsid w:val="007E5736"/>
    <w:rsid w:val="007E5ACF"/>
    <w:rsid w:val="007E5AD5"/>
    <w:rsid w:val="007E5BFE"/>
    <w:rsid w:val="007E5D0E"/>
    <w:rsid w:val="007E61C0"/>
    <w:rsid w:val="007E635F"/>
    <w:rsid w:val="007E649E"/>
    <w:rsid w:val="007E64EC"/>
    <w:rsid w:val="007E6929"/>
    <w:rsid w:val="007E6DBD"/>
    <w:rsid w:val="007E7209"/>
    <w:rsid w:val="007E7678"/>
    <w:rsid w:val="007E7B96"/>
    <w:rsid w:val="007E7E2E"/>
    <w:rsid w:val="007F095C"/>
    <w:rsid w:val="007F0CFE"/>
    <w:rsid w:val="007F1017"/>
    <w:rsid w:val="007F15C1"/>
    <w:rsid w:val="007F1F72"/>
    <w:rsid w:val="007F2168"/>
    <w:rsid w:val="007F21C2"/>
    <w:rsid w:val="007F2D0B"/>
    <w:rsid w:val="007F337C"/>
    <w:rsid w:val="007F3421"/>
    <w:rsid w:val="007F3DFE"/>
    <w:rsid w:val="007F41B7"/>
    <w:rsid w:val="007F438E"/>
    <w:rsid w:val="007F4478"/>
    <w:rsid w:val="007F47B1"/>
    <w:rsid w:val="007F47FB"/>
    <w:rsid w:val="007F4A59"/>
    <w:rsid w:val="007F4E68"/>
    <w:rsid w:val="007F585D"/>
    <w:rsid w:val="007F588B"/>
    <w:rsid w:val="007F5B56"/>
    <w:rsid w:val="007F5EEE"/>
    <w:rsid w:val="007F6430"/>
    <w:rsid w:val="007F6AE0"/>
    <w:rsid w:val="007F6D4D"/>
    <w:rsid w:val="007F6E10"/>
    <w:rsid w:val="007F7189"/>
    <w:rsid w:val="007F75BF"/>
    <w:rsid w:val="0080088A"/>
    <w:rsid w:val="00800912"/>
    <w:rsid w:val="00800A5C"/>
    <w:rsid w:val="00800CFF"/>
    <w:rsid w:val="00800EA6"/>
    <w:rsid w:val="00801223"/>
    <w:rsid w:val="00801DA8"/>
    <w:rsid w:val="008022B3"/>
    <w:rsid w:val="00802D3C"/>
    <w:rsid w:val="0080307B"/>
    <w:rsid w:val="008035A2"/>
    <w:rsid w:val="00803699"/>
    <w:rsid w:val="00803A48"/>
    <w:rsid w:val="00804721"/>
    <w:rsid w:val="00804E6C"/>
    <w:rsid w:val="008053DE"/>
    <w:rsid w:val="008058C2"/>
    <w:rsid w:val="00805A01"/>
    <w:rsid w:val="008061B0"/>
    <w:rsid w:val="0080748D"/>
    <w:rsid w:val="00807493"/>
    <w:rsid w:val="00807546"/>
    <w:rsid w:val="00807885"/>
    <w:rsid w:val="00807F55"/>
    <w:rsid w:val="0081059B"/>
    <w:rsid w:val="00810E02"/>
    <w:rsid w:val="00811124"/>
    <w:rsid w:val="00811138"/>
    <w:rsid w:val="00811391"/>
    <w:rsid w:val="008114E0"/>
    <w:rsid w:val="00811573"/>
    <w:rsid w:val="008117BF"/>
    <w:rsid w:val="00811FB7"/>
    <w:rsid w:val="0081202B"/>
    <w:rsid w:val="0081234F"/>
    <w:rsid w:val="00812378"/>
    <w:rsid w:val="0081239B"/>
    <w:rsid w:val="008127D3"/>
    <w:rsid w:val="008130EE"/>
    <w:rsid w:val="008133D7"/>
    <w:rsid w:val="00813D39"/>
    <w:rsid w:val="00814009"/>
    <w:rsid w:val="00814177"/>
    <w:rsid w:val="0081421F"/>
    <w:rsid w:val="0081469A"/>
    <w:rsid w:val="00814B70"/>
    <w:rsid w:val="00814F96"/>
    <w:rsid w:val="008154F7"/>
    <w:rsid w:val="0081567A"/>
    <w:rsid w:val="00815922"/>
    <w:rsid w:val="0081600A"/>
    <w:rsid w:val="0081618E"/>
    <w:rsid w:val="008164C4"/>
    <w:rsid w:val="00816695"/>
    <w:rsid w:val="00816854"/>
    <w:rsid w:val="00816B28"/>
    <w:rsid w:val="00816C6F"/>
    <w:rsid w:val="00816E9F"/>
    <w:rsid w:val="00817029"/>
    <w:rsid w:val="008171E1"/>
    <w:rsid w:val="008177E8"/>
    <w:rsid w:val="008178B2"/>
    <w:rsid w:val="00820079"/>
    <w:rsid w:val="00820473"/>
    <w:rsid w:val="008204CD"/>
    <w:rsid w:val="00821257"/>
    <w:rsid w:val="008213FE"/>
    <w:rsid w:val="008216A1"/>
    <w:rsid w:val="00821C0A"/>
    <w:rsid w:val="00821FBA"/>
    <w:rsid w:val="00822735"/>
    <w:rsid w:val="008235B6"/>
    <w:rsid w:val="00824103"/>
    <w:rsid w:val="008245D8"/>
    <w:rsid w:val="00824DA3"/>
    <w:rsid w:val="008254B8"/>
    <w:rsid w:val="00825BC9"/>
    <w:rsid w:val="00825E3B"/>
    <w:rsid w:val="00825FDB"/>
    <w:rsid w:val="008277F8"/>
    <w:rsid w:val="0083029E"/>
    <w:rsid w:val="008302A9"/>
    <w:rsid w:val="00830971"/>
    <w:rsid w:val="00830FAE"/>
    <w:rsid w:val="00831049"/>
    <w:rsid w:val="0083105E"/>
    <w:rsid w:val="00831631"/>
    <w:rsid w:val="008317B6"/>
    <w:rsid w:val="0083182E"/>
    <w:rsid w:val="00831B30"/>
    <w:rsid w:val="00831B4F"/>
    <w:rsid w:val="00832859"/>
    <w:rsid w:val="00832979"/>
    <w:rsid w:val="00832AF9"/>
    <w:rsid w:val="00833348"/>
    <w:rsid w:val="00833489"/>
    <w:rsid w:val="00833528"/>
    <w:rsid w:val="008335BA"/>
    <w:rsid w:val="00833C5A"/>
    <w:rsid w:val="00833FCD"/>
    <w:rsid w:val="0083412F"/>
    <w:rsid w:val="008346F4"/>
    <w:rsid w:val="00834A1E"/>
    <w:rsid w:val="00834C72"/>
    <w:rsid w:val="0083576F"/>
    <w:rsid w:val="00835F8E"/>
    <w:rsid w:val="00836028"/>
    <w:rsid w:val="0083640F"/>
    <w:rsid w:val="00836951"/>
    <w:rsid w:val="00836B62"/>
    <w:rsid w:val="00836D1C"/>
    <w:rsid w:val="00836EC0"/>
    <w:rsid w:val="008370C4"/>
    <w:rsid w:val="0083717B"/>
    <w:rsid w:val="008374F2"/>
    <w:rsid w:val="0083789B"/>
    <w:rsid w:val="008378AF"/>
    <w:rsid w:val="00837907"/>
    <w:rsid w:val="00837959"/>
    <w:rsid w:val="00837B45"/>
    <w:rsid w:val="00837B72"/>
    <w:rsid w:val="00840B43"/>
    <w:rsid w:val="00840FCE"/>
    <w:rsid w:val="0084155C"/>
    <w:rsid w:val="008418E6"/>
    <w:rsid w:val="00841997"/>
    <w:rsid w:val="00841B51"/>
    <w:rsid w:val="00841D4F"/>
    <w:rsid w:val="00841EF6"/>
    <w:rsid w:val="00842067"/>
    <w:rsid w:val="0084211E"/>
    <w:rsid w:val="008429F4"/>
    <w:rsid w:val="00842C04"/>
    <w:rsid w:val="008434F9"/>
    <w:rsid w:val="00843700"/>
    <w:rsid w:val="00843A63"/>
    <w:rsid w:val="00843E12"/>
    <w:rsid w:val="008441AF"/>
    <w:rsid w:val="0084441F"/>
    <w:rsid w:val="008457EC"/>
    <w:rsid w:val="00846212"/>
    <w:rsid w:val="00846651"/>
    <w:rsid w:val="00846F1B"/>
    <w:rsid w:val="0084727E"/>
    <w:rsid w:val="00847689"/>
    <w:rsid w:val="0084795C"/>
    <w:rsid w:val="00847D39"/>
    <w:rsid w:val="0085009A"/>
    <w:rsid w:val="0085044B"/>
    <w:rsid w:val="00850B65"/>
    <w:rsid w:val="00851155"/>
    <w:rsid w:val="008514E6"/>
    <w:rsid w:val="00851762"/>
    <w:rsid w:val="008522E1"/>
    <w:rsid w:val="00852620"/>
    <w:rsid w:val="00852663"/>
    <w:rsid w:val="00852B4E"/>
    <w:rsid w:val="00852F39"/>
    <w:rsid w:val="00853213"/>
    <w:rsid w:val="00853231"/>
    <w:rsid w:val="00853343"/>
    <w:rsid w:val="00853E26"/>
    <w:rsid w:val="0085457E"/>
    <w:rsid w:val="00854EFD"/>
    <w:rsid w:val="008550CB"/>
    <w:rsid w:val="00855B46"/>
    <w:rsid w:val="0085610C"/>
    <w:rsid w:val="008561AD"/>
    <w:rsid w:val="008564DE"/>
    <w:rsid w:val="00856724"/>
    <w:rsid w:val="00856CCB"/>
    <w:rsid w:val="00856D1E"/>
    <w:rsid w:val="0085707E"/>
    <w:rsid w:val="00857152"/>
    <w:rsid w:val="0085723B"/>
    <w:rsid w:val="0085761C"/>
    <w:rsid w:val="0085763D"/>
    <w:rsid w:val="00857672"/>
    <w:rsid w:val="008576D3"/>
    <w:rsid w:val="008578AC"/>
    <w:rsid w:val="00857B11"/>
    <w:rsid w:val="00860217"/>
    <w:rsid w:val="0086073D"/>
    <w:rsid w:val="00860BF6"/>
    <w:rsid w:val="00860C2B"/>
    <w:rsid w:val="00861623"/>
    <w:rsid w:val="008618C5"/>
    <w:rsid w:val="0086249D"/>
    <w:rsid w:val="008625A8"/>
    <w:rsid w:val="008627DA"/>
    <w:rsid w:val="008628EC"/>
    <w:rsid w:val="00862AAC"/>
    <w:rsid w:val="00862B4E"/>
    <w:rsid w:val="00862EE3"/>
    <w:rsid w:val="008632F4"/>
    <w:rsid w:val="00863325"/>
    <w:rsid w:val="008640DF"/>
    <w:rsid w:val="0086428D"/>
    <w:rsid w:val="00864BAB"/>
    <w:rsid w:val="00864BCF"/>
    <w:rsid w:val="00864D72"/>
    <w:rsid w:val="00864F4C"/>
    <w:rsid w:val="00865295"/>
    <w:rsid w:val="008654D3"/>
    <w:rsid w:val="00865D8E"/>
    <w:rsid w:val="00865F1A"/>
    <w:rsid w:val="008661D6"/>
    <w:rsid w:val="008665C3"/>
    <w:rsid w:val="0086695E"/>
    <w:rsid w:val="00866B67"/>
    <w:rsid w:val="00866D81"/>
    <w:rsid w:val="00866DD5"/>
    <w:rsid w:val="00866F39"/>
    <w:rsid w:val="00866FBF"/>
    <w:rsid w:val="00867277"/>
    <w:rsid w:val="008672FA"/>
    <w:rsid w:val="00867B09"/>
    <w:rsid w:val="00870095"/>
    <w:rsid w:val="008703F3"/>
    <w:rsid w:val="00870777"/>
    <w:rsid w:val="00870AF0"/>
    <w:rsid w:val="00870C58"/>
    <w:rsid w:val="00870DA3"/>
    <w:rsid w:val="008713CA"/>
    <w:rsid w:val="008727DC"/>
    <w:rsid w:val="00872B72"/>
    <w:rsid w:val="00872BE9"/>
    <w:rsid w:val="00872F4A"/>
    <w:rsid w:val="00872FA4"/>
    <w:rsid w:val="0087314B"/>
    <w:rsid w:val="00873331"/>
    <w:rsid w:val="00873734"/>
    <w:rsid w:val="00873C3D"/>
    <w:rsid w:val="00873FD1"/>
    <w:rsid w:val="00874226"/>
    <w:rsid w:val="008746BC"/>
    <w:rsid w:val="0087516E"/>
    <w:rsid w:val="008751FF"/>
    <w:rsid w:val="00875374"/>
    <w:rsid w:val="008757EB"/>
    <w:rsid w:val="00875AD5"/>
    <w:rsid w:val="00875ECA"/>
    <w:rsid w:val="008763DA"/>
    <w:rsid w:val="008764F6"/>
    <w:rsid w:val="008773C6"/>
    <w:rsid w:val="0087740D"/>
    <w:rsid w:val="008774E3"/>
    <w:rsid w:val="00877C2A"/>
    <w:rsid w:val="00877F77"/>
    <w:rsid w:val="00877F8E"/>
    <w:rsid w:val="008801D3"/>
    <w:rsid w:val="0088020B"/>
    <w:rsid w:val="0088075B"/>
    <w:rsid w:val="00880AD5"/>
    <w:rsid w:val="00880F14"/>
    <w:rsid w:val="00880F61"/>
    <w:rsid w:val="00881076"/>
    <w:rsid w:val="0088144C"/>
    <w:rsid w:val="00881751"/>
    <w:rsid w:val="00882365"/>
    <w:rsid w:val="008824C0"/>
    <w:rsid w:val="0088283F"/>
    <w:rsid w:val="00882D08"/>
    <w:rsid w:val="00882E25"/>
    <w:rsid w:val="00883398"/>
    <w:rsid w:val="00883C45"/>
    <w:rsid w:val="008841C4"/>
    <w:rsid w:val="00884568"/>
    <w:rsid w:val="00884958"/>
    <w:rsid w:val="008853BC"/>
    <w:rsid w:val="00885872"/>
    <w:rsid w:val="00886131"/>
    <w:rsid w:val="008861AC"/>
    <w:rsid w:val="00886599"/>
    <w:rsid w:val="008868E0"/>
    <w:rsid w:val="008869D1"/>
    <w:rsid w:val="00887126"/>
    <w:rsid w:val="00887207"/>
    <w:rsid w:val="00887229"/>
    <w:rsid w:val="008873A9"/>
    <w:rsid w:val="00887454"/>
    <w:rsid w:val="008875BF"/>
    <w:rsid w:val="00887609"/>
    <w:rsid w:val="00890040"/>
    <w:rsid w:val="00890215"/>
    <w:rsid w:val="0089045A"/>
    <w:rsid w:val="00890701"/>
    <w:rsid w:val="00890B4D"/>
    <w:rsid w:val="00890B51"/>
    <w:rsid w:val="00890C40"/>
    <w:rsid w:val="00891195"/>
    <w:rsid w:val="00891361"/>
    <w:rsid w:val="008915DC"/>
    <w:rsid w:val="00891D8B"/>
    <w:rsid w:val="00891EA6"/>
    <w:rsid w:val="00892230"/>
    <w:rsid w:val="008922B9"/>
    <w:rsid w:val="0089232B"/>
    <w:rsid w:val="008923A3"/>
    <w:rsid w:val="00892FBC"/>
    <w:rsid w:val="0089332B"/>
    <w:rsid w:val="00893335"/>
    <w:rsid w:val="0089394F"/>
    <w:rsid w:val="00894115"/>
    <w:rsid w:val="0089432E"/>
    <w:rsid w:val="00894B07"/>
    <w:rsid w:val="008964F8"/>
    <w:rsid w:val="008966BA"/>
    <w:rsid w:val="00896FE4"/>
    <w:rsid w:val="00897317"/>
    <w:rsid w:val="0089733C"/>
    <w:rsid w:val="00897363"/>
    <w:rsid w:val="008977D4"/>
    <w:rsid w:val="008979AE"/>
    <w:rsid w:val="00897B1D"/>
    <w:rsid w:val="00897BC2"/>
    <w:rsid w:val="00897F28"/>
    <w:rsid w:val="00897F99"/>
    <w:rsid w:val="00897FDA"/>
    <w:rsid w:val="008A0349"/>
    <w:rsid w:val="008A03DA"/>
    <w:rsid w:val="008A0927"/>
    <w:rsid w:val="008A0FD9"/>
    <w:rsid w:val="008A10CB"/>
    <w:rsid w:val="008A1A05"/>
    <w:rsid w:val="008A1A09"/>
    <w:rsid w:val="008A1BBC"/>
    <w:rsid w:val="008A1CD5"/>
    <w:rsid w:val="008A1F3E"/>
    <w:rsid w:val="008A2AEA"/>
    <w:rsid w:val="008A2C7E"/>
    <w:rsid w:val="008A2F23"/>
    <w:rsid w:val="008A3146"/>
    <w:rsid w:val="008A337F"/>
    <w:rsid w:val="008A38F1"/>
    <w:rsid w:val="008A396C"/>
    <w:rsid w:val="008A39C6"/>
    <w:rsid w:val="008A3DEE"/>
    <w:rsid w:val="008A47C8"/>
    <w:rsid w:val="008A4BF4"/>
    <w:rsid w:val="008A50CE"/>
    <w:rsid w:val="008A522D"/>
    <w:rsid w:val="008A52B6"/>
    <w:rsid w:val="008A5617"/>
    <w:rsid w:val="008A580B"/>
    <w:rsid w:val="008A677B"/>
    <w:rsid w:val="008A6BDF"/>
    <w:rsid w:val="008A777D"/>
    <w:rsid w:val="008A79CC"/>
    <w:rsid w:val="008B00BF"/>
    <w:rsid w:val="008B0B7B"/>
    <w:rsid w:val="008B111E"/>
    <w:rsid w:val="008B16F8"/>
    <w:rsid w:val="008B1C42"/>
    <w:rsid w:val="008B2099"/>
    <w:rsid w:val="008B240C"/>
    <w:rsid w:val="008B2B4F"/>
    <w:rsid w:val="008B2DFA"/>
    <w:rsid w:val="008B2FAC"/>
    <w:rsid w:val="008B3374"/>
    <w:rsid w:val="008B364E"/>
    <w:rsid w:val="008B3E5B"/>
    <w:rsid w:val="008B3EDE"/>
    <w:rsid w:val="008B4438"/>
    <w:rsid w:val="008B4489"/>
    <w:rsid w:val="008B45EF"/>
    <w:rsid w:val="008B4948"/>
    <w:rsid w:val="008B498C"/>
    <w:rsid w:val="008B4A50"/>
    <w:rsid w:val="008B4CC9"/>
    <w:rsid w:val="008B4E79"/>
    <w:rsid w:val="008B4EA1"/>
    <w:rsid w:val="008B57F4"/>
    <w:rsid w:val="008B58FB"/>
    <w:rsid w:val="008B5A0C"/>
    <w:rsid w:val="008B5A6A"/>
    <w:rsid w:val="008B5CBE"/>
    <w:rsid w:val="008B645B"/>
    <w:rsid w:val="008B6521"/>
    <w:rsid w:val="008B6587"/>
    <w:rsid w:val="008B698A"/>
    <w:rsid w:val="008B6D30"/>
    <w:rsid w:val="008B6D88"/>
    <w:rsid w:val="008B6E39"/>
    <w:rsid w:val="008B6F45"/>
    <w:rsid w:val="008B74A2"/>
    <w:rsid w:val="008B789B"/>
    <w:rsid w:val="008B7CE3"/>
    <w:rsid w:val="008B7E6C"/>
    <w:rsid w:val="008C04A9"/>
    <w:rsid w:val="008C0AA9"/>
    <w:rsid w:val="008C0FF6"/>
    <w:rsid w:val="008C13CC"/>
    <w:rsid w:val="008C1531"/>
    <w:rsid w:val="008C1754"/>
    <w:rsid w:val="008C1849"/>
    <w:rsid w:val="008C18A2"/>
    <w:rsid w:val="008C18B2"/>
    <w:rsid w:val="008C1D11"/>
    <w:rsid w:val="008C2335"/>
    <w:rsid w:val="008C2809"/>
    <w:rsid w:val="008C293D"/>
    <w:rsid w:val="008C295B"/>
    <w:rsid w:val="008C2BC1"/>
    <w:rsid w:val="008C2EAA"/>
    <w:rsid w:val="008C3052"/>
    <w:rsid w:val="008C3684"/>
    <w:rsid w:val="008C3719"/>
    <w:rsid w:val="008C381B"/>
    <w:rsid w:val="008C3A71"/>
    <w:rsid w:val="008C3BC9"/>
    <w:rsid w:val="008C4253"/>
    <w:rsid w:val="008C47DC"/>
    <w:rsid w:val="008C58B1"/>
    <w:rsid w:val="008C5921"/>
    <w:rsid w:val="008C598F"/>
    <w:rsid w:val="008C59CB"/>
    <w:rsid w:val="008C5A2D"/>
    <w:rsid w:val="008C5BD4"/>
    <w:rsid w:val="008C681D"/>
    <w:rsid w:val="008C6E43"/>
    <w:rsid w:val="008C72DB"/>
    <w:rsid w:val="008C73EC"/>
    <w:rsid w:val="008C77CF"/>
    <w:rsid w:val="008C7A4B"/>
    <w:rsid w:val="008C7AD3"/>
    <w:rsid w:val="008D004B"/>
    <w:rsid w:val="008D042A"/>
    <w:rsid w:val="008D04DE"/>
    <w:rsid w:val="008D0565"/>
    <w:rsid w:val="008D0B00"/>
    <w:rsid w:val="008D0D64"/>
    <w:rsid w:val="008D1167"/>
    <w:rsid w:val="008D15B7"/>
    <w:rsid w:val="008D1993"/>
    <w:rsid w:val="008D1A76"/>
    <w:rsid w:val="008D1BDB"/>
    <w:rsid w:val="008D2081"/>
    <w:rsid w:val="008D2301"/>
    <w:rsid w:val="008D25BF"/>
    <w:rsid w:val="008D274B"/>
    <w:rsid w:val="008D28DA"/>
    <w:rsid w:val="008D2B83"/>
    <w:rsid w:val="008D3072"/>
    <w:rsid w:val="008D34B7"/>
    <w:rsid w:val="008D3674"/>
    <w:rsid w:val="008D3869"/>
    <w:rsid w:val="008D41E6"/>
    <w:rsid w:val="008D423B"/>
    <w:rsid w:val="008D4258"/>
    <w:rsid w:val="008D482B"/>
    <w:rsid w:val="008D48AA"/>
    <w:rsid w:val="008D4DD2"/>
    <w:rsid w:val="008D50CD"/>
    <w:rsid w:val="008D51E2"/>
    <w:rsid w:val="008D531E"/>
    <w:rsid w:val="008D5908"/>
    <w:rsid w:val="008D5F4A"/>
    <w:rsid w:val="008D6465"/>
    <w:rsid w:val="008D66EF"/>
    <w:rsid w:val="008D7467"/>
    <w:rsid w:val="008D751A"/>
    <w:rsid w:val="008D77EF"/>
    <w:rsid w:val="008D788C"/>
    <w:rsid w:val="008E0173"/>
    <w:rsid w:val="008E01C3"/>
    <w:rsid w:val="008E048F"/>
    <w:rsid w:val="008E0A50"/>
    <w:rsid w:val="008E0F21"/>
    <w:rsid w:val="008E18CC"/>
    <w:rsid w:val="008E1A80"/>
    <w:rsid w:val="008E2417"/>
    <w:rsid w:val="008E28A7"/>
    <w:rsid w:val="008E3F71"/>
    <w:rsid w:val="008E4B0E"/>
    <w:rsid w:val="008E5019"/>
    <w:rsid w:val="008E55ED"/>
    <w:rsid w:val="008E58F6"/>
    <w:rsid w:val="008E5E96"/>
    <w:rsid w:val="008E5F69"/>
    <w:rsid w:val="008E6AB8"/>
    <w:rsid w:val="008E6B02"/>
    <w:rsid w:val="008E6CC6"/>
    <w:rsid w:val="008E6CE7"/>
    <w:rsid w:val="008E6EFB"/>
    <w:rsid w:val="008E77CF"/>
    <w:rsid w:val="008E7AE7"/>
    <w:rsid w:val="008E7AFE"/>
    <w:rsid w:val="008F0AE7"/>
    <w:rsid w:val="008F1B49"/>
    <w:rsid w:val="008F1BC0"/>
    <w:rsid w:val="008F1DD2"/>
    <w:rsid w:val="008F213A"/>
    <w:rsid w:val="008F2681"/>
    <w:rsid w:val="008F26A2"/>
    <w:rsid w:val="008F3342"/>
    <w:rsid w:val="008F34B2"/>
    <w:rsid w:val="008F379A"/>
    <w:rsid w:val="008F3819"/>
    <w:rsid w:val="008F387E"/>
    <w:rsid w:val="008F3F7F"/>
    <w:rsid w:val="008F40C5"/>
    <w:rsid w:val="008F450A"/>
    <w:rsid w:val="008F46F6"/>
    <w:rsid w:val="008F54E2"/>
    <w:rsid w:val="008F54FA"/>
    <w:rsid w:val="008F57DE"/>
    <w:rsid w:val="008F59D7"/>
    <w:rsid w:val="008F5BF1"/>
    <w:rsid w:val="008F5D0D"/>
    <w:rsid w:val="008F5D78"/>
    <w:rsid w:val="008F5E29"/>
    <w:rsid w:val="008F66F8"/>
    <w:rsid w:val="008F6800"/>
    <w:rsid w:val="008F6E00"/>
    <w:rsid w:val="008F6F5D"/>
    <w:rsid w:val="008F7155"/>
    <w:rsid w:val="008F7B73"/>
    <w:rsid w:val="0090002A"/>
    <w:rsid w:val="00900C3C"/>
    <w:rsid w:val="0090104C"/>
    <w:rsid w:val="009010CF"/>
    <w:rsid w:val="00901198"/>
    <w:rsid w:val="0090121D"/>
    <w:rsid w:val="0090136B"/>
    <w:rsid w:val="00901909"/>
    <w:rsid w:val="00901ED7"/>
    <w:rsid w:val="009022A5"/>
    <w:rsid w:val="00902CD7"/>
    <w:rsid w:val="0090321C"/>
    <w:rsid w:val="00903724"/>
    <w:rsid w:val="009037ED"/>
    <w:rsid w:val="00903D89"/>
    <w:rsid w:val="00904247"/>
    <w:rsid w:val="00904AB8"/>
    <w:rsid w:val="00904D67"/>
    <w:rsid w:val="00904F39"/>
    <w:rsid w:val="009054EE"/>
    <w:rsid w:val="009056C8"/>
    <w:rsid w:val="00905A96"/>
    <w:rsid w:val="00905CF0"/>
    <w:rsid w:val="0090621B"/>
    <w:rsid w:val="0090670D"/>
    <w:rsid w:val="00906779"/>
    <w:rsid w:val="009069DC"/>
    <w:rsid w:val="00906E62"/>
    <w:rsid w:val="00906F8E"/>
    <w:rsid w:val="00906FBF"/>
    <w:rsid w:val="009072B0"/>
    <w:rsid w:val="009106FA"/>
    <w:rsid w:val="009107E0"/>
    <w:rsid w:val="009107FA"/>
    <w:rsid w:val="00910AF0"/>
    <w:rsid w:val="0091109B"/>
    <w:rsid w:val="00911110"/>
    <w:rsid w:val="009115D9"/>
    <w:rsid w:val="009118E7"/>
    <w:rsid w:val="00911A7D"/>
    <w:rsid w:val="0091200D"/>
    <w:rsid w:val="009120BB"/>
    <w:rsid w:val="0091265A"/>
    <w:rsid w:val="0091382B"/>
    <w:rsid w:val="009139A5"/>
    <w:rsid w:val="00913B2F"/>
    <w:rsid w:val="00914034"/>
    <w:rsid w:val="0091431A"/>
    <w:rsid w:val="0091485F"/>
    <w:rsid w:val="00914B95"/>
    <w:rsid w:val="00914D94"/>
    <w:rsid w:val="00914EF9"/>
    <w:rsid w:val="00915C12"/>
    <w:rsid w:val="00915C49"/>
    <w:rsid w:val="00916300"/>
    <w:rsid w:val="00916460"/>
    <w:rsid w:val="00916590"/>
    <w:rsid w:val="00916784"/>
    <w:rsid w:val="00916899"/>
    <w:rsid w:val="0091715B"/>
    <w:rsid w:val="009172BD"/>
    <w:rsid w:val="00917BC5"/>
    <w:rsid w:val="00917DCD"/>
    <w:rsid w:val="0092012A"/>
    <w:rsid w:val="00920634"/>
    <w:rsid w:val="00920AED"/>
    <w:rsid w:val="00920E03"/>
    <w:rsid w:val="00920F2A"/>
    <w:rsid w:val="00921259"/>
    <w:rsid w:val="009213F9"/>
    <w:rsid w:val="009218FD"/>
    <w:rsid w:val="00922388"/>
    <w:rsid w:val="009225B1"/>
    <w:rsid w:val="009226A9"/>
    <w:rsid w:val="00922802"/>
    <w:rsid w:val="0092281F"/>
    <w:rsid w:val="00922CE2"/>
    <w:rsid w:val="00922E2A"/>
    <w:rsid w:val="009231EA"/>
    <w:rsid w:val="00923876"/>
    <w:rsid w:val="00923DAC"/>
    <w:rsid w:val="00924555"/>
    <w:rsid w:val="00924956"/>
    <w:rsid w:val="00924991"/>
    <w:rsid w:val="009249BB"/>
    <w:rsid w:val="00924E1A"/>
    <w:rsid w:val="00925174"/>
    <w:rsid w:val="00925287"/>
    <w:rsid w:val="009255CA"/>
    <w:rsid w:val="00925FD1"/>
    <w:rsid w:val="009261AA"/>
    <w:rsid w:val="009262FE"/>
    <w:rsid w:val="009266C4"/>
    <w:rsid w:val="00926844"/>
    <w:rsid w:val="00926E53"/>
    <w:rsid w:val="00927115"/>
    <w:rsid w:val="009273C4"/>
    <w:rsid w:val="009275D8"/>
    <w:rsid w:val="00927796"/>
    <w:rsid w:val="00927BE6"/>
    <w:rsid w:val="00927E1F"/>
    <w:rsid w:val="00927FB7"/>
    <w:rsid w:val="00930053"/>
    <w:rsid w:val="0093018F"/>
    <w:rsid w:val="00930AB0"/>
    <w:rsid w:val="00930C3A"/>
    <w:rsid w:val="009311EA"/>
    <w:rsid w:val="00931560"/>
    <w:rsid w:val="00931BB7"/>
    <w:rsid w:val="00931ECE"/>
    <w:rsid w:val="0093292D"/>
    <w:rsid w:val="00932C7F"/>
    <w:rsid w:val="00932D7E"/>
    <w:rsid w:val="0093301C"/>
    <w:rsid w:val="0093313B"/>
    <w:rsid w:val="00933847"/>
    <w:rsid w:val="009339BA"/>
    <w:rsid w:val="00933B3F"/>
    <w:rsid w:val="00933CE4"/>
    <w:rsid w:val="00933D1A"/>
    <w:rsid w:val="0093403D"/>
    <w:rsid w:val="009343E5"/>
    <w:rsid w:val="00934623"/>
    <w:rsid w:val="009346D7"/>
    <w:rsid w:val="0093491C"/>
    <w:rsid w:val="00934B62"/>
    <w:rsid w:val="00934F50"/>
    <w:rsid w:val="0093531B"/>
    <w:rsid w:val="00935C69"/>
    <w:rsid w:val="00935D11"/>
    <w:rsid w:val="00935D85"/>
    <w:rsid w:val="00935F51"/>
    <w:rsid w:val="009364AD"/>
    <w:rsid w:val="0093677F"/>
    <w:rsid w:val="009367F4"/>
    <w:rsid w:val="00936BBF"/>
    <w:rsid w:val="0093761E"/>
    <w:rsid w:val="00937BF3"/>
    <w:rsid w:val="009400C2"/>
    <w:rsid w:val="009401D3"/>
    <w:rsid w:val="009401D7"/>
    <w:rsid w:val="009408FE"/>
    <w:rsid w:val="009410F0"/>
    <w:rsid w:val="00941106"/>
    <w:rsid w:val="0094180B"/>
    <w:rsid w:val="00941B46"/>
    <w:rsid w:val="00941C86"/>
    <w:rsid w:val="00942711"/>
    <w:rsid w:val="00942E3F"/>
    <w:rsid w:val="00942EBB"/>
    <w:rsid w:val="00942F06"/>
    <w:rsid w:val="00943079"/>
    <w:rsid w:val="00943359"/>
    <w:rsid w:val="0094379E"/>
    <w:rsid w:val="0094418D"/>
    <w:rsid w:val="0094461C"/>
    <w:rsid w:val="009446F7"/>
    <w:rsid w:val="00944E2D"/>
    <w:rsid w:val="009451A8"/>
    <w:rsid w:val="0094579B"/>
    <w:rsid w:val="00945A5F"/>
    <w:rsid w:val="0094623B"/>
    <w:rsid w:val="0094688D"/>
    <w:rsid w:val="009469D7"/>
    <w:rsid w:val="00946A28"/>
    <w:rsid w:val="00946CEC"/>
    <w:rsid w:val="00947DAC"/>
    <w:rsid w:val="00947E9A"/>
    <w:rsid w:val="00950A59"/>
    <w:rsid w:val="00950E1E"/>
    <w:rsid w:val="0095101D"/>
    <w:rsid w:val="00951912"/>
    <w:rsid w:val="00951BC8"/>
    <w:rsid w:val="009520AB"/>
    <w:rsid w:val="009523D9"/>
    <w:rsid w:val="00952524"/>
    <w:rsid w:val="009525A1"/>
    <w:rsid w:val="00952BFB"/>
    <w:rsid w:val="00952C92"/>
    <w:rsid w:val="00953AFE"/>
    <w:rsid w:val="00953D69"/>
    <w:rsid w:val="00953E2E"/>
    <w:rsid w:val="0095413B"/>
    <w:rsid w:val="00954233"/>
    <w:rsid w:val="00954B11"/>
    <w:rsid w:val="00954EB4"/>
    <w:rsid w:val="0095528B"/>
    <w:rsid w:val="00955709"/>
    <w:rsid w:val="009557E5"/>
    <w:rsid w:val="009566C1"/>
    <w:rsid w:val="00956B25"/>
    <w:rsid w:val="0095765E"/>
    <w:rsid w:val="00957FC0"/>
    <w:rsid w:val="0096022A"/>
    <w:rsid w:val="0096087B"/>
    <w:rsid w:val="00960CB4"/>
    <w:rsid w:val="0096103A"/>
    <w:rsid w:val="0096138E"/>
    <w:rsid w:val="009614ED"/>
    <w:rsid w:val="009619CE"/>
    <w:rsid w:val="00961EB1"/>
    <w:rsid w:val="00961FE4"/>
    <w:rsid w:val="009629F3"/>
    <w:rsid w:val="00962EC8"/>
    <w:rsid w:val="00963084"/>
    <w:rsid w:val="009632C5"/>
    <w:rsid w:val="009641F6"/>
    <w:rsid w:val="00964DF3"/>
    <w:rsid w:val="009651A3"/>
    <w:rsid w:val="00965249"/>
    <w:rsid w:val="009655C8"/>
    <w:rsid w:val="009659F5"/>
    <w:rsid w:val="00965B02"/>
    <w:rsid w:val="009666AE"/>
    <w:rsid w:val="00966913"/>
    <w:rsid w:val="00966A32"/>
    <w:rsid w:val="00967333"/>
    <w:rsid w:val="0096733F"/>
    <w:rsid w:val="0096743B"/>
    <w:rsid w:val="00967558"/>
    <w:rsid w:val="009679B5"/>
    <w:rsid w:val="00967D58"/>
    <w:rsid w:val="009700A1"/>
    <w:rsid w:val="00970192"/>
    <w:rsid w:val="00970380"/>
    <w:rsid w:val="009704FF"/>
    <w:rsid w:val="00970715"/>
    <w:rsid w:val="00970780"/>
    <w:rsid w:val="00970877"/>
    <w:rsid w:val="00970C18"/>
    <w:rsid w:val="00971B56"/>
    <w:rsid w:val="00972313"/>
    <w:rsid w:val="009723B8"/>
    <w:rsid w:val="009726DC"/>
    <w:rsid w:val="009728D6"/>
    <w:rsid w:val="00972975"/>
    <w:rsid w:val="00972A73"/>
    <w:rsid w:val="009730C4"/>
    <w:rsid w:val="009732DB"/>
    <w:rsid w:val="0097353F"/>
    <w:rsid w:val="00973B02"/>
    <w:rsid w:val="00973D6A"/>
    <w:rsid w:val="00973EFC"/>
    <w:rsid w:val="00974186"/>
    <w:rsid w:val="00974465"/>
    <w:rsid w:val="0097460A"/>
    <w:rsid w:val="00974828"/>
    <w:rsid w:val="00974B72"/>
    <w:rsid w:val="00974DA8"/>
    <w:rsid w:val="0097532D"/>
    <w:rsid w:val="00975359"/>
    <w:rsid w:val="00975846"/>
    <w:rsid w:val="00975A30"/>
    <w:rsid w:val="00975E1A"/>
    <w:rsid w:val="00975F34"/>
    <w:rsid w:val="00976363"/>
    <w:rsid w:val="0097637E"/>
    <w:rsid w:val="00976700"/>
    <w:rsid w:val="00976704"/>
    <w:rsid w:val="00976736"/>
    <w:rsid w:val="00977330"/>
    <w:rsid w:val="009773C6"/>
    <w:rsid w:val="00977A0F"/>
    <w:rsid w:val="00977BBC"/>
    <w:rsid w:val="00977F88"/>
    <w:rsid w:val="00980564"/>
    <w:rsid w:val="009807B3"/>
    <w:rsid w:val="00980D32"/>
    <w:rsid w:val="00980F13"/>
    <w:rsid w:val="00981064"/>
    <w:rsid w:val="009812F5"/>
    <w:rsid w:val="00981AD5"/>
    <w:rsid w:val="00981C9E"/>
    <w:rsid w:val="00981D5D"/>
    <w:rsid w:val="009822FA"/>
    <w:rsid w:val="0098244E"/>
    <w:rsid w:val="0098263D"/>
    <w:rsid w:val="009827B0"/>
    <w:rsid w:val="00982855"/>
    <w:rsid w:val="009828AD"/>
    <w:rsid w:val="00982FEC"/>
    <w:rsid w:val="00983509"/>
    <w:rsid w:val="00983A54"/>
    <w:rsid w:val="00983E93"/>
    <w:rsid w:val="00983F53"/>
    <w:rsid w:val="00983FBA"/>
    <w:rsid w:val="009840B4"/>
    <w:rsid w:val="00984272"/>
    <w:rsid w:val="00984294"/>
    <w:rsid w:val="00984364"/>
    <w:rsid w:val="00984859"/>
    <w:rsid w:val="00985667"/>
    <w:rsid w:val="00985951"/>
    <w:rsid w:val="00985980"/>
    <w:rsid w:val="00985A55"/>
    <w:rsid w:val="00985B85"/>
    <w:rsid w:val="00986062"/>
    <w:rsid w:val="009868AA"/>
    <w:rsid w:val="0098705D"/>
    <w:rsid w:val="009870CD"/>
    <w:rsid w:val="00987309"/>
    <w:rsid w:val="00987593"/>
    <w:rsid w:val="009879E6"/>
    <w:rsid w:val="009900C2"/>
    <w:rsid w:val="009907EC"/>
    <w:rsid w:val="0099099D"/>
    <w:rsid w:val="00990BD6"/>
    <w:rsid w:val="009910D2"/>
    <w:rsid w:val="00991B6A"/>
    <w:rsid w:val="00992145"/>
    <w:rsid w:val="00992DAA"/>
    <w:rsid w:val="00993D42"/>
    <w:rsid w:val="00993D8F"/>
    <w:rsid w:val="00993EB7"/>
    <w:rsid w:val="0099483F"/>
    <w:rsid w:val="00994972"/>
    <w:rsid w:val="009950EF"/>
    <w:rsid w:val="009956F9"/>
    <w:rsid w:val="00995E6C"/>
    <w:rsid w:val="00995FAB"/>
    <w:rsid w:val="0099692D"/>
    <w:rsid w:val="00996A92"/>
    <w:rsid w:val="00996DD8"/>
    <w:rsid w:val="009972A9"/>
    <w:rsid w:val="009975E9"/>
    <w:rsid w:val="009977AB"/>
    <w:rsid w:val="00997EEA"/>
    <w:rsid w:val="009A0597"/>
    <w:rsid w:val="009A0829"/>
    <w:rsid w:val="009A0E69"/>
    <w:rsid w:val="009A0F15"/>
    <w:rsid w:val="009A1041"/>
    <w:rsid w:val="009A1103"/>
    <w:rsid w:val="009A13F1"/>
    <w:rsid w:val="009A1415"/>
    <w:rsid w:val="009A15AA"/>
    <w:rsid w:val="009A15D6"/>
    <w:rsid w:val="009A1A63"/>
    <w:rsid w:val="009A1EBB"/>
    <w:rsid w:val="009A23FF"/>
    <w:rsid w:val="009A26B6"/>
    <w:rsid w:val="009A28DC"/>
    <w:rsid w:val="009A2E7C"/>
    <w:rsid w:val="009A3AF2"/>
    <w:rsid w:val="009A438B"/>
    <w:rsid w:val="009A4BE0"/>
    <w:rsid w:val="009A53AD"/>
    <w:rsid w:val="009A592B"/>
    <w:rsid w:val="009A5B31"/>
    <w:rsid w:val="009A5FDF"/>
    <w:rsid w:val="009A6091"/>
    <w:rsid w:val="009A615F"/>
    <w:rsid w:val="009A64BB"/>
    <w:rsid w:val="009A6DCA"/>
    <w:rsid w:val="009A7913"/>
    <w:rsid w:val="009A7B42"/>
    <w:rsid w:val="009A7F53"/>
    <w:rsid w:val="009B00A7"/>
    <w:rsid w:val="009B03A8"/>
    <w:rsid w:val="009B03ED"/>
    <w:rsid w:val="009B078F"/>
    <w:rsid w:val="009B0B73"/>
    <w:rsid w:val="009B0F94"/>
    <w:rsid w:val="009B114A"/>
    <w:rsid w:val="009B133F"/>
    <w:rsid w:val="009B17E2"/>
    <w:rsid w:val="009B1972"/>
    <w:rsid w:val="009B1A38"/>
    <w:rsid w:val="009B1B0F"/>
    <w:rsid w:val="009B1FFC"/>
    <w:rsid w:val="009B2172"/>
    <w:rsid w:val="009B23A2"/>
    <w:rsid w:val="009B2AF5"/>
    <w:rsid w:val="009B2B5B"/>
    <w:rsid w:val="009B2F29"/>
    <w:rsid w:val="009B379C"/>
    <w:rsid w:val="009B381D"/>
    <w:rsid w:val="009B386F"/>
    <w:rsid w:val="009B3A6B"/>
    <w:rsid w:val="009B4476"/>
    <w:rsid w:val="009B4572"/>
    <w:rsid w:val="009B4895"/>
    <w:rsid w:val="009B4D49"/>
    <w:rsid w:val="009B52E0"/>
    <w:rsid w:val="009B5612"/>
    <w:rsid w:val="009B5951"/>
    <w:rsid w:val="009B5A5E"/>
    <w:rsid w:val="009B5C7F"/>
    <w:rsid w:val="009B5D86"/>
    <w:rsid w:val="009B6312"/>
    <w:rsid w:val="009B67CB"/>
    <w:rsid w:val="009B6C8D"/>
    <w:rsid w:val="009B6E08"/>
    <w:rsid w:val="009B6F2A"/>
    <w:rsid w:val="009B73DB"/>
    <w:rsid w:val="009B7535"/>
    <w:rsid w:val="009B7965"/>
    <w:rsid w:val="009B7988"/>
    <w:rsid w:val="009B7AC9"/>
    <w:rsid w:val="009B7B55"/>
    <w:rsid w:val="009B7E6C"/>
    <w:rsid w:val="009C00A7"/>
    <w:rsid w:val="009C043F"/>
    <w:rsid w:val="009C0647"/>
    <w:rsid w:val="009C06F9"/>
    <w:rsid w:val="009C07BB"/>
    <w:rsid w:val="009C19CC"/>
    <w:rsid w:val="009C1C8D"/>
    <w:rsid w:val="009C1C94"/>
    <w:rsid w:val="009C21D4"/>
    <w:rsid w:val="009C21E7"/>
    <w:rsid w:val="009C22AC"/>
    <w:rsid w:val="009C40BA"/>
    <w:rsid w:val="009C4764"/>
    <w:rsid w:val="009C4780"/>
    <w:rsid w:val="009C4985"/>
    <w:rsid w:val="009C4ECE"/>
    <w:rsid w:val="009C5451"/>
    <w:rsid w:val="009C5726"/>
    <w:rsid w:val="009C60FB"/>
    <w:rsid w:val="009C6916"/>
    <w:rsid w:val="009C697D"/>
    <w:rsid w:val="009C6A21"/>
    <w:rsid w:val="009C6DB7"/>
    <w:rsid w:val="009C7057"/>
    <w:rsid w:val="009C7861"/>
    <w:rsid w:val="009C78A1"/>
    <w:rsid w:val="009C7F10"/>
    <w:rsid w:val="009D069A"/>
    <w:rsid w:val="009D06F8"/>
    <w:rsid w:val="009D077E"/>
    <w:rsid w:val="009D082D"/>
    <w:rsid w:val="009D0FB4"/>
    <w:rsid w:val="009D16B8"/>
    <w:rsid w:val="009D17C1"/>
    <w:rsid w:val="009D192A"/>
    <w:rsid w:val="009D1AED"/>
    <w:rsid w:val="009D2111"/>
    <w:rsid w:val="009D2566"/>
    <w:rsid w:val="009D308D"/>
    <w:rsid w:val="009D3851"/>
    <w:rsid w:val="009D4281"/>
    <w:rsid w:val="009D42B6"/>
    <w:rsid w:val="009D447E"/>
    <w:rsid w:val="009D45DB"/>
    <w:rsid w:val="009D497C"/>
    <w:rsid w:val="009D4D0B"/>
    <w:rsid w:val="009D4DA2"/>
    <w:rsid w:val="009D4E79"/>
    <w:rsid w:val="009D4E98"/>
    <w:rsid w:val="009D55C3"/>
    <w:rsid w:val="009D59A9"/>
    <w:rsid w:val="009D5C4A"/>
    <w:rsid w:val="009D6101"/>
    <w:rsid w:val="009D6361"/>
    <w:rsid w:val="009D698F"/>
    <w:rsid w:val="009D6B29"/>
    <w:rsid w:val="009D7148"/>
    <w:rsid w:val="009D72E4"/>
    <w:rsid w:val="009D72FF"/>
    <w:rsid w:val="009D79D3"/>
    <w:rsid w:val="009D7B42"/>
    <w:rsid w:val="009E031B"/>
    <w:rsid w:val="009E04DD"/>
    <w:rsid w:val="009E1312"/>
    <w:rsid w:val="009E147A"/>
    <w:rsid w:val="009E1BC7"/>
    <w:rsid w:val="009E1C34"/>
    <w:rsid w:val="009E1D39"/>
    <w:rsid w:val="009E1F34"/>
    <w:rsid w:val="009E234C"/>
    <w:rsid w:val="009E2520"/>
    <w:rsid w:val="009E2A16"/>
    <w:rsid w:val="009E2E4B"/>
    <w:rsid w:val="009E326F"/>
    <w:rsid w:val="009E334F"/>
    <w:rsid w:val="009E3398"/>
    <w:rsid w:val="009E41D0"/>
    <w:rsid w:val="009E43FA"/>
    <w:rsid w:val="009E4648"/>
    <w:rsid w:val="009E4ADC"/>
    <w:rsid w:val="009E5096"/>
    <w:rsid w:val="009E50EE"/>
    <w:rsid w:val="009E56F2"/>
    <w:rsid w:val="009E5BB0"/>
    <w:rsid w:val="009E615C"/>
    <w:rsid w:val="009E63DB"/>
    <w:rsid w:val="009E68FA"/>
    <w:rsid w:val="009E6AB2"/>
    <w:rsid w:val="009E6B0E"/>
    <w:rsid w:val="009E79CD"/>
    <w:rsid w:val="009F001F"/>
    <w:rsid w:val="009F024A"/>
    <w:rsid w:val="009F02E6"/>
    <w:rsid w:val="009F0546"/>
    <w:rsid w:val="009F089E"/>
    <w:rsid w:val="009F0CDF"/>
    <w:rsid w:val="009F1486"/>
    <w:rsid w:val="009F176A"/>
    <w:rsid w:val="009F1A3E"/>
    <w:rsid w:val="009F1A99"/>
    <w:rsid w:val="009F1D84"/>
    <w:rsid w:val="009F2215"/>
    <w:rsid w:val="009F25F4"/>
    <w:rsid w:val="009F2864"/>
    <w:rsid w:val="009F2C74"/>
    <w:rsid w:val="009F317A"/>
    <w:rsid w:val="009F320D"/>
    <w:rsid w:val="009F33B7"/>
    <w:rsid w:val="009F34E4"/>
    <w:rsid w:val="009F46C8"/>
    <w:rsid w:val="009F4970"/>
    <w:rsid w:val="009F4C94"/>
    <w:rsid w:val="009F4D88"/>
    <w:rsid w:val="009F51E5"/>
    <w:rsid w:val="009F53C2"/>
    <w:rsid w:val="009F676E"/>
    <w:rsid w:val="009F6B97"/>
    <w:rsid w:val="009F6C8A"/>
    <w:rsid w:val="009F6F6E"/>
    <w:rsid w:val="009F71B9"/>
    <w:rsid w:val="009F7288"/>
    <w:rsid w:val="009F7412"/>
    <w:rsid w:val="009F75BB"/>
    <w:rsid w:val="009F7FA6"/>
    <w:rsid w:val="00A002ED"/>
    <w:rsid w:val="00A003EB"/>
    <w:rsid w:val="00A00554"/>
    <w:rsid w:val="00A0064C"/>
    <w:rsid w:val="00A00B2E"/>
    <w:rsid w:val="00A01AD1"/>
    <w:rsid w:val="00A01C10"/>
    <w:rsid w:val="00A01C5A"/>
    <w:rsid w:val="00A01DCD"/>
    <w:rsid w:val="00A01E55"/>
    <w:rsid w:val="00A01EBE"/>
    <w:rsid w:val="00A0215B"/>
    <w:rsid w:val="00A021D6"/>
    <w:rsid w:val="00A023F3"/>
    <w:rsid w:val="00A02593"/>
    <w:rsid w:val="00A02AD6"/>
    <w:rsid w:val="00A02BDA"/>
    <w:rsid w:val="00A03021"/>
    <w:rsid w:val="00A03B33"/>
    <w:rsid w:val="00A04006"/>
    <w:rsid w:val="00A04035"/>
    <w:rsid w:val="00A04311"/>
    <w:rsid w:val="00A04586"/>
    <w:rsid w:val="00A04738"/>
    <w:rsid w:val="00A05043"/>
    <w:rsid w:val="00A0508B"/>
    <w:rsid w:val="00A05508"/>
    <w:rsid w:val="00A05780"/>
    <w:rsid w:val="00A058B9"/>
    <w:rsid w:val="00A05D96"/>
    <w:rsid w:val="00A066AE"/>
    <w:rsid w:val="00A06E17"/>
    <w:rsid w:val="00A06F47"/>
    <w:rsid w:val="00A06FCC"/>
    <w:rsid w:val="00A10006"/>
    <w:rsid w:val="00A102B1"/>
    <w:rsid w:val="00A10D00"/>
    <w:rsid w:val="00A11A7E"/>
    <w:rsid w:val="00A11CF1"/>
    <w:rsid w:val="00A11DFB"/>
    <w:rsid w:val="00A1207C"/>
    <w:rsid w:val="00A1222D"/>
    <w:rsid w:val="00A1232B"/>
    <w:rsid w:val="00A132D4"/>
    <w:rsid w:val="00A13728"/>
    <w:rsid w:val="00A13840"/>
    <w:rsid w:val="00A13FD0"/>
    <w:rsid w:val="00A14464"/>
    <w:rsid w:val="00A14488"/>
    <w:rsid w:val="00A14A8E"/>
    <w:rsid w:val="00A14E14"/>
    <w:rsid w:val="00A157BC"/>
    <w:rsid w:val="00A15F19"/>
    <w:rsid w:val="00A16368"/>
    <w:rsid w:val="00A16BAF"/>
    <w:rsid w:val="00A16DD0"/>
    <w:rsid w:val="00A172B9"/>
    <w:rsid w:val="00A172C3"/>
    <w:rsid w:val="00A17442"/>
    <w:rsid w:val="00A1799A"/>
    <w:rsid w:val="00A17A4D"/>
    <w:rsid w:val="00A17E3B"/>
    <w:rsid w:val="00A17E70"/>
    <w:rsid w:val="00A2103A"/>
    <w:rsid w:val="00A210EE"/>
    <w:rsid w:val="00A21488"/>
    <w:rsid w:val="00A2198E"/>
    <w:rsid w:val="00A219AF"/>
    <w:rsid w:val="00A21C1F"/>
    <w:rsid w:val="00A229F2"/>
    <w:rsid w:val="00A22DB9"/>
    <w:rsid w:val="00A23B0C"/>
    <w:rsid w:val="00A23B2D"/>
    <w:rsid w:val="00A24044"/>
    <w:rsid w:val="00A2439D"/>
    <w:rsid w:val="00A2448A"/>
    <w:rsid w:val="00A249BC"/>
    <w:rsid w:val="00A24F0F"/>
    <w:rsid w:val="00A250F7"/>
    <w:rsid w:val="00A25258"/>
    <w:rsid w:val="00A25A1B"/>
    <w:rsid w:val="00A26077"/>
    <w:rsid w:val="00A262F6"/>
    <w:rsid w:val="00A2667E"/>
    <w:rsid w:val="00A26912"/>
    <w:rsid w:val="00A26A21"/>
    <w:rsid w:val="00A26B11"/>
    <w:rsid w:val="00A26F57"/>
    <w:rsid w:val="00A278E6"/>
    <w:rsid w:val="00A27C9E"/>
    <w:rsid w:val="00A27C9F"/>
    <w:rsid w:val="00A27D28"/>
    <w:rsid w:val="00A30093"/>
    <w:rsid w:val="00A3073F"/>
    <w:rsid w:val="00A308BF"/>
    <w:rsid w:val="00A31366"/>
    <w:rsid w:val="00A31778"/>
    <w:rsid w:val="00A3210D"/>
    <w:rsid w:val="00A32208"/>
    <w:rsid w:val="00A322EB"/>
    <w:rsid w:val="00A32952"/>
    <w:rsid w:val="00A32B61"/>
    <w:rsid w:val="00A32EA2"/>
    <w:rsid w:val="00A33179"/>
    <w:rsid w:val="00A333BE"/>
    <w:rsid w:val="00A33908"/>
    <w:rsid w:val="00A33A44"/>
    <w:rsid w:val="00A33AD4"/>
    <w:rsid w:val="00A33B49"/>
    <w:rsid w:val="00A34068"/>
    <w:rsid w:val="00A34243"/>
    <w:rsid w:val="00A34D16"/>
    <w:rsid w:val="00A34F92"/>
    <w:rsid w:val="00A35521"/>
    <w:rsid w:val="00A35C33"/>
    <w:rsid w:val="00A35CFD"/>
    <w:rsid w:val="00A360D4"/>
    <w:rsid w:val="00A36421"/>
    <w:rsid w:val="00A3654C"/>
    <w:rsid w:val="00A4012D"/>
    <w:rsid w:val="00A40290"/>
    <w:rsid w:val="00A40A58"/>
    <w:rsid w:val="00A40A7C"/>
    <w:rsid w:val="00A40E19"/>
    <w:rsid w:val="00A40F37"/>
    <w:rsid w:val="00A41224"/>
    <w:rsid w:val="00A41479"/>
    <w:rsid w:val="00A418D3"/>
    <w:rsid w:val="00A41B3D"/>
    <w:rsid w:val="00A42027"/>
    <w:rsid w:val="00A42872"/>
    <w:rsid w:val="00A4315D"/>
    <w:rsid w:val="00A43C73"/>
    <w:rsid w:val="00A43D8F"/>
    <w:rsid w:val="00A442C9"/>
    <w:rsid w:val="00A44846"/>
    <w:rsid w:val="00A448A4"/>
    <w:rsid w:val="00A4491E"/>
    <w:rsid w:val="00A4499F"/>
    <w:rsid w:val="00A44F37"/>
    <w:rsid w:val="00A44FBE"/>
    <w:rsid w:val="00A451F1"/>
    <w:rsid w:val="00A455B7"/>
    <w:rsid w:val="00A458A2"/>
    <w:rsid w:val="00A45B68"/>
    <w:rsid w:val="00A45F4C"/>
    <w:rsid w:val="00A46584"/>
    <w:rsid w:val="00A46B0F"/>
    <w:rsid w:val="00A47861"/>
    <w:rsid w:val="00A50011"/>
    <w:rsid w:val="00A50094"/>
    <w:rsid w:val="00A50D20"/>
    <w:rsid w:val="00A50E0F"/>
    <w:rsid w:val="00A50E23"/>
    <w:rsid w:val="00A51229"/>
    <w:rsid w:val="00A51236"/>
    <w:rsid w:val="00A51297"/>
    <w:rsid w:val="00A513F7"/>
    <w:rsid w:val="00A5142D"/>
    <w:rsid w:val="00A5151A"/>
    <w:rsid w:val="00A5163E"/>
    <w:rsid w:val="00A517E5"/>
    <w:rsid w:val="00A523D9"/>
    <w:rsid w:val="00A52478"/>
    <w:rsid w:val="00A52543"/>
    <w:rsid w:val="00A52BED"/>
    <w:rsid w:val="00A52D8E"/>
    <w:rsid w:val="00A536D6"/>
    <w:rsid w:val="00A5396C"/>
    <w:rsid w:val="00A539FC"/>
    <w:rsid w:val="00A53B4E"/>
    <w:rsid w:val="00A53B83"/>
    <w:rsid w:val="00A543FC"/>
    <w:rsid w:val="00A545B5"/>
    <w:rsid w:val="00A5478C"/>
    <w:rsid w:val="00A5480E"/>
    <w:rsid w:val="00A54A17"/>
    <w:rsid w:val="00A54DB3"/>
    <w:rsid w:val="00A55182"/>
    <w:rsid w:val="00A554A6"/>
    <w:rsid w:val="00A5558A"/>
    <w:rsid w:val="00A555D8"/>
    <w:rsid w:val="00A55797"/>
    <w:rsid w:val="00A562C7"/>
    <w:rsid w:val="00A5630D"/>
    <w:rsid w:val="00A56F3D"/>
    <w:rsid w:val="00A575C5"/>
    <w:rsid w:val="00A5777A"/>
    <w:rsid w:val="00A5782B"/>
    <w:rsid w:val="00A57BF8"/>
    <w:rsid w:val="00A606A6"/>
    <w:rsid w:val="00A6099D"/>
    <w:rsid w:val="00A60D77"/>
    <w:rsid w:val="00A61457"/>
    <w:rsid w:val="00A6168D"/>
    <w:rsid w:val="00A61793"/>
    <w:rsid w:val="00A61833"/>
    <w:rsid w:val="00A620F3"/>
    <w:rsid w:val="00A623E4"/>
    <w:rsid w:val="00A626EF"/>
    <w:rsid w:val="00A62775"/>
    <w:rsid w:val="00A637D0"/>
    <w:rsid w:val="00A63BD1"/>
    <w:rsid w:val="00A63FB1"/>
    <w:rsid w:val="00A64A07"/>
    <w:rsid w:val="00A64D59"/>
    <w:rsid w:val="00A650E2"/>
    <w:rsid w:val="00A65AA3"/>
    <w:rsid w:val="00A65DE1"/>
    <w:rsid w:val="00A65F0C"/>
    <w:rsid w:val="00A664C7"/>
    <w:rsid w:val="00A665AA"/>
    <w:rsid w:val="00A6686C"/>
    <w:rsid w:val="00A66AF0"/>
    <w:rsid w:val="00A66D68"/>
    <w:rsid w:val="00A66D89"/>
    <w:rsid w:val="00A6763E"/>
    <w:rsid w:val="00A678B5"/>
    <w:rsid w:val="00A7088D"/>
    <w:rsid w:val="00A709A5"/>
    <w:rsid w:val="00A70CBB"/>
    <w:rsid w:val="00A70F85"/>
    <w:rsid w:val="00A7130D"/>
    <w:rsid w:val="00A717CA"/>
    <w:rsid w:val="00A7188C"/>
    <w:rsid w:val="00A71AC5"/>
    <w:rsid w:val="00A71DE6"/>
    <w:rsid w:val="00A71F1F"/>
    <w:rsid w:val="00A721CA"/>
    <w:rsid w:val="00A7261E"/>
    <w:rsid w:val="00A72871"/>
    <w:rsid w:val="00A729E6"/>
    <w:rsid w:val="00A72AAB"/>
    <w:rsid w:val="00A72BE7"/>
    <w:rsid w:val="00A72E04"/>
    <w:rsid w:val="00A72F2E"/>
    <w:rsid w:val="00A73301"/>
    <w:rsid w:val="00A73533"/>
    <w:rsid w:val="00A7369F"/>
    <w:rsid w:val="00A73929"/>
    <w:rsid w:val="00A73BE5"/>
    <w:rsid w:val="00A73CEE"/>
    <w:rsid w:val="00A73F3B"/>
    <w:rsid w:val="00A74293"/>
    <w:rsid w:val="00A74673"/>
    <w:rsid w:val="00A7477D"/>
    <w:rsid w:val="00A74914"/>
    <w:rsid w:val="00A7525C"/>
    <w:rsid w:val="00A75649"/>
    <w:rsid w:val="00A75770"/>
    <w:rsid w:val="00A75FD0"/>
    <w:rsid w:val="00A761B3"/>
    <w:rsid w:val="00A76218"/>
    <w:rsid w:val="00A7665C"/>
    <w:rsid w:val="00A76930"/>
    <w:rsid w:val="00A76C8C"/>
    <w:rsid w:val="00A76FAB"/>
    <w:rsid w:val="00A770C8"/>
    <w:rsid w:val="00A770F9"/>
    <w:rsid w:val="00A77276"/>
    <w:rsid w:val="00A77547"/>
    <w:rsid w:val="00A80128"/>
    <w:rsid w:val="00A805B9"/>
    <w:rsid w:val="00A8109F"/>
    <w:rsid w:val="00A81852"/>
    <w:rsid w:val="00A81894"/>
    <w:rsid w:val="00A818A4"/>
    <w:rsid w:val="00A81B7F"/>
    <w:rsid w:val="00A820E2"/>
    <w:rsid w:val="00A83612"/>
    <w:rsid w:val="00A83D86"/>
    <w:rsid w:val="00A83D99"/>
    <w:rsid w:val="00A8402F"/>
    <w:rsid w:val="00A84069"/>
    <w:rsid w:val="00A84316"/>
    <w:rsid w:val="00A844D9"/>
    <w:rsid w:val="00A845FF"/>
    <w:rsid w:val="00A84F90"/>
    <w:rsid w:val="00A858F5"/>
    <w:rsid w:val="00A859FF"/>
    <w:rsid w:val="00A85A93"/>
    <w:rsid w:val="00A85AA5"/>
    <w:rsid w:val="00A85CC5"/>
    <w:rsid w:val="00A85F42"/>
    <w:rsid w:val="00A864CD"/>
    <w:rsid w:val="00A86671"/>
    <w:rsid w:val="00A867B6"/>
    <w:rsid w:val="00A86DE2"/>
    <w:rsid w:val="00A86F04"/>
    <w:rsid w:val="00A87895"/>
    <w:rsid w:val="00A87989"/>
    <w:rsid w:val="00A9008E"/>
    <w:rsid w:val="00A90676"/>
    <w:rsid w:val="00A909E6"/>
    <w:rsid w:val="00A90D89"/>
    <w:rsid w:val="00A90EB8"/>
    <w:rsid w:val="00A914AC"/>
    <w:rsid w:val="00A91F3D"/>
    <w:rsid w:val="00A92186"/>
    <w:rsid w:val="00A92BB0"/>
    <w:rsid w:val="00A92CD4"/>
    <w:rsid w:val="00A9339D"/>
    <w:rsid w:val="00A93A54"/>
    <w:rsid w:val="00A94243"/>
    <w:rsid w:val="00A94B8D"/>
    <w:rsid w:val="00A94E4F"/>
    <w:rsid w:val="00A95601"/>
    <w:rsid w:val="00A9581B"/>
    <w:rsid w:val="00A9598D"/>
    <w:rsid w:val="00A95F16"/>
    <w:rsid w:val="00A96416"/>
    <w:rsid w:val="00A96AB3"/>
    <w:rsid w:val="00A96AD0"/>
    <w:rsid w:val="00A96FA3"/>
    <w:rsid w:val="00A97477"/>
    <w:rsid w:val="00A9751F"/>
    <w:rsid w:val="00A97868"/>
    <w:rsid w:val="00A97A71"/>
    <w:rsid w:val="00A97E30"/>
    <w:rsid w:val="00AA06E5"/>
    <w:rsid w:val="00AA08A3"/>
    <w:rsid w:val="00AA094D"/>
    <w:rsid w:val="00AA1010"/>
    <w:rsid w:val="00AA1439"/>
    <w:rsid w:val="00AA2526"/>
    <w:rsid w:val="00AA26CB"/>
    <w:rsid w:val="00AA2836"/>
    <w:rsid w:val="00AA2BC3"/>
    <w:rsid w:val="00AA33EB"/>
    <w:rsid w:val="00AA3AD2"/>
    <w:rsid w:val="00AA3DBB"/>
    <w:rsid w:val="00AA3EF6"/>
    <w:rsid w:val="00AA3FF8"/>
    <w:rsid w:val="00AA4001"/>
    <w:rsid w:val="00AA431A"/>
    <w:rsid w:val="00AA440D"/>
    <w:rsid w:val="00AA4D60"/>
    <w:rsid w:val="00AA561C"/>
    <w:rsid w:val="00AA563C"/>
    <w:rsid w:val="00AA5958"/>
    <w:rsid w:val="00AA5B3B"/>
    <w:rsid w:val="00AA5FC5"/>
    <w:rsid w:val="00AA6048"/>
    <w:rsid w:val="00AA60AE"/>
    <w:rsid w:val="00AA62B6"/>
    <w:rsid w:val="00AA6508"/>
    <w:rsid w:val="00AA652E"/>
    <w:rsid w:val="00AA65AD"/>
    <w:rsid w:val="00AA65CE"/>
    <w:rsid w:val="00AA66B5"/>
    <w:rsid w:val="00AA6865"/>
    <w:rsid w:val="00AA6973"/>
    <w:rsid w:val="00AA69C8"/>
    <w:rsid w:val="00AA6B52"/>
    <w:rsid w:val="00AA6DA9"/>
    <w:rsid w:val="00AA6E30"/>
    <w:rsid w:val="00AA70F3"/>
    <w:rsid w:val="00AA735A"/>
    <w:rsid w:val="00AA73C6"/>
    <w:rsid w:val="00AA7406"/>
    <w:rsid w:val="00AA76BB"/>
    <w:rsid w:val="00AA7808"/>
    <w:rsid w:val="00AA780E"/>
    <w:rsid w:val="00AA7BE8"/>
    <w:rsid w:val="00AA7CE2"/>
    <w:rsid w:val="00AA7D6F"/>
    <w:rsid w:val="00AA7F2E"/>
    <w:rsid w:val="00AAA2B2"/>
    <w:rsid w:val="00AB0783"/>
    <w:rsid w:val="00AB0F86"/>
    <w:rsid w:val="00AB1227"/>
    <w:rsid w:val="00AB15B4"/>
    <w:rsid w:val="00AB1747"/>
    <w:rsid w:val="00AB1991"/>
    <w:rsid w:val="00AB205B"/>
    <w:rsid w:val="00AB22CA"/>
    <w:rsid w:val="00AB23B9"/>
    <w:rsid w:val="00AB24C5"/>
    <w:rsid w:val="00AB26E5"/>
    <w:rsid w:val="00AB2A78"/>
    <w:rsid w:val="00AB2E5B"/>
    <w:rsid w:val="00AB37F4"/>
    <w:rsid w:val="00AB3DAE"/>
    <w:rsid w:val="00AB3F42"/>
    <w:rsid w:val="00AB4078"/>
    <w:rsid w:val="00AB413B"/>
    <w:rsid w:val="00AB47D7"/>
    <w:rsid w:val="00AB4A98"/>
    <w:rsid w:val="00AB4CD8"/>
    <w:rsid w:val="00AB4D26"/>
    <w:rsid w:val="00AB4F92"/>
    <w:rsid w:val="00AB513B"/>
    <w:rsid w:val="00AB545D"/>
    <w:rsid w:val="00AB59AA"/>
    <w:rsid w:val="00AB59BC"/>
    <w:rsid w:val="00AB5CB2"/>
    <w:rsid w:val="00AB5E18"/>
    <w:rsid w:val="00AB5F57"/>
    <w:rsid w:val="00AB6462"/>
    <w:rsid w:val="00AB664E"/>
    <w:rsid w:val="00AB7254"/>
    <w:rsid w:val="00AC07DA"/>
    <w:rsid w:val="00AC0A33"/>
    <w:rsid w:val="00AC1421"/>
    <w:rsid w:val="00AC15FD"/>
    <w:rsid w:val="00AC1BDC"/>
    <w:rsid w:val="00AC1F4E"/>
    <w:rsid w:val="00AC1FFD"/>
    <w:rsid w:val="00AC238B"/>
    <w:rsid w:val="00AC2780"/>
    <w:rsid w:val="00AC2CD0"/>
    <w:rsid w:val="00AC3139"/>
    <w:rsid w:val="00AC32AD"/>
    <w:rsid w:val="00AC34DD"/>
    <w:rsid w:val="00AC38E8"/>
    <w:rsid w:val="00AC3920"/>
    <w:rsid w:val="00AC3BAA"/>
    <w:rsid w:val="00AC45A8"/>
    <w:rsid w:val="00AC4740"/>
    <w:rsid w:val="00AC48C2"/>
    <w:rsid w:val="00AC4DDA"/>
    <w:rsid w:val="00AC4E8E"/>
    <w:rsid w:val="00AC5949"/>
    <w:rsid w:val="00AC6237"/>
    <w:rsid w:val="00AC6A6D"/>
    <w:rsid w:val="00AC6AC6"/>
    <w:rsid w:val="00AC6AE9"/>
    <w:rsid w:val="00AC6C20"/>
    <w:rsid w:val="00AC6F1D"/>
    <w:rsid w:val="00AC7414"/>
    <w:rsid w:val="00AC7C34"/>
    <w:rsid w:val="00AC7D0E"/>
    <w:rsid w:val="00AD0137"/>
    <w:rsid w:val="00AD0F73"/>
    <w:rsid w:val="00AD1375"/>
    <w:rsid w:val="00AD14FF"/>
    <w:rsid w:val="00AD180F"/>
    <w:rsid w:val="00AD199B"/>
    <w:rsid w:val="00AD2901"/>
    <w:rsid w:val="00AD2D7D"/>
    <w:rsid w:val="00AD2D97"/>
    <w:rsid w:val="00AD2F04"/>
    <w:rsid w:val="00AD2F47"/>
    <w:rsid w:val="00AD30A3"/>
    <w:rsid w:val="00AD33AF"/>
    <w:rsid w:val="00AD3B8A"/>
    <w:rsid w:val="00AD424B"/>
    <w:rsid w:val="00AD4558"/>
    <w:rsid w:val="00AD4921"/>
    <w:rsid w:val="00AD4959"/>
    <w:rsid w:val="00AD5106"/>
    <w:rsid w:val="00AD53E7"/>
    <w:rsid w:val="00AD541A"/>
    <w:rsid w:val="00AD59A2"/>
    <w:rsid w:val="00AD6221"/>
    <w:rsid w:val="00AD644C"/>
    <w:rsid w:val="00AD6780"/>
    <w:rsid w:val="00AD6C87"/>
    <w:rsid w:val="00AD6EEF"/>
    <w:rsid w:val="00AD70F7"/>
    <w:rsid w:val="00AD7260"/>
    <w:rsid w:val="00AD745A"/>
    <w:rsid w:val="00AE0062"/>
    <w:rsid w:val="00AE01D2"/>
    <w:rsid w:val="00AE0260"/>
    <w:rsid w:val="00AE0300"/>
    <w:rsid w:val="00AE0374"/>
    <w:rsid w:val="00AE0418"/>
    <w:rsid w:val="00AE0F21"/>
    <w:rsid w:val="00AE0F22"/>
    <w:rsid w:val="00AE13B8"/>
    <w:rsid w:val="00AE160C"/>
    <w:rsid w:val="00AE17D9"/>
    <w:rsid w:val="00AE1815"/>
    <w:rsid w:val="00AE1A73"/>
    <w:rsid w:val="00AE2092"/>
    <w:rsid w:val="00AE2BF0"/>
    <w:rsid w:val="00AE2E56"/>
    <w:rsid w:val="00AE32A7"/>
    <w:rsid w:val="00AE3732"/>
    <w:rsid w:val="00AE3876"/>
    <w:rsid w:val="00AE3E09"/>
    <w:rsid w:val="00AE4165"/>
    <w:rsid w:val="00AE4339"/>
    <w:rsid w:val="00AE4CD1"/>
    <w:rsid w:val="00AE4D90"/>
    <w:rsid w:val="00AE59DD"/>
    <w:rsid w:val="00AE5B17"/>
    <w:rsid w:val="00AE5D2B"/>
    <w:rsid w:val="00AE62A5"/>
    <w:rsid w:val="00AE6549"/>
    <w:rsid w:val="00AE6636"/>
    <w:rsid w:val="00AE698F"/>
    <w:rsid w:val="00AE6CB1"/>
    <w:rsid w:val="00AE729A"/>
    <w:rsid w:val="00AE73C8"/>
    <w:rsid w:val="00AE7D2A"/>
    <w:rsid w:val="00AF027C"/>
    <w:rsid w:val="00AF0663"/>
    <w:rsid w:val="00AF069E"/>
    <w:rsid w:val="00AF074B"/>
    <w:rsid w:val="00AF08BA"/>
    <w:rsid w:val="00AF0C70"/>
    <w:rsid w:val="00AF11C4"/>
    <w:rsid w:val="00AF1337"/>
    <w:rsid w:val="00AF149D"/>
    <w:rsid w:val="00AF17B5"/>
    <w:rsid w:val="00AF1953"/>
    <w:rsid w:val="00AF198E"/>
    <w:rsid w:val="00AF245F"/>
    <w:rsid w:val="00AF24E8"/>
    <w:rsid w:val="00AF377E"/>
    <w:rsid w:val="00AF3912"/>
    <w:rsid w:val="00AF3C89"/>
    <w:rsid w:val="00AF3DCD"/>
    <w:rsid w:val="00AF3EBB"/>
    <w:rsid w:val="00AF4718"/>
    <w:rsid w:val="00AF48A4"/>
    <w:rsid w:val="00AF4D21"/>
    <w:rsid w:val="00AF5153"/>
    <w:rsid w:val="00AF5272"/>
    <w:rsid w:val="00AF52CD"/>
    <w:rsid w:val="00AF5537"/>
    <w:rsid w:val="00AF57BC"/>
    <w:rsid w:val="00AF57EE"/>
    <w:rsid w:val="00AF5E48"/>
    <w:rsid w:val="00AF6696"/>
    <w:rsid w:val="00AF6C82"/>
    <w:rsid w:val="00AF7409"/>
    <w:rsid w:val="00AF76C8"/>
    <w:rsid w:val="00AF7996"/>
    <w:rsid w:val="00AF7B76"/>
    <w:rsid w:val="00AF7DDD"/>
    <w:rsid w:val="00B0018F"/>
    <w:rsid w:val="00B0082E"/>
    <w:rsid w:val="00B00917"/>
    <w:rsid w:val="00B00D38"/>
    <w:rsid w:val="00B01032"/>
    <w:rsid w:val="00B01A6F"/>
    <w:rsid w:val="00B01C2D"/>
    <w:rsid w:val="00B01F0F"/>
    <w:rsid w:val="00B023BB"/>
    <w:rsid w:val="00B027EC"/>
    <w:rsid w:val="00B0282B"/>
    <w:rsid w:val="00B02903"/>
    <w:rsid w:val="00B0290A"/>
    <w:rsid w:val="00B02F1F"/>
    <w:rsid w:val="00B03404"/>
    <w:rsid w:val="00B03497"/>
    <w:rsid w:val="00B034C5"/>
    <w:rsid w:val="00B03EFF"/>
    <w:rsid w:val="00B03F05"/>
    <w:rsid w:val="00B04924"/>
    <w:rsid w:val="00B04F4E"/>
    <w:rsid w:val="00B04FAD"/>
    <w:rsid w:val="00B05415"/>
    <w:rsid w:val="00B0565E"/>
    <w:rsid w:val="00B05AF8"/>
    <w:rsid w:val="00B05BA0"/>
    <w:rsid w:val="00B05D4D"/>
    <w:rsid w:val="00B05F32"/>
    <w:rsid w:val="00B06118"/>
    <w:rsid w:val="00B0679E"/>
    <w:rsid w:val="00B068F4"/>
    <w:rsid w:val="00B06E6F"/>
    <w:rsid w:val="00B0722C"/>
    <w:rsid w:val="00B073BE"/>
    <w:rsid w:val="00B07518"/>
    <w:rsid w:val="00B07880"/>
    <w:rsid w:val="00B079B4"/>
    <w:rsid w:val="00B10573"/>
    <w:rsid w:val="00B10A2A"/>
    <w:rsid w:val="00B10ABA"/>
    <w:rsid w:val="00B10B86"/>
    <w:rsid w:val="00B11020"/>
    <w:rsid w:val="00B11ED2"/>
    <w:rsid w:val="00B12676"/>
    <w:rsid w:val="00B129EF"/>
    <w:rsid w:val="00B12F46"/>
    <w:rsid w:val="00B133B7"/>
    <w:rsid w:val="00B13C4C"/>
    <w:rsid w:val="00B13EC7"/>
    <w:rsid w:val="00B1428E"/>
    <w:rsid w:val="00B143C2"/>
    <w:rsid w:val="00B145DB"/>
    <w:rsid w:val="00B147EB"/>
    <w:rsid w:val="00B14A1D"/>
    <w:rsid w:val="00B14A2A"/>
    <w:rsid w:val="00B14CA2"/>
    <w:rsid w:val="00B14DAE"/>
    <w:rsid w:val="00B14DDE"/>
    <w:rsid w:val="00B14F34"/>
    <w:rsid w:val="00B1528D"/>
    <w:rsid w:val="00B152E0"/>
    <w:rsid w:val="00B15C36"/>
    <w:rsid w:val="00B16026"/>
    <w:rsid w:val="00B1693A"/>
    <w:rsid w:val="00B16E39"/>
    <w:rsid w:val="00B16E84"/>
    <w:rsid w:val="00B16EF7"/>
    <w:rsid w:val="00B1753C"/>
    <w:rsid w:val="00B1795B"/>
    <w:rsid w:val="00B17ED3"/>
    <w:rsid w:val="00B20152"/>
    <w:rsid w:val="00B20320"/>
    <w:rsid w:val="00B20B8E"/>
    <w:rsid w:val="00B2111C"/>
    <w:rsid w:val="00B213CC"/>
    <w:rsid w:val="00B21C27"/>
    <w:rsid w:val="00B21C80"/>
    <w:rsid w:val="00B22004"/>
    <w:rsid w:val="00B22174"/>
    <w:rsid w:val="00B22562"/>
    <w:rsid w:val="00B22867"/>
    <w:rsid w:val="00B232AA"/>
    <w:rsid w:val="00B233BD"/>
    <w:rsid w:val="00B23483"/>
    <w:rsid w:val="00B2349E"/>
    <w:rsid w:val="00B23916"/>
    <w:rsid w:val="00B23965"/>
    <w:rsid w:val="00B23CD8"/>
    <w:rsid w:val="00B23D23"/>
    <w:rsid w:val="00B244AB"/>
    <w:rsid w:val="00B24656"/>
    <w:rsid w:val="00B2481D"/>
    <w:rsid w:val="00B24A43"/>
    <w:rsid w:val="00B251F6"/>
    <w:rsid w:val="00B255EC"/>
    <w:rsid w:val="00B256F8"/>
    <w:rsid w:val="00B25855"/>
    <w:rsid w:val="00B2607E"/>
    <w:rsid w:val="00B260A2"/>
    <w:rsid w:val="00B26369"/>
    <w:rsid w:val="00B263A4"/>
    <w:rsid w:val="00B2646A"/>
    <w:rsid w:val="00B264F4"/>
    <w:rsid w:val="00B2691D"/>
    <w:rsid w:val="00B269C7"/>
    <w:rsid w:val="00B27281"/>
    <w:rsid w:val="00B279DF"/>
    <w:rsid w:val="00B27CEE"/>
    <w:rsid w:val="00B27D99"/>
    <w:rsid w:val="00B27EEE"/>
    <w:rsid w:val="00B30438"/>
    <w:rsid w:val="00B30533"/>
    <w:rsid w:val="00B307D2"/>
    <w:rsid w:val="00B308E1"/>
    <w:rsid w:val="00B308E8"/>
    <w:rsid w:val="00B311E5"/>
    <w:rsid w:val="00B312EB"/>
    <w:rsid w:val="00B31665"/>
    <w:rsid w:val="00B32222"/>
    <w:rsid w:val="00B3256D"/>
    <w:rsid w:val="00B3269E"/>
    <w:rsid w:val="00B330D3"/>
    <w:rsid w:val="00B33446"/>
    <w:rsid w:val="00B33A0D"/>
    <w:rsid w:val="00B3410B"/>
    <w:rsid w:val="00B3498F"/>
    <w:rsid w:val="00B35579"/>
    <w:rsid w:val="00B3575D"/>
    <w:rsid w:val="00B35C8E"/>
    <w:rsid w:val="00B37774"/>
    <w:rsid w:val="00B37792"/>
    <w:rsid w:val="00B37F00"/>
    <w:rsid w:val="00B37FF0"/>
    <w:rsid w:val="00B4023C"/>
    <w:rsid w:val="00B4044C"/>
    <w:rsid w:val="00B404F7"/>
    <w:rsid w:val="00B4083E"/>
    <w:rsid w:val="00B408EE"/>
    <w:rsid w:val="00B421BC"/>
    <w:rsid w:val="00B42FD1"/>
    <w:rsid w:val="00B42FEA"/>
    <w:rsid w:val="00B43BCC"/>
    <w:rsid w:val="00B4473A"/>
    <w:rsid w:val="00B44AA1"/>
    <w:rsid w:val="00B45244"/>
    <w:rsid w:val="00B4525E"/>
    <w:rsid w:val="00B453E8"/>
    <w:rsid w:val="00B45651"/>
    <w:rsid w:val="00B45E88"/>
    <w:rsid w:val="00B468D7"/>
    <w:rsid w:val="00B469B0"/>
    <w:rsid w:val="00B46E69"/>
    <w:rsid w:val="00B46F15"/>
    <w:rsid w:val="00B4710B"/>
    <w:rsid w:val="00B4761C"/>
    <w:rsid w:val="00B47D4E"/>
    <w:rsid w:val="00B506C4"/>
    <w:rsid w:val="00B50DE8"/>
    <w:rsid w:val="00B51B15"/>
    <w:rsid w:val="00B51D8C"/>
    <w:rsid w:val="00B51FE2"/>
    <w:rsid w:val="00B52203"/>
    <w:rsid w:val="00B524F8"/>
    <w:rsid w:val="00B529CF"/>
    <w:rsid w:val="00B52B1D"/>
    <w:rsid w:val="00B52D6B"/>
    <w:rsid w:val="00B52FF4"/>
    <w:rsid w:val="00B530DE"/>
    <w:rsid w:val="00B53237"/>
    <w:rsid w:val="00B5328B"/>
    <w:rsid w:val="00B532BA"/>
    <w:rsid w:val="00B53DC5"/>
    <w:rsid w:val="00B53FC2"/>
    <w:rsid w:val="00B5455E"/>
    <w:rsid w:val="00B54A0D"/>
    <w:rsid w:val="00B54F70"/>
    <w:rsid w:val="00B5517A"/>
    <w:rsid w:val="00B554E3"/>
    <w:rsid w:val="00B55C96"/>
    <w:rsid w:val="00B55C99"/>
    <w:rsid w:val="00B55DEC"/>
    <w:rsid w:val="00B5657D"/>
    <w:rsid w:val="00B565E3"/>
    <w:rsid w:val="00B567FC"/>
    <w:rsid w:val="00B56986"/>
    <w:rsid w:val="00B56D85"/>
    <w:rsid w:val="00B56D8E"/>
    <w:rsid w:val="00B56F94"/>
    <w:rsid w:val="00B5769F"/>
    <w:rsid w:val="00B57D82"/>
    <w:rsid w:val="00B6002E"/>
    <w:rsid w:val="00B600B2"/>
    <w:rsid w:val="00B607C4"/>
    <w:rsid w:val="00B60BFC"/>
    <w:rsid w:val="00B60D38"/>
    <w:rsid w:val="00B60D3C"/>
    <w:rsid w:val="00B60F4F"/>
    <w:rsid w:val="00B61625"/>
    <w:rsid w:val="00B61678"/>
    <w:rsid w:val="00B6176F"/>
    <w:rsid w:val="00B61B26"/>
    <w:rsid w:val="00B61CAB"/>
    <w:rsid w:val="00B61DE6"/>
    <w:rsid w:val="00B61EBA"/>
    <w:rsid w:val="00B61EC1"/>
    <w:rsid w:val="00B620F4"/>
    <w:rsid w:val="00B62549"/>
    <w:rsid w:val="00B6285F"/>
    <w:rsid w:val="00B62A26"/>
    <w:rsid w:val="00B62C46"/>
    <w:rsid w:val="00B63055"/>
    <w:rsid w:val="00B63346"/>
    <w:rsid w:val="00B633CB"/>
    <w:rsid w:val="00B6354C"/>
    <w:rsid w:val="00B63829"/>
    <w:rsid w:val="00B63CF1"/>
    <w:rsid w:val="00B63E55"/>
    <w:rsid w:val="00B64050"/>
    <w:rsid w:val="00B64605"/>
    <w:rsid w:val="00B646EB"/>
    <w:rsid w:val="00B649F5"/>
    <w:rsid w:val="00B64B51"/>
    <w:rsid w:val="00B64D78"/>
    <w:rsid w:val="00B64E49"/>
    <w:rsid w:val="00B64E9B"/>
    <w:rsid w:val="00B6512C"/>
    <w:rsid w:val="00B652F2"/>
    <w:rsid w:val="00B6587A"/>
    <w:rsid w:val="00B660C2"/>
    <w:rsid w:val="00B662B0"/>
    <w:rsid w:val="00B664D8"/>
    <w:rsid w:val="00B669BB"/>
    <w:rsid w:val="00B669ED"/>
    <w:rsid w:val="00B66D51"/>
    <w:rsid w:val="00B673EC"/>
    <w:rsid w:val="00B67A31"/>
    <w:rsid w:val="00B67CFB"/>
    <w:rsid w:val="00B67F51"/>
    <w:rsid w:val="00B7041B"/>
    <w:rsid w:val="00B705DD"/>
    <w:rsid w:val="00B708A8"/>
    <w:rsid w:val="00B70A20"/>
    <w:rsid w:val="00B70E3E"/>
    <w:rsid w:val="00B7161B"/>
    <w:rsid w:val="00B71D39"/>
    <w:rsid w:val="00B72598"/>
    <w:rsid w:val="00B725E1"/>
    <w:rsid w:val="00B726C8"/>
    <w:rsid w:val="00B72816"/>
    <w:rsid w:val="00B72961"/>
    <w:rsid w:val="00B72BE3"/>
    <w:rsid w:val="00B735DF"/>
    <w:rsid w:val="00B73A17"/>
    <w:rsid w:val="00B73E82"/>
    <w:rsid w:val="00B73EF5"/>
    <w:rsid w:val="00B743A6"/>
    <w:rsid w:val="00B744D0"/>
    <w:rsid w:val="00B7497D"/>
    <w:rsid w:val="00B74BFA"/>
    <w:rsid w:val="00B74C54"/>
    <w:rsid w:val="00B74F1F"/>
    <w:rsid w:val="00B75118"/>
    <w:rsid w:val="00B753AF"/>
    <w:rsid w:val="00B753DD"/>
    <w:rsid w:val="00B75487"/>
    <w:rsid w:val="00B75BA8"/>
    <w:rsid w:val="00B761DA"/>
    <w:rsid w:val="00B76B13"/>
    <w:rsid w:val="00B76DF1"/>
    <w:rsid w:val="00B76F1C"/>
    <w:rsid w:val="00B80033"/>
    <w:rsid w:val="00B80358"/>
    <w:rsid w:val="00B805A9"/>
    <w:rsid w:val="00B80B30"/>
    <w:rsid w:val="00B80B32"/>
    <w:rsid w:val="00B81610"/>
    <w:rsid w:val="00B8163F"/>
    <w:rsid w:val="00B817D3"/>
    <w:rsid w:val="00B817F8"/>
    <w:rsid w:val="00B81933"/>
    <w:rsid w:val="00B81977"/>
    <w:rsid w:val="00B81AE4"/>
    <w:rsid w:val="00B81C41"/>
    <w:rsid w:val="00B81F1D"/>
    <w:rsid w:val="00B822B7"/>
    <w:rsid w:val="00B8236A"/>
    <w:rsid w:val="00B8240F"/>
    <w:rsid w:val="00B824E2"/>
    <w:rsid w:val="00B8396F"/>
    <w:rsid w:val="00B83AC7"/>
    <w:rsid w:val="00B840C7"/>
    <w:rsid w:val="00B84A8E"/>
    <w:rsid w:val="00B84BB9"/>
    <w:rsid w:val="00B85460"/>
    <w:rsid w:val="00B8589F"/>
    <w:rsid w:val="00B85994"/>
    <w:rsid w:val="00B86160"/>
    <w:rsid w:val="00B86715"/>
    <w:rsid w:val="00B86FFD"/>
    <w:rsid w:val="00B87077"/>
    <w:rsid w:val="00B871F0"/>
    <w:rsid w:val="00B87774"/>
    <w:rsid w:val="00B879C7"/>
    <w:rsid w:val="00B87C0B"/>
    <w:rsid w:val="00B87C7E"/>
    <w:rsid w:val="00B87EA5"/>
    <w:rsid w:val="00B9045F"/>
    <w:rsid w:val="00B9059B"/>
    <w:rsid w:val="00B91171"/>
    <w:rsid w:val="00B9154B"/>
    <w:rsid w:val="00B917BD"/>
    <w:rsid w:val="00B91833"/>
    <w:rsid w:val="00B91B39"/>
    <w:rsid w:val="00B91CED"/>
    <w:rsid w:val="00B92064"/>
    <w:rsid w:val="00B9284B"/>
    <w:rsid w:val="00B92CFE"/>
    <w:rsid w:val="00B92D7E"/>
    <w:rsid w:val="00B93B59"/>
    <w:rsid w:val="00B93FFF"/>
    <w:rsid w:val="00B94AA9"/>
    <w:rsid w:val="00B94B24"/>
    <w:rsid w:val="00B95032"/>
    <w:rsid w:val="00B9509E"/>
    <w:rsid w:val="00B952A9"/>
    <w:rsid w:val="00B952C7"/>
    <w:rsid w:val="00B95A82"/>
    <w:rsid w:val="00B95C94"/>
    <w:rsid w:val="00B9618C"/>
    <w:rsid w:val="00B96477"/>
    <w:rsid w:val="00B964E0"/>
    <w:rsid w:val="00B965C3"/>
    <w:rsid w:val="00B9660F"/>
    <w:rsid w:val="00B96771"/>
    <w:rsid w:val="00B96E46"/>
    <w:rsid w:val="00B97259"/>
    <w:rsid w:val="00B975CD"/>
    <w:rsid w:val="00B97614"/>
    <w:rsid w:val="00B97C75"/>
    <w:rsid w:val="00BA003C"/>
    <w:rsid w:val="00BA0458"/>
    <w:rsid w:val="00BA04F9"/>
    <w:rsid w:val="00BA06C7"/>
    <w:rsid w:val="00BA0E9A"/>
    <w:rsid w:val="00BA1278"/>
    <w:rsid w:val="00BA1E96"/>
    <w:rsid w:val="00BA1EFB"/>
    <w:rsid w:val="00BA25DF"/>
    <w:rsid w:val="00BA2A13"/>
    <w:rsid w:val="00BA2C82"/>
    <w:rsid w:val="00BA31A4"/>
    <w:rsid w:val="00BA33A4"/>
    <w:rsid w:val="00BA3BDE"/>
    <w:rsid w:val="00BA3EA9"/>
    <w:rsid w:val="00BA424E"/>
    <w:rsid w:val="00BA42D4"/>
    <w:rsid w:val="00BA48D7"/>
    <w:rsid w:val="00BA4CBD"/>
    <w:rsid w:val="00BA4E54"/>
    <w:rsid w:val="00BA527B"/>
    <w:rsid w:val="00BA53E7"/>
    <w:rsid w:val="00BA5902"/>
    <w:rsid w:val="00BA6037"/>
    <w:rsid w:val="00BA618C"/>
    <w:rsid w:val="00BA6386"/>
    <w:rsid w:val="00BA6841"/>
    <w:rsid w:val="00BA6AE6"/>
    <w:rsid w:val="00BA769B"/>
    <w:rsid w:val="00BA78B7"/>
    <w:rsid w:val="00BA7C0E"/>
    <w:rsid w:val="00BA7C82"/>
    <w:rsid w:val="00BA7DF1"/>
    <w:rsid w:val="00BA7F5A"/>
    <w:rsid w:val="00BB0418"/>
    <w:rsid w:val="00BB0662"/>
    <w:rsid w:val="00BB0748"/>
    <w:rsid w:val="00BB0A20"/>
    <w:rsid w:val="00BB0B7F"/>
    <w:rsid w:val="00BB175E"/>
    <w:rsid w:val="00BB17E0"/>
    <w:rsid w:val="00BB19C8"/>
    <w:rsid w:val="00BB1EBF"/>
    <w:rsid w:val="00BB1FD5"/>
    <w:rsid w:val="00BB29EA"/>
    <w:rsid w:val="00BB2D3A"/>
    <w:rsid w:val="00BB2E44"/>
    <w:rsid w:val="00BB3361"/>
    <w:rsid w:val="00BB3373"/>
    <w:rsid w:val="00BB3889"/>
    <w:rsid w:val="00BB3F6A"/>
    <w:rsid w:val="00BB425D"/>
    <w:rsid w:val="00BB4358"/>
    <w:rsid w:val="00BB43F6"/>
    <w:rsid w:val="00BB46D1"/>
    <w:rsid w:val="00BB480C"/>
    <w:rsid w:val="00BB4946"/>
    <w:rsid w:val="00BB4EFC"/>
    <w:rsid w:val="00BB513F"/>
    <w:rsid w:val="00BB58EF"/>
    <w:rsid w:val="00BB595C"/>
    <w:rsid w:val="00BB5E71"/>
    <w:rsid w:val="00BB6D5B"/>
    <w:rsid w:val="00BB75B9"/>
    <w:rsid w:val="00BB7765"/>
    <w:rsid w:val="00BB7898"/>
    <w:rsid w:val="00BB7FAB"/>
    <w:rsid w:val="00BC0806"/>
    <w:rsid w:val="00BC09FE"/>
    <w:rsid w:val="00BC0AFA"/>
    <w:rsid w:val="00BC11C4"/>
    <w:rsid w:val="00BC131C"/>
    <w:rsid w:val="00BC1A14"/>
    <w:rsid w:val="00BC2087"/>
    <w:rsid w:val="00BC24C2"/>
    <w:rsid w:val="00BC277A"/>
    <w:rsid w:val="00BC2C8A"/>
    <w:rsid w:val="00BC2E5F"/>
    <w:rsid w:val="00BC3251"/>
    <w:rsid w:val="00BC33D1"/>
    <w:rsid w:val="00BC35A1"/>
    <w:rsid w:val="00BC388E"/>
    <w:rsid w:val="00BC3C83"/>
    <w:rsid w:val="00BC3DE3"/>
    <w:rsid w:val="00BC4029"/>
    <w:rsid w:val="00BC4084"/>
    <w:rsid w:val="00BC4874"/>
    <w:rsid w:val="00BC56B4"/>
    <w:rsid w:val="00BC591B"/>
    <w:rsid w:val="00BC6044"/>
    <w:rsid w:val="00BC61BC"/>
    <w:rsid w:val="00BC628C"/>
    <w:rsid w:val="00BC6640"/>
    <w:rsid w:val="00BC6AC5"/>
    <w:rsid w:val="00BC6C4F"/>
    <w:rsid w:val="00BC705E"/>
    <w:rsid w:val="00BC742B"/>
    <w:rsid w:val="00BC788D"/>
    <w:rsid w:val="00BC7918"/>
    <w:rsid w:val="00BC7E6F"/>
    <w:rsid w:val="00BD0783"/>
    <w:rsid w:val="00BD07F4"/>
    <w:rsid w:val="00BD0AD3"/>
    <w:rsid w:val="00BD0AFC"/>
    <w:rsid w:val="00BD0E32"/>
    <w:rsid w:val="00BD1188"/>
    <w:rsid w:val="00BD1263"/>
    <w:rsid w:val="00BD12FB"/>
    <w:rsid w:val="00BD193B"/>
    <w:rsid w:val="00BD2972"/>
    <w:rsid w:val="00BD2C0D"/>
    <w:rsid w:val="00BD3332"/>
    <w:rsid w:val="00BD3B95"/>
    <w:rsid w:val="00BD4838"/>
    <w:rsid w:val="00BD5ACF"/>
    <w:rsid w:val="00BD5D14"/>
    <w:rsid w:val="00BD63EF"/>
    <w:rsid w:val="00BD6EB5"/>
    <w:rsid w:val="00BD7181"/>
    <w:rsid w:val="00BD7237"/>
    <w:rsid w:val="00BD79B2"/>
    <w:rsid w:val="00BD79EC"/>
    <w:rsid w:val="00BD79FB"/>
    <w:rsid w:val="00BE055C"/>
    <w:rsid w:val="00BE07C7"/>
    <w:rsid w:val="00BE0A84"/>
    <w:rsid w:val="00BE0B59"/>
    <w:rsid w:val="00BE0E6E"/>
    <w:rsid w:val="00BE1512"/>
    <w:rsid w:val="00BE1A90"/>
    <w:rsid w:val="00BE1E46"/>
    <w:rsid w:val="00BE2346"/>
    <w:rsid w:val="00BE23B0"/>
    <w:rsid w:val="00BE28FE"/>
    <w:rsid w:val="00BE3374"/>
    <w:rsid w:val="00BE362A"/>
    <w:rsid w:val="00BE3C0F"/>
    <w:rsid w:val="00BE3C39"/>
    <w:rsid w:val="00BE4030"/>
    <w:rsid w:val="00BE419C"/>
    <w:rsid w:val="00BE48DC"/>
    <w:rsid w:val="00BE4AD1"/>
    <w:rsid w:val="00BE4C77"/>
    <w:rsid w:val="00BE4DCE"/>
    <w:rsid w:val="00BE4EF4"/>
    <w:rsid w:val="00BE51F5"/>
    <w:rsid w:val="00BE5264"/>
    <w:rsid w:val="00BE530C"/>
    <w:rsid w:val="00BE54B1"/>
    <w:rsid w:val="00BE54EB"/>
    <w:rsid w:val="00BE5701"/>
    <w:rsid w:val="00BE5895"/>
    <w:rsid w:val="00BE625E"/>
    <w:rsid w:val="00BE628A"/>
    <w:rsid w:val="00BE7843"/>
    <w:rsid w:val="00BE7992"/>
    <w:rsid w:val="00BE7E89"/>
    <w:rsid w:val="00BF0081"/>
    <w:rsid w:val="00BF05B6"/>
    <w:rsid w:val="00BF0DDE"/>
    <w:rsid w:val="00BF0E99"/>
    <w:rsid w:val="00BF1138"/>
    <w:rsid w:val="00BF182C"/>
    <w:rsid w:val="00BF1C32"/>
    <w:rsid w:val="00BF23D9"/>
    <w:rsid w:val="00BF24AC"/>
    <w:rsid w:val="00BF26C1"/>
    <w:rsid w:val="00BF275D"/>
    <w:rsid w:val="00BF2C39"/>
    <w:rsid w:val="00BF2FAA"/>
    <w:rsid w:val="00BF319C"/>
    <w:rsid w:val="00BF3BC5"/>
    <w:rsid w:val="00BF3C62"/>
    <w:rsid w:val="00BF4070"/>
    <w:rsid w:val="00BF4349"/>
    <w:rsid w:val="00BF446E"/>
    <w:rsid w:val="00BF4A59"/>
    <w:rsid w:val="00BF4FC8"/>
    <w:rsid w:val="00BF5022"/>
    <w:rsid w:val="00BF57CB"/>
    <w:rsid w:val="00BF5D9D"/>
    <w:rsid w:val="00BF5DF9"/>
    <w:rsid w:val="00BF61E9"/>
    <w:rsid w:val="00BF6300"/>
    <w:rsid w:val="00BF64A3"/>
    <w:rsid w:val="00BF66BB"/>
    <w:rsid w:val="00BF677D"/>
    <w:rsid w:val="00BF6830"/>
    <w:rsid w:val="00BF6BD8"/>
    <w:rsid w:val="00BF7874"/>
    <w:rsid w:val="00BF7A43"/>
    <w:rsid w:val="00BF7A60"/>
    <w:rsid w:val="00BF7EF0"/>
    <w:rsid w:val="00C00421"/>
    <w:rsid w:val="00C00DFA"/>
    <w:rsid w:val="00C01467"/>
    <w:rsid w:val="00C01B3D"/>
    <w:rsid w:val="00C01F0D"/>
    <w:rsid w:val="00C02711"/>
    <w:rsid w:val="00C02A51"/>
    <w:rsid w:val="00C02CB9"/>
    <w:rsid w:val="00C02D48"/>
    <w:rsid w:val="00C030E7"/>
    <w:rsid w:val="00C0328F"/>
    <w:rsid w:val="00C03343"/>
    <w:rsid w:val="00C0385F"/>
    <w:rsid w:val="00C03D3C"/>
    <w:rsid w:val="00C03D66"/>
    <w:rsid w:val="00C04005"/>
    <w:rsid w:val="00C043BC"/>
    <w:rsid w:val="00C045E0"/>
    <w:rsid w:val="00C049ED"/>
    <w:rsid w:val="00C04B43"/>
    <w:rsid w:val="00C04BC5"/>
    <w:rsid w:val="00C04FA3"/>
    <w:rsid w:val="00C05831"/>
    <w:rsid w:val="00C05B9F"/>
    <w:rsid w:val="00C06207"/>
    <w:rsid w:val="00C063EA"/>
    <w:rsid w:val="00C0656B"/>
    <w:rsid w:val="00C065D7"/>
    <w:rsid w:val="00C06BE2"/>
    <w:rsid w:val="00C06D8B"/>
    <w:rsid w:val="00C06DD5"/>
    <w:rsid w:val="00C06F1E"/>
    <w:rsid w:val="00C07113"/>
    <w:rsid w:val="00C07243"/>
    <w:rsid w:val="00C10064"/>
    <w:rsid w:val="00C101F8"/>
    <w:rsid w:val="00C106B7"/>
    <w:rsid w:val="00C10AF4"/>
    <w:rsid w:val="00C10AFD"/>
    <w:rsid w:val="00C10B3C"/>
    <w:rsid w:val="00C10B78"/>
    <w:rsid w:val="00C10B84"/>
    <w:rsid w:val="00C10CC1"/>
    <w:rsid w:val="00C10D4E"/>
    <w:rsid w:val="00C1105F"/>
    <w:rsid w:val="00C11360"/>
    <w:rsid w:val="00C11870"/>
    <w:rsid w:val="00C11A15"/>
    <w:rsid w:val="00C12F87"/>
    <w:rsid w:val="00C13474"/>
    <w:rsid w:val="00C1369B"/>
    <w:rsid w:val="00C13C0F"/>
    <w:rsid w:val="00C146A7"/>
    <w:rsid w:val="00C148EE"/>
    <w:rsid w:val="00C14F80"/>
    <w:rsid w:val="00C15578"/>
    <w:rsid w:val="00C15D45"/>
    <w:rsid w:val="00C163B0"/>
    <w:rsid w:val="00C16F11"/>
    <w:rsid w:val="00C16F4C"/>
    <w:rsid w:val="00C179A2"/>
    <w:rsid w:val="00C17A45"/>
    <w:rsid w:val="00C17D7B"/>
    <w:rsid w:val="00C17E5B"/>
    <w:rsid w:val="00C20121"/>
    <w:rsid w:val="00C2021E"/>
    <w:rsid w:val="00C20426"/>
    <w:rsid w:val="00C20609"/>
    <w:rsid w:val="00C20BDE"/>
    <w:rsid w:val="00C20D31"/>
    <w:rsid w:val="00C20D5D"/>
    <w:rsid w:val="00C213E1"/>
    <w:rsid w:val="00C21D60"/>
    <w:rsid w:val="00C22637"/>
    <w:rsid w:val="00C22975"/>
    <w:rsid w:val="00C22D1F"/>
    <w:rsid w:val="00C22F02"/>
    <w:rsid w:val="00C2318D"/>
    <w:rsid w:val="00C23463"/>
    <w:rsid w:val="00C23C4B"/>
    <w:rsid w:val="00C23D28"/>
    <w:rsid w:val="00C24910"/>
    <w:rsid w:val="00C24B83"/>
    <w:rsid w:val="00C24F65"/>
    <w:rsid w:val="00C2605D"/>
    <w:rsid w:val="00C26427"/>
    <w:rsid w:val="00C26792"/>
    <w:rsid w:val="00C2754B"/>
    <w:rsid w:val="00C27BEF"/>
    <w:rsid w:val="00C3039B"/>
    <w:rsid w:val="00C30C5F"/>
    <w:rsid w:val="00C3144C"/>
    <w:rsid w:val="00C31B2E"/>
    <w:rsid w:val="00C31B37"/>
    <w:rsid w:val="00C32140"/>
    <w:rsid w:val="00C321B7"/>
    <w:rsid w:val="00C32237"/>
    <w:rsid w:val="00C32A88"/>
    <w:rsid w:val="00C330D0"/>
    <w:rsid w:val="00C33437"/>
    <w:rsid w:val="00C334A2"/>
    <w:rsid w:val="00C33564"/>
    <w:rsid w:val="00C33743"/>
    <w:rsid w:val="00C33CBD"/>
    <w:rsid w:val="00C34218"/>
    <w:rsid w:val="00C34772"/>
    <w:rsid w:val="00C34B46"/>
    <w:rsid w:val="00C34E88"/>
    <w:rsid w:val="00C35180"/>
    <w:rsid w:val="00C352C1"/>
    <w:rsid w:val="00C35537"/>
    <w:rsid w:val="00C35551"/>
    <w:rsid w:val="00C35670"/>
    <w:rsid w:val="00C36DAD"/>
    <w:rsid w:val="00C378F3"/>
    <w:rsid w:val="00C37996"/>
    <w:rsid w:val="00C37BEB"/>
    <w:rsid w:val="00C37E47"/>
    <w:rsid w:val="00C4052A"/>
    <w:rsid w:val="00C40548"/>
    <w:rsid w:val="00C40917"/>
    <w:rsid w:val="00C4149F"/>
    <w:rsid w:val="00C417B4"/>
    <w:rsid w:val="00C41A00"/>
    <w:rsid w:val="00C41B66"/>
    <w:rsid w:val="00C42769"/>
    <w:rsid w:val="00C42A32"/>
    <w:rsid w:val="00C42EC4"/>
    <w:rsid w:val="00C43358"/>
    <w:rsid w:val="00C43445"/>
    <w:rsid w:val="00C4354D"/>
    <w:rsid w:val="00C43595"/>
    <w:rsid w:val="00C4377F"/>
    <w:rsid w:val="00C43AE1"/>
    <w:rsid w:val="00C43C74"/>
    <w:rsid w:val="00C43D09"/>
    <w:rsid w:val="00C4420D"/>
    <w:rsid w:val="00C447D8"/>
    <w:rsid w:val="00C44ACF"/>
    <w:rsid w:val="00C44B33"/>
    <w:rsid w:val="00C4504A"/>
    <w:rsid w:val="00C459A3"/>
    <w:rsid w:val="00C45C70"/>
    <w:rsid w:val="00C45FE5"/>
    <w:rsid w:val="00C45FF4"/>
    <w:rsid w:val="00C460EB"/>
    <w:rsid w:val="00C46406"/>
    <w:rsid w:val="00C4656D"/>
    <w:rsid w:val="00C465F7"/>
    <w:rsid w:val="00C46E92"/>
    <w:rsid w:val="00C4706C"/>
    <w:rsid w:val="00C47678"/>
    <w:rsid w:val="00C47F70"/>
    <w:rsid w:val="00C5011A"/>
    <w:rsid w:val="00C5036F"/>
    <w:rsid w:val="00C5039C"/>
    <w:rsid w:val="00C503A2"/>
    <w:rsid w:val="00C50D2F"/>
    <w:rsid w:val="00C50FE3"/>
    <w:rsid w:val="00C51258"/>
    <w:rsid w:val="00C51272"/>
    <w:rsid w:val="00C51786"/>
    <w:rsid w:val="00C519CC"/>
    <w:rsid w:val="00C51C4C"/>
    <w:rsid w:val="00C51E8B"/>
    <w:rsid w:val="00C52034"/>
    <w:rsid w:val="00C52222"/>
    <w:rsid w:val="00C52475"/>
    <w:rsid w:val="00C52B5E"/>
    <w:rsid w:val="00C53DA4"/>
    <w:rsid w:val="00C54AD9"/>
    <w:rsid w:val="00C54BF8"/>
    <w:rsid w:val="00C54E16"/>
    <w:rsid w:val="00C54FC1"/>
    <w:rsid w:val="00C5512F"/>
    <w:rsid w:val="00C55DA3"/>
    <w:rsid w:val="00C55E88"/>
    <w:rsid w:val="00C55F9C"/>
    <w:rsid w:val="00C56356"/>
    <w:rsid w:val="00C564CA"/>
    <w:rsid w:val="00C5659D"/>
    <w:rsid w:val="00C56818"/>
    <w:rsid w:val="00C56EAF"/>
    <w:rsid w:val="00C57A5D"/>
    <w:rsid w:val="00C57C2F"/>
    <w:rsid w:val="00C57FA1"/>
    <w:rsid w:val="00C60797"/>
    <w:rsid w:val="00C60E01"/>
    <w:rsid w:val="00C60ED8"/>
    <w:rsid w:val="00C610CF"/>
    <w:rsid w:val="00C611E5"/>
    <w:rsid w:val="00C613FF"/>
    <w:rsid w:val="00C616DD"/>
    <w:rsid w:val="00C61748"/>
    <w:rsid w:val="00C61D82"/>
    <w:rsid w:val="00C626FE"/>
    <w:rsid w:val="00C62776"/>
    <w:rsid w:val="00C62A90"/>
    <w:rsid w:val="00C62EEC"/>
    <w:rsid w:val="00C62FD1"/>
    <w:rsid w:val="00C63182"/>
    <w:rsid w:val="00C635FC"/>
    <w:rsid w:val="00C63847"/>
    <w:rsid w:val="00C6392D"/>
    <w:rsid w:val="00C63A94"/>
    <w:rsid w:val="00C63C97"/>
    <w:rsid w:val="00C63CB4"/>
    <w:rsid w:val="00C640D1"/>
    <w:rsid w:val="00C644B0"/>
    <w:rsid w:val="00C6479D"/>
    <w:rsid w:val="00C64B6C"/>
    <w:rsid w:val="00C64BAC"/>
    <w:rsid w:val="00C64D30"/>
    <w:rsid w:val="00C6593B"/>
    <w:rsid w:val="00C65C5C"/>
    <w:rsid w:val="00C65F23"/>
    <w:rsid w:val="00C65F6E"/>
    <w:rsid w:val="00C66433"/>
    <w:rsid w:val="00C6643D"/>
    <w:rsid w:val="00C66582"/>
    <w:rsid w:val="00C66BB8"/>
    <w:rsid w:val="00C66C00"/>
    <w:rsid w:val="00C66C5C"/>
    <w:rsid w:val="00C67011"/>
    <w:rsid w:val="00C67044"/>
    <w:rsid w:val="00C672AD"/>
    <w:rsid w:val="00C675BE"/>
    <w:rsid w:val="00C676B0"/>
    <w:rsid w:val="00C67CEE"/>
    <w:rsid w:val="00C705EE"/>
    <w:rsid w:val="00C706EA"/>
    <w:rsid w:val="00C7098F"/>
    <w:rsid w:val="00C70BDC"/>
    <w:rsid w:val="00C712B1"/>
    <w:rsid w:val="00C71AB0"/>
    <w:rsid w:val="00C71D8B"/>
    <w:rsid w:val="00C72440"/>
    <w:rsid w:val="00C7283C"/>
    <w:rsid w:val="00C72A7E"/>
    <w:rsid w:val="00C72A8D"/>
    <w:rsid w:val="00C72C44"/>
    <w:rsid w:val="00C72E86"/>
    <w:rsid w:val="00C73140"/>
    <w:rsid w:val="00C73269"/>
    <w:rsid w:val="00C73B93"/>
    <w:rsid w:val="00C73D0F"/>
    <w:rsid w:val="00C73F8C"/>
    <w:rsid w:val="00C7400D"/>
    <w:rsid w:val="00C74045"/>
    <w:rsid w:val="00C74069"/>
    <w:rsid w:val="00C74343"/>
    <w:rsid w:val="00C7457E"/>
    <w:rsid w:val="00C74B4C"/>
    <w:rsid w:val="00C75227"/>
    <w:rsid w:val="00C7682B"/>
    <w:rsid w:val="00C768B9"/>
    <w:rsid w:val="00C76968"/>
    <w:rsid w:val="00C76C09"/>
    <w:rsid w:val="00C76ECA"/>
    <w:rsid w:val="00C7717D"/>
    <w:rsid w:val="00C774FC"/>
    <w:rsid w:val="00C8088D"/>
    <w:rsid w:val="00C80DFC"/>
    <w:rsid w:val="00C814C7"/>
    <w:rsid w:val="00C81A70"/>
    <w:rsid w:val="00C81E2E"/>
    <w:rsid w:val="00C8207F"/>
    <w:rsid w:val="00C82107"/>
    <w:rsid w:val="00C8259E"/>
    <w:rsid w:val="00C8263A"/>
    <w:rsid w:val="00C83614"/>
    <w:rsid w:val="00C836DB"/>
    <w:rsid w:val="00C83864"/>
    <w:rsid w:val="00C83C3A"/>
    <w:rsid w:val="00C83D66"/>
    <w:rsid w:val="00C84113"/>
    <w:rsid w:val="00C84A07"/>
    <w:rsid w:val="00C84DFB"/>
    <w:rsid w:val="00C8546C"/>
    <w:rsid w:val="00C85478"/>
    <w:rsid w:val="00C859EF"/>
    <w:rsid w:val="00C85A43"/>
    <w:rsid w:val="00C85CB6"/>
    <w:rsid w:val="00C85E99"/>
    <w:rsid w:val="00C864CB"/>
    <w:rsid w:val="00C86539"/>
    <w:rsid w:val="00C8691B"/>
    <w:rsid w:val="00C86EFD"/>
    <w:rsid w:val="00C873D5"/>
    <w:rsid w:val="00C877FC"/>
    <w:rsid w:val="00C87A71"/>
    <w:rsid w:val="00C9039D"/>
    <w:rsid w:val="00C903F5"/>
    <w:rsid w:val="00C9086E"/>
    <w:rsid w:val="00C90899"/>
    <w:rsid w:val="00C909DF"/>
    <w:rsid w:val="00C90F58"/>
    <w:rsid w:val="00C90F6B"/>
    <w:rsid w:val="00C91111"/>
    <w:rsid w:val="00C91669"/>
    <w:rsid w:val="00C91884"/>
    <w:rsid w:val="00C91A47"/>
    <w:rsid w:val="00C91BDD"/>
    <w:rsid w:val="00C91FE8"/>
    <w:rsid w:val="00C9215F"/>
    <w:rsid w:val="00C9251B"/>
    <w:rsid w:val="00C92B3C"/>
    <w:rsid w:val="00C92F50"/>
    <w:rsid w:val="00C92FCA"/>
    <w:rsid w:val="00C9368F"/>
    <w:rsid w:val="00C938F7"/>
    <w:rsid w:val="00C9391C"/>
    <w:rsid w:val="00C93995"/>
    <w:rsid w:val="00C93FB3"/>
    <w:rsid w:val="00C94775"/>
    <w:rsid w:val="00C94863"/>
    <w:rsid w:val="00C94F84"/>
    <w:rsid w:val="00C950C4"/>
    <w:rsid w:val="00C954E4"/>
    <w:rsid w:val="00C95530"/>
    <w:rsid w:val="00C9553E"/>
    <w:rsid w:val="00C95592"/>
    <w:rsid w:val="00C95614"/>
    <w:rsid w:val="00C956D9"/>
    <w:rsid w:val="00C95AC2"/>
    <w:rsid w:val="00C95DBD"/>
    <w:rsid w:val="00C961A8"/>
    <w:rsid w:val="00C963E7"/>
    <w:rsid w:val="00C966D0"/>
    <w:rsid w:val="00C9682D"/>
    <w:rsid w:val="00C96B0A"/>
    <w:rsid w:val="00C97088"/>
    <w:rsid w:val="00C975EA"/>
    <w:rsid w:val="00C97848"/>
    <w:rsid w:val="00C97C1A"/>
    <w:rsid w:val="00CA025A"/>
    <w:rsid w:val="00CA08A3"/>
    <w:rsid w:val="00CA107D"/>
    <w:rsid w:val="00CA1098"/>
    <w:rsid w:val="00CA1615"/>
    <w:rsid w:val="00CA195A"/>
    <w:rsid w:val="00CA1CFF"/>
    <w:rsid w:val="00CA1E40"/>
    <w:rsid w:val="00CA27B5"/>
    <w:rsid w:val="00CA2D6D"/>
    <w:rsid w:val="00CA3913"/>
    <w:rsid w:val="00CA3DCD"/>
    <w:rsid w:val="00CA4124"/>
    <w:rsid w:val="00CA4E28"/>
    <w:rsid w:val="00CA4EB1"/>
    <w:rsid w:val="00CA5120"/>
    <w:rsid w:val="00CA5652"/>
    <w:rsid w:val="00CA58A3"/>
    <w:rsid w:val="00CA5A64"/>
    <w:rsid w:val="00CA5C22"/>
    <w:rsid w:val="00CA5DB9"/>
    <w:rsid w:val="00CA5DED"/>
    <w:rsid w:val="00CA61E9"/>
    <w:rsid w:val="00CA6240"/>
    <w:rsid w:val="00CA6697"/>
    <w:rsid w:val="00CA6921"/>
    <w:rsid w:val="00CA6A62"/>
    <w:rsid w:val="00CA6C33"/>
    <w:rsid w:val="00CA76DD"/>
    <w:rsid w:val="00CA7DA6"/>
    <w:rsid w:val="00CA7E77"/>
    <w:rsid w:val="00CB01BF"/>
    <w:rsid w:val="00CB0C63"/>
    <w:rsid w:val="00CB0E4D"/>
    <w:rsid w:val="00CB1413"/>
    <w:rsid w:val="00CB19F7"/>
    <w:rsid w:val="00CB211C"/>
    <w:rsid w:val="00CB21DE"/>
    <w:rsid w:val="00CB29F8"/>
    <w:rsid w:val="00CB3509"/>
    <w:rsid w:val="00CB35CC"/>
    <w:rsid w:val="00CB3D7F"/>
    <w:rsid w:val="00CB4678"/>
    <w:rsid w:val="00CB4C48"/>
    <w:rsid w:val="00CB4F51"/>
    <w:rsid w:val="00CB4FDF"/>
    <w:rsid w:val="00CB5F77"/>
    <w:rsid w:val="00CB5FC9"/>
    <w:rsid w:val="00CB5FED"/>
    <w:rsid w:val="00CB637B"/>
    <w:rsid w:val="00CB6466"/>
    <w:rsid w:val="00CB7170"/>
    <w:rsid w:val="00CB763B"/>
    <w:rsid w:val="00CB7752"/>
    <w:rsid w:val="00CB7933"/>
    <w:rsid w:val="00CB7A88"/>
    <w:rsid w:val="00CB7BFD"/>
    <w:rsid w:val="00CB7CBC"/>
    <w:rsid w:val="00CB7EDE"/>
    <w:rsid w:val="00CC0566"/>
    <w:rsid w:val="00CC0FB9"/>
    <w:rsid w:val="00CC1963"/>
    <w:rsid w:val="00CC1A14"/>
    <w:rsid w:val="00CC1D91"/>
    <w:rsid w:val="00CC2392"/>
    <w:rsid w:val="00CC4065"/>
    <w:rsid w:val="00CC4304"/>
    <w:rsid w:val="00CC4376"/>
    <w:rsid w:val="00CC4631"/>
    <w:rsid w:val="00CC4900"/>
    <w:rsid w:val="00CC49B7"/>
    <w:rsid w:val="00CC4CFA"/>
    <w:rsid w:val="00CC4FCD"/>
    <w:rsid w:val="00CC5093"/>
    <w:rsid w:val="00CC52ED"/>
    <w:rsid w:val="00CC5462"/>
    <w:rsid w:val="00CC593B"/>
    <w:rsid w:val="00CC60A1"/>
    <w:rsid w:val="00CC60DB"/>
    <w:rsid w:val="00CC63B1"/>
    <w:rsid w:val="00CC6875"/>
    <w:rsid w:val="00CC6AF3"/>
    <w:rsid w:val="00CC6BEF"/>
    <w:rsid w:val="00CC6F08"/>
    <w:rsid w:val="00CC6F4E"/>
    <w:rsid w:val="00CC71B7"/>
    <w:rsid w:val="00CC7270"/>
    <w:rsid w:val="00CC765B"/>
    <w:rsid w:val="00CD02FF"/>
    <w:rsid w:val="00CD03D9"/>
    <w:rsid w:val="00CD0487"/>
    <w:rsid w:val="00CD0D35"/>
    <w:rsid w:val="00CD13F6"/>
    <w:rsid w:val="00CD144B"/>
    <w:rsid w:val="00CD1634"/>
    <w:rsid w:val="00CD17F5"/>
    <w:rsid w:val="00CD18EC"/>
    <w:rsid w:val="00CD2180"/>
    <w:rsid w:val="00CD2B92"/>
    <w:rsid w:val="00CD2F83"/>
    <w:rsid w:val="00CD300F"/>
    <w:rsid w:val="00CD32C2"/>
    <w:rsid w:val="00CD33A0"/>
    <w:rsid w:val="00CD3753"/>
    <w:rsid w:val="00CD377C"/>
    <w:rsid w:val="00CD385E"/>
    <w:rsid w:val="00CD43AB"/>
    <w:rsid w:val="00CD473F"/>
    <w:rsid w:val="00CD4851"/>
    <w:rsid w:val="00CD48DD"/>
    <w:rsid w:val="00CD54A9"/>
    <w:rsid w:val="00CD5726"/>
    <w:rsid w:val="00CD5CA7"/>
    <w:rsid w:val="00CD62E6"/>
    <w:rsid w:val="00CD6EFF"/>
    <w:rsid w:val="00CD789C"/>
    <w:rsid w:val="00CD7BA7"/>
    <w:rsid w:val="00CE09AB"/>
    <w:rsid w:val="00CE0D29"/>
    <w:rsid w:val="00CE0E15"/>
    <w:rsid w:val="00CE111A"/>
    <w:rsid w:val="00CE1478"/>
    <w:rsid w:val="00CE159B"/>
    <w:rsid w:val="00CE194D"/>
    <w:rsid w:val="00CE1EB7"/>
    <w:rsid w:val="00CE22AE"/>
    <w:rsid w:val="00CE270F"/>
    <w:rsid w:val="00CE2741"/>
    <w:rsid w:val="00CE27FB"/>
    <w:rsid w:val="00CE2950"/>
    <w:rsid w:val="00CE3033"/>
    <w:rsid w:val="00CE337E"/>
    <w:rsid w:val="00CE3603"/>
    <w:rsid w:val="00CE3C0E"/>
    <w:rsid w:val="00CE3C93"/>
    <w:rsid w:val="00CE3C96"/>
    <w:rsid w:val="00CE413B"/>
    <w:rsid w:val="00CE434E"/>
    <w:rsid w:val="00CE47EF"/>
    <w:rsid w:val="00CE4C1D"/>
    <w:rsid w:val="00CE4E57"/>
    <w:rsid w:val="00CE56E0"/>
    <w:rsid w:val="00CE5EE4"/>
    <w:rsid w:val="00CE604F"/>
    <w:rsid w:val="00CE64AF"/>
    <w:rsid w:val="00CE6594"/>
    <w:rsid w:val="00CE65D9"/>
    <w:rsid w:val="00CE6C66"/>
    <w:rsid w:val="00CE7254"/>
    <w:rsid w:val="00CE74D2"/>
    <w:rsid w:val="00CE7724"/>
    <w:rsid w:val="00CE78E2"/>
    <w:rsid w:val="00CE7A41"/>
    <w:rsid w:val="00CF037A"/>
    <w:rsid w:val="00CF0892"/>
    <w:rsid w:val="00CF0AE1"/>
    <w:rsid w:val="00CF0BDB"/>
    <w:rsid w:val="00CF0BF1"/>
    <w:rsid w:val="00CF0E22"/>
    <w:rsid w:val="00CF111B"/>
    <w:rsid w:val="00CF1303"/>
    <w:rsid w:val="00CF1345"/>
    <w:rsid w:val="00CF13BD"/>
    <w:rsid w:val="00CF171F"/>
    <w:rsid w:val="00CF19B6"/>
    <w:rsid w:val="00CF1DA2"/>
    <w:rsid w:val="00CF2338"/>
    <w:rsid w:val="00CF23FD"/>
    <w:rsid w:val="00CF2CE7"/>
    <w:rsid w:val="00CF2D7C"/>
    <w:rsid w:val="00CF2E43"/>
    <w:rsid w:val="00CF2EAB"/>
    <w:rsid w:val="00CF2EE4"/>
    <w:rsid w:val="00CF2F90"/>
    <w:rsid w:val="00CF33BB"/>
    <w:rsid w:val="00CF38F0"/>
    <w:rsid w:val="00CF41A1"/>
    <w:rsid w:val="00CF41CB"/>
    <w:rsid w:val="00CF47A4"/>
    <w:rsid w:val="00CF48B0"/>
    <w:rsid w:val="00CF4A11"/>
    <w:rsid w:val="00CF50D5"/>
    <w:rsid w:val="00CF55AA"/>
    <w:rsid w:val="00CF5F1A"/>
    <w:rsid w:val="00CF60F0"/>
    <w:rsid w:val="00CF615E"/>
    <w:rsid w:val="00CF6274"/>
    <w:rsid w:val="00CF6930"/>
    <w:rsid w:val="00CF6E14"/>
    <w:rsid w:val="00CF7187"/>
    <w:rsid w:val="00CF7224"/>
    <w:rsid w:val="00CF7515"/>
    <w:rsid w:val="00CF7C24"/>
    <w:rsid w:val="00CF7E56"/>
    <w:rsid w:val="00CF7F0B"/>
    <w:rsid w:val="00D002B8"/>
    <w:rsid w:val="00D004FF"/>
    <w:rsid w:val="00D00501"/>
    <w:rsid w:val="00D00C96"/>
    <w:rsid w:val="00D00CAD"/>
    <w:rsid w:val="00D00CE4"/>
    <w:rsid w:val="00D017B4"/>
    <w:rsid w:val="00D017ED"/>
    <w:rsid w:val="00D01A7F"/>
    <w:rsid w:val="00D01BAD"/>
    <w:rsid w:val="00D01CAB"/>
    <w:rsid w:val="00D01D2E"/>
    <w:rsid w:val="00D020D5"/>
    <w:rsid w:val="00D0270D"/>
    <w:rsid w:val="00D02A95"/>
    <w:rsid w:val="00D02DE5"/>
    <w:rsid w:val="00D03299"/>
    <w:rsid w:val="00D033AD"/>
    <w:rsid w:val="00D03847"/>
    <w:rsid w:val="00D03C04"/>
    <w:rsid w:val="00D0448F"/>
    <w:rsid w:val="00D044F1"/>
    <w:rsid w:val="00D0460A"/>
    <w:rsid w:val="00D04E56"/>
    <w:rsid w:val="00D04F2C"/>
    <w:rsid w:val="00D04F37"/>
    <w:rsid w:val="00D05264"/>
    <w:rsid w:val="00D05DE9"/>
    <w:rsid w:val="00D05E88"/>
    <w:rsid w:val="00D06007"/>
    <w:rsid w:val="00D0621D"/>
    <w:rsid w:val="00D062BC"/>
    <w:rsid w:val="00D06E79"/>
    <w:rsid w:val="00D078AA"/>
    <w:rsid w:val="00D07B15"/>
    <w:rsid w:val="00D1056B"/>
    <w:rsid w:val="00D10649"/>
    <w:rsid w:val="00D106CC"/>
    <w:rsid w:val="00D10CE1"/>
    <w:rsid w:val="00D10EA4"/>
    <w:rsid w:val="00D10EBB"/>
    <w:rsid w:val="00D11425"/>
    <w:rsid w:val="00D1174A"/>
    <w:rsid w:val="00D127B6"/>
    <w:rsid w:val="00D12E18"/>
    <w:rsid w:val="00D13642"/>
    <w:rsid w:val="00D1366A"/>
    <w:rsid w:val="00D13BA1"/>
    <w:rsid w:val="00D13D8F"/>
    <w:rsid w:val="00D1434E"/>
    <w:rsid w:val="00D14378"/>
    <w:rsid w:val="00D1445D"/>
    <w:rsid w:val="00D14519"/>
    <w:rsid w:val="00D14637"/>
    <w:rsid w:val="00D146D9"/>
    <w:rsid w:val="00D1485E"/>
    <w:rsid w:val="00D1580B"/>
    <w:rsid w:val="00D15A24"/>
    <w:rsid w:val="00D15E0B"/>
    <w:rsid w:val="00D1631B"/>
    <w:rsid w:val="00D1639E"/>
    <w:rsid w:val="00D16AF1"/>
    <w:rsid w:val="00D16C9C"/>
    <w:rsid w:val="00D173F1"/>
    <w:rsid w:val="00D174D6"/>
    <w:rsid w:val="00D17530"/>
    <w:rsid w:val="00D17655"/>
    <w:rsid w:val="00D17A15"/>
    <w:rsid w:val="00D17B23"/>
    <w:rsid w:val="00D17DC3"/>
    <w:rsid w:val="00D20AE8"/>
    <w:rsid w:val="00D20BA4"/>
    <w:rsid w:val="00D214DA"/>
    <w:rsid w:val="00D219D1"/>
    <w:rsid w:val="00D21F6D"/>
    <w:rsid w:val="00D21F98"/>
    <w:rsid w:val="00D225B6"/>
    <w:rsid w:val="00D225B9"/>
    <w:rsid w:val="00D22F8D"/>
    <w:rsid w:val="00D2322A"/>
    <w:rsid w:val="00D232FD"/>
    <w:rsid w:val="00D23353"/>
    <w:rsid w:val="00D239B8"/>
    <w:rsid w:val="00D24128"/>
    <w:rsid w:val="00D24506"/>
    <w:rsid w:val="00D24E03"/>
    <w:rsid w:val="00D25A90"/>
    <w:rsid w:val="00D26147"/>
    <w:rsid w:val="00D26201"/>
    <w:rsid w:val="00D26710"/>
    <w:rsid w:val="00D2759C"/>
    <w:rsid w:val="00D27D93"/>
    <w:rsid w:val="00D27FF1"/>
    <w:rsid w:val="00D30292"/>
    <w:rsid w:val="00D305A4"/>
    <w:rsid w:val="00D308CB"/>
    <w:rsid w:val="00D30BAE"/>
    <w:rsid w:val="00D30BEE"/>
    <w:rsid w:val="00D30D45"/>
    <w:rsid w:val="00D31170"/>
    <w:rsid w:val="00D31250"/>
    <w:rsid w:val="00D324F4"/>
    <w:rsid w:val="00D327C0"/>
    <w:rsid w:val="00D33150"/>
    <w:rsid w:val="00D334E7"/>
    <w:rsid w:val="00D335E0"/>
    <w:rsid w:val="00D33F99"/>
    <w:rsid w:val="00D34156"/>
    <w:rsid w:val="00D34348"/>
    <w:rsid w:val="00D34C37"/>
    <w:rsid w:val="00D354F6"/>
    <w:rsid w:val="00D35AD6"/>
    <w:rsid w:val="00D35D3E"/>
    <w:rsid w:val="00D35E34"/>
    <w:rsid w:val="00D3640A"/>
    <w:rsid w:val="00D3643E"/>
    <w:rsid w:val="00D36788"/>
    <w:rsid w:val="00D367C2"/>
    <w:rsid w:val="00D372F6"/>
    <w:rsid w:val="00D3783B"/>
    <w:rsid w:val="00D402D8"/>
    <w:rsid w:val="00D406D5"/>
    <w:rsid w:val="00D40E44"/>
    <w:rsid w:val="00D420E2"/>
    <w:rsid w:val="00D42333"/>
    <w:rsid w:val="00D426D6"/>
    <w:rsid w:val="00D42B48"/>
    <w:rsid w:val="00D432D4"/>
    <w:rsid w:val="00D43423"/>
    <w:rsid w:val="00D4383F"/>
    <w:rsid w:val="00D43959"/>
    <w:rsid w:val="00D43A87"/>
    <w:rsid w:val="00D43C1F"/>
    <w:rsid w:val="00D43DF6"/>
    <w:rsid w:val="00D43E2B"/>
    <w:rsid w:val="00D43E45"/>
    <w:rsid w:val="00D43E97"/>
    <w:rsid w:val="00D44074"/>
    <w:rsid w:val="00D44588"/>
    <w:rsid w:val="00D4463A"/>
    <w:rsid w:val="00D44C6B"/>
    <w:rsid w:val="00D44F86"/>
    <w:rsid w:val="00D45179"/>
    <w:rsid w:val="00D4541D"/>
    <w:rsid w:val="00D454DD"/>
    <w:rsid w:val="00D45CFC"/>
    <w:rsid w:val="00D45F10"/>
    <w:rsid w:val="00D46118"/>
    <w:rsid w:val="00D465E9"/>
    <w:rsid w:val="00D468F4"/>
    <w:rsid w:val="00D4698D"/>
    <w:rsid w:val="00D46BCF"/>
    <w:rsid w:val="00D46E09"/>
    <w:rsid w:val="00D46F5F"/>
    <w:rsid w:val="00D471C2"/>
    <w:rsid w:val="00D4730E"/>
    <w:rsid w:val="00D47439"/>
    <w:rsid w:val="00D475DD"/>
    <w:rsid w:val="00D47688"/>
    <w:rsid w:val="00D47720"/>
    <w:rsid w:val="00D50414"/>
    <w:rsid w:val="00D50A2A"/>
    <w:rsid w:val="00D50DA2"/>
    <w:rsid w:val="00D50E3E"/>
    <w:rsid w:val="00D51116"/>
    <w:rsid w:val="00D51A0B"/>
    <w:rsid w:val="00D52081"/>
    <w:rsid w:val="00D52829"/>
    <w:rsid w:val="00D531CC"/>
    <w:rsid w:val="00D53221"/>
    <w:rsid w:val="00D5336C"/>
    <w:rsid w:val="00D533DA"/>
    <w:rsid w:val="00D5385D"/>
    <w:rsid w:val="00D53AC3"/>
    <w:rsid w:val="00D54463"/>
    <w:rsid w:val="00D544C0"/>
    <w:rsid w:val="00D54A1D"/>
    <w:rsid w:val="00D54BB9"/>
    <w:rsid w:val="00D550F2"/>
    <w:rsid w:val="00D55929"/>
    <w:rsid w:val="00D5677C"/>
    <w:rsid w:val="00D56D44"/>
    <w:rsid w:val="00D56FB5"/>
    <w:rsid w:val="00D573A1"/>
    <w:rsid w:val="00D57511"/>
    <w:rsid w:val="00D57638"/>
    <w:rsid w:val="00D57698"/>
    <w:rsid w:val="00D60395"/>
    <w:rsid w:val="00D6041C"/>
    <w:rsid w:val="00D605DB"/>
    <w:rsid w:val="00D60642"/>
    <w:rsid w:val="00D6074C"/>
    <w:rsid w:val="00D60B0D"/>
    <w:rsid w:val="00D6198B"/>
    <w:rsid w:val="00D61A0E"/>
    <w:rsid w:val="00D624FC"/>
    <w:rsid w:val="00D62549"/>
    <w:rsid w:val="00D625C4"/>
    <w:rsid w:val="00D62688"/>
    <w:rsid w:val="00D63769"/>
    <w:rsid w:val="00D63CC4"/>
    <w:rsid w:val="00D63CF1"/>
    <w:rsid w:val="00D63ECD"/>
    <w:rsid w:val="00D646E8"/>
    <w:rsid w:val="00D64775"/>
    <w:rsid w:val="00D64A18"/>
    <w:rsid w:val="00D65D08"/>
    <w:rsid w:val="00D65F98"/>
    <w:rsid w:val="00D662AF"/>
    <w:rsid w:val="00D667A4"/>
    <w:rsid w:val="00D66D5F"/>
    <w:rsid w:val="00D66F6A"/>
    <w:rsid w:val="00D66FC6"/>
    <w:rsid w:val="00D67777"/>
    <w:rsid w:val="00D67E05"/>
    <w:rsid w:val="00D70CC3"/>
    <w:rsid w:val="00D714A2"/>
    <w:rsid w:val="00D7160B"/>
    <w:rsid w:val="00D716EA"/>
    <w:rsid w:val="00D717C2"/>
    <w:rsid w:val="00D719EB"/>
    <w:rsid w:val="00D71F81"/>
    <w:rsid w:val="00D71FAB"/>
    <w:rsid w:val="00D71FE2"/>
    <w:rsid w:val="00D723B5"/>
    <w:rsid w:val="00D727E5"/>
    <w:rsid w:val="00D72CEC"/>
    <w:rsid w:val="00D72DD9"/>
    <w:rsid w:val="00D72FE2"/>
    <w:rsid w:val="00D732D6"/>
    <w:rsid w:val="00D735BB"/>
    <w:rsid w:val="00D743C0"/>
    <w:rsid w:val="00D743F6"/>
    <w:rsid w:val="00D74424"/>
    <w:rsid w:val="00D745C6"/>
    <w:rsid w:val="00D74AF3"/>
    <w:rsid w:val="00D74B14"/>
    <w:rsid w:val="00D74C0B"/>
    <w:rsid w:val="00D74D51"/>
    <w:rsid w:val="00D74ED3"/>
    <w:rsid w:val="00D74F43"/>
    <w:rsid w:val="00D7548D"/>
    <w:rsid w:val="00D75735"/>
    <w:rsid w:val="00D75FF9"/>
    <w:rsid w:val="00D76635"/>
    <w:rsid w:val="00D7667F"/>
    <w:rsid w:val="00D779C1"/>
    <w:rsid w:val="00D77A63"/>
    <w:rsid w:val="00D77DCA"/>
    <w:rsid w:val="00D804F4"/>
    <w:rsid w:val="00D8074C"/>
    <w:rsid w:val="00D807E1"/>
    <w:rsid w:val="00D80E56"/>
    <w:rsid w:val="00D80E77"/>
    <w:rsid w:val="00D8170B"/>
    <w:rsid w:val="00D81BC3"/>
    <w:rsid w:val="00D82154"/>
    <w:rsid w:val="00D82CB9"/>
    <w:rsid w:val="00D82DBE"/>
    <w:rsid w:val="00D8303E"/>
    <w:rsid w:val="00D830CA"/>
    <w:rsid w:val="00D8332B"/>
    <w:rsid w:val="00D83334"/>
    <w:rsid w:val="00D8337B"/>
    <w:rsid w:val="00D843D7"/>
    <w:rsid w:val="00D84607"/>
    <w:rsid w:val="00D8482A"/>
    <w:rsid w:val="00D8503D"/>
    <w:rsid w:val="00D851A4"/>
    <w:rsid w:val="00D8527E"/>
    <w:rsid w:val="00D858ED"/>
    <w:rsid w:val="00D859CA"/>
    <w:rsid w:val="00D85A9B"/>
    <w:rsid w:val="00D85E1F"/>
    <w:rsid w:val="00D860C5"/>
    <w:rsid w:val="00D860EB"/>
    <w:rsid w:val="00D861FD"/>
    <w:rsid w:val="00D862D2"/>
    <w:rsid w:val="00D864F8"/>
    <w:rsid w:val="00D86E32"/>
    <w:rsid w:val="00D87194"/>
    <w:rsid w:val="00D8734B"/>
    <w:rsid w:val="00D87547"/>
    <w:rsid w:val="00D875DF"/>
    <w:rsid w:val="00D87D99"/>
    <w:rsid w:val="00D87E16"/>
    <w:rsid w:val="00D90216"/>
    <w:rsid w:val="00D9043F"/>
    <w:rsid w:val="00D906D5"/>
    <w:rsid w:val="00D90CD7"/>
    <w:rsid w:val="00D915BB"/>
    <w:rsid w:val="00D9161A"/>
    <w:rsid w:val="00D91708"/>
    <w:rsid w:val="00D91FFF"/>
    <w:rsid w:val="00D9245F"/>
    <w:rsid w:val="00D92A27"/>
    <w:rsid w:val="00D92F67"/>
    <w:rsid w:val="00D93189"/>
    <w:rsid w:val="00D93871"/>
    <w:rsid w:val="00D939E9"/>
    <w:rsid w:val="00D93B8F"/>
    <w:rsid w:val="00D93E32"/>
    <w:rsid w:val="00D9416B"/>
    <w:rsid w:val="00D948C1"/>
    <w:rsid w:val="00D94CE5"/>
    <w:rsid w:val="00D953CA"/>
    <w:rsid w:val="00D958C5"/>
    <w:rsid w:val="00D95A0C"/>
    <w:rsid w:val="00D95ADF"/>
    <w:rsid w:val="00D95CE5"/>
    <w:rsid w:val="00D95D26"/>
    <w:rsid w:val="00D95D75"/>
    <w:rsid w:val="00D960CB"/>
    <w:rsid w:val="00D960F5"/>
    <w:rsid w:val="00D96766"/>
    <w:rsid w:val="00D96A83"/>
    <w:rsid w:val="00D96FF4"/>
    <w:rsid w:val="00D97013"/>
    <w:rsid w:val="00D97641"/>
    <w:rsid w:val="00D97B98"/>
    <w:rsid w:val="00DA01E5"/>
    <w:rsid w:val="00DA01E9"/>
    <w:rsid w:val="00DA0484"/>
    <w:rsid w:val="00DA0887"/>
    <w:rsid w:val="00DA0A36"/>
    <w:rsid w:val="00DA0BB2"/>
    <w:rsid w:val="00DA0CC2"/>
    <w:rsid w:val="00DA0D0D"/>
    <w:rsid w:val="00DA0D6A"/>
    <w:rsid w:val="00DA0DF6"/>
    <w:rsid w:val="00DA106E"/>
    <w:rsid w:val="00DA116C"/>
    <w:rsid w:val="00DA13C4"/>
    <w:rsid w:val="00DA1583"/>
    <w:rsid w:val="00DA1667"/>
    <w:rsid w:val="00DA1A80"/>
    <w:rsid w:val="00DA1C41"/>
    <w:rsid w:val="00DA24EA"/>
    <w:rsid w:val="00DA2506"/>
    <w:rsid w:val="00DA2AF3"/>
    <w:rsid w:val="00DA2C28"/>
    <w:rsid w:val="00DA2E2E"/>
    <w:rsid w:val="00DA2FB4"/>
    <w:rsid w:val="00DA3312"/>
    <w:rsid w:val="00DA34EC"/>
    <w:rsid w:val="00DA354C"/>
    <w:rsid w:val="00DA3694"/>
    <w:rsid w:val="00DA36CE"/>
    <w:rsid w:val="00DA3CBE"/>
    <w:rsid w:val="00DA432E"/>
    <w:rsid w:val="00DA46EE"/>
    <w:rsid w:val="00DA496C"/>
    <w:rsid w:val="00DA4B11"/>
    <w:rsid w:val="00DA4C83"/>
    <w:rsid w:val="00DA5036"/>
    <w:rsid w:val="00DA55C9"/>
    <w:rsid w:val="00DA5A57"/>
    <w:rsid w:val="00DA5EE4"/>
    <w:rsid w:val="00DA6710"/>
    <w:rsid w:val="00DA6CAA"/>
    <w:rsid w:val="00DA7072"/>
    <w:rsid w:val="00DA71B0"/>
    <w:rsid w:val="00DA7280"/>
    <w:rsid w:val="00DA7771"/>
    <w:rsid w:val="00DB0145"/>
    <w:rsid w:val="00DB0586"/>
    <w:rsid w:val="00DB0605"/>
    <w:rsid w:val="00DB0623"/>
    <w:rsid w:val="00DB1123"/>
    <w:rsid w:val="00DB122C"/>
    <w:rsid w:val="00DB2508"/>
    <w:rsid w:val="00DB25E9"/>
    <w:rsid w:val="00DB2D11"/>
    <w:rsid w:val="00DB2D8B"/>
    <w:rsid w:val="00DB3043"/>
    <w:rsid w:val="00DB331E"/>
    <w:rsid w:val="00DB3682"/>
    <w:rsid w:val="00DB3A80"/>
    <w:rsid w:val="00DB3CF5"/>
    <w:rsid w:val="00DB413B"/>
    <w:rsid w:val="00DB41DD"/>
    <w:rsid w:val="00DB4A0F"/>
    <w:rsid w:val="00DB4CF4"/>
    <w:rsid w:val="00DB4E18"/>
    <w:rsid w:val="00DB4E57"/>
    <w:rsid w:val="00DB50A6"/>
    <w:rsid w:val="00DB50F7"/>
    <w:rsid w:val="00DB5296"/>
    <w:rsid w:val="00DB5C16"/>
    <w:rsid w:val="00DB6245"/>
    <w:rsid w:val="00DB6304"/>
    <w:rsid w:val="00DB64CC"/>
    <w:rsid w:val="00DB69E3"/>
    <w:rsid w:val="00DB6EE2"/>
    <w:rsid w:val="00DB6F78"/>
    <w:rsid w:val="00DB72E6"/>
    <w:rsid w:val="00DB7AE4"/>
    <w:rsid w:val="00DB7F0F"/>
    <w:rsid w:val="00DC000A"/>
    <w:rsid w:val="00DC0061"/>
    <w:rsid w:val="00DC038F"/>
    <w:rsid w:val="00DC0AD9"/>
    <w:rsid w:val="00DC1077"/>
    <w:rsid w:val="00DC11DF"/>
    <w:rsid w:val="00DC1386"/>
    <w:rsid w:val="00DC19CA"/>
    <w:rsid w:val="00DC21FC"/>
    <w:rsid w:val="00DC2646"/>
    <w:rsid w:val="00DC298A"/>
    <w:rsid w:val="00DC2FCF"/>
    <w:rsid w:val="00DC3096"/>
    <w:rsid w:val="00DC3C76"/>
    <w:rsid w:val="00DC40FB"/>
    <w:rsid w:val="00DC4253"/>
    <w:rsid w:val="00DC4348"/>
    <w:rsid w:val="00DC45A2"/>
    <w:rsid w:val="00DC476C"/>
    <w:rsid w:val="00DC4CFF"/>
    <w:rsid w:val="00DC4EC3"/>
    <w:rsid w:val="00DC5145"/>
    <w:rsid w:val="00DC521F"/>
    <w:rsid w:val="00DC5C97"/>
    <w:rsid w:val="00DC5E1C"/>
    <w:rsid w:val="00DC65D4"/>
    <w:rsid w:val="00DC68E5"/>
    <w:rsid w:val="00DC6A68"/>
    <w:rsid w:val="00DC6C97"/>
    <w:rsid w:val="00DC7A16"/>
    <w:rsid w:val="00DC7D93"/>
    <w:rsid w:val="00DD01EA"/>
    <w:rsid w:val="00DD01FE"/>
    <w:rsid w:val="00DD02AB"/>
    <w:rsid w:val="00DD0665"/>
    <w:rsid w:val="00DD0BC5"/>
    <w:rsid w:val="00DD0CA9"/>
    <w:rsid w:val="00DD111C"/>
    <w:rsid w:val="00DD1121"/>
    <w:rsid w:val="00DD192D"/>
    <w:rsid w:val="00DD1A85"/>
    <w:rsid w:val="00DD2197"/>
    <w:rsid w:val="00DD254A"/>
    <w:rsid w:val="00DD27DD"/>
    <w:rsid w:val="00DD2894"/>
    <w:rsid w:val="00DD295E"/>
    <w:rsid w:val="00DD2D1C"/>
    <w:rsid w:val="00DD3316"/>
    <w:rsid w:val="00DD37EC"/>
    <w:rsid w:val="00DD380F"/>
    <w:rsid w:val="00DD38ED"/>
    <w:rsid w:val="00DD3B97"/>
    <w:rsid w:val="00DD3E52"/>
    <w:rsid w:val="00DD40B2"/>
    <w:rsid w:val="00DD4812"/>
    <w:rsid w:val="00DD481C"/>
    <w:rsid w:val="00DD4F55"/>
    <w:rsid w:val="00DD5825"/>
    <w:rsid w:val="00DD63D7"/>
    <w:rsid w:val="00DD6895"/>
    <w:rsid w:val="00DD6FCC"/>
    <w:rsid w:val="00DD7210"/>
    <w:rsid w:val="00DD786D"/>
    <w:rsid w:val="00DD7C27"/>
    <w:rsid w:val="00DD7DC6"/>
    <w:rsid w:val="00DE0901"/>
    <w:rsid w:val="00DE0ABE"/>
    <w:rsid w:val="00DE0F77"/>
    <w:rsid w:val="00DE15C2"/>
    <w:rsid w:val="00DE1927"/>
    <w:rsid w:val="00DE1A4B"/>
    <w:rsid w:val="00DE1AD5"/>
    <w:rsid w:val="00DE21A1"/>
    <w:rsid w:val="00DE22C7"/>
    <w:rsid w:val="00DE2A57"/>
    <w:rsid w:val="00DE2D78"/>
    <w:rsid w:val="00DE360B"/>
    <w:rsid w:val="00DE3FCE"/>
    <w:rsid w:val="00DE407D"/>
    <w:rsid w:val="00DE4508"/>
    <w:rsid w:val="00DE45AC"/>
    <w:rsid w:val="00DE4694"/>
    <w:rsid w:val="00DE4CF6"/>
    <w:rsid w:val="00DE4D0C"/>
    <w:rsid w:val="00DE4DA7"/>
    <w:rsid w:val="00DE4F79"/>
    <w:rsid w:val="00DE58EF"/>
    <w:rsid w:val="00DE598C"/>
    <w:rsid w:val="00DE5BBF"/>
    <w:rsid w:val="00DE6095"/>
    <w:rsid w:val="00DE60DB"/>
    <w:rsid w:val="00DE6159"/>
    <w:rsid w:val="00DE6187"/>
    <w:rsid w:val="00DE638C"/>
    <w:rsid w:val="00DE66A6"/>
    <w:rsid w:val="00DE6E27"/>
    <w:rsid w:val="00DE72B1"/>
    <w:rsid w:val="00DE761A"/>
    <w:rsid w:val="00DE7862"/>
    <w:rsid w:val="00DE7AFA"/>
    <w:rsid w:val="00DE7C3B"/>
    <w:rsid w:val="00DE7C69"/>
    <w:rsid w:val="00DF01EE"/>
    <w:rsid w:val="00DF091F"/>
    <w:rsid w:val="00DF12CD"/>
    <w:rsid w:val="00DF14A6"/>
    <w:rsid w:val="00DF1A01"/>
    <w:rsid w:val="00DF1F6B"/>
    <w:rsid w:val="00DF2334"/>
    <w:rsid w:val="00DF2934"/>
    <w:rsid w:val="00DF29F4"/>
    <w:rsid w:val="00DF2A24"/>
    <w:rsid w:val="00DF2B00"/>
    <w:rsid w:val="00DF342D"/>
    <w:rsid w:val="00DF34A2"/>
    <w:rsid w:val="00DF3658"/>
    <w:rsid w:val="00DF39E9"/>
    <w:rsid w:val="00DF3DBC"/>
    <w:rsid w:val="00DF3E5F"/>
    <w:rsid w:val="00DF3FCE"/>
    <w:rsid w:val="00DF41AC"/>
    <w:rsid w:val="00DF4737"/>
    <w:rsid w:val="00DF479A"/>
    <w:rsid w:val="00DF4B1E"/>
    <w:rsid w:val="00DF4E87"/>
    <w:rsid w:val="00DF50A8"/>
    <w:rsid w:val="00DF5164"/>
    <w:rsid w:val="00DF5335"/>
    <w:rsid w:val="00DF5489"/>
    <w:rsid w:val="00DF581F"/>
    <w:rsid w:val="00DF5C98"/>
    <w:rsid w:val="00DF5D16"/>
    <w:rsid w:val="00DF646B"/>
    <w:rsid w:val="00DF6C93"/>
    <w:rsid w:val="00DF6DA6"/>
    <w:rsid w:val="00DF6E7C"/>
    <w:rsid w:val="00DF7342"/>
    <w:rsid w:val="00DF75A3"/>
    <w:rsid w:val="00DF770E"/>
    <w:rsid w:val="00DF7A01"/>
    <w:rsid w:val="00DF7ADC"/>
    <w:rsid w:val="00E006C9"/>
    <w:rsid w:val="00E009DA"/>
    <w:rsid w:val="00E00B93"/>
    <w:rsid w:val="00E01085"/>
    <w:rsid w:val="00E01209"/>
    <w:rsid w:val="00E01707"/>
    <w:rsid w:val="00E0179E"/>
    <w:rsid w:val="00E0192E"/>
    <w:rsid w:val="00E01B75"/>
    <w:rsid w:val="00E01CB7"/>
    <w:rsid w:val="00E01D3F"/>
    <w:rsid w:val="00E01DDA"/>
    <w:rsid w:val="00E02D36"/>
    <w:rsid w:val="00E02D4F"/>
    <w:rsid w:val="00E032BC"/>
    <w:rsid w:val="00E03368"/>
    <w:rsid w:val="00E034A4"/>
    <w:rsid w:val="00E03B72"/>
    <w:rsid w:val="00E04240"/>
    <w:rsid w:val="00E0478E"/>
    <w:rsid w:val="00E04F3E"/>
    <w:rsid w:val="00E0547F"/>
    <w:rsid w:val="00E057FC"/>
    <w:rsid w:val="00E05BDF"/>
    <w:rsid w:val="00E05D57"/>
    <w:rsid w:val="00E06554"/>
    <w:rsid w:val="00E0658E"/>
    <w:rsid w:val="00E065F6"/>
    <w:rsid w:val="00E0695E"/>
    <w:rsid w:val="00E06FCA"/>
    <w:rsid w:val="00E070F1"/>
    <w:rsid w:val="00E07325"/>
    <w:rsid w:val="00E07481"/>
    <w:rsid w:val="00E07C38"/>
    <w:rsid w:val="00E07D1C"/>
    <w:rsid w:val="00E07E0D"/>
    <w:rsid w:val="00E10317"/>
    <w:rsid w:val="00E107EE"/>
    <w:rsid w:val="00E10C1E"/>
    <w:rsid w:val="00E10F63"/>
    <w:rsid w:val="00E10F7F"/>
    <w:rsid w:val="00E11142"/>
    <w:rsid w:val="00E1146B"/>
    <w:rsid w:val="00E1174A"/>
    <w:rsid w:val="00E118D4"/>
    <w:rsid w:val="00E119A6"/>
    <w:rsid w:val="00E12206"/>
    <w:rsid w:val="00E12A31"/>
    <w:rsid w:val="00E12B11"/>
    <w:rsid w:val="00E12B17"/>
    <w:rsid w:val="00E12CE2"/>
    <w:rsid w:val="00E12DC5"/>
    <w:rsid w:val="00E13551"/>
    <w:rsid w:val="00E13EDD"/>
    <w:rsid w:val="00E1407A"/>
    <w:rsid w:val="00E1495C"/>
    <w:rsid w:val="00E149A6"/>
    <w:rsid w:val="00E14A79"/>
    <w:rsid w:val="00E14F22"/>
    <w:rsid w:val="00E15026"/>
    <w:rsid w:val="00E1551C"/>
    <w:rsid w:val="00E15C20"/>
    <w:rsid w:val="00E1625A"/>
    <w:rsid w:val="00E16986"/>
    <w:rsid w:val="00E16D4F"/>
    <w:rsid w:val="00E17202"/>
    <w:rsid w:val="00E17716"/>
    <w:rsid w:val="00E177D8"/>
    <w:rsid w:val="00E17902"/>
    <w:rsid w:val="00E17992"/>
    <w:rsid w:val="00E17B88"/>
    <w:rsid w:val="00E20141"/>
    <w:rsid w:val="00E20219"/>
    <w:rsid w:val="00E2063B"/>
    <w:rsid w:val="00E20A1B"/>
    <w:rsid w:val="00E20E8B"/>
    <w:rsid w:val="00E211C9"/>
    <w:rsid w:val="00E214C0"/>
    <w:rsid w:val="00E216EE"/>
    <w:rsid w:val="00E22018"/>
    <w:rsid w:val="00E22413"/>
    <w:rsid w:val="00E22C8B"/>
    <w:rsid w:val="00E22DB7"/>
    <w:rsid w:val="00E22DDA"/>
    <w:rsid w:val="00E23121"/>
    <w:rsid w:val="00E23BD6"/>
    <w:rsid w:val="00E24DB1"/>
    <w:rsid w:val="00E25141"/>
    <w:rsid w:val="00E25179"/>
    <w:rsid w:val="00E251C3"/>
    <w:rsid w:val="00E25258"/>
    <w:rsid w:val="00E253AB"/>
    <w:rsid w:val="00E253C6"/>
    <w:rsid w:val="00E2542F"/>
    <w:rsid w:val="00E25D6F"/>
    <w:rsid w:val="00E26229"/>
    <w:rsid w:val="00E26267"/>
    <w:rsid w:val="00E2639F"/>
    <w:rsid w:val="00E26C50"/>
    <w:rsid w:val="00E26CF9"/>
    <w:rsid w:val="00E2718C"/>
    <w:rsid w:val="00E276E7"/>
    <w:rsid w:val="00E30C8D"/>
    <w:rsid w:val="00E31065"/>
    <w:rsid w:val="00E3108A"/>
    <w:rsid w:val="00E31F05"/>
    <w:rsid w:val="00E32273"/>
    <w:rsid w:val="00E32B51"/>
    <w:rsid w:val="00E32BD3"/>
    <w:rsid w:val="00E3319D"/>
    <w:rsid w:val="00E33849"/>
    <w:rsid w:val="00E33E84"/>
    <w:rsid w:val="00E34B83"/>
    <w:rsid w:val="00E34C15"/>
    <w:rsid w:val="00E34E93"/>
    <w:rsid w:val="00E351F3"/>
    <w:rsid w:val="00E352D2"/>
    <w:rsid w:val="00E35581"/>
    <w:rsid w:val="00E35BBB"/>
    <w:rsid w:val="00E35BF5"/>
    <w:rsid w:val="00E35DFF"/>
    <w:rsid w:val="00E35FD0"/>
    <w:rsid w:val="00E36775"/>
    <w:rsid w:val="00E36782"/>
    <w:rsid w:val="00E36991"/>
    <w:rsid w:val="00E36F64"/>
    <w:rsid w:val="00E370AE"/>
    <w:rsid w:val="00E37834"/>
    <w:rsid w:val="00E400A2"/>
    <w:rsid w:val="00E40961"/>
    <w:rsid w:val="00E411BE"/>
    <w:rsid w:val="00E41A68"/>
    <w:rsid w:val="00E41E0D"/>
    <w:rsid w:val="00E424D6"/>
    <w:rsid w:val="00E42E0C"/>
    <w:rsid w:val="00E42FB2"/>
    <w:rsid w:val="00E4334F"/>
    <w:rsid w:val="00E435D1"/>
    <w:rsid w:val="00E439FD"/>
    <w:rsid w:val="00E43A75"/>
    <w:rsid w:val="00E43D1E"/>
    <w:rsid w:val="00E44496"/>
    <w:rsid w:val="00E44737"/>
    <w:rsid w:val="00E44810"/>
    <w:rsid w:val="00E4486D"/>
    <w:rsid w:val="00E44FB5"/>
    <w:rsid w:val="00E4520B"/>
    <w:rsid w:val="00E4524C"/>
    <w:rsid w:val="00E456F1"/>
    <w:rsid w:val="00E45DFD"/>
    <w:rsid w:val="00E46059"/>
    <w:rsid w:val="00E4632C"/>
    <w:rsid w:val="00E46514"/>
    <w:rsid w:val="00E467B5"/>
    <w:rsid w:val="00E469A6"/>
    <w:rsid w:val="00E46B41"/>
    <w:rsid w:val="00E47A63"/>
    <w:rsid w:val="00E47AD8"/>
    <w:rsid w:val="00E50A38"/>
    <w:rsid w:val="00E50F8C"/>
    <w:rsid w:val="00E51053"/>
    <w:rsid w:val="00E511CC"/>
    <w:rsid w:val="00E514C4"/>
    <w:rsid w:val="00E515E0"/>
    <w:rsid w:val="00E5161F"/>
    <w:rsid w:val="00E51D91"/>
    <w:rsid w:val="00E52FFF"/>
    <w:rsid w:val="00E53136"/>
    <w:rsid w:val="00E531DF"/>
    <w:rsid w:val="00E536BB"/>
    <w:rsid w:val="00E53BE3"/>
    <w:rsid w:val="00E53DEE"/>
    <w:rsid w:val="00E53F9C"/>
    <w:rsid w:val="00E541C1"/>
    <w:rsid w:val="00E54384"/>
    <w:rsid w:val="00E54413"/>
    <w:rsid w:val="00E54454"/>
    <w:rsid w:val="00E544C2"/>
    <w:rsid w:val="00E54A02"/>
    <w:rsid w:val="00E54BE5"/>
    <w:rsid w:val="00E54E31"/>
    <w:rsid w:val="00E5521B"/>
    <w:rsid w:val="00E55951"/>
    <w:rsid w:val="00E55956"/>
    <w:rsid w:val="00E55CBB"/>
    <w:rsid w:val="00E564AB"/>
    <w:rsid w:val="00E56826"/>
    <w:rsid w:val="00E56AC3"/>
    <w:rsid w:val="00E56E3A"/>
    <w:rsid w:val="00E5763A"/>
    <w:rsid w:val="00E576A4"/>
    <w:rsid w:val="00E579AF"/>
    <w:rsid w:val="00E601CF"/>
    <w:rsid w:val="00E605CB"/>
    <w:rsid w:val="00E60791"/>
    <w:rsid w:val="00E60826"/>
    <w:rsid w:val="00E60F94"/>
    <w:rsid w:val="00E61469"/>
    <w:rsid w:val="00E61A5C"/>
    <w:rsid w:val="00E61C13"/>
    <w:rsid w:val="00E61DAF"/>
    <w:rsid w:val="00E61EA6"/>
    <w:rsid w:val="00E61F37"/>
    <w:rsid w:val="00E6227B"/>
    <w:rsid w:val="00E6228D"/>
    <w:rsid w:val="00E62389"/>
    <w:rsid w:val="00E626DB"/>
    <w:rsid w:val="00E62F89"/>
    <w:rsid w:val="00E62F8F"/>
    <w:rsid w:val="00E63397"/>
    <w:rsid w:val="00E63989"/>
    <w:rsid w:val="00E63B89"/>
    <w:rsid w:val="00E63C1C"/>
    <w:rsid w:val="00E63E6A"/>
    <w:rsid w:val="00E640C4"/>
    <w:rsid w:val="00E64448"/>
    <w:rsid w:val="00E645DF"/>
    <w:rsid w:val="00E64DF7"/>
    <w:rsid w:val="00E64FE2"/>
    <w:rsid w:val="00E65136"/>
    <w:rsid w:val="00E6543F"/>
    <w:rsid w:val="00E655F0"/>
    <w:rsid w:val="00E65A9A"/>
    <w:rsid w:val="00E65C4A"/>
    <w:rsid w:val="00E6647E"/>
    <w:rsid w:val="00E667A9"/>
    <w:rsid w:val="00E667AB"/>
    <w:rsid w:val="00E668C3"/>
    <w:rsid w:val="00E669B4"/>
    <w:rsid w:val="00E66AC4"/>
    <w:rsid w:val="00E66DE8"/>
    <w:rsid w:val="00E673FB"/>
    <w:rsid w:val="00E674B4"/>
    <w:rsid w:val="00E67AF6"/>
    <w:rsid w:val="00E67C47"/>
    <w:rsid w:val="00E67C4C"/>
    <w:rsid w:val="00E67FA6"/>
    <w:rsid w:val="00E70077"/>
    <w:rsid w:val="00E700C0"/>
    <w:rsid w:val="00E703AD"/>
    <w:rsid w:val="00E70BEE"/>
    <w:rsid w:val="00E70C47"/>
    <w:rsid w:val="00E70EB9"/>
    <w:rsid w:val="00E71A1E"/>
    <w:rsid w:val="00E71CB7"/>
    <w:rsid w:val="00E72199"/>
    <w:rsid w:val="00E721E9"/>
    <w:rsid w:val="00E726FB"/>
    <w:rsid w:val="00E72758"/>
    <w:rsid w:val="00E72D41"/>
    <w:rsid w:val="00E7335C"/>
    <w:rsid w:val="00E736CD"/>
    <w:rsid w:val="00E73B6F"/>
    <w:rsid w:val="00E73CB1"/>
    <w:rsid w:val="00E742A9"/>
    <w:rsid w:val="00E7435D"/>
    <w:rsid w:val="00E74D01"/>
    <w:rsid w:val="00E750E5"/>
    <w:rsid w:val="00E75463"/>
    <w:rsid w:val="00E75C3E"/>
    <w:rsid w:val="00E7631F"/>
    <w:rsid w:val="00E76A63"/>
    <w:rsid w:val="00E76B67"/>
    <w:rsid w:val="00E77AA4"/>
    <w:rsid w:val="00E8084B"/>
    <w:rsid w:val="00E80BC6"/>
    <w:rsid w:val="00E80D62"/>
    <w:rsid w:val="00E80E31"/>
    <w:rsid w:val="00E81143"/>
    <w:rsid w:val="00E81298"/>
    <w:rsid w:val="00E8129C"/>
    <w:rsid w:val="00E81440"/>
    <w:rsid w:val="00E815CF"/>
    <w:rsid w:val="00E816EE"/>
    <w:rsid w:val="00E82249"/>
    <w:rsid w:val="00E823CE"/>
    <w:rsid w:val="00E82566"/>
    <w:rsid w:val="00E82860"/>
    <w:rsid w:val="00E82B6C"/>
    <w:rsid w:val="00E82BB9"/>
    <w:rsid w:val="00E82BDE"/>
    <w:rsid w:val="00E82DE1"/>
    <w:rsid w:val="00E82DF7"/>
    <w:rsid w:val="00E83380"/>
    <w:rsid w:val="00E83832"/>
    <w:rsid w:val="00E839B3"/>
    <w:rsid w:val="00E842F5"/>
    <w:rsid w:val="00E8451F"/>
    <w:rsid w:val="00E8539B"/>
    <w:rsid w:val="00E859F6"/>
    <w:rsid w:val="00E85AE1"/>
    <w:rsid w:val="00E85BCE"/>
    <w:rsid w:val="00E85BE8"/>
    <w:rsid w:val="00E85E6A"/>
    <w:rsid w:val="00E860A8"/>
    <w:rsid w:val="00E86313"/>
    <w:rsid w:val="00E8643E"/>
    <w:rsid w:val="00E86640"/>
    <w:rsid w:val="00E871B6"/>
    <w:rsid w:val="00E874AD"/>
    <w:rsid w:val="00E87849"/>
    <w:rsid w:val="00E87D23"/>
    <w:rsid w:val="00E87D43"/>
    <w:rsid w:val="00E87D8D"/>
    <w:rsid w:val="00E87DB3"/>
    <w:rsid w:val="00E90347"/>
    <w:rsid w:val="00E9038E"/>
    <w:rsid w:val="00E90991"/>
    <w:rsid w:val="00E90E7B"/>
    <w:rsid w:val="00E90E87"/>
    <w:rsid w:val="00E910F9"/>
    <w:rsid w:val="00E9113B"/>
    <w:rsid w:val="00E91290"/>
    <w:rsid w:val="00E91302"/>
    <w:rsid w:val="00E91938"/>
    <w:rsid w:val="00E91AD2"/>
    <w:rsid w:val="00E91FB1"/>
    <w:rsid w:val="00E9272C"/>
    <w:rsid w:val="00E933A8"/>
    <w:rsid w:val="00E93544"/>
    <w:rsid w:val="00E9377F"/>
    <w:rsid w:val="00E93CB4"/>
    <w:rsid w:val="00E949AD"/>
    <w:rsid w:val="00E94DD4"/>
    <w:rsid w:val="00E952A1"/>
    <w:rsid w:val="00E9563D"/>
    <w:rsid w:val="00E95779"/>
    <w:rsid w:val="00E95EA9"/>
    <w:rsid w:val="00E963C6"/>
    <w:rsid w:val="00E96793"/>
    <w:rsid w:val="00E96C22"/>
    <w:rsid w:val="00E96F49"/>
    <w:rsid w:val="00E97866"/>
    <w:rsid w:val="00E97873"/>
    <w:rsid w:val="00E97DEF"/>
    <w:rsid w:val="00EA0739"/>
    <w:rsid w:val="00EA0A38"/>
    <w:rsid w:val="00EA0D78"/>
    <w:rsid w:val="00EA0EAE"/>
    <w:rsid w:val="00EA10ED"/>
    <w:rsid w:val="00EA1127"/>
    <w:rsid w:val="00EA168B"/>
    <w:rsid w:val="00EA1FA4"/>
    <w:rsid w:val="00EA22CF"/>
    <w:rsid w:val="00EA22EA"/>
    <w:rsid w:val="00EA2AA6"/>
    <w:rsid w:val="00EA2C2C"/>
    <w:rsid w:val="00EA2C47"/>
    <w:rsid w:val="00EA2D6F"/>
    <w:rsid w:val="00EA2EB9"/>
    <w:rsid w:val="00EA300A"/>
    <w:rsid w:val="00EA38E2"/>
    <w:rsid w:val="00EA399C"/>
    <w:rsid w:val="00EA3B32"/>
    <w:rsid w:val="00EA3D61"/>
    <w:rsid w:val="00EA3EB8"/>
    <w:rsid w:val="00EA413F"/>
    <w:rsid w:val="00EA4724"/>
    <w:rsid w:val="00EA489C"/>
    <w:rsid w:val="00EA53D9"/>
    <w:rsid w:val="00EA54AA"/>
    <w:rsid w:val="00EA5689"/>
    <w:rsid w:val="00EA5CDC"/>
    <w:rsid w:val="00EA62F2"/>
    <w:rsid w:val="00EA6C6C"/>
    <w:rsid w:val="00EA7109"/>
    <w:rsid w:val="00EA7432"/>
    <w:rsid w:val="00EA751E"/>
    <w:rsid w:val="00EA7552"/>
    <w:rsid w:val="00EA7607"/>
    <w:rsid w:val="00EA77B0"/>
    <w:rsid w:val="00EA79D7"/>
    <w:rsid w:val="00EA7EDE"/>
    <w:rsid w:val="00EA7FA7"/>
    <w:rsid w:val="00EB07CD"/>
    <w:rsid w:val="00EB086D"/>
    <w:rsid w:val="00EB0C40"/>
    <w:rsid w:val="00EB122C"/>
    <w:rsid w:val="00EB128F"/>
    <w:rsid w:val="00EB190F"/>
    <w:rsid w:val="00EB1947"/>
    <w:rsid w:val="00EB1CEF"/>
    <w:rsid w:val="00EB2AA0"/>
    <w:rsid w:val="00EB2ABE"/>
    <w:rsid w:val="00EB2B5B"/>
    <w:rsid w:val="00EB3118"/>
    <w:rsid w:val="00EB3363"/>
    <w:rsid w:val="00EB3593"/>
    <w:rsid w:val="00EB38C3"/>
    <w:rsid w:val="00EB4048"/>
    <w:rsid w:val="00EB4813"/>
    <w:rsid w:val="00EB49AF"/>
    <w:rsid w:val="00EB4B3B"/>
    <w:rsid w:val="00EB4DCC"/>
    <w:rsid w:val="00EB5502"/>
    <w:rsid w:val="00EB5F9A"/>
    <w:rsid w:val="00EB62B2"/>
    <w:rsid w:val="00EB6680"/>
    <w:rsid w:val="00EB691E"/>
    <w:rsid w:val="00EB695E"/>
    <w:rsid w:val="00EB6A78"/>
    <w:rsid w:val="00EB6B6A"/>
    <w:rsid w:val="00EB6FA4"/>
    <w:rsid w:val="00EB769A"/>
    <w:rsid w:val="00EB7CCB"/>
    <w:rsid w:val="00EC0274"/>
    <w:rsid w:val="00EC0422"/>
    <w:rsid w:val="00EC0A8A"/>
    <w:rsid w:val="00EC0C46"/>
    <w:rsid w:val="00EC0CEB"/>
    <w:rsid w:val="00EC0E6D"/>
    <w:rsid w:val="00EC0F92"/>
    <w:rsid w:val="00EC0FBF"/>
    <w:rsid w:val="00EC0FF9"/>
    <w:rsid w:val="00EC10DF"/>
    <w:rsid w:val="00EC11E7"/>
    <w:rsid w:val="00EC1933"/>
    <w:rsid w:val="00EC218A"/>
    <w:rsid w:val="00EC2438"/>
    <w:rsid w:val="00EC32CE"/>
    <w:rsid w:val="00EC3487"/>
    <w:rsid w:val="00EC3885"/>
    <w:rsid w:val="00EC3B90"/>
    <w:rsid w:val="00EC4589"/>
    <w:rsid w:val="00EC4D4C"/>
    <w:rsid w:val="00EC521E"/>
    <w:rsid w:val="00EC5AC1"/>
    <w:rsid w:val="00EC5B80"/>
    <w:rsid w:val="00EC5E10"/>
    <w:rsid w:val="00EC6098"/>
    <w:rsid w:val="00EC6111"/>
    <w:rsid w:val="00EC6828"/>
    <w:rsid w:val="00EC6B36"/>
    <w:rsid w:val="00EC73DE"/>
    <w:rsid w:val="00EC7A43"/>
    <w:rsid w:val="00EC7C79"/>
    <w:rsid w:val="00ED0584"/>
    <w:rsid w:val="00ED08AA"/>
    <w:rsid w:val="00ED0A56"/>
    <w:rsid w:val="00ED0B84"/>
    <w:rsid w:val="00ED0B88"/>
    <w:rsid w:val="00ED0BEC"/>
    <w:rsid w:val="00ED0D94"/>
    <w:rsid w:val="00ED1C6E"/>
    <w:rsid w:val="00ED1F3A"/>
    <w:rsid w:val="00ED21C2"/>
    <w:rsid w:val="00ED2987"/>
    <w:rsid w:val="00ED2F11"/>
    <w:rsid w:val="00ED3118"/>
    <w:rsid w:val="00ED32C6"/>
    <w:rsid w:val="00ED35A7"/>
    <w:rsid w:val="00ED456C"/>
    <w:rsid w:val="00ED48BE"/>
    <w:rsid w:val="00ED49A1"/>
    <w:rsid w:val="00ED4BBE"/>
    <w:rsid w:val="00ED5832"/>
    <w:rsid w:val="00ED5AC2"/>
    <w:rsid w:val="00ED5CA6"/>
    <w:rsid w:val="00ED5DAA"/>
    <w:rsid w:val="00ED5DAD"/>
    <w:rsid w:val="00ED621F"/>
    <w:rsid w:val="00ED6834"/>
    <w:rsid w:val="00ED6929"/>
    <w:rsid w:val="00ED69D0"/>
    <w:rsid w:val="00ED6F5F"/>
    <w:rsid w:val="00ED76A1"/>
    <w:rsid w:val="00EE0145"/>
    <w:rsid w:val="00EE01AB"/>
    <w:rsid w:val="00EE0423"/>
    <w:rsid w:val="00EE0E08"/>
    <w:rsid w:val="00EE17A6"/>
    <w:rsid w:val="00EE1CA4"/>
    <w:rsid w:val="00EE1D91"/>
    <w:rsid w:val="00EE2290"/>
    <w:rsid w:val="00EE27ED"/>
    <w:rsid w:val="00EE30B2"/>
    <w:rsid w:val="00EE35BA"/>
    <w:rsid w:val="00EE3789"/>
    <w:rsid w:val="00EE3B9E"/>
    <w:rsid w:val="00EE3C93"/>
    <w:rsid w:val="00EE40E2"/>
    <w:rsid w:val="00EE43B1"/>
    <w:rsid w:val="00EE5090"/>
    <w:rsid w:val="00EE50E6"/>
    <w:rsid w:val="00EE5263"/>
    <w:rsid w:val="00EE5730"/>
    <w:rsid w:val="00EE58CF"/>
    <w:rsid w:val="00EE671A"/>
    <w:rsid w:val="00EE694C"/>
    <w:rsid w:val="00EE6ABD"/>
    <w:rsid w:val="00EE6B7D"/>
    <w:rsid w:val="00EE710D"/>
    <w:rsid w:val="00EE71C2"/>
    <w:rsid w:val="00EE7733"/>
    <w:rsid w:val="00EE7746"/>
    <w:rsid w:val="00EE79C6"/>
    <w:rsid w:val="00EF0A14"/>
    <w:rsid w:val="00EF0C7E"/>
    <w:rsid w:val="00EF0ED9"/>
    <w:rsid w:val="00EF1661"/>
    <w:rsid w:val="00EF1ADA"/>
    <w:rsid w:val="00EF1CEF"/>
    <w:rsid w:val="00EF1D0E"/>
    <w:rsid w:val="00EF20A0"/>
    <w:rsid w:val="00EF2251"/>
    <w:rsid w:val="00EF26ED"/>
    <w:rsid w:val="00EF293F"/>
    <w:rsid w:val="00EF2943"/>
    <w:rsid w:val="00EF2D5E"/>
    <w:rsid w:val="00EF30E5"/>
    <w:rsid w:val="00EF32D5"/>
    <w:rsid w:val="00EF343B"/>
    <w:rsid w:val="00EF344A"/>
    <w:rsid w:val="00EF3528"/>
    <w:rsid w:val="00EF3EC9"/>
    <w:rsid w:val="00EF3ECA"/>
    <w:rsid w:val="00EF4270"/>
    <w:rsid w:val="00EF43A9"/>
    <w:rsid w:val="00EF46AF"/>
    <w:rsid w:val="00EF4EB8"/>
    <w:rsid w:val="00EF5290"/>
    <w:rsid w:val="00EF534A"/>
    <w:rsid w:val="00EF54CB"/>
    <w:rsid w:val="00EF55F8"/>
    <w:rsid w:val="00EF5ADF"/>
    <w:rsid w:val="00EF6071"/>
    <w:rsid w:val="00EF7C58"/>
    <w:rsid w:val="00F00483"/>
    <w:rsid w:val="00F004B0"/>
    <w:rsid w:val="00F00A14"/>
    <w:rsid w:val="00F00AF3"/>
    <w:rsid w:val="00F01109"/>
    <w:rsid w:val="00F0198B"/>
    <w:rsid w:val="00F01FB2"/>
    <w:rsid w:val="00F01FD9"/>
    <w:rsid w:val="00F01FF2"/>
    <w:rsid w:val="00F02059"/>
    <w:rsid w:val="00F020A7"/>
    <w:rsid w:val="00F031E0"/>
    <w:rsid w:val="00F03726"/>
    <w:rsid w:val="00F0402A"/>
    <w:rsid w:val="00F0422F"/>
    <w:rsid w:val="00F04272"/>
    <w:rsid w:val="00F05086"/>
    <w:rsid w:val="00F056FB"/>
    <w:rsid w:val="00F05A94"/>
    <w:rsid w:val="00F05F09"/>
    <w:rsid w:val="00F06699"/>
    <w:rsid w:val="00F066B7"/>
    <w:rsid w:val="00F06846"/>
    <w:rsid w:val="00F06DCC"/>
    <w:rsid w:val="00F06E9F"/>
    <w:rsid w:val="00F06F0B"/>
    <w:rsid w:val="00F07499"/>
    <w:rsid w:val="00F07716"/>
    <w:rsid w:val="00F10912"/>
    <w:rsid w:val="00F10A12"/>
    <w:rsid w:val="00F11298"/>
    <w:rsid w:val="00F1136A"/>
    <w:rsid w:val="00F11382"/>
    <w:rsid w:val="00F114EA"/>
    <w:rsid w:val="00F11E15"/>
    <w:rsid w:val="00F12204"/>
    <w:rsid w:val="00F1261A"/>
    <w:rsid w:val="00F12792"/>
    <w:rsid w:val="00F12C77"/>
    <w:rsid w:val="00F13069"/>
    <w:rsid w:val="00F13168"/>
    <w:rsid w:val="00F1383B"/>
    <w:rsid w:val="00F13910"/>
    <w:rsid w:val="00F14212"/>
    <w:rsid w:val="00F1429E"/>
    <w:rsid w:val="00F14715"/>
    <w:rsid w:val="00F14AC9"/>
    <w:rsid w:val="00F14D57"/>
    <w:rsid w:val="00F1523F"/>
    <w:rsid w:val="00F1557B"/>
    <w:rsid w:val="00F15668"/>
    <w:rsid w:val="00F1593F"/>
    <w:rsid w:val="00F15966"/>
    <w:rsid w:val="00F15D60"/>
    <w:rsid w:val="00F15F28"/>
    <w:rsid w:val="00F16018"/>
    <w:rsid w:val="00F1613B"/>
    <w:rsid w:val="00F161B3"/>
    <w:rsid w:val="00F16B34"/>
    <w:rsid w:val="00F16F33"/>
    <w:rsid w:val="00F170A4"/>
    <w:rsid w:val="00F17527"/>
    <w:rsid w:val="00F17AA9"/>
    <w:rsid w:val="00F20094"/>
    <w:rsid w:val="00F205CD"/>
    <w:rsid w:val="00F205F2"/>
    <w:rsid w:val="00F20660"/>
    <w:rsid w:val="00F20C0E"/>
    <w:rsid w:val="00F21447"/>
    <w:rsid w:val="00F217B8"/>
    <w:rsid w:val="00F21C74"/>
    <w:rsid w:val="00F21D91"/>
    <w:rsid w:val="00F22036"/>
    <w:rsid w:val="00F220F4"/>
    <w:rsid w:val="00F2325E"/>
    <w:rsid w:val="00F2344C"/>
    <w:rsid w:val="00F238F2"/>
    <w:rsid w:val="00F238FE"/>
    <w:rsid w:val="00F239FE"/>
    <w:rsid w:val="00F23BA7"/>
    <w:rsid w:val="00F23D2F"/>
    <w:rsid w:val="00F23D5F"/>
    <w:rsid w:val="00F23D8F"/>
    <w:rsid w:val="00F2427E"/>
    <w:rsid w:val="00F24B89"/>
    <w:rsid w:val="00F24C65"/>
    <w:rsid w:val="00F24DCB"/>
    <w:rsid w:val="00F24E98"/>
    <w:rsid w:val="00F24F1F"/>
    <w:rsid w:val="00F252BC"/>
    <w:rsid w:val="00F2551B"/>
    <w:rsid w:val="00F256C8"/>
    <w:rsid w:val="00F25A7C"/>
    <w:rsid w:val="00F25BA8"/>
    <w:rsid w:val="00F25CDD"/>
    <w:rsid w:val="00F25F77"/>
    <w:rsid w:val="00F26246"/>
    <w:rsid w:val="00F26A44"/>
    <w:rsid w:val="00F27104"/>
    <w:rsid w:val="00F2720F"/>
    <w:rsid w:val="00F27922"/>
    <w:rsid w:val="00F27F81"/>
    <w:rsid w:val="00F304D4"/>
    <w:rsid w:val="00F307A3"/>
    <w:rsid w:val="00F309AD"/>
    <w:rsid w:val="00F30B01"/>
    <w:rsid w:val="00F30B3F"/>
    <w:rsid w:val="00F30CB6"/>
    <w:rsid w:val="00F3127A"/>
    <w:rsid w:val="00F3131E"/>
    <w:rsid w:val="00F31C56"/>
    <w:rsid w:val="00F31E2D"/>
    <w:rsid w:val="00F32423"/>
    <w:rsid w:val="00F33172"/>
    <w:rsid w:val="00F332DF"/>
    <w:rsid w:val="00F33340"/>
    <w:rsid w:val="00F333FC"/>
    <w:rsid w:val="00F335C6"/>
    <w:rsid w:val="00F3388F"/>
    <w:rsid w:val="00F347BC"/>
    <w:rsid w:val="00F34B6D"/>
    <w:rsid w:val="00F34B80"/>
    <w:rsid w:val="00F34E79"/>
    <w:rsid w:val="00F34EAC"/>
    <w:rsid w:val="00F3597B"/>
    <w:rsid w:val="00F35C91"/>
    <w:rsid w:val="00F35DC8"/>
    <w:rsid w:val="00F36402"/>
    <w:rsid w:val="00F3645F"/>
    <w:rsid w:val="00F365FB"/>
    <w:rsid w:val="00F36A06"/>
    <w:rsid w:val="00F36B18"/>
    <w:rsid w:val="00F36C55"/>
    <w:rsid w:val="00F36D69"/>
    <w:rsid w:val="00F36DDE"/>
    <w:rsid w:val="00F36EE4"/>
    <w:rsid w:val="00F372FF"/>
    <w:rsid w:val="00F3758F"/>
    <w:rsid w:val="00F376C8"/>
    <w:rsid w:val="00F4045C"/>
    <w:rsid w:val="00F40AE4"/>
    <w:rsid w:val="00F412B6"/>
    <w:rsid w:val="00F41515"/>
    <w:rsid w:val="00F41582"/>
    <w:rsid w:val="00F42A02"/>
    <w:rsid w:val="00F42D2F"/>
    <w:rsid w:val="00F433C8"/>
    <w:rsid w:val="00F433E7"/>
    <w:rsid w:val="00F43405"/>
    <w:rsid w:val="00F439AD"/>
    <w:rsid w:val="00F43EC4"/>
    <w:rsid w:val="00F44519"/>
    <w:rsid w:val="00F44719"/>
    <w:rsid w:val="00F449EB"/>
    <w:rsid w:val="00F44C95"/>
    <w:rsid w:val="00F44D46"/>
    <w:rsid w:val="00F45195"/>
    <w:rsid w:val="00F4593A"/>
    <w:rsid w:val="00F45BA0"/>
    <w:rsid w:val="00F462D1"/>
    <w:rsid w:val="00F46570"/>
    <w:rsid w:val="00F46A9B"/>
    <w:rsid w:val="00F46B17"/>
    <w:rsid w:val="00F46C8D"/>
    <w:rsid w:val="00F46FC1"/>
    <w:rsid w:val="00F47080"/>
    <w:rsid w:val="00F47C87"/>
    <w:rsid w:val="00F500D6"/>
    <w:rsid w:val="00F50151"/>
    <w:rsid w:val="00F50304"/>
    <w:rsid w:val="00F5063A"/>
    <w:rsid w:val="00F50CF3"/>
    <w:rsid w:val="00F514A3"/>
    <w:rsid w:val="00F517E3"/>
    <w:rsid w:val="00F5199F"/>
    <w:rsid w:val="00F519EE"/>
    <w:rsid w:val="00F51FCD"/>
    <w:rsid w:val="00F52038"/>
    <w:rsid w:val="00F5271F"/>
    <w:rsid w:val="00F5289E"/>
    <w:rsid w:val="00F52BEE"/>
    <w:rsid w:val="00F52EA2"/>
    <w:rsid w:val="00F52F42"/>
    <w:rsid w:val="00F53DA4"/>
    <w:rsid w:val="00F54377"/>
    <w:rsid w:val="00F546C5"/>
    <w:rsid w:val="00F5537D"/>
    <w:rsid w:val="00F556BC"/>
    <w:rsid w:val="00F557EC"/>
    <w:rsid w:val="00F55B1C"/>
    <w:rsid w:val="00F5636E"/>
    <w:rsid w:val="00F5711D"/>
    <w:rsid w:val="00F57D13"/>
    <w:rsid w:val="00F60655"/>
    <w:rsid w:val="00F607D8"/>
    <w:rsid w:val="00F60A77"/>
    <w:rsid w:val="00F60C3E"/>
    <w:rsid w:val="00F60E97"/>
    <w:rsid w:val="00F61286"/>
    <w:rsid w:val="00F619A5"/>
    <w:rsid w:val="00F61D67"/>
    <w:rsid w:val="00F61F3E"/>
    <w:rsid w:val="00F62371"/>
    <w:rsid w:val="00F625B2"/>
    <w:rsid w:val="00F62943"/>
    <w:rsid w:val="00F62A75"/>
    <w:rsid w:val="00F62C4E"/>
    <w:rsid w:val="00F62D7F"/>
    <w:rsid w:val="00F63872"/>
    <w:rsid w:val="00F641AC"/>
    <w:rsid w:val="00F64614"/>
    <w:rsid w:val="00F64B0C"/>
    <w:rsid w:val="00F64D1B"/>
    <w:rsid w:val="00F65220"/>
    <w:rsid w:val="00F65D59"/>
    <w:rsid w:val="00F65E1F"/>
    <w:rsid w:val="00F6611B"/>
    <w:rsid w:val="00F663CF"/>
    <w:rsid w:val="00F66519"/>
    <w:rsid w:val="00F66811"/>
    <w:rsid w:val="00F66CC5"/>
    <w:rsid w:val="00F66F10"/>
    <w:rsid w:val="00F67520"/>
    <w:rsid w:val="00F6778C"/>
    <w:rsid w:val="00F6785E"/>
    <w:rsid w:val="00F67B62"/>
    <w:rsid w:val="00F67BAF"/>
    <w:rsid w:val="00F700AA"/>
    <w:rsid w:val="00F7028B"/>
    <w:rsid w:val="00F7046C"/>
    <w:rsid w:val="00F70902"/>
    <w:rsid w:val="00F70B51"/>
    <w:rsid w:val="00F70C45"/>
    <w:rsid w:val="00F715E7"/>
    <w:rsid w:val="00F71C0E"/>
    <w:rsid w:val="00F71D8C"/>
    <w:rsid w:val="00F72714"/>
    <w:rsid w:val="00F7299E"/>
    <w:rsid w:val="00F72DA7"/>
    <w:rsid w:val="00F73020"/>
    <w:rsid w:val="00F732E5"/>
    <w:rsid w:val="00F736CD"/>
    <w:rsid w:val="00F737DE"/>
    <w:rsid w:val="00F73C58"/>
    <w:rsid w:val="00F73C99"/>
    <w:rsid w:val="00F73CED"/>
    <w:rsid w:val="00F745B6"/>
    <w:rsid w:val="00F747CC"/>
    <w:rsid w:val="00F7488B"/>
    <w:rsid w:val="00F748EB"/>
    <w:rsid w:val="00F74A0A"/>
    <w:rsid w:val="00F74CEC"/>
    <w:rsid w:val="00F74E7D"/>
    <w:rsid w:val="00F750C2"/>
    <w:rsid w:val="00F75565"/>
    <w:rsid w:val="00F755B5"/>
    <w:rsid w:val="00F756D5"/>
    <w:rsid w:val="00F763E7"/>
    <w:rsid w:val="00F76FD4"/>
    <w:rsid w:val="00F7719A"/>
    <w:rsid w:val="00F771B5"/>
    <w:rsid w:val="00F77632"/>
    <w:rsid w:val="00F77E2E"/>
    <w:rsid w:val="00F800C7"/>
    <w:rsid w:val="00F80187"/>
    <w:rsid w:val="00F80385"/>
    <w:rsid w:val="00F8038A"/>
    <w:rsid w:val="00F80878"/>
    <w:rsid w:val="00F81B8E"/>
    <w:rsid w:val="00F81DCC"/>
    <w:rsid w:val="00F82251"/>
    <w:rsid w:val="00F828BE"/>
    <w:rsid w:val="00F82D93"/>
    <w:rsid w:val="00F82E2E"/>
    <w:rsid w:val="00F83004"/>
    <w:rsid w:val="00F830C1"/>
    <w:rsid w:val="00F8358A"/>
    <w:rsid w:val="00F8374B"/>
    <w:rsid w:val="00F84253"/>
    <w:rsid w:val="00F8446F"/>
    <w:rsid w:val="00F8450C"/>
    <w:rsid w:val="00F84668"/>
    <w:rsid w:val="00F848F0"/>
    <w:rsid w:val="00F8493A"/>
    <w:rsid w:val="00F84CA8"/>
    <w:rsid w:val="00F84CF8"/>
    <w:rsid w:val="00F85854"/>
    <w:rsid w:val="00F859A3"/>
    <w:rsid w:val="00F860B4"/>
    <w:rsid w:val="00F8632E"/>
    <w:rsid w:val="00F86378"/>
    <w:rsid w:val="00F86399"/>
    <w:rsid w:val="00F863B0"/>
    <w:rsid w:val="00F86436"/>
    <w:rsid w:val="00F864B9"/>
    <w:rsid w:val="00F869CC"/>
    <w:rsid w:val="00F87596"/>
    <w:rsid w:val="00F87BFA"/>
    <w:rsid w:val="00F87CC0"/>
    <w:rsid w:val="00F87E85"/>
    <w:rsid w:val="00F901A9"/>
    <w:rsid w:val="00F903C0"/>
    <w:rsid w:val="00F90672"/>
    <w:rsid w:val="00F9069F"/>
    <w:rsid w:val="00F9124F"/>
    <w:rsid w:val="00F91480"/>
    <w:rsid w:val="00F91927"/>
    <w:rsid w:val="00F91C43"/>
    <w:rsid w:val="00F91FEC"/>
    <w:rsid w:val="00F929AB"/>
    <w:rsid w:val="00F92C1C"/>
    <w:rsid w:val="00F92DFE"/>
    <w:rsid w:val="00F9328B"/>
    <w:rsid w:val="00F93F5A"/>
    <w:rsid w:val="00F94088"/>
    <w:rsid w:val="00F943CF"/>
    <w:rsid w:val="00F94AEE"/>
    <w:rsid w:val="00F94C05"/>
    <w:rsid w:val="00F94D2E"/>
    <w:rsid w:val="00F957C2"/>
    <w:rsid w:val="00F95EF0"/>
    <w:rsid w:val="00F95F57"/>
    <w:rsid w:val="00F962C6"/>
    <w:rsid w:val="00F963C6"/>
    <w:rsid w:val="00F9665F"/>
    <w:rsid w:val="00F96776"/>
    <w:rsid w:val="00F969E9"/>
    <w:rsid w:val="00F96C8B"/>
    <w:rsid w:val="00F9739A"/>
    <w:rsid w:val="00F97567"/>
    <w:rsid w:val="00FA0495"/>
    <w:rsid w:val="00FA0C0D"/>
    <w:rsid w:val="00FA0DA5"/>
    <w:rsid w:val="00FA0F33"/>
    <w:rsid w:val="00FA1523"/>
    <w:rsid w:val="00FA18E2"/>
    <w:rsid w:val="00FA1B8F"/>
    <w:rsid w:val="00FA22B6"/>
    <w:rsid w:val="00FA2535"/>
    <w:rsid w:val="00FA2AA9"/>
    <w:rsid w:val="00FA3213"/>
    <w:rsid w:val="00FA37C6"/>
    <w:rsid w:val="00FA39EA"/>
    <w:rsid w:val="00FA3B40"/>
    <w:rsid w:val="00FA3CBD"/>
    <w:rsid w:val="00FA4A6B"/>
    <w:rsid w:val="00FA4C0B"/>
    <w:rsid w:val="00FA6629"/>
    <w:rsid w:val="00FA670C"/>
    <w:rsid w:val="00FA683F"/>
    <w:rsid w:val="00FA6F1C"/>
    <w:rsid w:val="00FA71D8"/>
    <w:rsid w:val="00FA769B"/>
    <w:rsid w:val="00FB096A"/>
    <w:rsid w:val="00FB0ED5"/>
    <w:rsid w:val="00FB1082"/>
    <w:rsid w:val="00FB1A89"/>
    <w:rsid w:val="00FB1DA8"/>
    <w:rsid w:val="00FB2403"/>
    <w:rsid w:val="00FB247F"/>
    <w:rsid w:val="00FB3341"/>
    <w:rsid w:val="00FB34E7"/>
    <w:rsid w:val="00FB3503"/>
    <w:rsid w:val="00FB3CCD"/>
    <w:rsid w:val="00FB4046"/>
    <w:rsid w:val="00FB4297"/>
    <w:rsid w:val="00FB42CA"/>
    <w:rsid w:val="00FB43E5"/>
    <w:rsid w:val="00FB4A4D"/>
    <w:rsid w:val="00FB4E78"/>
    <w:rsid w:val="00FB50BC"/>
    <w:rsid w:val="00FB542B"/>
    <w:rsid w:val="00FB5AD0"/>
    <w:rsid w:val="00FB606A"/>
    <w:rsid w:val="00FB6BD0"/>
    <w:rsid w:val="00FB73E5"/>
    <w:rsid w:val="00FB766E"/>
    <w:rsid w:val="00FB7C73"/>
    <w:rsid w:val="00FB7E28"/>
    <w:rsid w:val="00FC0284"/>
    <w:rsid w:val="00FC051A"/>
    <w:rsid w:val="00FC0571"/>
    <w:rsid w:val="00FC0A02"/>
    <w:rsid w:val="00FC185C"/>
    <w:rsid w:val="00FC1C84"/>
    <w:rsid w:val="00FC1E16"/>
    <w:rsid w:val="00FC1F47"/>
    <w:rsid w:val="00FC240C"/>
    <w:rsid w:val="00FC269A"/>
    <w:rsid w:val="00FC28EE"/>
    <w:rsid w:val="00FC29AC"/>
    <w:rsid w:val="00FC3461"/>
    <w:rsid w:val="00FC3EE1"/>
    <w:rsid w:val="00FC47A7"/>
    <w:rsid w:val="00FC4B5C"/>
    <w:rsid w:val="00FC4BB0"/>
    <w:rsid w:val="00FC4BBC"/>
    <w:rsid w:val="00FC5329"/>
    <w:rsid w:val="00FC54D4"/>
    <w:rsid w:val="00FC5CB4"/>
    <w:rsid w:val="00FC6203"/>
    <w:rsid w:val="00FC626B"/>
    <w:rsid w:val="00FC6525"/>
    <w:rsid w:val="00FC66E0"/>
    <w:rsid w:val="00FC6CDC"/>
    <w:rsid w:val="00FC7250"/>
    <w:rsid w:val="00FC76B2"/>
    <w:rsid w:val="00FC7AF7"/>
    <w:rsid w:val="00FC7BFF"/>
    <w:rsid w:val="00FC7C99"/>
    <w:rsid w:val="00FC7E63"/>
    <w:rsid w:val="00FC7F4B"/>
    <w:rsid w:val="00FD0B0E"/>
    <w:rsid w:val="00FD0D8D"/>
    <w:rsid w:val="00FD10DD"/>
    <w:rsid w:val="00FD1B16"/>
    <w:rsid w:val="00FD1BF4"/>
    <w:rsid w:val="00FD1CEC"/>
    <w:rsid w:val="00FD1DF8"/>
    <w:rsid w:val="00FD2000"/>
    <w:rsid w:val="00FD216A"/>
    <w:rsid w:val="00FD22F4"/>
    <w:rsid w:val="00FD242B"/>
    <w:rsid w:val="00FD24EB"/>
    <w:rsid w:val="00FD256D"/>
    <w:rsid w:val="00FD2698"/>
    <w:rsid w:val="00FD2937"/>
    <w:rsid w:val="00FD2E92"/>
    <w:rsid w:val="00FD308D"/>
    <w:rsid w:val="00FD33DB"/>
    <w:rsid w:val="00FD3897"/>
    <w:rsid w:val="00FD389F"/>
    <w:rsid w:val="00FD3E57"/>
    <w:rsid w:val="00FD41CC"/>
    <w:rsid w:val="00FD458C"/>
    <w:rsid w:val="00FD459B"/>
    <w:rsid w:val="00FD477A"/>
    <w:rsid w:val="00FD490F"/>
    <w:rsid w:val="00FD4E64"/>
    <w:rsid w:val="00FD5A53"/>
    <w:rsid w:val="00FD64A6"/>
    <w:rsid w:val="00FD6D45"/>
    <w:rsid w:val="00FD6DAB"/>
    <w:rsid w:val="00FD7B39"/>
    <w:rsid w:val="00FD7EEA"/>
    <w:rsid w:val="00FE0112"/>
    <w:rsid w:val="00FE0533"/>
    <w:rsid w:val="00FE06B3"/>
    <w:rsid w:val="00FE0932"/>
    <w:rsid w:val="00FE0A37"/>
    <w:rsid w:val="00FE0A63"/>
    <w:rsid w:val="00FE0F87"/>
    <w:rsid w:val="00FE14CD"/>
    <w:rsid w:val="00FE20FC"/>
    <w:rsid w:val="00FE2441"/>
    <w:rsid w:val="00FE256C"/>
    <w:rsid w:val="00FE27D4"/>
    <w:rsid w:val="00FE2B2D"/>
    <w:rsid w:val="00FE2DA0"/>
    <w:rsid w:val="00FE38E8"/>
    <w:rsid w:val="00FE39D8"/>
    <w:rsid w:val="00FE4E7B"/>
    <w:rsid w:val="00FE4E9F"/>
    <w:rsid w:val="00FE55C0"/>
    <w:rsid w:val="00FE5644"/>
    <w:rsid w:val="00FE5775"/>
    <w:rsid w:val="00FE577E"/>
    <w:rsid w:val="00FE5821"/>
    <w:rsid w:val="00FE64D9"/>
    <w:rsid w:val="00FE6CCB"/>
    <w:rsid w:val="00FE7E65"/>
    <w:rsid w:val="00FF0080"/>
    <w:rsid w:val="00FF0123"/>
    <w:rsid w:val="00FF0A47"/>
    <w:rsid w:val="00FF0BCB"/>
    <w:rsid w:val="00FF0C65"/>
    <w:rsid w:val="00FF1803"/>
    <w:rsid w:val="00FF21F0"/>
    <w:rsid w:val="00FF24FB"/>
    <w:rsid w:val="00FF2667"/>
    <w:rsid w:val="00FF26F2"/>
    <w:rsid w:val="00FF3060"/>
    <w:rsid w:val="00FF3099"/>
    <w:rsid w:val="00FF3599"/>
    <w:rsid w:val="00FF3BEF"/>
    <w:rsid w:val="00FF3D02"/>
    <w:rsid w:val="00FF3DF0"/>
    <w:rsid w:val="00FF4100"/>
    <w:rsid w:val="00FF43EE"/>
    <w:rsid w:val="00FF4578"/>
    <w:rsid w:val="00FF4667"/>
    <w:rsid w:val="00FF4A9F"/>
    <w:rsid w:val="00FF4F5D"/>
    <w:rsid w:val="00FF5118"/>
    <w:rsid w:val="00FF565F"/>
    <w:rsid w:val="00FF5A25"/>
    <w:rsid w:val="00FF5B29"/>
    <w:rsid w:val="00FF5FDE"/>
    <w:rsid w:val="00FF6158"/>
    <w:rsid w:val="00FF64AE"/>
    <w:rsid w:val="00FF67CA"/>
    <w:rsid w:val="00FF68C7"/>
    <w:rsid w:val="00FF75A5"/>
    <w:rsid w:val="00FF7770"/>
    <w:rsid w:val="00FF7CB8"/>
    <w:rsid w:val="013D17CA"/>
    <w:rsid w:val="0195EEBE"/>
    <w:rsid w:val="01C724F7"/>
    <w:rsid w:val="01F8D7DE"/>
    <w:rsid w:val="01F96A94"/>
    <w:rsid w:val="02EAD685"/>
    <w:rsid w:val="02F81957"/>
    <w:rsid w:val="059A33AF"/>
    <w:rsid w:val="061FF6CF"/>
    <w:rsid w:val="0919AEC3"/>
    <w:rsid w:val="095637AE"/>
    <w:rsid w:val="09D5A940"/>
    <w:rsid w:val="0A3DC9E8"/>
    <w:rsid w:val="0BC0F368"/>
    <w:rsid w:val="0D4E4ECA"/>
    <w:rsid w:val="0E7CC21F"/>
    <w:rsid w:val="0FD0DB96"/>
    <w:rsid w:val="0FE1D2C8"/>
    <w:rsid w:val="10271499"/>
    <w:rsid w:val="10279B03"/>
    <w:rsid w:val="10EC702D"/>
    <w:rsid w:val="110244DF"/>
    <w:rsid w:val="112DCD94"/>
    <w:rsid w:val="11CF462E"/>
    <w:rsid w:val="11F7D8ED"/>
    <w:rsid w:val="122B90F1"/>
    <w:rsid w:val="1336E6CA"/>
    <w:rsid w:val="1561E10D"/>
    <w:rsid w:val="15C29628"/>
    <w:rsid w:val="162C428D"/>
    <w:rsid w:val="177BA1BC"/>
    <w:rsid w:val="17E99982"/>
    <w:rsid w:val="18187E4D"/>
    <w:rsid w:val="195FB76D"/>
    <w:rsid w:val="196BAFBF"/>
    <w:rsid w:val="1995DE3E"/>
    <w:rsid w:val="19FF87FA"/>
    <w:rsid w:val="1A7F21F1"/>
    <w:rsid w:val="1AE086A2"/>
    <w:rsid w:val="1BDB2C7D"/>
    <w:rsid w:val="1C851DAD"/>
    <w:rsid w:val="1D1A6642"/>
    <w:rsid w:val="1D340289"/>
    <w:rsid w:val="1E6457EE"/>
    <w:rsid w:val="1EE52E06"/>
    <w:rsid w:val="1EE77366"/>
    <w:rsid w:val="1EEB1450"/>
    <w:rsid w:val="1F67FF72"/>
    <w:rsid w:val="1F772757"/>
    <w:rsid w:val="204EADB9"/>
    <w:rsid w:val="210CFCBF"/>
    <w:rsid w:val="229D2212"/>
    <w:rsid w:val="22A8723D"/>
    <w:rsid w:val="22FF31C3"/>
    <w:rsid w:val="233AFD40"/>
    <w:rsid w:val="23ACCD73"/>
    <w:rsid w:val="24539564"/>
    <w:rsid w:val="246612D0"/>
    <w:rsid w:val="24938923"/>
    <w:rsid w:val="249AE6B0"/>
    <w:rsid w:val="24B911F4"/>
    <w:rsid w:val="258DE6A3"/>
    <w:rsid w:val="259FAA53"/>
    <w:rsid w:val="261F2EC8"/>
    <w:rsid w:val="27FD5757"/>
    <w:rsid w:val="285C1ED5"/>
    <w:rsid w:val="28A975A0"/>
    <w:rsid w:val="29CF967C"/>
    <w:rsid w:val="29FFE4D1"/>
    <w:rsid w:val="2A5DB6DE"/>
    <w:rsid w:val="2A7B7938"/>
    <w:rsid w:val="2B5A2469"/>
    <w:rsid w:val="2D6E0112"/>
    <w:rsid w:val="2D7934F3"/>
    <w:rsid w:val="2DB0F06C"/>
    <w:rsid w:val="2DBB6997"/>
    <w:rsid w:val="2DC75B51"/>
    <w:rsid w:val="2DDE738B"/>
    <w:rsid w:val="2E0ABF7F"/>
    <w:rsid w:val="2E86AA38"/>
    <w:rsid w:val="2ECB63CD"/>
    <w:rsid w:val="2EFCD686"/>
    <w:rsid w:val="2EFEF32E"/>
    <w:rsid w:val="2F59AC06"/>
    <w:rsid w:val="2F71668D"/>
    <w:rsid w:val="2FA79221"/>
    <w:rsid w:val="30558790"/>
    <w:rsid w:val="31984F4C"/>
    <w:rsid w:val="3269D549"/>
    <w:rsid w:val="32CD93E1"/>
    <w:rsid w:val="3406221A"/>
    <w:rsid w:val="345AEDD5"/>
    <w:rsid w:val="34ABC75A"/>
    <w:rsid w:val="355A9EE8"/>
    <w:rsid w:val="372ACD3F"/>
    <w:rsid w:val="375C082A"/>
    <w:rsid w:val="37944FDC"/>
    <w:rsid w:val="37D48D17"/>
    <w:rsid w:val="383643EF"/>
    <w:rsid w:val="3886AEF0"/>
    <w:rsid w:val="38B493A7"/>
    <w:rsid w:val="39284E8C"/>
    <w:rsid w:val="3A3F18C6"/>
    <w:rsid w:val="3A4D08BC"/>
    <w:rsid w:val="3AD29827"/>
    <w:rsid w:val="3BCD14AD"/>
    <w:rsid w:val="3C0639B8"/>
    <w:rsid w:val="3D3157E7"/>
    <w:rsid w:val="3D4D077A"/>
    <w:rsid w:val="3DD27406"/>
    <w:rsid w:val="3DEC2B09"/>
    <w:rsid w:val="3FD0052B"/>
    <w:rsid w:val="3FEA2827"/>
    <w:rsid w:val="402478FF"/>
    <w:rsid w:val="40346CFE"/>
    <w:rsid w:val="40AE98F6"/>
    <w:rsid w:val="40AF78E6"/>
    <w:rsid w:val="413391F9"/>
    <w:rsid w:val="41AE981C"/>
    <w:rsid w:val="4230FE38"/>
    <w:rsid w:val="43BE0B6B"/>
    <w:rsid w:val="445BCA36"/>
    <w:rsid w:val="44B46EE9"/>
    <w:rsid w:val="44EFCDA0"/>
    <w:rsid w:val="451F2B4C"/>
    <w:rsid w:val="45709312"/>
    <w:rsid w:val="459D04AD"/>
    <w:rsid w:val="4636983F"/>
    <w:rsid w:val="46FEFF8A"/>
    <w:rsid w:val="471DAB92"/>
    <w:rsid w:val="47CA742E"/>
    <w:rsid w:val="48C6AF17"/>
    <w:rsid w:val="49586E4A"/>
    <w:rsid w:val="49C54CC7"/>
    <w:rsid w:val="4A2A02D5"/>
    <w:rsid w:val="4A3BE2FA"/>
    <w:rsid w:val="4A7AA92A"/>
    <w:rsid w:val="4ABB77C1"/>
    <w:rsid w:val="4ACC38D3"/>
    <w:rsid w:val="4B316778"/>
    <w:rsid w:val="4C01A79A"/>
    <w:rsid w:val="4C3F2C68"/>
    <w:rsid w:val="4D0B6D53"/>
    <w:rsid w:val="4DF9027D"/>
    <w:rsid w:val="4E2EDB4F"/>
    <w:rsid w:val="4EB5C59E"/>
    <w:rsid w:val="4EBABB2C"/>
    <w:rsid w:val="4EBCD01E"/>
    <w:rsid w:val="5078C3A9"/>
    <w:rsid w:val="50B0D0BC"/>
    <w:rsid w:val="50BFD965"/>
    <w:rsid w:val="50C12F87"/>
    <w:rsid w:val="50CF5874"/>
    <w:rsid w:val="51328C97"/>
    <w:rsid w:val="51559C8F"/>
    <w:rsid w:val="51F33FE3"/>
    <w:rsid w:val="5233F90A"/>
    <w:rsid w:val="53263761"/>
    <w:rsid w:val="538F463E"/>
    <w:rsid w:val="5394775D"/>
    <w:rsid w:val="539597F3"/>
    <w:rsid w:val="53B594C3"/>
    <w:rsid w:val="53C436C8"/>
    <w:rsid w:val="54B1575C"/>
    <w:rsid w:val="55E37597"/>
    <w:rsid w:val="56133C4A"/>
    <w:rsid w:val="566A38F1"/>
    <w:rsid w:val="572DA8A0"/>
    <w:rsid w:val="58658481"/>
    <w:rsid w:val="58D5EC59"/>
    <w:rsid w:val="5A15A0CC"/>
    <w:rsid w:val="5A36D332"/>
    <w:rsid w:val="5A5E548F"/>
    <w:rsid w:val="5A8CD76E"/>
    <w:rsid w:val="5AC45737"/>
    <w:rsid w:val="5ACC9103"/>
    <w:rsid w:val="5C546DD6"/>
    <w:rsid w:val="5D4E894B"/>
    <w:rsid w:val="5D791619"/>
    <w:rsid w:val="5E017D4F"/>
    <w:rsid w:val="5E14CFF5"/>
    <w:rsid w:val="5E671611"/>
    <w:rsid w:val="5F23DC5A"/>
    <w:rsid w:val="5F493D23"/>
    <w:rsid w:val="5F79115A"/>
    <w:rsid w:val="5FD6E4C8"/>
    <w:rsid w:val="6023CB76"/>
    <w:rsid w:val="60705D9A"/>
    <w:rsid w:val="6085D69B"/>
    <w:rsid w:val="60D63803"/>
    <w:rsid w:val="60DF3C2D"/>
    <w:rsid w:val="61ECFB83"/>
    <w:rsid w:val="6214E7E2"/>
    <w:rsid w:val="62A5CC1D"/>
    <w:rsid w:val="631660E4"/>
    <w:rsid w:val="63926665"/>
    <w:rsid w:val="64122F21"/>
    <w:rsid w:val="64925876"/>
    <w:rsid w:val="6498351E"/>
    <w:rsid w:val="64C5F17B"/>
    <w:rsid w:val="6625738B"/>
    <w:rsid w:val="672BFCC3"/>
    <w:rsid w:val="676E9418"/>
    <w:rsid w:val="68F98C57"/>
    <w:rsid w:val="6911B069"/>
    <w:rsid w:val="6A8E6017"/>
    <w:rsid w:val="6B27F126"/>
    <w:rsid w:val="6C17F847"/>
    <w:rsid w:val="6CC81A75"/>
    <w:rsid w:val="6D0AD7E7"/>
    <w:rsid w:val="6D1BC62E"/>
    <w:rsid w:val="6D4AECC0"/>
    <w:rsid w:val="6DA92B02"/>
    <w:rsid w:val="6E0A9979"/>
    <w:rsid w:val="6EC4ADCD"/>
    <w:rsid w:val="6EC4DC6A"/>
    <w:rsid w:val="6FA2D4AF"/>
    <w:rsid w:val="6FB0BB59"/>
    <w:rsid w:val="6FD5946A"/>
    <w:rsid w:val="70725731"/>
    <w:rsid w:val="717A7770"/>
    <w:rsid w:val="72688A4A"/>
    <w:rsid w:val="72F63AA5"/>
    <w:rsid w:val="7352143F"/>
    <w:rsid w:val="73CB50E4"/>
    <w:rsid w:val="74797877"/>
    <w:rsid w:val="74C897B2"/>
    <w:rsid w:val="769AE676"/>
    <w:rsid w:val="77119DA7"/>
    <w:rsid w:val="7886E3E5"/>
    <w:rsid w:val="791B5660"/>
    <w:rsid w:val="791CFE0D"/>
    <w:rsid w:val="791D2128"/>
    <w:rsid w:val="79B6CB56"/>
    <w:rsid w:val="7A03B390"/>
    <w:rsid w:val="7A1692A4"/>
    <w:rsid w:val="7A17B3BD"/>
    <w:rsid w:val="7AE31136"/>
    <w:rsid w:val="7B3DAE32"/>
    <w:rsid w:val="7C049D64"/>
    <w:rsid w:val="7C6E0937"/>
    <w:rsid w:val="7C80211C"/>
    <w:rsid w:val="7E0CDFA4"/>
    <w:rsid w:val="7E115479"/>
    <w:rsid w:val="7E876DA5"/>
    <w:rsid w:val="7F6C1D31"/>
    <w:rsid w:val="7F833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1DD62"/>
  <w15:docId w15:val="{AED0012D-4496-4427-9008-A51A6CDA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29B"/>
    <w:rPr>
      <w:rFonts w:ascii="Arial" w:hAnsi="Arial"/>
      <w:sz w:val="24"/>
      <w:lang w:eastAsia="en-US"/>
    </w:rPr>
  </w:style>
  <w:style w:type="paragraph" w:styleId="Heading1">
    <w:name w:val="heading 1"/>
    <w:aliases w:val="RR level 1"/>
    <w:basedOn w:val="Normal"/>
    <w:next w:val="Normal"/>
    <w:link w:val="Heading1Char"/>
    <w:qFormat/>
    <w:pPr>
      <w:keepNext/>
      <w:outlineLvl w:val="0"/>
    </w:pPr>
    <w:rPr>
      <w:b/>
    </w:rPr>
  </w:style>
  <w:style w:type="paragraph" w:styleId="Heading2">
    <w:name w:val="heading 2"/>
    <w:basedOn w:val="Normal"/>
    <w:next w:val="Normal"/>
    <w:qFormat/>
    <w:pPr>
      <w:keepNext/>
      <w:ind w:right="-331"/>
      <w:jc w:val="center"/>
      <w:outlineLvl w:val="1"/>
    </w:pPr>
    <w:rPr>
      <w:b/>
      <w:sz w:val="28"/>
    </w:rPr>
  </w:style>
  <w:style w:type="paragraph" w:styleId="Heading3">
    <w:name w:val="heading 3"/>
    <w:basedOn w:val="Normal"/>
    <w:next w:val="Normal"/>
    <w:qFormat/>
    <w:pPr>
      <w:keepNext/>
      <w:ind w:right="-331"/>
      <w:outlineLvl w:val="2"/>
    </w:pPr>
    <w:rPr>
      <w:b/>
    </w:rPr>
  </w:style>
  <w:style w:type="paragraph" w:styleId="Heading4">
    <w:name w:val="heading 4"/>
    <w:basedOn w:val="Normal"/>
    <w:next w:val="Normal"/>
    <w:qFormat/>
    <w:pPr>
      <w:keepNext/>
      <w:spacing w:after="120"/>
      <w:outlineLvl w:val="3"/>
    </w:pPr>
    <w:rPr>
      <w:b/>
      <w:sz w:val="18"/>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tabs>
        <w:tab w:val="left" w:pos="720"/>
        <w:tab w:val="left" w:pos="1422"/>
        <w:tab w:val="right" w:pos="7920"/>
      </w:tabs>
      <w:ind w:left="1422"/>
      <w:outlineLvl w:val="6"/>
    </w:pPr>
    <w:rPr>
      <w:b/>
    </w:rPr>
  </w:style>
  <w:style w:type="paragraph" w:styleId="Heading8">
    <w:name w:val="heading 8"/>
    <w:basedOn w:val="Normal"/>
    <w:next w:val="Normal"/>
    <w:qFormat/>
    <w:pPr>
      <w:keepNext/>
      <w:jc w:val="center"/>
      <w:outlineLvl w:val="7"/>
    </w:pPr>
    <w:rPr>
      <w:sz w:val="18"/>
      <w:u w:val="single"/>
    </w:rPr>
  </w:style>
  <w:style w:type="paragraph" w:styleId="Heading9">
    <w:name w:val="heading 9"/>
    <w:basedOn w:val="Normal"/>
    <w:next w:val="Normal"/>
    <w:qFormat/>
    <w:pPr>
      <w:keepNex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lang w:val="en-US"/>
    </w:rPr>
  </w:style>
  <w:style w:type="paragraph" w:styleId="BodyTextIndent2">
    <w:name w:val="Body Text Indent 2"/>
    <w:basedOn w:val="Normal"/>
    <w:pPr>
      <w:ind w:left="720" w:hanging="720"/>
    </w:pPr>
  </w:style>
  <w:style w:type="paragraph" w:styleId="BlockText">
    <w:name w:val="Block Text"/>
    <w:basedOn w:val="Normal"/>
    <w:pPr>
      <w:ind w:left="720" w:right="-331"/>
    </w:pPr>
  </w:style>
  <w:style w:type="paragraph" w:styleId="BodyText">
    <w:name w:val="Body Text"/>
    <w:basedOn w:val="Normal"/>
    <w:pPr>
      <w:spacing w:after="240"/>
      <w:jc w:val="center"/>
    </w:pPr>
    <w:rPr>
      <w:sz w:val="20"/>
    </w:rPr>
  </w:style>
  <w:style w:type="paragraph" w:styleId="BodyTextIndent3">
    <w:name w:val="Body Text Indent 3"/>
    <w:basedOn w:val="Normal"/>
    <w:pPr>
      <w:spacing w:after="240"/>
      <w:ind w:left="1440"/>
    </w:pPr>
  </w:style>
  <w:style w:type="paragraph" w:styleId="Caption">
    <w:name w:val="caption"/>
    <w:basedOn w:val="Normal"/>
    <w:next w:val="Normal"/>
    <w:qFormat/>
    <w:pPr>
      <w:jc w:val="center"/>
    </w:pPr>
    <w:rPr>
      <w:b/>
      <w:sz w:val="28"/>
    </w:rPr>
  </w:style>
  <w:style w:type="paragraph" w:styleId="BodyText2">
    <w:name w:val="Body Text 2"/>
    <w:basedOn w:val="Normal"/>
    <w:rPr>
      <w:color w:val="FF0000"/>
    </w:rPr>
  </w:style>
  <w:style w:type="paragraph" w:styleId="BodyText3">
    <w:name w:val="Body Text 3"/>
    <w:basedOn w:val="Normal"/>
    <w:pPr>
      <w:jc w:val="both"/>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customStyle="1" w:styleId="Bodyindent">
    <w:name w:val="Body indent"/>
    <w:basedOn w:val="Normal"/>
    <w:pPr>
      <w:widowControl w:val="0"/>
      <w:spacing w:before="140" w:line="290" w:lineRule="atLeast"/>
      <w:ind w:left="680"/>
    </w:pPr>
    <w:rPr>
      <w:rFonts w:ascii="Sabon" w:hAnsi="Sabon"/>
      <w:color w:val="000000"/>
      <w:sz w:val="21"/>
      <w:lang w:val="en-US"/>
    </w:rPr>
  </w:style>
  <w:style w:type="paragraph" w:customStyle="1" w:styleId="Bullets">
    <w:name w:val="Bullets"/>
    <w:basedOn w:val="Normal"/>
    <w:pPr>
      <w:numPr>
        <w:numId w:val="2"/>
      </w:numPr>
      <w:tabs>
        <w:tab w:val="left" w:pos="3062"/>
      </w:tabs>
      <w:spacing w:before="30" w:line="264" w:lineRule="auto"/>
    </w:pPr>
    <w:rPr>
      <w:rFonts w:ascii="Times" w:hAnsi="Times"/>
      <w:sz w:val="21"/>
    </w:rPr>
  </w:style>
  <w:style w:type="paragraph" w:customStyle="1" w:styleId="Body">
    <w:name w:val="Body"/>
    <w:basedOn w:val="Normal"/>
    <w:pPr>
      <w:widowControl w:val="0"/>
      <w:spacing w:before="140" w:line="290" w:lineRule="atLeast"/>
      <w:ind w:left="680" w:hanging="454"/>
    </w:pPr>
    <w:rPr>
      <w:rFonts w:ascii="Sabon" w:hAnsi="Sabon"/>
      <w:color w:val="000000"/>
      <w:sz w:val="21"/>
      <w:lang w:val="en-US"/>
    </w:rPr>
  </w:style>
  <w:style w:type="paragraph" w:customStyle="1" w:styleId="BodyText1">
    <w:name w:val="Body Text1"/>
    <w:basedOn w:val="Normal"/>
    <w:link w:val="BodytextChar"/>
    <w:pPr>
      <w:spacing w:before="140" w:after="140"/>
      <w:ind w:left="397"/>
    </w:pPr>
  </w:style>
  <w:style w:type="character" w:customStyle="1" w:styleId="Bodytextemphasised">
    <w:name w:val="Body text (emphasised)"/>
    <w:rPr>
      <w:rFonts w:ascii="Arial" w:hAnsi="Arial"/>
      <w:b/>
      <w:noProof w:val="0"/>
      <w:sz w:val="24"/>
      <w:szCs w:val="24"/>
      <w:lang w:val="en-GB" w:eastAsia="en-GB" w:bidi="ar-SA"/>
    </w:rPr>
  </w:style>
  <w:style w:type="paragraph" w:customStyle="1" w:styleId="Bodytextnumbered">
    <w:name w:val="Body text (numbered)"/>
    <w:basedOn w:val="BodyText1"/>
    <w:pPr>
      <w:numPr>
        <w:numId w:val="3"/>
      </w:numPr>
    </w:pPr>
  </w:style>
  <w:style w:type="paragraph" w:customStyle="1" w:styleId="Bullet1">
    <w:name w:val="Bullet 1"/>
    <w:basedOn w:val="Normal"/>
    <w:link w:val="Bullet1CharChar"/>
    <w:pPr>
      <w:numPr>
        <w:numId w:val="4"/>
      </w:numPr>
      <w:spacing w:before="100"/>
    </w:pPr>
  </w:style>
  <w:style w:type="paragraph" w:styleId="BalloonText">
    <w:name w:val="Balloon Text"/>
    <w:basedOn w:val="Normal"/>
    <w:rPr>
      <w:rFonts w:ascii="Tahoma" w:hAnsi="Tahoma"/>
      <w:sz w:val="16"/>
    </w:rPr>
  </w:style>
  <w:style w:type="paragraph" w:styleId="CommentSubject">
    <w:name w:val="annotation subject"/>
    <w:basedOn w:val="CommentText"/>
    <w:next w:val="CommentText"/>
    <w:rPr>
      <w:rFonts w:ascii="Times New Roman" w:hAnsi="Times New Roman"/>
      <w:b/>
    </w:rPr>
  </w:style>
  <w:style w:type="paragraph" w:styleId="CommentText">
    <w:name w:val="annotation text"/>
    <w:basedOn w:val="Normal"/>
    <w:link w:val="CommentTextChar"/>
    <w:uiPriority w:val="99"/>
    <w:semiHidden/>
    <w:rPr>
      <w:sz w:val="20"/>
    </w:rPr>
  </w:style>
  <w:style w:type="paragraph" w:styleId="NormalWeb">
    <w:name w:val="Normal (Web)"/>
    <w:basedOn w:val="Normal"/>
    <w:uiPriority w:val="99"/>
    <w:pPr>
      <w:spacing w:before="100" w:after="100"/>
    </w:pPr>
    <w:rPr>
      <w:rFonts w:ascii="Times New Roman" w:hAnsi="Times New Roman"/>
    </w:rPr>
  </w:style>
  <w:style w:type="paragraph" w:customStyle="1" w:styleId="ReportHeading">
    <w:name w:val="Report Heading"/>
    <w:basedOn w:val="Normal"/>
    <w:rsid w:val="005B07C9"/>
    <w:pPr>
      <w:overflowPunct w:val="0"/>
      <w:autoSpaceDE w:val="0"/>
      <w:autoSpaceDN w:val="0"/>
      <w:adjustRightInd w:val="0"/>
      <w:jc w:val="center"/>
      <w:textAlignment w:val="baseline"/>
    </w:pPr>
    <w:rPr>
      <w:b/>
      <w:color w:val="000000"/>
      <w:u w:val="single"/>
      <w:lang w:val="en-US"/>
    </w:rPr>
  </w:style>
  <w:style w:type="table" w:styleId="TableGrid">
    <w:name w:val="Table Grid"/>
    <w:basedOn w:val="TableNormal"/>
    <w:rsid w:val="00AF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Char">
    <w:name w:val="Bullet 1 Char Char"/>
    <w:link w:val="Bullet1"/>
    <w:rsid w:val="00462F54"/>
    <w:rPr>
      <w:rFonts w:ascii="Arial" w:hAnsi="Arial"/>
      <w:sz w:val="24"/>
      <w:lang w:eastAsia="en-US"/>
    </w:rPr>
  </w:style>
  <w:style w:type="character" w:styleId="Hyperlink">
    <w:name w:val="Hyperlink"/>
    <w:uiPriority w:val="99"/>
    <w:rsid w:val="00D0270D"/>
    <w:rPr>
      <w:color w:val="0000FF"/>
      <w:u w:val="single"/>
    </w:rPr>
  </w:style>
  <w:style w:type="table" w:styleId="TableGrid8">
    <w:name w:val="Table Grid 8"/>
    <w:basedOn w:val="TableNormal"/>
    <w:rsid w:val="00B404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
    <w:name w:val="Body text Char"/>
    <w:link w:val="BodyText1"/>
    <w:rsid w:val="006F63AC"/>
    <w:rPr>
      <w:rFonts w:ascii="Arial" w:hAnsi="Arial"/>
      <w:sz w:val="24"/>
      <w:lang w:val="en-GB" w:eastAsia="en-US" w:bidi="ar-SA"/>
    </w:rPr>
  </w:style>
  <w:style w:type="character" w:styleId="Strong">
    <w:name w:val="Strong"/>
    <w:qFormat/>
    <w:rsid w:val="008C5921"/>
    <w:rPr>
      <w:rFonts w:cs="Times New Roman"/>
      <w:b/>
      <w:bCs/>
    </w:rPr>
  </w:style>
  <w:style w:type="paragraph" w:customStyle="1" w:styleId="00-Normal-BB">
    <w:name w:val="00-Normal-BB"/>
    <w:rsid w:val="008C5921"/>
    <w:pPr>
      <w:jc w:val="both"/>
    </w:pPr>
    <w:rPr>
      <w:rFonts w:ascii="Arial" w:eastAsia="Calibri" w:hAnsi="Arial"/>
      <w:sz w:val="22"/>
      <w:lang w:eastAsia="en-US"/>
    </w:rPr>
  </w:style>
  <w:style w:type="paragraph" w:customStyle="1" w:styleId="01-NormInd1-BB">
    <w:name w:val="01-NormInd1-BB"/>
    <w:basedOn w:val="00-Normal-BB"/>
    <w:rsid w:val="008C5921"/>
    <w:pPr>
      <w:ind w:left="720"/>
    </w:pPr>
  </w:style>
  <w:style w:type="table" w:styleId="TableProfessional">
    <w:name w:val="Table Professional"/>
    <w:basedOn w:val="TableNormal"/>
    <w:rsid w:val="009C691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inlinenormal">
    <w:name w:val="inlinenormal"/>
    <w:basedOn w:val="Normal"/>
    <w:rsid w:val="00935F51"/>
    <w:pPr>
      <w:autoSpaceDN w:val="0"/>
      <w:spacing w:before="120" w:after="60" w:line="264" w:lineRule="auto"/>
    </w:pPr>
    <w:rPr>
      <w:rFonts w:cs="Arial"/>
      <w:szCs w:val="24"/>
      <w:lang w:eastAsia="en-GB"/>
    </w:rPr>
  </w:style>
  <w:style w:type="character" w:styleId="Emphasis">
    <w:name w:val="Emphasis"/>
    <w:uiPriority w:val="20"/>
    <w:qFormat/>
    <w:rsid w:val="00935F51"/>
    <w:rPr>
      <w:i/>
      <w:iCs/>
    </w:rPr>
  </w:style>
  <w:style w:type="character" w:styleId="FollowedHyperlink">
    <w:name w:val="FollowedHyperlink"/>
    <w:rsid w:val="0035771D"/>
    <w:rPr>
      <w:color w:val="800080"/>
      <w:u w:val="single"/>
    </w:rPr>
  </w:style>
  <w:style w:type="character" w:customStyle="1" w:styleId="FooterChar">
    <w:name w:val="Footer Char"/>
    <w:link w:val="Footer"/>
    <w:locked/>
    <w:rsid w:val="00F96776"/>
    <w:rPr>
      <w:rFonts w:ascii="Arial" w:hAnsi="Arial"/>
      <w:sz w:val="24"/>
      <w:lang w:val="en-GB" w:eastAsia="en-US" w:bidi="ar-SA"/>
    </w:rPr>
  </w:style>
  <w:style w:type="paragraph" w:styleId="ListParagraph">
    <w:name w:val="List Paragraph"/>
    <w:basedOn w:val="Normal"/>
    <w:link w:val="ListParagraphChar"/>
    <w:uiPriority w:val="34"/>
    <w:qFormat/>
    <w:rsid w:val="00F96776"/>
    <w:pPr>
      <w:ind w:left="720"/>
      <w:contextualSpacing/>
    </w:pPr>
    <w:rPr>
      <w:rFonts w:eastAsia="Calibri"/>
    </w:rPr>
  </w:style>
  <w:style w:type="paragraph" w:styleId="NoSpacing">
    <w:name w:val="No Spacing"/>
    <w:uiPriority w:val="1"/>
    <w:qFormat/>
    <w:rsid w:val="0008007D"/>
    <w:rPr>
      <w:rFonts w:ascii="Arial" w:hAnsi="Arial"/>
      <w:sz w:val="24"/>
      <w:lang w:eastAsia="en-US"/>
    </w:rPr>
  </w:style>
  <w:style w:type="character" w:customStyle="1" w:styleId="Heading1Char">
    <w:name w:val="Heading 1 Char"/>
    <w:aliases w:val="RR level 1 Char"/>
    <w:basedOn w:val="DefaultParagraphFont"/>
    <w:link w:val="Heading1"/>
    <w:rsid w:val="00E07E0D"/>
    <w:rPr>
      <w:rFonts w:ascii="Arial" w:hAnsi="Arial"/>
      <w:b/>
      <w:sz w:val="24"/>
      <w:lang w:eastAsia="en-US"/>
    </w:rPr>
  </w:style>
  <w:style w:type="character" w:styleId="CommentReference">
    <w:name w:val="annotation reference"/>
    <w:basedOn w:val="DefaultParagraphFont"/>
    <w:uiPriority w:val="99"/>
    <w:rsid w:val="006B4BE1"/>
    <w:rPr>
      <w:sz w:val="16"/>
      <w:szCs w:val="16"/>
    </w:rPr>
  </w:style>
  <w:style w:type="paragraph" w:styleId="Revision">
    <w:name w:val="Revision"/>
    <w:hidden/>
    <w:uiPriority w:val="99"/>
    <w:semiHidden/>
    <w:rsid w:val="00F27922"/>
    <w:rPr>
      <w:rFonts w:ascii="Arial" w:hAnsi="Arial"/>
      <w:sz w:val="24"/>
      <w:lang w:eastAsia="en-US"/>
    </w:rPr>
  </w:style>
  <w:style w:type="paragraph" w:customStyle="1" w:styleId="Default">
    <w:name w:val="Default"/>
    <w:rsid w:val="00BD0E3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EF26ED"/>
    <w:rPr>
      <w:rFonts w:ascii="Arial" w:hAnsi="Arial"/>
      <w:lang w:eastAsia="en-US"/>
    </w:rPr>
  </w:style>
  <w:style w:type="paragraph" w:styleId="ListBullet">
    <w:name w:val="List Bullet"/>
    <w:basedOn w:val="Normal"/>
    <w:uiPriority w:val="1"/>
    <w:unhideWhenUsed/>
    <w:qFormat/>
    <w:rsid w:val="005E2D14"/>
    <w:pPr>
      <w:numPr>
        <w:numId w:val="39"/>
      </w:numPr>
      <w:spacing w:after="120" w:line="240" w:lineRule="atLeast"/>
    </w:pPr>
    <w:rPr>
      <w:rFonts w:ascii="Times New Roman" w:hAnsi="Times New Roman"/>
      <w:sz w:val="20"/>
      <w:lang w:eastAsia="en-GB"/>
    </w:rPr>
  </w:style>
  <w:style w:type="paragraph" w:styleId="ListBullet2">
    <w:name w:val="List Bullet 2"/>
    <w:basedOn w:val="Normal"/>
    <w:uiPriority w:val="1"/>
    <w:unhideWhenUsed/>
    <w:qFormat/>
    <w:rsid w:val="005E2D14"/>
    <w:pPr>
      <w:numPr>
        <w:ilvl w:val="1"/>
        <w:numId w:val="39"/>
      </w:numPr>
      <w:spacing w:after="120" w:line="240" w:lineRule="atLeast"/>
    </w:pPr>
    <w:rPr>
      <w:rFonts w:asciiTheme="minorHAnsi" w:hAnsiTheme="minorHAnsi"/>
      <w:sz w:val="18"/>
      <w:szCs w:val="18"/>
    </w:rPr>
  </w:style>
  <w:style w:type="paragraph" w:styleId="ListBullet3">
    <w:name w:val="List Bullet 3"/>
    <w:basedOn w:val="Normal"/>
    <w:uiPriority w:val="1"/>
    <w:unhideWhenUsed/>
    <w:qFormat/>
    <w:rsid w:val="005E2D14"/>
    <w:pPr>
      <w:numPr>
        <w:ilvl w:val="2"/>
        <w:numId w:val="39"/>
      </w:numPr>
      <w:spacing w:after="120" w:line="240" w:lineRule="atLeast"/>
    </w:pPr>
    <w:rPr>
      <w:rFonts w:asciiTheme="minorHAnsi" w:hAnsiTheme="minorHAnsi"/>
      <w:sz w:val="18"/>
      <w:szCs w:val="18"/>
    </w:rPr>
  </w:style>
  <w:style w:type="numbering" w:customStyle="1" w:styleId="GTListBullet">
    <w:name w:val="GT List Bullet"/>
    <w:uiPriority w:val="99"/>
    <w:rsid w:val="005E2D14"/>
    <w:pPr>
      <w:numPr>
        <w:numId w:val="39"/>
      </w:numPr>
    </w:pPr>
  </w:style>
  <w:style w:type="character" w:styleId="UnresolvedMention">
    <w:name w:val="Unresolved Mention"/>
    <w:basedOn w:val="DefaultParagraphFont"/>
    <w:uiPriority w:val="99"/>
    <w:semiHidden/>
    <w:unhideWhenUsed/>
    <w:rsid w:val="005E2D14"/>
    <w:rPr>
      <w:color w:val="605E5C"/>
      <w:shd w:val="clear" w:color="auto" w:fill="E1DFDD"/>
    </w:rPr>
  </w:style>
  <w:style w:type="character" w:customStyle="1" w:styleId="ListParagraphChar">
    <w:name w:val="List Paragraph Char"/>
    <w:link w:val="ListParagraph"/>
    <w:uiPriority w:val="34"/>
    <w:locked/>
    <w:rsid w:val="0077530B"/>
    <w:rPr>
      <w:rFonts w:ascii="Arial" w:eastAsia="Calibri" w:hAnsi="Arial"/>
      <w:sz w:val="24"/>
      <w:lang w:eastAsia="en-US"/>
    </w:rPr>
  </w:style>
  <w:style w:type="paragraph" w:styleId="TOCHeading">
    <w:name w:val="TOC Heading"/>
    <w:basedOn w:val="Heading1"/>
    <w:next w:val="Normal"/>
    <w:uiPriority w:val="39"/>
    <w:unhideWhenUsed/>
    <w:qFormat/>
    <w:rsid w:val="005A3C76"/>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EA5689"/>
    <w:pPr>
      <w:spacing w:after="100"/>
    </w:pPr>
  </w:style>
  <w:style w:type="paragraph" w:styleId="TOC2">
    <w:name w:val="toc 2"/>
    <w:basedOn w:val="Normal"/>
    <w:next w:val="Normal"/>
    <w:autoRedefine/>
    <w:uiPriority w:val="39"/>
    <w:unhideWhenUsed/>
    <w:rsid w:val="00BE3374"/>
    <w:pPr>
      <w:spacing w:after="100"/>
      <w:ind w:left="240"/>
    </w:pPr>
  </w:style>
  <w:style w:type="paragraph" w:styleId="TOC3">
    <w:name w:val="toc 3"/>
    <w:basedOn w:val="Normal"/>
    <w:next w:val="Normal"/>
    <w:autoRedefine/>
    <w:uiPriority w:val="39"/>
    <w:unhideWhenUsed/>
    <w:rsid w:val="00BE3374"/>
    <w:pPr>
      <w:spacing w:after="100"/>
      <w:ind w:left="480"/>
    </w:pPr>
  </w:style>
  <w:style w:type="character" w:styleId="Mention">
    <w:name w:val="Mention"/>
    <w:basedOn w:val="DefaultParagraphFont"/>
    <w:uiPriority w:val="99"/>
    <w:unhideWhenUsed/>
    <w:rsid w:val="00BA60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60">
      <w:bodyDiv w:val="1"/>
      <w:marLeft w:val="0"/>
      <w:marRight w:val="0"/>
      <w:marTop w:val="0"/>
      <w:marBottom w:val="0"/>
      <w:divBdr>
        <w:top w:val="none" w:sz="0" w:space="0" w:color="auto"/>
        <w:left w:val="none" w:sz="0" w:space="0" w:color="auto"/>
        <w:bottom w:val="none" w:sz="0" w:space="0" w:color="auto"/>
        <w:right w:val="none" w:sz="0" w:space="0" w:color="auto"/>
      </w:divBdr>
    </w:div>
    <w:div w:id="13383782">
      <w:bodyDiv w:val="1"/>
      <w:marLeft w:val="0"/>
      <w:marRight w:val="0"/>
      <w:marTop w:val="0"/>
      <w:marBottom w:val="0"/>
      <w:divBdr>
        <w:top w:val="none" w:sz="0" w:space="0" w:color="auto"/>
        <w:left w:val="none" w:sz="0" w:space="0" w:color="auto"/>
        <w:bottom w:val="none" w:sz="0" w:space="0" w:color="auto"/>
        <w:right w:val="none" w:sz="0" w:space="0" w:color="auto"/>
      </w:divBdr>
    </w:div>
    <w:div w:id="183788838">
      <w:bodyDiv w:val="1"/>
      <w:marLeft w:val="0"/>
      <w:marRight w:val="0"/>
      <w:marTop w:val="0"/>
      <w:marBottom w:val="0"/>
      <w:divBdr>
        <w:top w:val="none" w:sz="0" w:space="0" w:color="auto"/>
        <w:left w:val="none" w:sz="0" w:space="0" w:color="auto"/>
        <w:bottom w:val="none" w:sz="0" w:space="0" w:color="auto"/>
        <w:right w:val="none" w:sz="0" w:space="0" w:color="auto"/>
      </w:divBdr>
    </w:div>
    <w:div w:id="217789227">
      <w:bodyDiv w:val="1"/>
      <w:marLeft w:val="0"/>
      <w:marRight w:val="0"/>
      <w:marTop w:val="0"/>
      <w:marBottom w:val="0"/>
      <w:divBdr>
        <w:top w:val="none" w:sz="0" w:space="0" w:color="auto"/>
        <w:left w:val="none" w:sz="0" w:space="0" w:color="auto"/>
        <w:bottom w:val="none" w:sz="0" w:space="0" w:color="auto"/>
        <w:right w:val="none" w:sz="0" w:space="0" w:color="auto"/>
      </w:divBdr>
    </w:div>
    <w:div w:id="229775449">
      <w:bodyDiv w:val="1"/>
      <w:marLeft w:val="0"/>
      <w:marRight w:val="0"/>
      <w:marTop w:val="0"/>
      <w:marBottom w:val="0"/>
      <w:divBdr>
        <w:top w:val="none" w:sz="0" w:space="0" w:color="auto"/>
        <w:left w:val="none" w:sz="0" w:space="0" w:color="auto"/>
        <w:bottom w:val="none" w:sz="0" w:space="0" w:color="auto"/>
        <w:right w:val="none" w:sz="0" w:space="0" w:color="auto"/>
      </w:divBdr>
    </w:div>
    <w:div w:id="239946874">
      <w:bodyDiv w:val="1"/>
      <w:marLeft w:val="0"/>
      <w:marRight w:val="0"/>
      <w:marTop w:val="0"/>
      <w:marBottom w:val="0"/>
      <w:divBdr>
        <w:top w:val="none" w:sz="0" w:space="0" w:color="auto"/>
        <w:left w:val="none" w:sz="0" w:space="0" w:color="auto"/>
        <w:bottom w:val="none" w:sz="0" w:space="0" w:color="auto"/>
        <w:right w:val="none" w:sz="0" w:space="0" w:color="auto"/>
      </w:divBdr>
    </w:div>
    <w:div w:id="253366966">
      <w:bodyDiv w:val="1"/>
      <w:marLeft w:val="0"/>
      <w:marRight w:val="0"/>
      <w:marTop w:val="0"/>
      <w:marBottom w:val="0"/>
      <w:divBdr>
        <w:top w:val="none" w:sz="0" w:space="0" w:color="auto"/>
        <w:left w:val="none" w:sz="0" w:space="0" w:color="auto"/>
        <w:bottom w:val="none" w:sz="0" w:space="0" w:color="auto"/>
        <w:right w:val="none" w:sz="0" w:space="0" w:color="auto"/>
      </w:divBdr>
    </w:div>
    <w:div w:id="283582808">
      <w:bodyDiv w:val="1"/>
      <w:marLeft w:val="0"/>
      <w:marRight w:val="0"/>
      <w:marTop w:val="0"/>
      <w:marBottom w:val="0"/>
      <w:divBdr>
        <w:top w:val="none" w:sz="0" w:space="0" w:color="auto"/>
        <w:left w:val="none" w:sz="0" w:space="0" w:color="auto"/>
        <w:bottom w:val="none" w:sz="0" w:space="0" w:color="auto"/>
        <w:right w:val="none" w:sz="0" w:space="0" w:color="auto"/>
      </w:divBdr>
    </w:div>
    <w:div w:id="479926902">
      <w:bodyDiv w:val="1"/>
      <w:marLeft w:val="0"/>
      <w:marRight w:val="0"/>
      <w:marTop w:val="0"/>
      <w:marBottom w:val="0"/>
      <w:divBdr>
        <w:top w:val="none" w:sz="0" w:space="0" w:color="auto"/>
        <w:left w:val="none" w:sz="0" w:space="0" w:color="auto"/>
        <w:bottom w:val="none" w:sz="0" w:space="0" w:color="auto"/>
        <w:right w:val="none" w:sz="0" w:space="0" w:color="auto"/>
      </w:divBdr>
    </w:div>
    <w:div w:id="519390715">
      <w:bodyDiv w:val="1"/>
      <w:marLeft w:val="0"/>
      <w:marRight w:val="0"/>
      <w:marTop w:val="0"/>
      <w:marBottom w:val="0"/>
      <w:divBdr>
        <w:top w:val="none" w:sz="0" w:space="0" w:color="auto"/>
        <w:left w:val="none" w:sz="0" w:space="0" w:color="auto"/>
        <w:bottom w:val="none" w:sz="0" w:space="0" w:color="auto"/>
        <w:right w:val="none" w:sz="0" w:space="0" w:color="auto"/>
      </w:divBdr>
    </w:div>
    <w:div w:id="545332960">
      <w:bodyDiv w:val="1"/>
      <w:marLeft w:val="0"/>
      <w:marRight w:val="0"/>
      <w:marTop w:val="0"/>
      <w:marBottom w:val="0"/>
      <w:divBdr>
        <w:top w:val="none" w:sz="0" w:space="0" w:color="auto"/>
        <w:left w:val="none" w:sz="0" w:space="0" w:color="auto"/>
        <w:bottom w:val="none" w:sz="0" w:space="0" w:color="auto"/>
        <w:right w:val="none" w:sz="0" w:space="0" w:color="auto"/>
      </w:divBdr>
    </w:div>
    <w:div w:id="553395427">
      <w:bodyDiv w:val="1"/>
      <w:marLeft w:val="0"/>
      <w:marRight w:val="0"/>
      <w:marTop w:val="0"/>
      <w:marBottom w:val="0"/>
      <w:divBdr>
        <w:top w:val="none" w:sz="0" w:space="0" w:color="auto"/>
        <w:left w:val="none" w:sz="0" w:space="0" w:color="auto"/>
        <w:bottom w:val="none" w:sz="0" w:space="0" w:color="auto"/>
        <w:right w:val="none" w:sz="0" w:space="0" w:color="auto"/>
      </w:divBdr>
    </w:div>
    <w:div w:id="583148100">
      <w:bodyDiv w:val="1"/>
      <w:marLeft w:val="0"/>
      <w:marRight w:val="0"/>
      <w:marTop w:val="0"/>
      <w:marBottom w:val="0"/>
      <w:divBdr>
        <w:top w:val="none" w:sz="0" w:space="0" w:color="auto"/>
        <w:left w:val="none" w:sz="0" w:space="0" w:color="auto"/>
        <w:bottom w:val="none" w:sz="0" w:space="0" w:color="auto"/>
        <w:right w:val="none" w:sz="0" w:space="0" w:color="auto"/>
      </w:divBdr>
    </w:div>
    <w:div w:id="597370310">
      <w:bodyDiv w:val="1"/>
      <w:marLeft w:val="0"/>
      <w:marRight w:val="0"/>
      <w:marTop w:val="0"/>
      <w:marBottom w:val="0"/>
      <w:divBdr>
        <w:top w:val="none" w:sz="0" w:space="0" w:color="auto"/>
        <w:left w:val="none" w:sz="0" w:space="0" w:color="auto"/>
        <w:bottom w:val="none" w:sz="0" w:space="0" w:color="auto"/>
        <w:right w:val="none" w:sz="0" w:space="0" w:color="auto"/>
      </w:divBdr>
    </w:div>
    <w:div w:id="659239871">
      <w:bodyDiv w:val="1"/>
      <w:marLeft w:val="0"/>
      <w:marRight w:val="0"/>
      <w:marTop w:val="0"/>
      <w:marBottom w:val="0"/>
      <w:divBdr>
        <w:top w:val="none" w:sz="0" w:space="0" w:color="auto"/>
        <w:left w:val="none" w:sz="0" w:space="0" w:color="auto"/>
        <w:bottom w:val="none" w:sz="0" w:space="0" w:color="auto"/>
        <w:right w:val="none" w:sz="0" w:space="0" w:color="auto"/>
      </w:divBdr>
    </w:div>
    <w:div w:id="689768704">
      <w:bodyDiv w:val="1"/>
      <w:marLeft w:val="0"/>
      <w:marRight w:val="0"/>
      <w:marTop w:val="0"/>
      <w:marBottom w:val="0"/>
      <w:divBdr>
        <w:top w:val="none" w:sz="0" w:space="0" w:color="auto"/>
        <w:left w:val="none" w:sz="0" w:space="0" w:color="auto"/>
        <w:bottom w:val="none" w:sz="0" w:space="0" w:color="auto"/>
        <w:right w:val="none" w:sz="0" w:space="0" w:color="auto"/>
      </w:divBdr>
    </w:div>
    <w:div w:id="694306354">
      <w:bodyDiv w:val="1"/>
      <w:marLeft w:val="0"/>
      <w:marRight w:val="0"/>
      <w:marTop w:val="0"/>
      <w:marBottom w:val="0"/>
      <w:divBdr>
        <w:top w:val="none" w:sz="0" w:space="0" w:color="auto"/>
        <w:left w:val="none" w:sz="0" w:space="0" w:color="auto"/>
        <w:bottom w:val="none" w:sz="0" w:space="0" w:color="auto"/>
        <w:right w:val="none" w:sz="0" w:space="0" w:color="auto"/>
      </w:divBdr>
    </w:div>
    <w:div w:id="730614933">
      <w:bodyDiv w:val="1"/>
      <w:marLeft w:val="0"/>
      <w:marRight w:val="0"/>
      <w:marTop w:val="0"/>
      <w:marBottom w:val="0"/>
      <w:divBdr>
        <w:top w:val="none" w:sz="0" w:space="0" w:color="auto"/>
        <w:left w:val="none" w:sz="0" w:space="0" w:color="auto"/>
        <w:bottom w:val="none" w:sz="0" w:space="0" w:color="auto"/>
        <w:right w:val="none" w:sz="0" w:space="0" w:color="auto"/>
      </w:divBdr>
    </w:div>
    <w:div w:id="779304556">
      <w:bodyDiv w:val="1"/>
      <w:marLeft w:val="0"/>
      <w:marRight w:val="0"/>
      <w:marTop w:val="0"/>
      <w:marBottom w:val="0"/>
      <w:divBdr>
        <w:top w:val="none" w:sz="0" w:space="0" w:color="auto"/>
        <w:left w:val="none" w:sz="0" w:space="0" w:color="auto"/>
        <w:bottom w:val="none" w:sz="0" w:space="0" w:color="auto"/>
        <w:right w:val="none" w:sz="0" w:space="0" w:color="auto"/>
      </w:divBdr>
    </w:div>
    <w:div w:id="787969580">
      <w:bodyDiv w:val="1"/>
      <w:marLeft w:val="0"/>
      <w:marRight w:val="0"/>
      <w:marTop w:val="0"/>
      <w:marBottom w:val="0"/>
      <w:divBdr>
        <w:top w:val="none" w:sz="0" w:space="0" w:color="auto"/>
        <w:left w:val="none" w:sz="0" w:space="0" w:color="auto"/>
        <w:bottom w:val="none" w:sz="0" w:space="0" w:color="auto"/>
        <w:right w:val="none" w:sz="0" w:space="0" w:color="auto"/>
      </w:divBdr>
    </w:div>
    <w:div w:id="840586717">
      <w:bodyDiv w:val="1"/>
      <w:marLeft w:val="0"/>
      <w:marRight w:val="0"/>
      <w:marTop w:val="0"/>
      <w:marBottom w:val="0"/>
      <w:divBdr>
        <w:top w:val="none" w:sz="0" w:space="0" w:color="auto"/>
        <w:left w:val="none" w:sz="0" w:space="0" w:color="auto"/>
        <w:bottom w:val="none" w:sz="0" w:space="0" w:color="auto"/>
        <w:right w:val="none" w:sz="0" w:space="0" w:color="auto"/>
      </w:divBdr>
    </w:div>
    <w:div w:id="845290201">
      <w:bodyDiv w:val="1"/>
      <w:marLeft w:val="0"/>
      <w:marRight w:val="0"/>
      <w:marTop w:val="0"/>
      <w:marBottom w:val="0"/>
      <w:divBdr>
        <w:top w:val="none" w:sz="0" w:space="0" w:color="auto"/>
        <w:left w:val="none" w:sz="0" w:space="0" w:color="auto"/>
        <w:bottom w:val="none" w:sz="0" w:space="0" w:color="auto"/>
        <w:right w:val="none" w:sz="0" w:space="0" w:color="auto"/>
      </w:divBdr>
    </w:div>
    <w:div w:id="899755122">
      <w:bodyDiv w:val="1"/>
      <w:marLeft w:val="0"/>
      <w:marRight w:val="0"/>
      <w:marTop w:val="0"/>
      <w:marBottom w:val="0"/>
      <w:divBdr>
        <w:top w:val="none" w:sz="0" w:space="0" w:color="auto"/>
        <w:left w:val="none" w:sz="0" w:space="0" w:color="auto"/>
        <w:bottom w:val="none" w:sz="0" w:space="0" w:color="auto"/>
        <w:right w:val="none" w:sz="0" w:space="0" w:color="auto"/>
      </w:divBdr>
    </w:div>
    <w:div w:id="911280008">
      <w:bodyDiv w:val="1"/>
      <w:marLeft w:val="0"/>
      <w:marRight w:val="0"/>
      <w:marTop w:val="0"/>
      <w:marBottom w:val="0"/>
      <w:divBdr>
        <w:top w:val="none" w:sz="0" w:space="0" w:color="auto"/>
        <w:left w:val="none" w:sz="0" w:space="0" w:color="auto"/>
        <w:bottom w:val="none" w:sz="0" w:space="0" w:color="auto"/>
        <w:right w:val="none" w:sz="0" w:space="0" w:color="auto"/>
      </w:divBdr>
    </w:div>
    <w:div w:id="919561059">
      <w:bodyDiv w:val="1"/>
      <w:marLeft w:val="0"/>
      <w:marRight w:val="0"/>
      <w:marTop w:val="0"/>
      <w:marBottom w:val="0"/>
      <w:divBdr>
        <w:top w:val="none" w:sz="0" w:space="0" w:color="auto"/>
        <w:left w:val="none" w:sz="0" w:space="0" w:color="auto"/>
        <w:bottom w:val="none" w:sz="0" w:space="0" w:color="auto"/>
        <w:right w:val="none" w:sz="0" w:space="0" w:color="auto"/>
      </w:divBdr>
    </w:div>
    <w:div w:id="921374219">
      <w:bodyDiv w:val="1"/>
      <w:marLeft w:val="0"/>
      <w:marRight w:val="0"/>
      <w:marTop w:val="0"/>
      <w:marBottom w:val="0"/>
      <w:divBdr>
        <w:top w:val="none" w:sz="0" w:space="0" w:color="auto"/>
        <w:left w:val="none" w:sz="0" w:space="0" w:color="auto"/>
        <w:bottom w:val="none" w:sz="0" w:space="0" w:color="auto"/>
        <w:right w:val="none" w:sz="0" w:space="0" w:color="auto"/>
      </w:divBdr>
    </w:div>
    <w:div w:id="926228685">
      <w:bodyDiv w:val="1"/>
      <w:marLeft w:val="0"/>
      <w:marRight w:val="0"/>
      <w:marTop w:val="0"/>
      <w:marBottom w:val="0"/>
      <w:divBdr>
        <w:top w:val="none" w:sz="0" w:space="0" w:color="auto"/>
        <w:left w:val="none" w:sz="0" w:space="0" w:color="auto"/>
        <w:bottom w:val="none" w:sz="0" w:space="0" w:color="auto"/>
        <w:right w:val="none" w:sz="0" w:space="0" w:color="auto"/>
      </w:divBdr>
    </w:div>
    <w:div w:id="932007430">
      <w:bodyDiv w:val="1"/>
      <w:marLeft w:val="0"/>
      <w:marRight w:val="0"/>
      <w:marTop w:val="0"/>
      <w:marBottom w:val="0"/>
      <w:divBdr>
        <w:top w:val="none" w:sz="0" w:space="0" w:color="auto"/>
        <w:left w:val="none" w:sz="0" w:space="0" w:color="auto"/>
        <w:bottom w:val="none" w:sz="0" w:space="0" w:color="auto"/>
        <w:right w:val="none" w:sz="0" w:space="0" w:color="auto"/>
      </w:divBdr>
    </w:div>
    <w:div w:id="992833591">
      <w:bodyDiv w:val="1"/>
      <w:marLeft w:val="0"/>
      <w:marRight w:val="0"/>
      <w:marTop w:val="0"/>
      <w:marBottom w:val="0"/>
      <w:divBdr>
        <w:top w:val="none" w:sz="0" w:space="0" w:color="auto"/>
        <w:left w:val="none" w:sz="0" w:space="0" w:color="auto"/>
        <w:bottom w:val="none" w:sz="0" w:space="0" w:color="auto"/>
        <w:right w:val="none" w:sz="0" w:space="0" w:color="auto"/>
      </w:divBdr>
    </w:div>
    <w:div w:id="1021398007">
      <w:bodyDiv w:val="1"/>
      <w:marLeft w:val="0"/>
      <w:marRight w:val="0"/>
      <w:marTop w:val="0"/>
      <w:marBottom w:val="0"/>
      <w:divBdr>
        <w:top w:val="none" w:sz="0" w:space="0" w:color="auto"/>
        <w:left w:val="none" w:sz="0" w:space="0" w:color="auto"/>
        <w:bottom w:val="none" w:sz="0" w:space="0" w:color="auto"/>
        <w:right w:val="none" w:sz="0" w:space="0" w:color="auto"/>
      </w:divBdr>
    </w:div>
    <w:div w:id="1109470796">
      <w:bodyDiv w:val="1"/>
      <w:marLeft w:val="0"/>
      <w:marRight w:val="0"/>
      <w:marTop w:val="0"/>
      <w:marBottom w:val="0"/>
      <w:divBdr>
        <w:top w:val="none" w:sz="0" w:space="0" w:color="auto"/>
        <w:left w:val="none" w:sz="0" w:space="0" w:color="auto"/>
        <w:bottom w:val="none" w:sz="0" w:space="0" w:color="auto"/>
        <w:right w:val="none" w:sz="0" w:space="0" w:color="auto"/>
      </w:divBdr>
    </w:div>
    <w:div w:id="1120880607">
      <w:bodyDiv w:val="1"/>
      <w:marLeft w:val="0"/>
      <w:marRight w:val="0"/>
      <w:marTop w:val="0"/>
      <w:marBottom w:val="0"/>
      <w:divBdr>
        <w:top w:val="none" w:sz="0" w:space="0" w:color="auto"/>
        <w:left w:val="none" w:sz="0" w:space="0" w:color="auto"/>
        <w:bottom w:val="none" w:sz="0" w:space="0" w:color="auto"/>
        <w:right w:val="none" w:sz="0" w:space="0" w:color="auto"/>
      </w:divBdr>
    </w:div>
    <w:div w:id="1127889184">
      <w:bodyDiv w:val="1"/>
      <w:marLeft w:val="0"/>
      <w:marRight w:val="0"/>
      <w:marTop w:val="0"/>
      <w:marBottom w:val="0"/>
      <w:divBdr>
        <w:top w:val="none" w:sz="0" w:space="0" w:color="auto"/>
        <w:left w:val="none" w:sz="0" w:space="0" w:color="auto"/>
        <w:bottom w:val="none" w:sz="0" w:space="0" w:color="auto"/>
        <w:right w:val="none" w:sz="0" w:space="0" w:color="auto"/>
      </w:divBdr>
    </w:div>
    <w:div w:id="1167743119">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245409338">
      <w:bodyDiv w:val="1"/>
      <w:marLeft w:val="0"/>
      <w:marRight w:val="0"/>
      <w:marTop w:val="0"/>
      <w:marBottom w:val="0"/>
      <w:divBdr>
        <w:top w:val="none" w:sz="0" w:space="0" w:color="auto"/>
        <w:left w:val="none" w:sz="0" w:space="0" w:color="auto"/>
        <w:bottom w:val="none" w:sz="0" w:space="0" w:color="auto"/>
        <w:right w:val="none" w:sz="0" w:space="0" w:color="auto"/>
      </w:divBdr>
      <w:divsChild>
        <w:div w:id="194319120">
          <w:marLeft w:val="0"/>
          <w:marRight w:val="0"/>
          <w:marTop w:val="0"/>
          <w:marBottom w:val="0"/>
          <w:divBdr>
            <w:top w:val="none" w:sz="0" w:space="0" w:color="auto"/>
            <w:left w:val="none" w:sz="0" w:space="0" w:color="auto"/>
            <w:bottom w:val="none" w:sz="0" w:space="0" w:color="auto"/>
            <w:right w:val="none" w:sz="0" w:space="0" w:color="auto"/>
          </w:divBdr>
        </w:div>
      </w:divsChild>
    </w:div>
    <w:div w:id="1312060529">
      <w:bodyDiv w:val="1"/>
      <w:marLeft w:val="0"/>
      <w:marRight w:val="0"/>
      <w:marTop w:val="0"/>
      <w:marBottom w:val="0"/>
      <w:divBdr>
        <w:top w:val="none" w:sz="0" w:space="0" w:color="auto"/>
        <w:left w:val="none" w:sz="0" w:space="0" w:color="auto"/>
        <w:bottom w:val="none" w:sz="0" w:space="0" w:color="auto"/>
        <w:right w:val="none" w:sz="0" w:space="0" w:color="auto"/>
      </w:divBdr>
    </w:div>
    <w:div w:id="1319307303">
      <w:bodyDiv w:val="1"/>
      <w:marLeft w:val="0"/>
      <w:marRight w:val="0"/>
      <w:marTop w:val="0"/>
      <w:marBottom w:val="0"/>
      <w:divBdr>
        <w:top w:val="none" w:sz="0" w:space="0" w:color="auto"/>
        <w:left w:val="none" w:sz="0" w:space="0" w:color="auto"/>
        <w:bottom w:val="none" w:sz="0" w:space="0" w:color="auto"/>
        <w:right w:val="none" w:sz="0" w:space="0" w:color="auto"/>
      </w:divBdr>
    </w:div>
    <w:div w:id="1342973032">
      <w:bodyDiv w:val="1"/>
      <w:marLeft w:val="0"/>
      <w:marRight w:val="0"/>
      <w:marTop w:val="0"/>
      <w:marBottom w:val="0"/>
      <w:divBdr>
        <w:top w:val="none" w:sz="0" w:space="0" w:color="auto"/>
        <w:left w:val="none" w:sz="0" w:space="0" w:color="auto"/>
        <w:bottom w:val="none" w:sz="0" w:space="0" w:color="auto"/>
        <w:right w:val="none" w:sz="0" w:space="0" w:color="auto"/>
      </w:divBdr>
    </w:div>
    <w:div w:id="1369257920">
      <w:bodyDiv w:val="1"/>
      <w:marLeft w:val="0"/>
      <w:marRight w:val="0"/>
      <w:marTop w:val="0"/>
      <w:marBottom w:val="0"/>
      <w:divBdr>
        <w:top w:val="none" w:sz="0" w:space="0" w:color="auto"/>
        <w:left w:val="none" w:sz="0" w:space="0" w:color="auto"/>
        <w:bottom w:val="none" w:sz="0" w:space="0" w:color="auto"/>
        <w:right w:val="none" w:sz="0" w:space="0" w:color="auto"/>
      </w:divBdr>
    </w:div>
    <w:div w:id="1388337695">
      <w:bodyDiv w:val="1"/>
      <w:marLeft w:val="0"/>
      <w:marRight w:val="0"/>
      <w:marTop w:val="0"/>
      <w:marBottom w:val="0"/>
      <w:divBdr>
        <w:top w:val="none" w:sz="0" w:space="0" w:color="auto"/>
        <w:left w:val="none" w:sz="0" w:space="0" w:color="auto"/>
        <w:bottom w:val="none" w:sz="0" w:space="0" w:color="auto"/>
        <w:right w:val="none" w:sz="0" w:space="0" w:color="auto"/>
      </w:divBdr>
    </w:div>
    <w:div w:id="1388725305">
      <w:bodyDiv w:val="1"/>
      <w:marLeft w:val="0"/>
      <w:marRight w:val="0"/>
      <w:marTop w:val="0"/>
      <w:marBottom w:val="0"/>
      <w:divBdr>
        <w:top w:val="none" w:sz="0" w:space="0" w:color="auto"/>
        <w:left w:val="none" w:sz="0" w:space="0" w:color="auto"/>
        <w:bottom w:val="none" w:sz="0" w:space="0" w:color="auto"/>
        <w:right w:val="none" w:sz="0" w:space="0" w:color="auto"/>
      </w:divBdr>
    </w:div>
    <w:div w:id="1423840254">
      <w:bodyDiv w:val="1"/>
      <w:marLeft w:val="0"/>
      <w:marRight w:val="0"/>
      <w:marTop w:val="0"/>
      <w:marBottom w:val="0"/>
      <w:divBdr>
        <w:top w:val="none" w:sz="0" w:space="0" w:color="auto"/>
        <w:left w:val="none" w:sz="0" w:space="0" w:color="auto"/>
        <w:bottom w:val="none" w:sz="0" w:space="0" w:color="auto"/>
        <w:right w:val="none" w:sz="0" w:space="0" w:color="auto"/>
      </w:divBdr>
    </w:div>
    <w:div w:id="1470634422">
      <w:bodyDiv w:val="1"/>
      <w:marLeft w:val="0"/>
      <w:marRight w:val="0"/>
      <w:marTop w:val="0"/>
      <w:marBottom w:val="0"/>
      <w:divBdr>
        <w:top w:val="none" w:sz="0" w:space="0" w:color="auto"/>
        <w:left w:val="none" w:sz="0" w:space="0" w:color="auto"/>
        <w:bottom w:val="none" w:sz="0" w:space="0" w:color="auto"/>
        <w:right w:val="none" w:sz="0" w:space="0" w:color="auto"/>
      </w:divBdr>
    </w:div>
    <w:div w:id="1474446323">
      <w:bodyDiv w:val="1"/>
      <w:marLeft w:val="0"/>
      <w:marRight w:val="0"/>
      <w:marTop w:val="0"/>
      <w:marBottom w:val="0"/>
      <w:divBdr>
        <w:top w:val="none" w:sz="0" w:space="0" w:color="auto"/>
        <w:left w:val="none" w:sz="0" w:space="0" w:color="auto"/>
        <w:bottom w:val="none" w:sz="0" w:space="0" w:color="auto"/>
        <w:right w:val="none" w:sz="0" w:space="0" w:color="auto"/>
      </w:divBdr>
    </w:div>
    <w:div w:id="1477457285">
      <w:bodyDiv w:val="1"/>
      <w:marLeft w:val="0"/>
      <w:marRight w:val="0"/>
      <w:marTop w:val="0"/>
      <w:marBottom w:val="0"/>
      <w:divBdr>
        <w:top w:val="none" w:sz="0" w:space="0" w:color="auto"/>
        <w:left w:val="none" w:sz="0" w:space="0" w:color="auto"/>
        <w:bottom w:val="none" w:sz="0" w:space="0" w:color="auto"/>
        <w:right w:val="none" w:sz="0" w:space="0" w:color="auto"/>
      </w:divBdr>
    </w:div>
    <w:div w:id="1518077533">
      <w:bodyDiv w:val="1"/>
      <w:marLeft w:val="0"/>
      <w:marRight w:val="0"/>
      <w:marTop w:val="0"/>
      <w:marBottom w:val="0"/>
      <w:divBdr>
        <w:top w:val="none" w:sz="0" w:space="0" w:color="auto"/>
        <w:left w:val="none" w:sz="0" w:space="0" w:color="auto"/>
        <w:bottom w:val="none" w:sz="0" w:space="0" w:color="auto"/>
        <w:right w:val="none" w:sz="0" w:space="0" w:color="auto"/>
      </w:divBdr>
    </w:div>
    <w:div w:id="1551577621">
      <w:bodyDiv w:val="1"/>
      <w:marLeft w:val="0"/>
      <w:marRight w:val="0"/>
      <w:marTop w:val="0"/>
      <w:marBottom w:val="0"/>
      <w:divBdr>
        <w:top w:val="none" w:sz="0" w:space="0" w:color="auto"/>
        <w:left w:val="none" w:sz="0" w:space="0" w:color="auto"/>
        <w:bottom w:val="none" w:sz="0" w:space="0" w:color="auto"/>
        <w:right w:val="none" w:sz="0" w:space="0" w:color="auto"/>
      </w:divBdr>
    </w:div>
    <w:div w:id="1612130230">
      <w:bodyDiv w:val="1"/>
      <w:marLeft w:val="0"/>
      <w:marRight w:val="0"/>
      <w:marTop w:val="0"/>
      <w:marBottom w:val="0"/>
      <w:divBdr>
        <w:top w:val="none" w:sz="0" w:space="0" w:color="auto"/>
        <w:left w:val="none" w:sz="0" w:space="0" w:color="auto"/>
        <w:bottom w:val="none" w:sz="0" w:space="0" w:color="auto"/>
        <w:right w:val="none" w:sz="0" w:space="0" w:color="auto"/>
      </w:divBdr>
    </w:div>
    <w:div w:id="1643387827">
      <w:bodyDiv w:val="1"/>
      <w:marLeft w:val="0"/>
      <w:marRight w:val="0"/>
      <w:marTop w:val="0"/>
      <w:marBottom w:val="0"/>
      <w:divBdr>
        <w:top w:val="none" w:sz="0" w:space="0" w:color="auto"/>
        <w:left w:val="none" w:sz="0" w:space="0" w:color="auto"/>
        <w:bottom w:val="none" w:sz="0" w:space="0" w:color="auto"/>
        <w:right w:val="none" w:sz="0" w:space="0" w:color="auto"/>
      </w:divBdr>
    </w:div>
    <w:div w:id="1673799274">
      <w:bodyDiv w:val="1"/>
      <w:marLeft w:val="0"/>
      <w:marRight w:val="0"/>
      <w:marTop w:val="0"/>
      <w:marBottom w:val="0"/>
      <w:divBdr>
        <w:top w:val="none" w:sz="0" w:space="0" w:color="auto"/>
        <w:left w:val="none" w:sz="0" w:space="0" w:color="auto"/>
        <w:bottom w:val="none" w:sz="0" w:space="0" w:color="auto"/>
        <w:right w:val="none" w:sz="0" w:space="0" w:color="auto"/>
      </w:divBdr>
      <w:divsChild>
        <w:div w:id="1774326778">
          <w:marLeft w:val="0"/>
          <w:marRight w:val="0"/>
          <w:marTop w:val="0"/>
          <w:marBottom w:val="0"/>
          <w:divBdr>
            <w:top w:val="none" w:sz="0" w:space="0" w:color="auto"/>
            <w:left w:val="none" w:sz="0" w:space="0" w:color="auto"/>
            <w:bottom w:val="none" w:sz="0" w:space="0" w:color="auto"/>
            <w:right w:val="none" w:sz="0" w:space="0" w:color="auto"/>
          </w:divBdr>
          <w:divsChild>
            <w:div w:id="1081371114">
              <w:marLeft w:val="0"/>
              <w:marRight w:val="0"/>
              <w:marTop w:val="0"/>
              <w:marBottom w:val="0"/>
              <w:divBdr>
                <w:top w:val="none" w:sz="0" w:space="0" w:color="auto"/>
                <w:left w:val="none" w:sz="0" w:space="0" w:color="auto"/>
                <w:bottom w:val="none" w:sz="0" w:space="0" w:color="auto"/>
                <w:right w:val="none" w:sz="0" w:space="0" w:color="auto"/>
              </w:divBdr>
              <w:divsChild>
                <w:div w:id="19459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9899">
      <w:bodyDiv w:val="1"/>
      <w:marLeft w:val="0"/>
      <w:marRight w:val="0"/>
      <w:marTop w:val="0"/>
      <w:marBottom w:val="0"/>
      <w:divBdr>
        <w:top w:val="none" w:sz="0" w:space="0" w:color="auto"/>
        <w:left w:val="none" w:sz="0" w:space="0" w:color="auto"/>
        <w:bottom w:val="none" w:sz="0" w:space="0" w:color="auto"/>
        <w:right w:val="none" w:sz="0" w:space="0" w:color="auto"/>
      </w:divBdr>
    </w:div>
    <w:div w:id="1677876496">
      <w:bodyDiv w:val="1"/>
      <w:marLeft w:val="0"/>
      <w:marRight w:val="0"/>
      <w:marTop w:val="0"/>
      <w:marBottom w:val="0"/>
      <w:divBdr>
        <w:top w:val="none" w:sz="0" w:space="0" w:color="auto"/>
        <w:left w:val="none" w:sz="0" w:space="0" w:color="auto"/>
        <w:bottom w:val="none" w:sz="0" w:space="0" w:color="auto"/>
        <w:right w:val="none" w:sz="0" w:space="0" w:color="auto"/>
      </w:divBdr>
    </w:div>
    <w:div w:id="1722973078">
      <w:bodyDiv w:val="1"/>
      <w:marLeft w:val="0"/>
      <w:marRight w:val="0"/>
      <w:marTop w:val="0"/>
      <w:marBottom w:val="0"/>
      <w:divBdr>
        <w:top w:val="none" w:sz="0" w:space="0" w:color="auto"/>
        <w:left w:val="none" w:sz="0" w:space="0" w:color="auto"/>
        <w:bottom w:val="none" w:sz="0" w:space="0" w:color="auto"/>
        <w:right w:val="none" w:sz="0" w:space="0" w:color="auto"/>
      </w:divBdr>
    </w:div>
    <w:div w:id="1732271268">
      <w:bodyDiv w:val="1"/>
      <w:marLeft w:val="0"/>
      <w:marRight w:val="0"/>
      <w:marTop w:val="0"/>
      <w:marBottom w:val="0"/>
      <w:divBdr>
        <w:top w:val="none" w:sz="0" w:space="0" w:color="auto"/>
        <w:left w:val="none" w:sz="0" w:space="0" w:color="auto"/>
        <w:bottom w:val="none" w:sz="0" w:space="0" w:color="auto"/>
        <w:right w:val="none" w:sz="0" w:space="0" w:color="auto"/>
      </w:divBdr>
    </w:div>
    <w:div w:id="1798252226">
      <w:bodyDiv w:val="1"/>
      <w:marLeft w:val="0"/>
      <w:marRight w:val="0"/>
      <w:marTop w:val="0"/>
      <w:marBottom w:val="0"/>
      <w:divBdr>
        <w:top w:val="none" w:sz="0" w:space="0" w:color="auto"/>
        <w:left w:val="none" w:sz="0" w:space="0" w:color="auto"/>
        <w:bottom w:val="none" w:sz="0" w:space="0" w:color="auto"/>
        <w:right w:val="none" w:sz="0" w:space="0" w:color="auto"/>
      </w:divBdr>
      <w:divsChild>
        <w:div w:id="1263609217">
          <w:marLeft w:val="0"/>
          <w:marRight w:val="0"/>
          <w:marTop w:val="0"/>
          <w:marBottom w:val="0"/>
          <w:divBdr>
            <w:top w:val="none" w:sz="0" w:space="0" w:color="auto"/>
            <w:left w:val="none" w:sz="0" w:space="0" w:color="auto"/>
            <w:bottom w:val="none" w:sz="0" w:space="0" w:color="auto"/>
            <w:right w:val="none" w:sz="0" w:space="0" w:color="auto"/>
          </w:divBdr>
        </w:div>
      </w:divsChild>
    </w:div>
    <w:div w:id="1832019441">
      <w:bodyDiv w:val="1"/>
      <w:marLeft w:val="0"/>
      <w:marRight w:val="0"/>
      <w:marTop w:val="0"/>
      <w:marBottom w:val="0"/>
      <w:divBdr>
        <w:top w:val="none" w:sz="0" w:space="0" w:color="auto"/>
        <w:left w:val="none" w:sz="0" w:space="0" w:color="auto"/>
        <w:bottom w:val="none" w:sz="0" w:space="0" w:color="auto"/>
        <w:right w:val="none" w:sz="0" w:space="0" w:color="auto"/>
      </w:divBdr>
    </w:div>
    <w:div w:id="1835535374">
      <w:bodyDiv w:val="1"/>
      <w:marLeft w:val="0"/>
      <w:marRight w:val="0"/>
      <w:marTop w:val="0"/>
      <w:marBottom w:val="0"/>
      <w:divBdr>
        <w:top w:val="none" w:sz="0" w:space="0" w:color="auto"/>
        <w:left w:val="none" w:sz="0" w:space="0" w:color="auto"/>
        <w:bottom w:val="none" w:sz="0" w:space="0" w:color="auto"/>
        <w:right w:val="none" w:sz="0" w:space="0" w:color="auto"/>
      </w:divBdr>
    </w:div>
    <w:div w:id="1856993657">
      <w:bodyDiv w:val="1"/>
      <w:marLeft w:val="0"/>
      <w:marRight w:val="0"/>
      <w:marTop w:val="0"/>
      <w:marBottom w:val="0"/>
      <w:divBdr>
        <w:top w:val="none" w:sz="0" w:space="0" w:color="auto"/>
        <w:left w:val="none" w:sz="0" w:space="0" w:color="auto"/>
        <w:bottom w:val="none" w:sz="0" w:space="0" w:color="auto"/>
        <w:right w:val="none" w:sz="0" w:space="0" w:color="auto"/>
      </w:divBdr>
    </w:div>
    <w:div w:id="1860389515">
      <w:bodyDiv w:val="1"/>
      <w:marLeft w:val="0"/>
      <w:marRight w:val="0"/>
      <w:marTop w:val="0"/>
      <w:marBottom w:val="0"/>
      <w:divBdr>
        <w:top w:val="none" w:sz="0" w:space="0" w:color="auto"/>
        <w:left w:val="none" w:sz="0" w:space="0" w:color="auto"/>
        <w:bottom w:val="none" w:sz="0" w:space="0" w:color="auto"/>
        <w:right w:val="none" w:sz="0" w:space="0" w:color="auto"/>
      </w:divBdr>
    </w:div>
    <w:div w:id="1900549444">
      <w:bodyDiv w:val="1"/>
      <w:marLeft w:val="0"/>
      <w:marRight w:val="0"/>
      <w:marTop w:val="0"/>
      <w:marBottom w:val="0"/>
      <w:divBdr>
        <w:top w:val="none" w:sz="0" w:space="0" w:color="auto"/>
        <w:left w:val="none" w:sz="0" w:space="0" w:color="auto"/>
        <w:bottom w:val="none" w:sz="0" w:space="0" w:color="auto"/>
        <w:right w:val="none" w:sz="0" w:space="0" w:color="auto"/>
      </w:divBdr>
    </w:div>
    <w:div w:id="1942488787">
      <w:bodyDiv w:val="1"/>
      <w:marLeft w:val="0"/>
      <w:marRight w:val="0"/>
      <w:marTop w:val="0"/>
      <w:marBottom w:val="0"/>
      <w:divBdr>
        <w:top w:val="none" w:sz="0" w:space="0" w:color="auto"/>
        <w:left w:val="none" w:sz="0" w:space="0" w:color="auto"/>
        <w:bottom w:val="none" w:sz="0" w:space="0" w:color="auto"/>
        <w:right w:val="none" w:sz="0" w:space="0" w:color="auto"/>
      </w:divBdr>
    </w:div>
    <w:div w:id="2096585595">
      <w:bodyDiv w:val="1"/>
      <w:marLeft w:val="0"/>
      <w:marRight w:val="0"/>
      <w:marTop w:val="0"/>
      <w:marBottom w:val="0"/>
      <w:divBdr>
        <w:top w:val="none" w:sz="0" w:space="0" w:color="auto"/>
        <w:left w:val="none" w:sz="0" w:space="0" w:color="auto"/>
        <w:bottom w:val="none" w:sz="0" w:space="0" w:color="auto"/>
        <w:right w:val="none" w:sz="0" w:space="0" w:color="auto"/>
      </w:divBdr>
    </w:div>
    <w:div w:id="21082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ancsfirerescue.org.uk/about/publications/code-of-corporate-governanc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lancsfirerescue.org.uk/about/publications/annual-service-plan-2025-202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lancsfirerescue.org.uk/about/publications/strategic-assessment-of-ri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frc.org.uk/auditorsresponsibiliti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fa.lancsfirerescue.org.uk/documents/s8594/Item%206%20-%20Appendix%201%20-%20Annual%20Service%20Report%2024_25.pdf"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lancsfirerescue.org.uk/about/publications/community-risk-management-plan-2022-20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ancsfirerescue.org.uk/about/publications/consultation-strategy" TargetMode="External"/><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lfrsict.sharepoint.com/sites/SDEP-Finance/Shared%20Documents/2024-25/Year%20end/Accounts%20Workings/Main%20Statements%2024-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frsict.sharepoint.com/sites/SDEP-Finance/Shared%20Documents/2024-25/Year%20end/Accounts%20Workings/Main%20Statements%2024-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Expenditure Analysis 2024/25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1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Narrative!$D$4</c:f>
              <c:strCache>
                <c:ptCount val="1"/>
                <c:pt idx="0">
                  <c:v>Spend</c:v>
                </c:pt>
              </c:strCache>
            </c:strRef>
          </c:tx>
          <c:explosion val="8"/>
          <c:dPt>
            <c:idx val="0"/>
            <c:bubble3D val="0"/>
            <c:explosion val="2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0-4DB9-93CB-2B0EB3F499D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0-4DB9-93CB-2B0EB3F499D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0-4DB9-93CB-2B0EB3F499D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0-4DB9-93CB-2B0EB3F499D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010-4DB9-93CB-2B0EB3F499D0}"/>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010-4DB9-93CB-2B0EB3F499D0}"/>
              </c:ext>
            </c:extLst>
          </c:dPt>
          <c:dLbls>
            <c:dLbl>
              <c:idx val="0"/>
              <c:layout>
                <c:manualLayout>
                  <c:x val="0"/>
                  <c:y val="6.1974942488746049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10-4DB9-93CB-2B0EB3F499D0}"/>
                </c:ext>
              </c:extLst>
            </c:dLbl>
            <c:dLbl>
              <c:idx val="1"/>
              <c:layout>
                <c:manualLayout>
                  <c:x val="2.1277340725615809E-2"/>
                  <c:y val="0.17108463907861257"/>
                </c:manualLayout>
              </c:layout>
              <c:spPr>
                <a:noFill/>
                <a:ln>
                  <a:solidFill>
                    <a:schemeClr val="tx1"/>
                  </a:solid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17171272332023582"/>
                      <c:h val="0.11364858711664656"/>
                    </c:manualLayout>
                  </c15:layout>
                </c:ext>
                <c:ext xmlns:c16="http://schemas.microsoft.com/office/drawing/2014/chart" uri="{C3380CC4-5D6E-409C-BE32-E72D297353CC}">
                  <c16:uniqueId val="{00000003-0010-4DB9-93CB-2B0EB3F499D0}"/>
                </c:ext>
              </c:extLst>
            </c:dLbl>
            <c:dLbl>
              <c:idx val="2"/>
              <c:layout>
                <c:manualLayout>
                  <c:x val="-5.0679451495635887E-2"/>
                  <c:y val="9.7305477434043129E-3"/>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10-4DB9-93CB-2B0EB3F499D0}"/>
                </c:ext>
              </c:extLst>
            </c:dLbl>
            <c:dLbl>
              <c:idx val="3"/>
              <c:layout>
                <c:manualLayout>
                  <c:x val="-1.535658681765799E-2"/>
                  <c:y val="-3.2796571581625848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10-4DB9-93CB-2B0EB3F499D0}"/>
                </c:ext>
              </c:extLst>
            </c:dLbl>
            <c:dLbl>
              <c:idx val="4"/>
              <c:layout>
                <c:manualLayout>
                  <c:x val="1.0578753179589563E-2"/>
                  <c:y val="-5.7827775545734567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10-4DB9-93CB-2B0EB3F499D0}"/>
                </c:ext>
              </c:extLst>
            </c:dLbl>
            <c:dLbl>
              <c:idx val="5"/>
              <c:layout>
                <c:manualLayout>
                  <c:x val="2.5317818527703741E-2"/>
                  <c:y val="-1.0204901566894352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010-4DB9-93CB-2B0EB3F499D0}"/>
                </c:ext>
              </c:extLst>
            </c:dLbl>
            <c:spPr>
              <a:ln>
                <a:solidFill>
                  <a:schemeClr val="tx1"/>
                </a:solidFill>
              </a:ln>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Narrative!$B$5:$B$10</c:f>
              <c:strCache>
                <c:ptCount val="6"/>
                <c:pt idx="0">
                  <c:v>Employees: pay costs</c:v>
                </c:pt>
                <c:pt idx="1">
                  <c:v>Other employee related costs</c:v>
                </c:pt>
                <c:pt idx="2">
                  <c:v>Premises</c:v>
                </c:pt>
                <c:pt idx="3">
                  <c:v>Transport</c:v>
                </c:pt>
                <c:pt idx="4">
                  <c:v>Supplies &amp; services</c:v>
                </c:pt>
                <c:pt idx="5">
                  <c:v>Capital financing costs &amp; other items</c:v>
                </c:pt>
              </c:strCache>
            </c:strRef>
          </c:cat>
          <c:val>
            <c:numRef>
              <c:f>Narrative!$D$5:$D$10</c:f>
              <c:numCache>
                <c:formatCode>#,##0\ ;\(#,##0\)</c:formatCode>
                <c:ptCount val="6"/>
                <c:pt idx="0">
                  <c:v>58523.25800999999</c:v>
                </c:pt>
                <c:pt idx="1">
                  <c:v>-1201.7585700000002</c:v>
                </c:pt>
                <c:pt idx="2">
                  <c:v>3954.6068500000001</c:v>
                </c:pt>
                <c:pt idx="3">
                  <c:v>2122.0494400000007</c:v>
                </c:pt>
                <c:pt idx="4">
                  <c:v>10617.948779999997</c:v>
                </c:pt>
                <c:pt idx="5">
                  <c:v>5911.01476</c:v>
                </c:pt>
              </c:numCache>
            </c:numRef>
          </c:val>
          <c:extLst>
            <c:ext xmlns:c16="http://schemas.microsoft.com/office/drawing/2014/chart" uri="{C3380CC4-5D6E-409C-BE32-E72D297353CC}">
              <c16:uniqueId val="{0000000C-0010-4DB9-93CB-2B0EB3F499D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Income Analysis 2024/25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1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Narrative!$D$4</c:f>
              <c:strCache>
                <c:ptCount val="1"/>
                <c:pt idx="0">
                  <c:v>Spend</c:v>
                </c:pt>
              </c:strCache>
            </c:strRef>
          </c:tx>
          <c:explosion val="8"/>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E4C-4B46-9BF1-50AF26DC415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E4C-4B46-9BF1-50AF26DC415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E4C-4B46-9BF1-50AF26DC415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E4C-4B46-9BF1-50AF26DC4150}"/>
              </c:ext>
            </c:extLst>
          </c:dPt>
          <c:dLbls>
            <c:dLbl>
              <c:idx val="0"/>
              <c:layout>
                <c:manualLayout>
                  <c:x val="7.1436506586080292E-2"/>
                  <c:y val="-1.8227924261395897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4C-4B46-9BF1-50AF26DC4150}"/>
                </c:ext>
              </c:extLst>
            </c:dLbl>
            <c:dLbl>
              <c:idx val="1"/>
              <c:layout>
                <c:manualLayout>
                  <c:x val="1.0205215226582898E-2"/>
                  <c:y val="5.4683772784187692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4C-4B46-9BF1-50AF26DC4150}"/>
                </c:ext>
              </c:extLst>
            </c:dLbl>
            <c:dLbl>
              <c:idx val="2"/>
              <c:layout>
                <c:manualLayout>
                  <c:x val="2.8709880062650905E-2"/>
                  <c:y val="-0.2738775647268209"/>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4C-4B46-9BF1-50AF26DC4150}"/>
                </c:ext>
              </c:extLst>
            </c:dLbl>
            <c:dLbl>
              <c:idx val="3"/>
              <c:layout>
                <c:manualLayout>
                  <c:x val="6.9778802611265747E-2"/>
                  <c:y val="-2.1873635783605898E-2"/>
                </c:manualLayout>
              </c:layout>
              <c:spPr>
                <a:noFill/>
                <a:ln>
                  <a:solidFill>
                    <a:schemeClr val="tx1"/>
                  </a:solid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0763796074889404"/>
                      <c:h val="7.8051971687297231E-2"/>
                    </c:manualLayout>
                  </c15:layout>
                </c:ext>
                <c:ext xmlns:c16="http://schemas.microsoft.com/office/drawing/2014/chart" uri="{C3380CC4-5D6E-409C-BE32-E72D297353CC}">
                  <c16:uniqueId val="{00000007-1E4C-4B46-9BF1-50AF26DC4150}"/>
                </c:ext>
              </c:extLst>
            </c:dLbl>
            <c:spPr>
              <a:ln>
                <a:solidFill>
                  <a:schemeClr val="tx1"/>
                </a:solidFill>
              </a:ln>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(Narrative!$B$12,Narrative!$B$15:$B$17)</c:f>
              <c:strCache>
                <c:ptCount val="4"/>
                <c:pt idx="0">
                  <c:v>Other Income</c:v>
                </c:pt>
                <c:pt idx="1">
                  <c:v>Council tax</c:v>
                </c:pt>
                <c:pt idx="2">
                  <c:v>Business rates</c:v>
                </c:pt>
                <c:pt idx="3">
                  <c:v>Government grant</c:v>
                </c:pt>
              </c:strCache>
            </c:strRef>
          </c:cat>
          <c:val>
            <c:numRef>
              <c:f>(Narrative!$D$12,Narrative!$D$15:$D$17)</c:f>
              <c:numCache>
                <c:formatCode>#,##0\ ;\(#,##0\)</c:formatCode>
                <c:ptCount val="4"/>
                <c:pt idx="0">
                  <c:v>-5339.2293100000006</c:v>
                </c:pt>
                <c:pt idx="1">
                  <c:v>-39395.748159999996</c:v>
                </c:pt>
                <c:pt idx="2">
                  <c:v>-22457.326399999998</c:v>
                </c:pt>
                <c:pt idx="3">
                  <c:v>-13469.684999999999</c:v>
                </c:pt>
              </c:numCache>
            </c:numRef>
          </c:val>
          <c:extLst>
            <c:ext xmlns:c16="http://schemas.microsoft.com/office/drawing/2014/chart" uri="{C3380CC4-5D6E-409C-BE32-E72D297353CC}">
              <c16:uniqueId val="{00000008-1E4C-4B46-9BF1-50AF26DC415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1940F4E2DC8946B491E00B713C6592" ma:contentTypeVersion="13" ma:contentTypeDescription="Create a new document." ma:contentTypeScope="" ma:versionID="9abc5454c252ac511ef8d38241d9c5c1">
  <xsd:schema xmlns:xsd="http://www.w3.org/2001/XMLSchema" xmlns:xs="http://www.w3.org/2001/XMLSchema" xmlns:p="http://schemas.microsoft.com/office/2006/metadata/properties" xmlns:ns2="8045da27-7bcf-4150-8e82-71b46f84ffac" xmlns:ns3="6c41f56c-e7af-43bb-a133-6deb2041e9af" targetNamespace="http://schemas.microsoft.com/office/2006/metadata/properties" ma:root="true" ma:fieldsID="6393ab98365c060209813c5762b75ab3" ns2:_="" ns3:_="">
    <xsd:import namespace="8045da27-7bcf-4150-8e82-71b46f84ffac"/>
    <xsd:import namespace="6c41f56c-e7af-43bb-a133-6deb2041e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da27-7bcf-4150-8e82-71b46f84f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1f56c-e7af-43bb-a133-6deb2041e9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99ebd8-4278-45f7-a1bf-548b18c36915}" ma:internalName="TaxCatchAll" ma:showField="CatchAllData" ma:web="6c41f56c-e7af-43bb-a133-6deb2041e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1f56c-e7af-43bb-a133-6deb2041e9af" xsi:nil="true"/>
    <lcf76f155ced4ddcb4097134ff3c332f xmlns="8045da27-7bcf-4150-8e82-71b46f84f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84587-5344-4572-98AD-E79F924A9154}">
  <ds:schemaRefs>
    <ds:schemaRef ds:uri="http://schemas.openxmlformats.org/officeDocument/2006/bibliography"/>
  </ds:schemaRefs>
</ds:datastoreItem>
</file>

<file path=customXml/itemProps2.xml><?xml version="1.0" encoding="utf-8"?>
<ds:datastoreItem xmlns:ds="http://schemas.openxmlformats.org/officeDocument/2006/customXml" ds:itemID="{ADA7445F-EB00-4372-8C48-80EE3D40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da27-7bcf-4150-8e82-71b46f84ffac"/>
    <ds:schemaRef ds:uri="6c41f56c-e7af-43bb-a133-6deb2041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1C216-C20C-4977-B5C9-5A2EE15D0B2E}">
  <ds:schemaRefs>
    <ds:schemaRef ds:uri="http://schemas.microsoft.com/sharepoint/v3/contenttype/forms"/>
  </ds:schemaRefs>
</ds:datastoreItem>
</file>

<file path=customXml/itemProps4.xml><?xml version="1.0" encoding="utf-8"?>
<ds:datastoreItem xmlns:ds="http://schemas.openxmlformats.org/officeDocument/2006/customXml" ds:itemID="{5B24FE1D-D0BE-4B37-94BD-4D7BA325C6B5}">
  <ds:schemaRefs>
    <ds:schemaRef ds:uri="http://schemas.microsoft.com/office/2006/metadata/properties"/>
    <ds:schemaRef ds:uri="http://schemas.microsoft.com/office/infopath/2007/PartnerControls"/>
    <ds:schemaRef ds:uri="6c41f56c-e7af-43bb-a133-6deb2041e9af"/>
    <ds:schemaRef ds:uri="8045da27-7bcf-4150-8e82-71b46f84ffac"/>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89</Pages>
  <Words>25722</Words>
  <Characters>148310</Characters>
  <Application>Microsoft Office Word</Application>
  <DocSecurity>0</DocSecurity>
  <Lines>7415</Lines>
  <Paragraphs>5273</Paragraphs>
  <ScaleCrop>false</ScaleCrop>
  <Company>Lancashire County Council</Company>
  <LinksUpToDate>false</LinksUpToDate>
  <CharactersWithSpaces>168759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POLICE AUTHORITY</dc:title>
  <dc:subject/>
  <dc:creator>Claire Cartmel</dc:creator>
  <cp:keywords/>
  <cp:lastModifiedBy>SHQ - Latham, Adam</cp:lastModifiedBy>
  <cp:revision>53</cp:revision>
  <cp:lastPrinted>2024-07-30T14:43:00Z</cp:lastPrinted>
  <dcterms:created xsi:type="dcterms:W3CDTF">2025-12-17T14:39:00Z</dcterms:created>
  <dcterms:modified xsi:type="dcterms:W3CDTF">2025-12-18T09:48:00Z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0x010100FF1940F4E2DC8946B491E00B713C6592</vt:lpwstr>
  </property>
  <property fmtid="{D5CDD505-2E9C-101B-9397-08002B2CF9AE}" pid="3" name="MediaServiceImageTags">
    <vt:lpwstr/>
  </property>
</Properties>
</file>